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2.xml" ContentType="application/vnd.openxmlformats-officedocument.wordprocessingml.head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header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21"/>
        <w:ind w:left="1416" w:right="1421" w:firstLine="0"/>
        <w:jc w:val="center"/>
        <w:rPr>
          <w:rFonts w:ascii="宋体" w:hAnsi="宋体" w:cs="宋体" w:eastAsia="宋体" w:hint="default"/>
          <w:sz w:val="44"/>
          <w:szCs w:val="44"/>
        </w:rPr>
      </w:pPr>
      <w:r>
        <w:rPr>
          <w:rFonts w:ascii="宋体" w:hAnsi="宋体" w:cs="宋体" w:eastAsia="宋体" w:hint="default"/>
          <w:b/>
          <w:bCs/>
          <w:sz w:val="44"/>
          <w:szCs w:val="44"/>
        </w:rPr>
        <w:t>北京中长石基信息技术股份有限公司</w:t>
      </w:r>
      <w:r>
        <w:rPr>
          <w:rFonts w:ascii="宋体" w:hAnsi="宋体" w:cs="宋体" w:eastAsia="宋体" w:hint="default"/>
          <w:sz w:val="44"/>
          <w:szCs w:val="44"/>
        </w:rPr>
      </w:r>
    </w:p>
    <w:p>
      <w:pPr>
        <w:spacing w:before="349"/>
        <w:ind w:left="1416" w:right="1263" w:firstLine="0"/>
        <w:jc w:val="center"/>
        <w:rPr>
          <w:rFonts w:ascii="Times New Roman" w:hAnsi="Times New Roman" w:cs="Times New Roman" w:eastAsia="Times New Roman" w:hint="default"/>
          <w:sz w:val="32"/>
          <w:szCs w:val="32"/>
        </w:rPr>
      </w:pPr>
      <w:r>
        <w:rPr>
          <w:rFonts w:ascii="Times New Roman"/>
          <w:b/>
          <w:sz w:val="32"/>
        </w:rPr>
        <w:t>Beijing Shiji Information </w:t>
      </w:r>
      <w:r>
        <w:rPr>
          <w:rFonts w:ascii="Times New Roman"/>
          <w:b/>
          <w:spacing w:val="-3"/>
          <w:sz w:val="32"/>
        </w:rPr>
        <w:t>Technology </w:t>
      </w:r>
      <w:r>
        <w:rPr>
          <w:rFonts w:ascii="Times New Roman"/>
          <w:b/>
          <w:sz w:val="32"/>
        </w:rPr>
        <w:t>Co.,</w:t>
      </w:r>
      <w:r>
        <w:rPr>
          <w:rFonts w:ascii="Times New Roman"/>
          <w:b/>
          <w:spacing w:val="-17"/>
          <w:sz w:val="32"/>
        </w:rPr>
        <w:t> </w:t>
      </w:r>
      <w:r>
        <w:rPr>
          <w:rFonts w:ascii="Times New Roman"/>
          <w:b/>
          <w:sz w:val="32"/>
        </w:rPr>
        <w:t>Ltd.</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5"/>
        <w:rPr>
          <w:rFonts w:ascii="Times New Roman" w:hAnsi="Times New Roman" w:cs="Times New Roman" w:eastAsia="Times New Roman" w:hint="default"/>
          <w:b/>
          <w:bCs/>
          <w:sz w:val="29"/>
          <w:szCs w:val="29"/>
        </w:rPr>
      </w:pPr>
    </w:p>
    <w:p>
      <w:pPr>
        <w:spacing w:before="0"/>
        <w:ind w:left="1416" w:right="1100" w:firstLine="0"/>
        <w:jc w:val="center"/>
        <w:rPr>
          <w:rFonts w:ascii="宋体" w:hAnsi="宋体" w:cs="宋体" w:eastAsia="宋体" w:hint="default"/>
          <w:sz w:val="48"/>
          <w:szCs w:val="48"/>
        </w:rPr>
      </w:pPr>
      <w:r>
        <w:rPr>
          <w:rFonts w:ascii="Times New Roman" w:hAnsi="Times New Roman" w:cs="Times New Roman" w:eastAsia="Times New Roman" w:hint="default"/>
          <w:b/>
          <w:bCs/>
          <w:spacing w:val="-6"/>
          <w:sz w:val="48"/>
          <w:szCs w:val="48"/>
        </w:rPr>
        <w:t>2011</w:t>
      </w:r>
      <w:r>
        <w:rPr>
          <w:rFonts w:ascii="Times New Roman" w:hAnsi="Times New Roman" w:cs="Times New Roman" w:eastAsia="Times New Roman" w:hint="default"/>
          <w:b/>
          <w:bCs/>
          <w:spacing w:val="-4"/>
          <w:sz w:val="48"/>
          <w:szCs w:val="48"/>
        </w:rPr>
        <w:t> </w:t>
      </w:r>
      <w:r>
        <w:rPr>
          <w:rFonts w:ascii="宋体" w:hAnsi="宋体" w:cs="宋体" w:eastAsia="宋体" w:hint="default"/>
          <w:b/>
          <w:bCs/>
          <w:sz w:val="48"/>
          <w:szCs w:val="48"/>
        </w:rPr>
        <w:t>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4"/>
          <w:szCs w:val="24"/>
        </w:rPr>
      </w:pPr>
    </w:p>
    <w:p>
      <w:pPr>
        <w:spacing w:line="3549" w:lineRule="exact"/>
        <w:ind w:left="3472"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2180027" cy="225361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180027" cy="2253615"/>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spacing w:line="338" w:lineRule="auto" w:before="14"/>
        <w:ind w:left="3916" w:right="3480" w:firstLine="0"/>
        <w:jc w:val="left"/>
        <w:rPr>
          <w:rFonts w:ascii="宋体" w:hAnsi="宋体" w:cs="宋体" w:eastAsia="宋体" w:hint="default"/>
          <w:sz w:val="28"/>
          <w:szCs w:val="28"/>
        </w:rPr>
      </w:pPr>
      <w:r>
        <w:rPr>
          <w:rFonts w:ascii="宋体" w:hAnsi="宋体" w:cs="宋体" w:eastAsia="宋体" w:hint="default"/>
          <w:b/>
          <w:bCs/>
          <w:sz w:val="28"/>
          <w:szCs w:val="28"/>
        </w:rPr>
        <w:t>证券代码：</w:t>
      </w:r>
      <w:r>
        <w:rPr>
          <w:rFonts w:ascii="Times New Roman" w:hAnsi="Times New Roman" w:cs="Times New Roman" w:eastAsia="Times New Roman" w:hint="default"/>
          <w:b/>
          <w:bCs/>
          <w:sz w:val="28"/>
          <w:szCs w:val="28"/>
        </w:rPr>
        <w:t>002153</w:t>
      </w:r>
      <w:r>
        <w:rPr>
          <w:rFonts w:ascii="Times New Roman" w:hAnsi="Times New Roman" w:cs="Times New Roman" w:eastAsia="Times New Roman" w:hint="default"/>
          <w:b/>
          <w:bCs/>
          <w:w w:val="100"/>
          <w:sz w:val="28"/>
          <w:szCs w:val="28"/>
        </w:rPr>
        <w:t> </w:t>
      </w:r>
      <w:r>
        <w:rPr>
          <w:rFonts w:ascii="宋体" w:hAnsi="宋体" w:cs="宋体" w:eastAsia="宋体" w:hint="default"/>
          <w:b/>
          <w:bCs/>
          <w:sz w:val="28"/>
          <w:szCs w:val="28"/>
        </w:rPr>
        <w:t>证券简称：石基信息</w:t>
      </w:r>
      <w:r>
        <w:rPr>
          <w:rFonts w:ascii="宋体" w:hAnsi="宋体" w:cs="宋体" w:eastAsia="宋体" w:hint="default"/>
          <w:sz w:val="28"/>
          <w:szCs w:val="28"/>
        </w:rPr>
      </w:r>
    </w:p>
    <w:p>
      <w:pPr>
        <w:spacing w:before="63"/>
        <w:ind w:left="3390" w:right="0" w:firstLine="0"/>
        <w:jc w:val="left"/>
        <w:rPr>
          <w:rFonts w:ascii="宋体" w:hAnsi="宋体" w:cs="宋体" w:eastAsia="宋体" w:hint="default"/>
          <w:sz w:val="28"/>
          <w:szCs w:val="28"/>
        </w:rPr>
      </w:pPr>
      <w:r>
        <w:rPr>
          <w:rFonts w:ascii="宋体" w:hAnsi="宋体" w:cs="宋体" w:eastAsia="宋体" w:hint="default"/>
          <w:b/>
          <w:bCs/>
          <w:sz w:val="28"/>
          <w:szCs w:val="28"/>
        </w:rPr>
        <w:t>披露日期：</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年</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19</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日</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5"/>
          <w:footerReference w:type="default" r:id="rId6"/>
          <w:type w:val="continuous"/>
          <w:pgSz w:w="11910" w:h="16840"/>
          <w:pgMar w:header="850" w:footer="1188" w:top="1200" w:bottom="1380" w:left="980" w:right="980"/>
        </w:sectPr>
      </w:pPr>
    </w:p>
    <w:p>
      <w:pPr>
        <w:spacing w:line="240" w:lineRule="auto" w:before="7"/>
        <w:rPr>
          <w:rFonts w:ascii="宋体" w:hAnsi="宋体" w:cs="宋体" w:eastAsia="宋体" w:hint="default"/>
          <w:b/>
          <w:bCs/>
          <w:sz w:val="18"/>
          <w:szCs w:val="18"/>
        </w:rPr>
      </w:pPr>
    </w:p>
    <w:p>
      <w:pPr>
        <w:tabs>
          <w:tab w:pos="4518" w:val="left" w:leader="none"/>
          <w:tab w:pos="5118" w:val="left" w:leader="none"/>
          <w:tab w:pos="5720" w:val="left" w:leader="none"/>
        </w:tabs>
        <w:spacing w:before="7"/>
        <w:ind w:left="3707" w:right="348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b/>
          <w:bCs/>
          <w:spacing w:val="-1"/>
          <w:sz w:val="30"/>
          <w:szCs w:val="30"/>
        </w:rPr>
        <w:t>重</w:t>
        <w:tab/>
      </w:r>
      <w:r>
        <w:rPr>
          <w:rFonts w:ascii="宋体" w:hAnsi="宋体" w:cs="宋体" w:eastAsia="宋体" w:hint="default"/>
          <w:b/>
          <w:bCs/>
          <w:w w:val="95"/>
          <w:sz w:val="30"/>
          <w:szCs w:val="30"/>
        </w:rPr>
        <w:t>要</w:t>
        <w:tab/>
        <w:t>提</w:t>
        <w:tab/>
      </w:r>
      <w:r>
        <w:rPr>
          <w:rFonts w:ascii="宋体" w:hAnsi="宋体" w:cs="宋体" w:eastAsia="宋体" w:hint="default"/>
          <w:b/>
          <w:bCs/>
          <w:spacing w:val="2"/>
          <w:sz w:val="30"/>
          <w:szCs w:val="30"/>
        </w:rPr>
        <w:t>示</w:t>
      </w:r>
      <w:r>
        <w:rPr>
          <w:rFonts w:ascii="宋体" w:hAnsi="宋体" w:cs="宋体" w:eastAsia="宋体" w:hint="default"/>
          <w:spacing w:val="2"/>
          <w:sz w:val="21"/>
          <w:szCs w:val="21"/>
        </w:rPr>
        <w:t>】</w:t>
      </w:r>
    </w:p>
    <w:p>
      <w:pPr>
        <w:spacing w:line="240" w:lineRule="auto" w:before="7"/>
        <w:rPr>
          <w:rFonts w:ascii="宋体" w:hAnsi="宋体" w:cs="宋体" w:eastAsia="宋体" w:hint="default"/>
          <w:sz w:val="43"/>
          <w:szCs w:val="43"/>
        </w:rPr>
      </w:pPr>
    </w:p>
    <w:p>
      <w:pPr>
        <w:pStyle w:val="BodyText"/>
        <w:spacing w:line="355" w:lineRule="auto"/>
        <w:ind w:left="512" w:right="0" w:firstLine="420"/>
        <w:jc w:val="left"/>
        <w:rPr>
          <w:rFonts w:ascii="黑体" w:hAnsi="黑体" w:cs="黑体" w:eastAsia="黑体" w:hint="default"/>
        </w:rPr>
      </w:pPr>
      <w:r>
        <w:rPr>
          <w:rFonts w:ascii="黑体" w:hAnsi="黑体" w:cs="黑体" w:eastAsia="黑体" w:hint="default"/>
          <w:spacing w:val="-2"/>
        </w:rPr>
        <w:t>本公司董事会、监事会及董事、监事、高级管理人员保证本报告所载资料不存在任何虚假记载、</w:t>
      </w:r>
      <w:r>
        <w:rPr>
          <w:rFonts w:ascii="黑体" w:hAnsi="黑体" w:cs="黑体" w:eastAsia="黑体" w:hint="default"/>
          <w:w w:val="100"/>
        </w:rPr>
        <w:t> </w:t>
      </w:r>
      <w:r>
        <w:rPr>
          <w:rFonts w:ascii="黑体" w:hAnsi="黑体" w:cs="黑体" w:eastAsia="黑体" w:hint="default"/>
        </w:rPr>
        <w:t>误导性陈述或者重大遗漏，并对其内容的真实性、准确性和完整性承担个别及连带责任。</w:t>
      </w:r>
    </w:p>
    <w:p>
      <w:pPr>
        <w:pStyle w:val="BodyText"/>
        <w:spacing w:line="357" w:lineRule="auto" w:before="32"/>
        <w:ind w:left="932" w:right="0" w:firstLine="2"/>
        <w:jc w:val="left"/>
        <w:rPr>
          <w:rFonts w:ascii="黑体" w:hAnsi="黑体" w:cs="黑体" w:eastAsia="黑体" w:hint="default"/>
        </w:rPr>
      </w:pPr>
      <w:r>
        <w:rPr>
          <w:rFonts w:ascii="黑体" w:hAnsi="黑体" w:cs="黑体" w:eastAsia="黑体" w:hint="default"/>
          <w:spacing w:val="-5"/>
        </w:rPr>
        <w:t>没有董事、监事、高级管理人员对年度报告内容的真实性、准确性、完整性无法保证或存在异议。</w:t>
      </w:r>
      <w:r>
        <w:rPr>
          <w:rFonts w:ascii="黑体" w:hAnsi="黑体" w:cs="黑体" w:eastAsia="黑体" w:hint="default"/>
          <w:spacing w:val="-48"/>
        </w:rPr>
        <w:t> </w:t>
      </w:r>
      <w:r>
        <w:rPr>
          <w:rFonts w:ascii="黑体" w:hAnsi="黑体" w:cs="黑体" w:eastAsia="黑体" w:hint="default"/>
          <w:spacing w:val="-48"/>
        </w:rPr>
      </w:r>
      <w:r>
        <w:rPr>
          <w:rFonts w:ascii="黑体" w:hAnsi="黑体" w:cs="黑体" w:eastAsia="黑体" w:hint="default"/>
        </w:rPr>
        <w:t>公司全体董事亲自出席了本次审议年度报告的董事会。</w:t>
      </w:r>
      <w:r>
        <w:rPr>
          <w:rFonts w:ascii="黑体" w:hAnsi="黑体" w:cs="黑体" w:eastAsia="黑体" w:hint="default"/>
          <w:w w:val="100"/>
        </w:rPr>
        <w:t> </w:t>
      </w:r>
      <w:r>
        <w:rPr>
          <w:rFonts w:ascii="黑体" w:hAnsi="黑体" w:cs="黑体" w:eastAsia="黑体" w:hint="default"/>
          <w:spacing w:val="-2"/>
        </w:rPr>
        <w:t>武汉众环海华会计师事务所有限责任公司对本公司财务报表出具了标准无保留意见的审计报告。</w:t>
      </w:r>
      <w:r>
        <w:rPr>
          <w:rFonts w:ascii="黑体" w:hAnsi="黑体" w:cs="黑体" w:eastAsia="黑体" w:hint="default"/>
          <w:spacing w:val="-38"/>
        </w:rPr>
        <w:t> </w:t>
      </w:r>
      <w:r>
        <w:rPr>
          <w:rFonts w:ascii="黑体" w:hAnsi="黑体" w:cs="黑体" w:eastAsia="黑体" w:hint="default"/>
          <w:spacing w:val="-38"/>
        </w:rPr>
      </w:r>
      <w:r>
        <w:rPr>
          <w:rFonts w:ascii="黑体" w:hAnsi="黑体" w:cs="黑体" w:eastAsia="黑体" w:hint="default"/>
          <w:spacing w:val="-3"/>
        </w:rPr>
        <w:t>公司董事长李仲初先生、财务负责人赖德源先生及会计机构负责人李天达先生声明：保证年度报</w:t>
      </w:r>
      <w:r>
        <w:rPr>
          <w:rFonts w:ascii="黑体" w:hAnsi="黑体" w:cs="黑体" w:eastAsia="黑体" w:hint="default"/>
        </w:rPr>
      </w:r>
    </w:p>
    <w:p>
      <w:pPr>
        <w:pStyle w:val="BodyText"/>
        <w:spacing w:line="240" w:lineRule="auto" w:before="30"/>
        <w:ind w:left="512" w:right="3480"/>
        <w:jc w:val="left"/>
        <w:rPr>
          <w:rFonts w:ascii="黑体" w:hAnsi="黑体" w:cs="黑体" w:eastAsia="黑体" w:hint="default"/>
        </w:rPr>
      </w:pPr>
      <w:r>
        <w:rPr>
          <w:rFonts w:ascii="黑体" w:hAnsi="黑体" w:cs="黑体" w:eastAsia="黑体" w:hint="default"/>
        </w:rPr>
        <w:t>告中财务报告的真实、准确、完整。</w:t>
      </w:r>
    </w:p>
    <w:p>
      <w:pPr>
        <w:spacing w:after="0" w:line="240" w:lineRule="auto"/>
        <w:jc w:val="left"/>
        <w:rPr>
          <w:rFonts w:ascii="黑体" w:hAnsi="黑体" w:cs="黑体" w:eastAsia="黑体" w:hint="default"/>
        </w:rPr>
        <w:sectPr>
          <w:footerReference w:type="default" r:id="rId8"/>
          <w:pgSz w:w="11910" w:h="16840"/>
          <w:pgMar w:footer="979" w:header="850" w:top="1320" w:bottom="1160" w:left="980" w:right="980"/>
          <w:pgNumType w:start="2"/>
        </w:sectPr>
      </w:pPr>
    </w:p>
    <w:p>
      <w:pPr>
        <w:spacing w:line="240" w:lineRule="auto" w:before="0"/>
        <w:rPr>
          <w:rFonts w:ascii="黑体" w:hAnsi="黑体" w:cs="黑体" w:eastAsia="黑体" w:hint="default"/>
          <w:sz w:val="20"/>
          <w:szCs w:val="20"/>
        </w:rPr>
      </w:pPr>
    </w:p>
    <w:p>
      <w:pPr>
        <w:spacing w:before="175"/>
        <w:ind w:left="1416" w:right="1421" w:firstLine="0"/>
        <w:jc w:val="center"/>
        <w:rPr>
          <w:rFonts w:ascii="宋体" w:hAnsi="宋体" w:cs="宋体" w:eastAsia="宋体" w:hint="default"/>
          <w:sz w:val="32"/>
          <w:szCs w:val="32"/>
        </w:rPr>
      </w:pPr>
      <w:r>
        <w:rPr>
          <w:rFonts w:ascii="宋体" w:hAnsi="宋体" w:cs="宋体" w:eastAsia="宋体" w:hint="default"/>
          <w:b/>
          <w:bCs/>
          <w:sz w:val="32"/>
          <w:szCs w:val="32"/>
        </w:rPr>
        <w:t>目</w:t>
      </w:r>
      <w:r>
        <w:rPr>
          <w:rFonts w:ascii="宋体" w:hAnsi="宋体" w:cs="宋体" w:eastAsia="宋体" w:hint="default"/>
          <w:b/>
          <w:bCs/>
          <w:spacing w:val="-4"/>
          <w:sz w:val="32"/>
          <w:szCs w:val="32"/>
        </w:rPr>
        <w:t> </w:t>
      </w:r>
      <w:r>
        <w:rPr>
          <w:rFonts w:ascii="宋体" w:hAnsi="宋体" w:cs="宋体" w:eastAsia="宋体" w:hint="default"/>
          <w:b/>
          <w:bCs/>
          <w:sz w:val="32"/>
          <w:szCs w:val="32"/>
        </w:rPr>
        <w:t>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4"/>
        <w:rPr>
          <w:rFonts w:ascii="宋体" w:hAnsi="宋体" w:cs="宋体" w:eastAsia="宋体" w:hint="default"/>
          <w:b/>
          <w:bCs/>
          <w:sz w:val="22"/>
          <w:szCs w:val="2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rPr>
          </w:pPr>
          <w:hyperlink w:history="true" w:anchor="_bookmark0">
            <w:r>
              <w:rPr/>
              <w:t>第一节 公司基本情况简介</w:t>
            </w:r>
            <w:r>
              <w:rPr>
                <w:rFonts w:ascii="Times New Roman" w:hAnsi="Times New Roman" w:cs="Times New Roman" w:eastAsia="Times New Roman" w:hint="default"/>
              </w:rPr>
              <w:tab/>
              <w:t>4</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1">
            <w:r>
              <w:rPr/>
              <w:t>第二节 会计数据和财务指标摘要</w:t>
            </w:r>
            <w:r>
              <w:rPr>
                <w:rFonts w:ascii="Times New Roman" w:hAnsi="Times New Roman" w:cs="Times New Roman" w:eastAsia="Times New Roman" w:hint="default"/>
              </w:rPr>
              <w:tab/>
              <w:t>7</w:t>
            </w:r>
          </w:hyperlink>
        </w:p>
        <w:p>
          <w:pPr>
            <w:pStyle w:val="TOC1"/>
            <w:tabs>
              <w:tab w:pos="9781" w:val="right" w:leader="dot"/>
            </w:tabs>
            <w:spacing w:line="240" w:lineRule="auto" w:before="133"/>
            <w:ind w:right="0"/>
            <w:jc w:val="left"/>
            <w:rPr>
              <w:rFonts w:ascii="Times New Roman" w:hAnsi="Times New Roman" w:cs="Times New Roman" w:eastAsia="Times New Roman" w:hint="default"/>
            </w:rPr>
          </w:pPr>
          <w:hyperlink w:history="true" w:anchor="_bookmark2">
            <w:r>
              <w:rPr/>
              <w:t>第三节 股份变动及股东情况</w:t>
            </w:r>
            <w:r>
              <w:rPr>
                <w:rFonts w:ascii="Times New Roman" w:hAnsi="Times New Roman" w:cs="Times New Roman" w:eastAsia="Times New Roman" w:hint="default"/>
              </w:rPr>
              <w:tab/>
              <w:t>9</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3">
            <w:r>
              <w:rPr/>
              <w:t>第四节 董事、监事、高级管理人员和员工情况</w:t>
            </w:r>
            <w:r>
              <w:rPr>
                <w:rFonts w:ascii="Times New Roman" w:hAnsi="Times New Roman" w:cs="Times New Roman" w:eastAsia="Times New Roman" w:hint="default"/>
              </w:rPr>
              <w:tab/>
              <w:t>13</w:t>
            </w:r>
          </w:hyperlink>
        </w:p>
        <w:p>
          <w:pPr>
            <w:pStyle w:val="TOC1"/>
            <w:tabs>
              <w:tab w:pos="9781" w:val="right" w:leader="dot"/>
            </w:tabs>
            <w:spacing w:line="240" w:lineRule="auto" w:before="133"/>
            <w:ind w:right="0"/>
            <w:jc w:val="left"/>
            <w:rPr>
              <w:rFonts w:ascii="Times New Roman" w:hAnsi="Times New Roman" w:cs="Times New Roman" w:eastAsia="Times New Roman" w:hint="default"/>
            </w:rPr>
          </w:pPr>
          <w:hyperlink w:history="true" w:anchor="_bookmark4">
            <w:r>
              <w:rPr/>
              <w:t>第五节 公司治理</w:t>
            </w:r>
            <w:r>
              <w:rPr>
                <w:rFonts w:ascii="Times New Roman" w:hAnsi="Times New Roman" w:cs="Times New Roman" w:eastAsia="Times New Roman" w:hint="default"/>
              </w:rPr>
              <w:tab/>
              <w:t>18</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5">
            <w:r>
              <w:rPr/>
              <w:t>第六节 股东大会情况简介</w:t>
            </w:r>
            <w:r>
              <w:rPr>
                <w:rFonts w:ascii="Times New Roman" w:hAnsi="Times New Roman" w:cs="Times New Roman" w:eastAsia="Times New Roman" w:hint="default"/>
              </w:rPr>
              <w:tab/>
              <w:t>25</w:t>
            </w:r>
          </w:hyperlink>
        </w:p>
        <w:p>
          <w:pPr>
            <w:pStyle w:val="TOC1"/>
            <w:tabs>
              <w:tab w:pos="9781" w:val="right" w:leader="dot"/>
            </w:tabs>
            <w:spacing w:line="240" w:lineRule="auto" w:before="133"/>
            <w:ind w:right="0"/>
            <w:jc w:val="left"/>
            <w:rPr>
              <w:rFonts w:ascii="Times New Roman" w:hAnsi="Times New Roman" w:cs="Times New Roman" w:eastAsia="Times New Roman" w:hint="default"/>
            </w:rPr>
          </w:pPr>
          <w:hyperlink w:history="true" w:anchor="_bookmark6">
            <w:r>
              <w:rPr/>
              <w:t>第七节 董事会工作报告</w:t>
            </w:r>
            <w:r>
              <w:rPr>
                <w:rFonts w:ascii="Times New Roman" w:hAnsi="Times New Roman" w:cs="Times New Roman" w:eastAsia="Times New Roman" w:hint="default"/>
              </w:rPr>
              <w:tab/>
              <w:t>31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7">
            <w:r>
              <w:rPr/>
              <w:t>第八节 监事会工作报告</w:t>
            </w:r>
            <w:r>
              <w:rPr>
                <w:rFonts w:ascii="Times New Roman" w:hAnsi="Times New Roman" w:cs="Times New Roman" w:eastAsia="Times New Roman" w:hint="default"/>
              </w:rPr>
              <w:tab/>
              <w:t>54</w:t>
            </w:r>
          </w:hyperlink>
        </w:p>
        <w:p>
          <w:pPr>
            <w:pStyle w:val="TOC1"/>
            <w:tabs>
              <w:tab w:pos="9781" w:val="right" w:leader="dot"/>
            </w:tabs>
            <w:spacing w:line="240" w:lineRule="auto" w:before="133"/>
            <w:ind w:right="0"/>
            <w:jc w:val="left"/>
            <w:rPr>
              <w:rFonts w:ascii="Times New Roman" w:hAnsi="Times New Roman" w:cs="Times New Roman" w:eastAsia="Times New Roman" w:hint="default"/>
            </w:rPr>
          </w:pPr>
          <w:hyperlink w:history="true" w:anchor="_bookmark8">
            <w:r>
              <w:rPr/>
              <w:t>第九节 重要事项</w:t>
            </w:r>
            <w:r>
              <w:rPr>
                <w:rFonts w:ascii="Times New Roman" w:hAnsi="Times New Roman" w:cs="Times New Roman" w:eastAsia="Times New Roman" w:hint="default"/>
              </w:rPr>
              <w:tab/>
              <w:t>55</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9">
            <w:r>
              <w:rPr/>
              <w:t>第十节 财务报告</w:t>
            </w:r>
            <w:r>
              <w:rPr>
                <w:rFonts w:ascii="Times New Roman" w:hAnsi="Times New Roman" w:cs="Times New Roman" w:eastAsia="Times New Roman" w:hint="default"/>
              </w:rPr>
              <w:tab/>
              <w:t>66</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10">
            <w:r>
              <w:rPr/>
              <w:t>第十一节 备查文件目录</w:t>
            </w:r>
            <w:r>
              <w:rPr>
                <w:rFonts w:ascii="Times New Roman" w:hAnsi="Times New Roman" w:cs="Times New Roman" w:eastAsia="Times New Roman" w:hint="default"/>
              </w:rPr>
              <w:tab/>
              <w:t>158</w:t>
            </w:r>
          </w:hyperlink>
        </w:p>
      </w:sdtContent>
    </w:sdt>
    <w:p>
      <w:pPr>
        <w:spacing w:after="0" w:line="240" w:lineRule="auto"/>
        <w:jc w:val="left"/>
        <w:rPr>
          <w:rFonts w:ascii="Times New Roman" w:hAnsi="Times New Roman" w:cs="Times New Roman" w:eastAsia="Times New Roman" w:hint="default"/>
        </w:rPr>
        <w:sectPr>
          <w:pgSz w:w="11910" w:h="16840"/>
          <w:pgMar w:header="850" w:footer="979" w:top="1320" w:bottom="1160" w:left="980" w:right="980"/>
        </w:sectPr>
      </w:pPr>
    </w:p>
    <w:p>
      <w:pPr>
        <w:pStyle w:val="Heading1"/>
        <w:spacing w:line="240" w:lineRule="auto" w:before="232"/>
        <w:ind w:right="1418"/>
        <w:jc w:val="center"/>
        <w:rPr>
          <w:b w:val="0"/>
          <w:bCs w:val="0"/>
        </w:rPr>
      </w:pPr>
      <w:bookmarkStart w:name="第一节 公司基本情况简介" w:id="1"/>
      <w:bookmarkEnd w:id="1"/>
      <w:r>
        <w:rPr>
          <w:b w:val="0"/>
          <w:bCs w:val="0"/>
        </w:rPr>
      </w:r>
      <w:bookmarkStart w:name="_bookmark0" w:id="2"/>
      <w:bookmarkEnd w:id="2"/>
      <w:r>
        <w:rPr>
          <w:b w:val="0"/>
          <w:bCs w:val="0"/>
        </w:rPr>
      </w:r>
      <w:r>
        <w:rPr/>
        <w:t>第一节</w:t>
      </w:r>
      <w:r>
        <w:rPr>
          <w:spacing w:val="-2"/>
        </w:rPr>
        <w:t> </w:t>
      </w:r>
      <w:r>
        <w:rPr/>
        <w:t>公司基本情况简介</w:t>
      </w:r>
      <w:r>
        <w:rPr>
          <w:b w:val="0"/>
          <w:bCs w:val="0"/>
        </w:rPr>
      </w:r>
    </w:p>
    <w:p>
      <w:pPr>
        <w:spacing w:line="240" w:lineRule="auto" w:before="0"/>
        <w:rPr>
          <w:rFonts w:ascii="宋体" w:hAnsi="宋体" w:cs="宋体" w:eastAsia="宋体" w:hint="default"/>
          <w:b/>
          <w:bCs/>
          <w:sz w:val="36"/>
          <w:szCs w:val="36"/>
        </w:rPr>
      </w:pPr>
    </w:p>
    <w:p>
      <w:pPr>
        <w:pStyle w:val="BodyText"/>
        <w:spacing w:line="348" w:lineRule="auto"/>
        <w:ind w:left="572" w:right="3480" w:hanging="421"/>
        <w:jc w:val="left"/>
      </w:pPr>
      <w:r>
        <w:rPr/>
        <w:t>一、公司法定中文名称：北京中长石基信息技术股份有限公司</w:t>
      </w:r>
      <w:r>
        <w:rPr>
          <w:w w:val="100"/>
        </w:rPr>
        <w:t> </w:t>
      </w:r>
      <w:r>
        <w:rPr/>
        <w:t>公司法定英文名称：</w:t>
      </w:r>
      <w:r>
        <w:rPr>
          <w:rFonts w:ascii="Times New Roman" w:hAnsi="Times New Roman" w:cs="Times New Roman" w:eastAsia="Times New Roman" w:hint="default"/>
        </w:rPr>
        <w:t>Beijing</w:t>
      </w:r>
      <w:r>
        <w:rPr>
          <w:rFonts w:ascii="Times New Roman" w:hAnsi="Times New Roman" w:cs="Times New Roman" w:eastAsia="Times New Roman" w:hint="default"/>
          <w:spacing w:val="-7"/>
        </w:rPr>
        <w:t> </w:t>
      </w:r>
      <w:r>
        <w:rPr>
          <w:rFonts w:ascii="Times New Roman" w:hAnsi="Times New Roman" w:cs="Times New Roman" w:eastAsia="Times New Roman" w:hint="default"/>
        </w:rPr>
        <w:t>Shiji</w:t>
      </w:r>
      <w:r>
        <w:rPr>
          <w:rFonts w:ascii="Times New Roman" w:hAnsi="Times New Roman" w:cs="Times New Roman" w:eastAsia="Times New Roman" w:hint="default"/>
          <w:spacing w:val="-7"/>
        </w:rPr>
        <w:t> </w:t>
      </w:r>
      <w:r>
        <w:rPr>
          <w:rFonts w:ascii="Times New Roman" w:hAnsi="Times New Roman" w:cs="Times New Roman" w:eastAsia="Times New Roman" w:hint="default"/>
        </w:rPr>
        <w:t>Information</w:t>
      </w:r>
      <w:r>
        <w:rPr>
          <w:rFonts w:ascii="Times New Roman" w:hAnsi="Times New Roman" w:cs="Times New Roman" w:eastAsia="Times New Roman" w:hint="default"/>
          <w:spacing w:val="-11"/>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11"/>
        </w:rPr>
        <w:t> </w:t>
      </w:r>
      <w:r>
        <w:rPr>
          <w:rFonts w:ascii="Times New Roman" w:hAnsi="Times New Roman" w:cs="Times New Roman" w:eastAsia="Times New Roman" w:hint="default"/>
        </w:rPr>
        <w:t>Co.,</w:t>
      </w:r>
      <w:r>
        <w:rPr>
          <w:rFonts w:ascii="Times New Roman" w:hAnsi="Times New Roman" w:cs="Times New Roman" w:eastAsia="Times New Roman" w:hint="default"/>
          <w:spacing w:val="-7"/>
        </w:rPr>
        <w:t> </w:t>
      </w:r>
      <w:r>
        <w:rPr>
          <w:rFonts w:ascii="Times New Roman" w:hAnsi="Times New Roman" w:cs="Times New Roman" w:eastAsia="Times New Roman" w:hint="default"/>
        </w:rPr>
        <w:t>Ltd.</w:t>
      </w:r>
      <w:r>
        <w:rPr>
          <w:rFonts w:ascii="Times New Roman" w:hAnsi="Times New Roman" w:cs="Times New Roman" w:eastAsia="Times New Roman" w:hint="default"/>
          <w:w w:val="100"/>
        </w:rPr>
        <w:t> </w:t>
      </w:r>
      <w:r>
        <w:rPr/>
        <w:t>中文简称：石基信息</w:t>
      </w:r>
    </w:p>
    <w:p>
      <w:pPr>
        <w:pStyle w:val="BodyText"/>
        <w:spacing w:line="336" w:lineRule="auto" w:before="38"/>
        <w:ind w:left="153" w:right="4849"/>
        <w:jc w:val="left"/>
      </w:pPr>
      <w:r>
        <w:rPr/>
        <w:t>二、法定代表人</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李仲初</w:t>
      </w:r>
      <w:r>
        <w:rPr>
          <w:spacing w:val="-3"/>
          <w:w w:val="100"/>
        </w:rPr>
        <w:t> </w:t>
      </w:r>
      <w:r>
        <w:rPr>
          <w:spacing w:val="-2"/>
        </w:rPr>
        <w:t>三、公司董事会秘书、证券事务代表</w:t>
      </w:r>
    </w:p>
    <w:p>
      <w:pPr>
        <w:pStyle w:val="BodyText"/>
        <w:spacing w:line="240" w:lineRule="auto" w:before="49"/>
        <w:ind w:left="572" w:right="3480"/>
        <w:jc w:val="left"/>
      </w:pPr>
      <w:r>
        <w:rPr/>
        <w:t>公司董事会秘书：罗芳</w:t>
      </w:r>
    </w:p>
    <w:p>
      <w:pPr>
        <w:pStyle w:val="BodyText"/>
        <w:spacing w:line="336" w:lineRule="auto" w:before="135"/>
        <w:ind w:left="572" w:right="4849"/>
        <w:jc w:val="left"/>
        <w:rPr>
          <w:rFonts w:ascii="Times New Roman" w:hAnsi="Times New Roman" w:cs="Times New Roman" w:eastAsia="Times New Roman" w:hint="default"/>
        </w:rPr>
      </w:pPr>
      <w:r>
        <w:rPr/>
        <w:t>联系地址</w:t>
      </w:r>
      <w:r>
        <w:rPr>
          <w:spacing w:val="-3"/>
        </w:rPr>
        <w:t> </w:t>
      </w:r>
      <w:r>
        <w:rPr/>
        <w:t>：北京市海淀区复兴路甲</w:t>
      </w:r>
      <w:r>
        <w:rPr>
          <w:spacing w:val="-54"/>
        </w:rPr>
        <w:t> </w:t>
      </w:r>
      <w:r>
        <w:rPr>
          <w:rFonts w:ascii="Times New Roman" w:hAnsi="Times New Roman" w:cs="Times New Roman" w:eastAsia="Times New Roman" w:hint="default"/>
        </w:rPr>
        <w:t>65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层</w:t>
      </w:r>
      <w:r>
        <w:rPr>
          <w:w w:val="100"/>
        </w:rPr>
        <w:t> </w:t>
      </w:r>
      <w:r>
        <w:rPr/>
        <w:t>联系电话</w:t>
      </w:r>
      <w:r>
        <w:rPr>
          <w:spacing w:val="1"/>
        </w:rPr>
        <w:t> </w:t>
      </w:r>
      <w:r>
        <w:rPr/>
        <w:t>：</w:t>
      </w:r>
      <w:r>
        <w:rPr>
          <w:rFonts w:ascii="Times New Roman" w:hAnsi="Times New Roman" w:cs="Times New Roman" w:eastAsia="Times New Roman" w:hint="default"/>
        </w:rPr>
        <w:t>010-68249356</w:t>
      </w:r>
    </w:p>
    <w:p>
      <w:pPr>
        <w:pStyle w:val="BodyText"/>
        <w:tabs>
          <w:tab w:pos="1203" w:val="left" w:leader="none"/>
        </w:tabs>
        <w:spacing w:line="240" w:lineRule="auto" w:before="24"/>
        <w:ind w:left="572" w:right="3480"/>
        <w:jc w:val="left"/>
        <w:rPr>
          <w:rFonts w:ascii="Times New Roman" w:hAnsi="Times New Roman" w:cs="Times New Roman" w:eastAsia="Times New Roman" w:hint="default"/>
        </w:rPr>
      </w:pPr>
      <w:r>
        <w:rPr/>
        <w:t>传</w:t>
        <w:tab/>
        <w:t>真 ：</w:t>
      </w:r>
      <w:r>
        <w:rPr>
          <w:rFonts w:ascii="Times New Roman" w:hAnsi="Times New Roman" w:cs="Times New Roman" w:eastAsia="Times New Roman" w:hint="default"/>
        </w:rPr>
        <w:t>010-68183776</w:t>
      </w:r>
    </w:p>
    <w:p>
      <w:pPr>
        <w:pStyle w:val="BodyText"/>
        <w:spacing w:line="336" w:lineRule="auto" w:before="117"/>
        <w:ind w:left="572" w:right="6091"/>
        <w:jc w:val="left"/>
      </w:pPr>
      <w:r>
        <w:rPr/>
        <w:t>电子信箱</w:t>
      </w:r>
      <w:r>
        <w:rPr>
          <w:spacing w:val="-10"/>
        </w:rPr>
        <w:t> </w:t>
      </w:r>
      <w:r>
        <w:rPr/>
        <w:t>：</w:t>
      </w:r>
      <w:hyperlink r:id="rId9">
        <w:r>
          <w:rPr>
            <w:rFonts w:ascii="Times New Roman" w:hAnsi="Times New Roman" w:cs="Times New Roman" w:eastAsia="Times New Roman" w:hint="default"/>
          </w:rPr>
          <w:t>luofang@shijinet.com.cn</w:t>
        </w:r>
      </w:hyperlink>
      <w:r>
        <w:rPr>
          <w:rFonts w:ascii="Times New Roman" w:hAnsi="Times New Roman" w:cs="Times New Roman" w:eastAsia="Times New Roman" w:hint="default"/>
          <w:w w:val="100"/>
        </w:rPr>
        <w:t> </w:t>
      </w:r>
      <w:r>
        <w:rPr/>
        <w:t>证券事务代表：王雯娟</w:t>
      </w:r>
    </w:p>
    <w:p>
      <w:pPr>
        <w:pStyle w:val="BodyText"/>
        <w:spacing w:line="336" w:lineRule="auto" w:before="51"/>
        <w:ind w:left="572" w:right="4849"/>
        <w:jc w:val="left"/>
        <w:rPr>
          <w:rFonts w:ascii="Times New Roman" w:hAnsi="Times New Roman" w:cs="Times New Roman" w:eastAsia="Times New Roman" w:hint="default"/>
        </w:rPr>
      </w:pPr>
      <w:r>
        <w:rPr/>
        <w:t>联系地址</w:t>
      </w:r>
      <w:r>
        <w:rPr>
          <w:spacing w:val="-3"/>
        </w:rPr>
        <w:t> </w:t>
      </w:r>
      <w:r>
        <w:rPr/>
        <w:t>：北京市海淀区复兴路甲</w:t>
      </w:r>
      <w:r>
        <w:rPr>
          <w:spacing w:val="-54"/>
        </w:rPr>
        <w:t> </w:t>
      </w:r>
      <w:r>
        <w:rPr>
          <w:rFonts w:ascii="Times New Roman" w:hAnsi="Times New Roman" w:cs="Times New Roman" w:eastAsia="Times New Roman" w:hint="default"/>
        </w:rPr>
        <w:t>65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层</w:t>
      </w:r>
      <w:r>
        <w:rPr>
          <w:w w:val="100"/>
        </w:rPr>
        <w:t> </w:t>
      </w:r>
      <w:r>
        <w:rPr/>
        <w:t>联系电话</w:t>
      </w:r>
      <w:r>
        <w:rPr>
          <w:spacing w:val="-1"/>
        </w:rPr>
        <w:t> </w:t>
      </w:r>
      <w:r>
        <w:rPr/>
        <w:t>：</w:t>
      </w:r>
      <w:r>
        <w:rPr>
          <w:rFonts w:ascii="Times New Roman" w:hAnsi="Times New Roman" w:cs="Times New Roman" w:eastAsia="Times New Roman" w:hint="default"/>
        </w:rPr>
        <w:t>010-68183778-670</w:t>
      </w:r>
    </w:p>
    <w:p>
      <w:pPr>
        <w:pStyle w:val="BodyText"/>
        <w:tabs>
          <w:tab w:pos="1203" w:val="left" w:leader="none"/>
        </w:tabs>
        <w:spacing w:line="240" w:lineRule="auto" w:before="24"/>
        <w:ind w:left="572" w:right="3480"/>
        <w:jc w:val="left"/>
        <w:rPr>
          <w:rFonts w:ascii="Times New Roman" w:hAnsi="Times New Roman" w:cs="Times New Roman" w:eastAsia="Times New Roman" w:hint="default"/>
        </w:rPr>
      </w:pPr>
      <w:r>
        <w:rPr/>
        <w:t>传</w:t>
        <w:tab/>
        <w:t>真 ：</w:t>
      </w:r>
      <w:r>
        <w:rPr>
          <w:rFonts w:ascii="Times New Roman" w:hAnsi="Times New Roman" w:cs="Times New Roman" w:eastAsia="Times New Roman" w:hint="default"/>
        </w:rPr>
        <w:t>010-68183776</w:t>
      </w:r>
    </w:p>
    <w:p>
      <w:pPr>
        <w:pStyle w:val="BodyText"/>
        <w:spacing w:line="336" w:lineRule="auto" w:before="117"/>
        <w:ind w:right="4538" w:firstLine="420"/>
        <w:jc w:val="left"/>
      </w:pPr>
      <w:r>
        <w:rPr/>
        <w:t>电子信箱</w:t>
      </w:r>
      <w:r>
        <w:rPr>
          <w:spacing w:val="-4"/>
        </w:rPr>
        <w:t> </w:t>
      </w:r>
      <w:r>
        <w:rPr/>
        <w:t>：</w:t>
      </w:r>
      <w:hyperlink r:id="rId10">
        <w:r>
          <w:rPr>
            <w:rFonts w:ascii="Times New Roman" w:hAnsi="Times New Roman" w:cs="Times New Roman" w:eastAsia="Times New Roman" w:hint="default"/>
          </w:rPr>
          <w:t>willa.wang@shijinet.com.cn</w:t>
        </w:r>
      </w:hyperlink>
      <w:r>
        <w:rPr>
          <w:rFonts w:ascii="Times New Roman" w:hAnsi="Times New Roman" w:cs="Times New Roman" w:eastAsia="Times New Roman" w:hint="default"/>
          <w:w w:val="100"/>
        </w:rPr>
        <w:t> </w:t>
      </w:r>
      <w:r>
        <w:rPr/>
        <w:t>四、公司注册地址：北京市海淀区复兴路甲</w:t>
      </w:r>
      <w:r>
        <w:rPr>
          <w:spacing w:val="-54"/>
        </w:rPr>
        <w:t> </w:t>
      </w:r>
      <w:r>
        <w:rPr>
          <w:rFonts w:ascii="Times New Roman" w:hAnsi="Times New Roman" w:cs="Times New Roman" w:eastAsia="Times New Roman" w:hint="default"/>
        </w:rPr>
        <w:t>65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层</w:t>
      </w:r>
    </w:p>
    <w:p>
      <w:pPr>
        <w:pStyle w:val="BodyText"/>
        <w:spacing w:line="336" w:lineRule="auto" w:before="26"/>
        <w:ind w:left="573" w:right="0" w:hanging="1"/>
        <w:jc w:val="left"/>
        <w:rPr>
          <w:rFonts w:ascii="Times New Roman" w:hAnsi="Times New Roman" w:cs="Times New Roman" w:eastAsia="Times New Roman" w:hint="default"/>
        </w:rPr>
      </w:pPr>
      <w:r>
        <w:rPr/>
        <w:t>公司办公地址：北京市海淀区复兴路甲</w:t>
      </w:r>
      <w:r>
        <w:rPr>
          <w:spacing w:val="-54"/>
        </w:rPr>
        <w:t> </w:t>
      </w:r>
      <w:r>
        <w:rPr>
          <w:rFonts w:ascii="Times New Roman" w:hAnsi="Times New Roman" w:cs="Times New Roman" w:eastAsia="Times New Roman" w:hint="default"/>
        </w:rPr>
        <w:t>65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层、</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层，北京市东城区东水井胡同</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号</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层</w:t>
      </w:r>
      <w:r>
        <w:rPr>
          <w:w w:val="100"/>
        </w:rPr>
        <w:t> </w:t>
      </w:r>
      <w:r>
        <w:rPr/>
        <w:t>邮政编码：</w:t>
      </w:r>
      <w:r>
        <w:rPr>
          <w:rFonts w:ascii="Times New Roman" w:hAnsi="Times New Roman" w:cs="Times New Roman" w:eastAsia="Times New Roman" w:hint="default"/>
        </w:rPr>
        <w:t>100036</w:t>
      </w:r>
    </w:p>
    <w:p>
      <w:pPr>
        <w:pStyle w:val="BodyText"/>
        <w:spacing w:line="336" w:lineRule="auto" w:before="24"/>
        <w:ind w:left="572" w:right="3480"/>
        <w:jc w:val="left"/>
        <w:rPr>
          <w:rFonts w:ascii="Times New Roman" w:hAnsi="Times New Roman" w:cs="Times New Roman" w:eastAsia="Times New Roman" w:hint="default"/>
        </w:rPr>
      </w:pPr>
      <w:r>
        <w:rPr>
          <w:spacing w:val="-2"/>
        </w:rPr>
        <w:t>公司互联网网址：</w:t>
      </w:r>
      <w:r>
        <w:rPr>
          <w:rFonts w:ascii="Times New Roman" w:hAnsi="Times New Roman" w:cs="Times New Roman" w:eastAsia="Times New Roman" w:hint="default"/>
          <w:spacing w:val="-2"/>
        </w:rPr>
      </w:r>
      <w:hyperlink r:id="rId11">
        <w:r>
          <w:rPr>
            <w:rFonts w:ascii="Times New Roman" w:hAnsi="Times New Roman" w:cs="Times New Roman" w:eastAsia="Times New Roman" w:hint="default"/>
            <w:spacing w:val="-2"/>
            <w:u w:val="single" w:color="000000"/>
          </w:rPr>
          <w:t>www.shijinet.com.cn</w:t>
        </w:r>
        <w:r>
          <w:rPr>
            <w:rFonts w:ascii="Times New Roman" w:hAnsi="Times New Roman" w:cs="Times New Roman" w:eastAsia="Times New Roman" w:hint="default"/>
            <w:spacing w:val="-25"/>
            <w:u w:val="single" w:color="000000"/>
          </w:rPr>
          <w:t> </w:t>
        </w:r>
        <w:r>
          <w:rPr>
            <w:rFonts w:ascii="Times New Roman" w:hAnsi="Times New Roman" w:cs="Times New Roman" w:eastAsia="Times New Roman" w:hint="default"/>
            <w:spacing w:val="-25"/>
          </w:rPr>
        </w:r>
      </w:hyperlink>
      <w:r>
        <w:rPr>
          <w:rFonts w:ascii="Times New Roman" w:hAnsi="Times New Roman" w:cs="Times New Roman" w:eastAsia="Times New Roman" w:hint="default"/>
          <w:spacing w:val="-25"/>
        </w:rPr>
      </w:r>
      <w:r>
        <w:rPr/>
        <w:t>电子信箱：</w:t>
      </w:r>
      <w:hyperlink r:id="rId9">
        <w:r>
          <w:rPr>
            <w:rFonts w:ascii="Times New Roman" w:hAnsi="Times New Roman" w:cs="Times New Roman" w:eastAsia="Times New Roman" w:hint="default"/>
          </w:rPr>
          <w:t>luofang@shijinet.com.cn</w:t>
        </w:r>
      </w:hyperlink>
    </w:p>
    <w:p>
      <w:pPr>
        <w:pStyle w:val="BodyText"/>
        <w:spacing w:line="345" w:lineRule="auto" w:before="26"/>
        <w:ind w:left="572" w:right="3480" w:hanging="421"/>
        <w:jc w:val="left"/>
      </w:pPr>
      <w:r>
        <w:rPr>
          <w:spacing w:val="-13"/>
          <w:w w:val="100"/>
        </w:rPr>
        <w:t>五、公司指定信息披露报刊名称：《中国证券报》、《证券时报》</w:t>
      </w:r>
      <w:r>
        <w:rPr>
          <w:spacing w:val="-82"/>
          <w:w w:val="100"/>
        </w:rPr>
        <w:t> </w:t>
      </w:r>
      <w:r>
        <w:rPr>
          <w:spacing w:val="-82"/>
          <w:w w:val="100"/>
        </w:rPr>
      </w:r>
      <w:r>
        <w:rPr>
          <w:spacing w:val="-2"/>
        </w:rPr>
        <w:t>登载年度报告的中国证监会指定网站网址：</w:t>
      </w:r>
      <w:r>
        <w:rPr>
          <w:rFonts w:ascii="Times New Roman" w:hAnsi="Times New Roman" w:cs="Times New Roman" w:eastAsia="Times New Roman" w:hint="default"/>
          <w:spacing w:val="-2"/>
        </w:rPr>
      </w:r>
      <w:hyperlink r:id="rId12">
        <w:r>
          <w:rPr>
            <w:rFonts w:ascii="Times New Roman" w:hAnsi="Times New Roman" w:cs="Times New Roman" w:eastAsia="Times New Roman" w:hint="default"/>
            <w:spacing w:val="-2"/>
            <w:u w:val="single" w:color="000000"/>
          </w:rPr>
          <w:t>www.cninfo.com.cn</w:t>
        </w:r>
        <w:r>
          <w:rPr>
            <w:rFonts w:ascii="Times New Roman" w:hAnsi="Times New Roman" w:cs="Times New Roman" w:eastAsia="Times New Roman" w:hint="default"/>
            <w:w w:val="100"/>
          </w:rPr>
        </w:r>
      </w:hyperlink>
      <w:r>
        <w:rPr>
          <w:rFonts w:ascii="Times New Roman" w:hAnsi="Times New Roman" w:cs="Times New Roman" w:eastAsia="Times New Roman" w:hint="default"/>
          <w:w w:val="100"/>
        </w:rPr>
        <w:t> </w:t>
      </w:r>
      <w:r>
        <w:rPr/>
        <w:t>公司年度报告备置地点：深圳证券交易所</w:t>
      </w:r>
    </w:p>
    <w:p>
      <w:pPr>
        <w:pStyle w:val="BodyText"/>
        <w:spacing w:line="355" w:lineRule="auto" w:before="41"/>
        <w:ind w:left="153" w:right="3480" w:firstLine="2731"/>
        <w:jc w:val="left"/>
      </w:pPr>
      <w:r>
        <w:rPr/>
        <w:t>公司证券部</w:t>
      </w:r>
      <w:r>
        <w:rPr>
          <w:spacing w:val="-3"/>
          <w:w w:val="100"/>
        </w:rPr>
        <w:t> </w:t>
      </w:r>
      <w:r>
        <w:rPr>
          <w:spacing w:val="-2"/>
        </w:rPr>
        <w:t>六、公司股票上市交易所：深圳证券交易所</w:t>
      </w:r>
      <w:r>
        <w:rPr/>
      </w:r>
    </w:p>
    <w:p>
      <w:pPr>
        <w:pStyle w:val="BodyText"/>
        <w:spacing w:line="355" w:lineRule="auto" w:before="34"/>
        <w:ind w:left="573" w:right="6091"/>
        <w:jc w:val="left"/>
        <w:rPr>
          <w:rFonts w:ascii="Times New Roman" w:hAnsi="Times New Roman" w:cs="Times New Roman" w:eastAsia="Times New Roman" w:hint="default"/>
        </w:rPr>
      </w:pPr>
      <w:r>
        <w:rPr>
          <w:spacing w:val="-2"/>
        </w:rPr>
        <w:t>公司股票简称：石基信息</w:t>
      </w:r>
      <w:r>
        <w:rPr>
          <w:spacing w:val="-82"/>
        </w:rPr>
        <w:t> </w:t>
      </w:r>
      <w:r>
        <w:rPr>
          <w:spacing w:val="-82"/>
        </w:rPr>
      </w:r>
      <w:r>
        <w:rPr/>
        <w:t>公司股票代码：</w:t>
      </w:r>
      <w:r>
        <w:rPr>
          <w:rFonts w:ascii="Times New Roman" w:hAnsi="Times New Roman" w:cs="Times New Roman" w:eastAsia="Times New Roman" w:hint="default"/>
        </w:rPr>
        <w:t>002153</w:t>
      </w:r>
    </w:p>
    <w:p>
      <w:pPr>
        <w:pStyle w:val="BodyText"/>
        <w:spacing w:line="240" w:lineRule="auto" w:before="5"/>
        <w:ind w:left="153" w:right="3480"/>
        <w:jc w:val="left"/>
      </w:pPr>
      <w:r>
        <w:rPr/>
        <w:t>七、其他有关资料</w:t>
      </w:r>
    </w:p>
    <w:p>
      <w:pPr>
        <w:pStyle w:val="BodyText"/>
        <w:spacing w:line="343" w:lineRule="auto" w:before="133"/>
        <w:ind w:left="513" w:right="5320" w:firstLine="59"/>
        <w:jc w:val="left"/>
      </w:pPr>
      <w:r>
        <w:rPr/>
        <w:t>公司首次注册登记日期：</w:t>
      </w:r>
      <w:r>
        <w:rPr>
          <w:rFonts w:ascii="Times New Roman" w:hAnsi="Times New Roman" w:cs="Times New Roman" w:eastAsia="Times New Roman" w:hint="default"/>
        </w:rPr>
        <w:t>2001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w:t>
      </w:r>
      <w:r>
        <w:rPr>
          <w:w w:val="100"/>
        </w:rPr>
        <w:t> </w:t>
      </w:r>
      <w:r>
        <w:rPr/>
        <w:t>注册登记地点：北京市工商行政管理局</w:t>
      </w:r>
      <w:r>
        <w:rPr>
          <w:w w:val="100"/>
        </w:rPr>
        <w:t> </w:t>
      </w:r>
      <w:r>
        <w:rPr/>
        <w:t>公司最新注册登记日期：</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w:t>
      </w:r>
      <w:r>
        <w:rPr>
          <w:w w:val="100"/>
        </w:rPr>
        <w:t> </w:t>
      </w:r>
      <w:r>
        <w:rPr/>
        <w:t>注册登记地点：北京市工商行政管理局</w:t>
      </w:r>
    </w:p>
    <w:p>
      <w:pPr>
        <w:spacing w:after="0" w:line="343" w:lineRule="auto"/>
        <w:jc w:val="left"/>
        <w:sectPr>
          <w:pgSz w:w="11910" w:h="16840"/>
          <w:pgMar w:header="850" w:footer="979" w:top="1260" w:bottom="1160" w:left="980" w:right="980"/>
        </w:sectPr>
      </w:pPr>
    </w:p>
    <w:p>
      <w:pPr>
        <w:pStyle w:val="BodyText"/>
        <w:spacing w:line="338" w:lineRule="auto" w:before="30"/>
        <w:ind w:left="573" w:right="5418" w:hanging="1"/>
        <w:jc w:val="left"/>
        <w:rPr>
          <w:rFonts w:ascii="Times New Roman" w:hAnsi="Times New Roman" w:cs="Times New Roman" w:eastAsia="Times New Roman" w:hint="default"/>
        </w:rPr>
      </w:pPr>
      <w:r>
        <w:rPr/>
        <w:pict>
          <v:group style="position:absolute;margin-left:55.200001pt;margin-top:2.843687pt;width:484.8pt;height:.1pt;mso-position-horizontal-relative:page;mso-position-vertical-relative:paragraph;z-index:-773464" coordorigin="1104,57" coordsize="9696,2">
            <v:shape style="position:absolute;left:1104;top:57;width:9696;height:2" coordorigin="1104,57" coordsize="9696,0" path="m1104,57l10800,57e" filled="false" stroked="true" strokeweight=".72pt" strokecolor="#000000">
              <v:path arrowok="t"/>
            </v:shape>
            <w10:wrap type="none"/>
          </v:group>
        </w:pict>
      </w:r>
      <w:r>
        <w:rPr/>
        <w:t>注册资本：</w:t>
      </w:r>
      <w:r>
        <w:rPr>
          <w:rFonts w:ascii="Times New Roman" w:hAnsi="Times New Roman" w:cs="Times New Roman" w:eastAsia="Times New Roman" w:hint="default"/>
        </w:rPr>
        <w:t>309,120</w:t>
      </w:r>
      <w:r>
        <w:rPr>
          <w:rFonts w:ascii="Times New Roman" w:hAnsi="Times New Roman" w:cs="Times New Roman" w:eastAsia="Times New Roman" w:hint="default"/>
          <w:spacing w:val="-3"/>
        </w:rPr>
        <w:t> </w:t>
      </w:r>
      <w:r>
        <w:rPr/>
        <w:t>万元</w:t>
      </w:r>
      <w:r>
        <w:rPr>
          <w:spacing w:val="-102"/>
        </w:rPr>
        <w:t> </w:t>
      </w:r>
      <w:r>
        <w:rPr>
          <w:spacing w:val="-2"/>
        </w:rPr>
        <w:t>公司法人营业执照注册号：</w:t>
      </w:r>
      <w:r>
        <w:rPr>
          <w:rFonts w:ascii="Times New Roman" w:hAnsi="Times New Roman" w:cs="Times New Roman" w:eastAsia="Times New Roman" w:hint="default"/>
          <w:spacing w:val="-2"/>
        </w:rPr>
        <w:t>110000004733224</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公司税务登记证号码：</w:t>
      </w:r>
      <w:r>
        <w:rPr>
          <w:rFonts w:ascii="Times New Roman" w:hAnsi="Times New Roman" w:cs="Times New Roman" w:eastAsia="Times New Roman" w:hint="default"/>
        </w:rPr>
        <w:t>110108634342985</w:t>
      </w:r>
      <w:r>
        <w:rPr>
          <w:rFonts w:ascii="Times New Roman" w:hAnsi="Times New Roman" w:cs="Times New Roman" w:eastAsia="Times New Roman" w:hint="default"/>
          <w:w w:val="100"/>
        </w:rPr>
        <w:t> </w:t>
      </w:r>
      <w:r>
        <w:rPr/>
        <w:t>公司组织机构代码：</w:t>
      </w:r>
      <w:r>
        <w:rPr>
          <w:rFonts w:ascii="Times New Roman" w:hAnsi="Times New Roman" w:cs="Times New Roman" w:eastAsia="Times New Roman" w:hint="default"/>
        </w:rPr>
        <w:t>63434298-5</w:t>
      </w:r>
    </w:p>
    <w:p>
      <w:pPr>
        <w:pStyle w:val="BodyText"/>
        <w:spacing w:line="345" w:lineRule="auto" w:before="22"/>
        <w:ind w:left="573" w:right="2995"/>
        <w:jc w:val="both"/>
      </w:pPr>
      <w:r>
        <w:rPr>
          <w:spacing w:val="-2"/>
        </w:rPr>
        <w:t>本公司聘请的会计师事务所：武汉众环海华会计师事务所有限责任公司</w:t>
      </w:r>
      <w:r>
        <w:rPr>
          <w:spacing w:val="-46"/>
        </w:rPr>
        <w:t> </w:t>
      </w:r>
      <w:r>
        <w:rPr>
          <w:spacing w:val="-46"/>
        </w:rPr>
      </w:r>
      <w:r>
        <w:rPr/>
        <w:t>会计师事务所办公地址：江汉区单洞路特</w:t>
      </w:r>
      <w:r>
        <w:rPr>
          <w:spacing w:val="-53"/>
        </w:rPr>
        <w:t> </w:t>
      </w:r>
      <w:r>
        <w:rPr>
          <w:rFonts w:ascii="Times New Roman" w:hAnsi="Times New Roman" w:cs="Times New Roman" w:eastAsia="Times New Roman" w:hint="default"/>
        </w:rPr>
        <w:t>1 </w:t>
      </w:r>
      <w:r>
        <w:rPr/>
        <w:t>号武汉国际大厦</w:t>
      </w:r>
      <w:r>
        <w:rPr>
          <w:spacing w:val="-55"/>
        </w:rPr>
        <w:t> </w:t>
      </w:r>
      <w:r>
        <w:rPr>
          <w:rFonts w:ascii="Times New Roman" w:hAnsi="Times New Roman" w:cs="Times New Roman" w:eastAsia="Times New Roman" w:hint="default"/>
        </w:rPr>
        <w:t>B </w:t>
      </w:r>
      <w:r>
        <w:rPr/>
        <w:t>栋</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层</w:t>
      </w:r>
      <w:r>
        <w:rPr>
          <w:w w:val="100"/>
        </w:rPr>
        <w:t> </w:t>
      </w:r>
      <w:r>
        <w:rPr/>
        <w:t>签字会计师姓名：杨红青</w:t>
      </w:r>
      <w:r>
        <w:rPr>
          <w:spacing w:val="101"/>
        </w:rPr>
        <w:t> </w:t>
      </w:r>
      <w:r>
        <w:rPr/>
        <w:t>王兵兵</w:t>
      </w:r>
    </w:p>
    <w:p>
      <w:pPr>
        <w:pStyle w:val="BodyText"/>
        <w:spacing w:line="240" w:lineRule="auto" w:before="41"/>
        <w:ind w:left="212" w:right="5418"/>
        <w:jc w:val="left"/>
      </w:pPr>
      <w:r>
        <w:rPr/>
        <w:t>八、公司历史沿革</w:t>
      </w:r>
    </w:p>
    <w:p>
      <w:pPr>
        <w:pStyle w:val="BodyText"/>
        <w:spacing w:line="240" w:lineRule="auto" w:before="135"/>
        <w:ind w:left="633" w:right="5418"/>
        <w:jc w:val="left"/>
      </w:pPr>
      <w:r>
        <w:rPr>
          <w:rFonts w:ascii="Times New Roman" w:hAnsi="Times New Roman" w:cs="Times New Roman" w:eastAsia="Times New Roman" w:hint="default"/>
        </w:rPr>
        <w:t>1</w:t>
      </w:r>
      <w:r>
        <w:rPr/>
        <w:t>、公司自上市以来历次注册变更情况：</w:t>
      </w:r>
    </w:p>
    <w:p>
      <w:pPr>
        <w:pStyle w:val="BodyText"/>
        <w:spacing w:line="336" w:lineRule="auto" w:before="117"/>
        <w:ind w:left="633" w:right="0"/>
        <w:jc w:val="left"/>
      </w:pPr>
      <w:r>
        <w:rPr/>
        <w:t>（</w:t>
      </w:r>
      <w:r>
        <w:rPr>
          <w:rFonts w:ascii="Times New Roman" w:hAnsi="Times New Roman" w:cs="Times New Roman" w:eastAsia="Times New Roman" w:hint="default"/>
        </w:rPr>
        <w:t>1</w:t>
      </w:r>
      <w:r>
        <w:rPr/>
        <w:t>）公司上市后首次注册变更情况</w:t>
      </w:r>
      <w:r>
        <w:rPr>
          <w:spacing w:val="-3"/>
          <w:w w:val="100"/>
        </w:rPr>
        <w:t> </w:t>
      </w:r>
      <w:r>
        <w:rPr>
          <w:spacing w:val="-2"/>
        </w:rPr>
        <w:t>经中国证券监督管理委员会证监发字【</w:t>
      </w:r>
      <w:r>
        <w:rPr>
          <w:rFonts w:ascii="Times New Roman" w:hAnsi="Times New Roman" w:cs="Times New Roman" w:eastAsia="Times New Roman" w:hint="default"/>
          <w:spacing w:val="-2"/>
        </w:rPr>
        <w:t>2007</w:t>
      </w:r>
      <w:r>
        <w:rPr>
          <w:spacing w:val="-2"/>
        </w:rPr>
        <w:t>】</w:t>
      </w:r>
      <w:r>
        <w:rPr>
          <w:rFonts w:ascii="Times New Roman" w:hAnsi="Times New Roman" w:cs="Times New Roman" w:eastAsia="Times New Roman" w:hint="default"/>
          <w:spacing w:val="-2"/>
        </w:rPr>
        <w:t>189</w:t>
      </w:r>
      <w:r>
        <w:rPr>
          <w:spacing w:val="-2"/>
        </w:rPr>
        <w:t>号《关于核准北京中长石基信息技术股份有限公司</w:t>
      </w:r>
    </w:p>
    <w:p>
      <w:pPr>
        <w:pStyle w:val="BodyText"/>
        <w:spacing w:line="338" w:lineRule="auto" w:before="24"/>
        <w:ind w:left="213" w:right="0" w:hanging="1"/>
        <w:jc w:val="left"/>
      </w:pPr>
      <w:r>
        <w:rPr/>
        <w:t>首次公开发行股票的通知》核准</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)1,400</w:t>
      </w:r>
      <w:r>
        <w:rPr/>
        <w:t>万股，发</w:t>
      </w:r>
      <w:r>
        <w:rPr>
          <w:spacing w:val="-3"/>
          <w:w w:val="100"/>
        </w:rPr>
        <w:t> </w:t>
      </w:r>
      <w:r>
        <w:rPr>
          <w:spacing w:val="-4"/>
        </w:rPr>
        <w:t>行价格为</w:t>
      </w:r>
      <w:r>
        <w:rPr>
          <w:rFonts w:ascii="Times New Roman" w:hAnsi="Times New Roman" w:cs="Times New Roman" w:eastAsia="Times New Roman" w:hint="default"/>
          <w:spacing w:val="-4"/>
        </w:rPr>
        <w:t>21.50</w:t>
      </w:r>
      <w:r>
        <w:rPr>
          <w:spacing w:val="-4"/>
        </w:rPr>
        <w:t>元</w:t>
      </w:r>
      <w:r>
        <w:rPr>
          <w:rFonts w:ascii="Times New Roman" w:hAnsi="Times New Roman" w:cs="Times New Roman" w:eastAsia="Times New Roman" w:hint="default"/>
          <w:spacing w:val="-4"/>
        </w:rPr>
        <w:t>/</w:t>
      </w:r>
      <w:r>
        <w:rPr>
          <w:spacing w:val="-4"/>
        </w:rPr>
        <w:t>股，并于</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4</w:t>
      </w:r>
      <w:r>
        <w:rPr>
          <w:spacing w:val="-4"/>
        </w:rPr>
        <w:t>日在北京市工商行政管理局依法办理了工商变更手续。变更登记后，</w:t>
      </w:r>
      <w:r>
        <w:rPr>
          <w:spacing w:val="-41"/>
        </w:rPr>
        <w:t> </w:t>
      </w:r>
      <w:r>
        <w:rPr>
          <w:spacing w:val="-41"/>
        </w:rPr>
      </w:r>
      <w:r>
        <w:rPr/>
        <w:t>公司注册资本由</w:t>
      </w:r>
      <w:r>
        <w:rPr>
          <w:rFonts w:ascii="Times New Roman" w:hAnsi="Times New Roman" w:cs="Times New Roman" w:eastAsia="Times New Roman" w:hint="default"/>
        </w:rPr>
        <w:t>4,200</w:t>
      </w:r>
      <w:r>
        <w:rPr/>
        <w:t>万变更为</w:t>
      </w:r>
      <w:r>
        <w:rPr>
          <w:rFonts w:ascii="Times New Roman" w:hAnsi="Times New Roman" w:cs="Times New Roman" w:eastAsia="Times New Roman" w:hint="default"/>
        </w:rPr>
        <w:t>5,600</w:t>
      </w:r>
      <w:r>
        <w:rPr/>
        <w:t>万元，企业法人营业执照注册号为</w:t>
      </w:r>
      <w:r>
        <w:rPr>
          <w:rFonts w:ascii="Times New Roman" w:hAnsi="Times New Roman" w:cs="Times New Roman" w:eastAsia="Times New Roman" w:hint="default"/>
        </w:rPr>
        <w:t>110000004733224</w:t>
      </w:r>
      <w:r>
        <w:rPr/>
        <w:t>。</w:t>
      </w:r>
    </w:p>
    <w:p>
      <w:pPr>
        <w:pStyle w:val="BodyText"/>
        <w:spacing w:line="240" w:lineRule="auto" w:before="22"/>
        <w:ind w:left="633" w:right="0"/>
        <w:jc w:val="left"/>
      </w:pPr>
      <w:r>
        <w:rPr/>
        <w:t>（</w:t>
      </w:r>
      <w:r>
        <w:rPr>
          <w:rFonts w:ascii="Times New Roman" w:hAnsi="Times New Roman" w:cs="Times New Roman" w:eastAsia="Times New Roman" w:hint="default"/>
        </w:rPr>
        <w:t>2</w:t>
      </w:r>
      <w:r>
        <w:rPr/>
        <w:t>）公司上市后第二次注册变更日期：</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45"/>
        </w:rPr>
        <w:t> </w:t>
      </w:r>
      <w:r>
        <w:rPr/>
        <w:t>日</w:t>
      </w:r>
    </w:p>
    <w:p>
      <w:pPr>
        <w:pStyle w:val="BodyText"/>
        <w:spacing w:line="240" w:lineRule="auto" w:before="117"/>
        <w:ind w:left="634" w:right="0"/>
        <w:jc w:val="left"/>
      </w:pPr>
      <w:r>
        <w:rPr/>
        <w:t>注册资本由</w:t>
      </w:r>
      <w:r>
        <w:rPr>
          <w:spacing w:val="-55"/>
        </w:rPr>
        <w:t> </w:t>
      </w:r>
      <w:r>
        <w:rPr>
          <w:rFonts w:ascii="Times New Roman" w:hAnsi="Times New Roman" w:cs="Times New Roman" w:eastAsia="Times New Roman" w:hint="default"/>
        </w:rPr>
        <w:t>5,600</w:t>
      </w:r>
      <w:r>
        <w:rPr>
          <w:rFonts w:ascii="Times New Roman" w:hAnsi="Times New Roman" w:cs="Times New Roman" w:eastAsia="Times New Roman" w:hint="default"/>
          <w:spacing w:val="-2"/>
        </w:rPr>
        <w:t> </w:t>
      </w:r>
      <w:r>
        <w:rPr/>
        <w:t>万元变更为</w:t>
      </w:r>
      <w:r>
        <w:rPr>
          <w:spacing w:val="-57"/>
        </w:rPr>
        <w:t> </w:t>
      </w:r>
      <w:r>
        <w:rPr>
          <w:rFonts w:ascii="Times New Roman" w:hAnsi="Times New Roman" w:cs="Times New Roman" w:eastAsia="Times New Roman" w:hint="default"/>
        </w:rPr>
        <w:t>11,200</w:t>
      </w:r>
      <w:r>
        <w:rPr>
          <w:rFonts w:ascii="Times New Roman" w:hAnsi="Times New Roman" w:cs="Times New Roman" w:eastAsia="Times New Roman" w:hint="default"/>
          <w:spacing w:val="49"/>
        </w:rPr>
        <w:t> </w:t>
      </w:r>
      <w:r>
        <w:rPr/>
        <w:t>万元；</w:t>
      </w:r>
    </w:p>
    <w:p>
      <w:pPr>
        <w:pStyle w:val="BodyText"/>
        <w:spacing w:line="240" w:lineRule="auto" w:before="117"/>
        <w:ind w:left="634" w:right="0"/>
        <w:jc w:val="left"/>
      </w:pPr>
      <w:r>
        <w:rPr/>
        <w:t>（</w:t>
      </w:r>
      <w:r>
        <w:rPr>
          <w:rFonts w:ascii="Times New Roman" w:hAnsi="Times New Roman" w:cs="Times New Roman" w:eastAsia="Times New Roman" w:hint="default"/>
        </w:rPr>
        <w:t>3</w:t>
      </w:r>
      <w:r>
        <w:rPr/>
        <w:t>）公司上市后第三次注册变更日期：</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日</w:t>
      </w:r>
    </w:p>
    <w:p>
      <w:pPr>
        <w:pStyle w:val="BodyText"/>
        <w:spacing w:line="240" w:lineRule="auto" w:before="119"/>
        <w:ind w:left="634" w:right="5418"/>
        <w:jc w:val="left"/>
      </w:pPr>
      <w:r>
        <w:rPr/>
        <w:t>注册资本由</w:t>
      </w:r>
      <w:r>
        <w:rPr>
          <w:spacing w:val="-55"/>
        </w:rPr>
        <w:t> </w:t>
      </w:r>
      <w:r>
        <w:rPr>
          <w:rFonts w:ascii="Times New Roman" w:hAnsi="Times New Roman" w:cs="Times New Roman" w:eastAsia="Times New Roman" w:hint="default"/>
        </w:rPr>
        <w:t>11,200</w:t>
      </w:r>
      <w:r>
        <w:rPr>
          <w:rFonts w:ascii="Times New Roman" w:hAnsi="Times New Roman" w:cs="Times New Roman" w:eastAsia="Times New Roman" w:hint="default"/>
          <w:spacing w:val="-5"/>
        </w:rPr>
        <w:t> </w:t>
      </w:r>
      <w:r>
        <w:rPr/>
        <w:t>万元变更为</w:t>
      </w:r>
      <w:r>
        <w:rPr>
          <w:spacing w:val="-55"/>
        </w:rPr>
        <w:t> </w:t>
      </w:r>
      <w:r>
        <w:rPr>
          <w:rFonts w:ascii="Times New Roman" w:hAnsi="Times New Roman" w:cs="Times New Roman" w:eastAsia="Times New Roman" w:hint="default"/>
        </w:rPr>
        <w:t>22,400</w:t>
      </w:r>
      <w:r>
        <w:rPr>
          <w:rFonts w:ascii="Times New Roman" w:hAnsi="Times New Roman" w:cs="Times New Roman" w:eastAsia="Times New Roman" w:hint="default"/>
          <w:spacing w:val="-2"/>
        </w:rPr>
        <w:t> </w:t>
      </w:r>
      <w:r>
        <w:rPr>
          <w:spacing w:val="-3"/>
        </w:rPr>
        <w:t>万元</w:t>
      </w:r>
      <w:r>
        <w:rPr/>
      </w:r>
    </w:p>
    <w:p>
      <w:pPr>
        <w:pStyle w:val="BodyText"/>
        <w:spacing w:line="240" w:lineRule="auto" w:before="117"/>
        <w:ind w:left="634" w:right="0"/>
        <w:jc w:val="left"/>
      </w:pPr>
      <w:r>
        <w:rPr/>
        <w:t>（</w:t>
      </w:r>
      <w:r>
        <w:rPr>
          <w:rFonts w:ascii="Times New Roman" w:hAnsi="Times New Roman" w:cs="Times New Roman" w:eastAsia="Times New Roman" w:hint="default"/>
        </w:rPr>
        <w:t>4</w:t>
      </w:r>
      <w:r>
        <w:rPr/>
        <w:t>）公司上市后第四次注册变更日期：</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w:t>
      </w:r>
    </w:p>
    <w:p>
      <w:pPr>
        <w:pStyle w:val="BodyText"/>
        <w:spacing w:line="336" w:lineRule="auto" w:before="117"/>
        <w:ind w:left="634" w:right="0"/>
        <w:jc w:val="left"/>
      </w:pPr>
      <w:r>
        <w:rPr/>
        <w:t>注册资本由</w:t>
      </w:r>
      <w:r>
        <w:rPr>
          <w:spacing w:val="-53"/>
        </w:rPr>
        <w:t> </w:t>
      </w:r>
      <w:r>
        <w:rPr>
          <w:rFonts w:ascii="Times New Roman" w:hAnsi="Times New Roman" w:cs="Times New Roman" w:eastAsia="Times New Roman" w:hint="default"/>
        </w:rPr>
        <w:t>22,400</w:t>
      </w:r>
      <w:r>
        <w:rPr>
          <w:rFonts w:ascii="Times New Roman" w:hAnsi="Times New Roman" w:cs="Times New Roman" w:eastAsia="Times New Roman" w:hint="default"/>
          <w:spacing w:val="-3"/>
        </w:rPr>
        <w:t> </w:t>
      </w:r>
      <w:r>
        <w:rPr/>
        <w:t>万元变更为</w:t>
      </w:r>
      <w:r>
        <w:rPr>
          <w:spacing w:val="-53"/>
        </w:rPr>
        <w:t> </w:t>
      </w:r>
      <w:r>
        <w:rPr>
          <w:rFonts w:ascii="Times New Roman" w:hAnsi="Times New Roman" w:cs="Times New Roman" w:eastAsia="Times New Roman" w:hint="default"/>
        </w:rPr>
        <w:t>30,912 </w:t>
      </w:r>
      <w:r>
        <w:rPr>
          <w:spacing w:val="-3"/>
        </w:rPr>
        <w:t>万元</w:t>
      </w:r>
      <w:r>
        <w:rPr>
          <w:spacing w:val="-3"/>
          <w:w w:val="100"/>
        </w:rPr>
        <w:t> </w:t>
      </w:r>
      <w:r>
        <w:rPr>
          <w:spacing w:val="-2"/>
        </w:rPr>
        <w:t>在历次变更中，公司名称、住所、法定代表人、经营范围、税务登记证号码、组织机构代码均未发生</w:t>
      </w:r>
    </w:p>
    <w:p>
      <w:pPr>
        <w:pStyle w:val="BodyText"/>
        <w:spacing w:line="240" w:lineRule="auto" w:before="49"/>
        <w:ind w:left="214" w:right="5418"/>
        <w:jc w:val="left"/>
      </w:pPr>
      <w:r>
        <w:rPr/>
        <w:t>变化。</w:t>
      </w:r>
    </w:p>
    <w:p>
      <w:pPr>
        <w:pStyle w:val="BodyText"/>
        <w:spacing w:line="240" w:lineRule="auto" w:before="135"/>
        <w:ind w:left="634" w:right="5418"/>
        <w:jc w:val="left"/>
      </w:pPr>
      <w:r>
        <w:rPr>
          <w:rFonts w:ascii="Times New Roman" w:hAnsi="Times New Roman" w:cs="Times New Roman" w:eastAsia="Times New Roman" w:hint="default"/>
        </w:rPr>
        <w:t>2</w:t>
      </w:r>
      <w:r>
        <w:rPr/>
        <w:t>、公司主要分支机构的设立及变更：</w:t>
      </w:r>
    </w:p>
    <w:p>
      <w:pPr>
        <w:spacing w:line="240" w:lineRule="auto" w:before="3"/>
        <w:rPr>
          <w:rFonts w:ascii="宋体" w:hAnsi="宋体" w:cs="宋体" w:eastAsia="宋体" w:hint="default"/>
          <w:sz w:val="30"/>
          <w:szCs w:val="30"/>
        </w:rPr>
      </w:pPr>
    </w:p>
    <w:p>
      <w:pPr>
        <w:pStyle w:val="BodyText"/>
        <w:spacing w:line="240" w:lineRule="auto"/>
        <w:ind w:left="634" w:right="5418"/>
        <w:jc w:val="left"/>
      </w:pPr>
      <w:r>
        <w:rPr/>
        <w:t>（</w:t>
      </w:r>
      <w:r>
        <w:rPr>
          <w:rFonts w:ascii="Times New Roman" w:hAnsi="Times New Roman" w:cs="Times New Roman" w:eastAsia="Times New Roman" w:hint="default"/>
        </w:rPr>
        <w:t>1</w:t>
      </w:r>
      <w:r>
        <w:rPr/>
        <w:t>）北京中长石基软件有限公司</w:t>
      </w:r>
    </w:p>
    <w:p>
      <w:pPr>
        <w:spacing w:line="240" w:lineRule="auto" w:before="10"/>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4927"/>
        <w:gridCol w:w="4927"/>
      </w:tblGrid>
      <w:tr>
        <w:trPr>
          <w:trHeight w:val="41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北京中长石基软件有限公司</w:t>
            </w:r>
          </w:p>
        </w:tc>
      </w:tr>
      <w:tr>
        <w:trPr>
          <w:trHeight w:val="420"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110108005775480</w:t>
            </w:r>
          </w:p>
        </w:tc>
      </w:tr>
      <w:tr>
        <w:trPr>
          <w:trHeight w:val="41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住所</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北京市复兴路甲</w:t>
            </w:r>
            <w:r>
              <w:rPr>
                <w:rFonts w:ascii="Times New Roman" w:hAnsi="Times New Roman" w:cs="Times New Roman" w:eastAsia="Times New Roman" w:hint="default"/>
                <w:sz w:val="21"/>
                <w:szCs w:val="21"/>
              </w:rPr>
              <w:t>65</w:t>
            </w:r>
            <w:r>
              <w:rPr>
                <w:rFonts w:ascii="宋体" w:hAnsi="宋体" w:cs="宋体" w:eastAsia="宋体" w:hint="default"/>
                <w:sz w:val="21"/>
                <w:szCs w:val="21"/>
              </w:rPr>
              <w:t>号</w:t>
            </w:r>
            <w:r>
              <w:rPr>
                <w:rFonts w:ascii="Times New Roman" w:hAnsi="Times New Roman" w:cs="Times New Roman" w:eastAsia="Times New Roman" w:hint="default"/>
                <w:sz w:val="21"/>
                <w:szCs w:val="21"/>
              </w:rPr>
              <w:t>A5</w:t>
            </w:r>
            <w:r>
              <w:rPr>
                <w:rFonts w:ascii="宋体" w:hAnsi="宋体" w:cs="宋体" w:eastAsia="宋体" w:hint="default"/>
                <w:sz w:val="21"/>
                <w:szCs w:val="21"/>
              </w:rPr>
              <w:t>号楼</w:t>
            </w:r>
            <w:r>
              <w:rPr>
                <w:rFonts w:ascii="Times New Roman" w:hAnsi="Times New Roman" w:cs="Times New Roman" w:eastAsia="Times New Roman" w:hint="default"/>
                <w:sz w:val="21"/>
                <w:szCs w:val="21"/>
              </w:rPr>
              <w:t>14</w:t>
            </w:r>
            <w:r>
              <w:rPr>
                <w:rFonts w:ascii="宋体" w:hAnsi="宋体" w:cs="宋体" w:eastAsia="宋体" w:hint="default"/>
                <w:sz w:val="21"/>
                <w:szCs w:val="21"/>
              </w:rPr>
              <w:t>层</w:t>
            </w:r>
          </w:p>
        </w:tc>
      </w:tr>
      <w:tr>
        <w:trPr>
          <w:trHeight w:val="41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李仲初</w:t>
            </w:r>
          </w:p>
        </w:tc>
      </w:tr>
      <w:tr>
        <w:trPr>
          <w:trHeight w:val="420"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1,000</w:t>
            </w:r>
            <w:r>
              <w:rPr>
                <w:rFonts w:ascii="宋体" w:hAnsi="宋体" w:cs="宋体" w:eastAsia="宋体" w:hint="default"/>
                <w:sz w:val="21"/>
                <w:szCs w:val="21"/>
              </w:rPr>
              <w:t>万</w:t>
            </w:r>
          </w:p>
        </w:tc>
      </w:tr>
      <w:tr>
        <w:trPr>
          <w:trHeight w:val="41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有限责任公司（法人独资）</w:t>
            </w:r>
          </w:p>
        </w:tc>
      </w:tr>
      <w:tr>
        <w:trPr>
          <w:trHeight w:val="420"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r>
    </w:tbl>
    <w:p>
      <w:pPr>
        <w:pStyle w:val="BodyText"/>
        <w:spacing w:line="257" w:lineRule="exact"/>
        <w:ind w:left="625" w:right="5418"/>
        <w:jc w:val="left"/>
      </w:pPr>
      <w:r>
        <w:rPr/>
        <w:t>（</w:t>
      </w:r>
      <w:r>
        <w:rPr>
          <w:rFonts w:ascii="Times New Roman" w:hAnsi="Times New Roman" w:cs="Times New Roman" w:eastAsia="Times New Roman" w:hint="default"/>
        </w:rPr>
        <w:t>2</w:t>
      </w:r>
      <w:r>
        <w:rPr/>
        <w:t>）上海石基信息技术有限公司</w:t>
      </w:r>
    </w:p>
    <w:p>
      <w:pPr>
        <w:spacing w:line="240" w:lineRule="auto" w:before="7"/>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4927"/>
        <w:gridCol w:w="4927"/>
      </w:tblGrid>
      <w:tr>
        <w:trPr>
          <w:trHeight w:val="41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上海石基信息技术有限公司</w:t>
            </w:r>
          </w:p>
        </w:tc>
      </w:tr>
      <w:tr>
        <w:trPr>
          <w:trHeight w:val="420"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310115000621130</w:t>
            </w:r>
          </w:p>
        </w:tc>
      </w:tr>
    </w:tbl>
    <w:p>
      <w:pPr>
        <w:spacing w:after="0" w:line="235" w:lineRule="exact"/>
        <w:jc w:val="left"/>
        <w:rPr>
          <w:rFonts w:ascii="Times New Roman" w:hAnsi="Times New Roman" w:cs="Times New Roman" w:eastAsia="Times New Roman" w:hint="default"/>
          <w:sz w:val="21"/>
          <w:szCs w:val="21"/>
        </w:rPr>
        <w:sectPr>
          <w:pgSz w:w="11910" w:h="16840"/>
          <w:pgMar w:header="850" w:footer="979" w:top="1200" w:bottom="1160" w:left="920" w:right="900"/>
        </w:sectPr>
      </w:pPr>
    </w:p>
    <w:p>
      <w:pPr>
        <w:spacing w:line="240" w:lineRule="auto" w:before="5"/>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4927"/>
        <w:gridCol w:w="4927"/>
      </w:tblGrid>
      <w:tr>
        <w:trPr>
          <w:trHeight w:val="840" w:hRule="exact"/>
        </w:trPr>
        <w:tc>
          <w:tcPr>
            <w:tcW w:w="4927"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住所</w:t>
            </w:r>
          </w:p>
        </w:tc>
        <w:tc>
          <w:tcPr>
            <w:tcW w:w="4927" w:type="dxa"/>
            <w:tcBorders>
              <w:top w:val="single" w:sz="10"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上海市张江高科技园区郭守敬路</w:t>
            </w:r>
            <w:r>
              <w:rPr>
                <w:rFonts w:ascii="Times New Roman" w:hAnsi="Times New Roman" w:cs="Times New Roman" w:eastAsia="Times New Roman" w:hint="default"/>
                <w:sz w:val="21"/>
                <w:szCs w:val="21"/>
              </w:rPr>
              <w:t>498</w:t>
            </w:r>
            <w:r>
              <w:rPr>
                <w:rFonts w:ascii="宋体" w:hAnsi="宋体" w:cs="宋体" w:eastAsia="宋体" w:hint="default"/>
                <w:sz w:val="21"/>
                <w:szCs w:val="21"/>
              </w:rPr>
              <w:t>号浦东软件园</w:t>
            </w:r>
          </w:p>
          <w:p>
            <w:pPr>
              <w:pStyle w:val="TableParagraph"/>
              <w:spacing w:line="240" w:lineRule="auto" w:before="11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宋体" w:hAnsi="宋体" w:cs="宋体" w:eastAsia="宋体" w:hint="default"/>
                <w:sz w:val="21"/>
                <w:szCs w:val="21"/>
              </w:rPr>
              <w:t>幢</w:t>
            </w:r>
            <w:r>
              <w:rPr>
                <w:rFonts w:ascii="Times New Roman" w:hAnsi="Times New Roman" w:cs="Times New Roman" w:eastAsia="Times New Roman" w:hint="default"/>
                <w:sz w:val="21"/>
                <w:szCs w:val="21"/>
              </w:rPr>
              <w:t>22301-747</w:t>
            </w:r>
            <w:r>
              <w:rPr>
                <w:rFonts w:ascii="宋体" w:hAnsi="宋体" w:cs="宋体" w:eastAsia="宋体" w:hint="default"/>
                <w:sz w:val="21"/>
                <w:szCs w:val="21"/>
              </w:rPr>
              <w:t>座</w:t>
            </w:r>
          </w:p>
        </w:tc>
      </w:tr>
      <w:tr>
        <w:trPr>
          <w:trHeight w:val="41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李仲初</w:t>
            </w:r>
          </w:p>
        </w:tc>
      </w:tr>
      <w:tr>
        <w:trPr>
          <w:trHeight w:val="41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宋体" w:hAnsi="宋体" w:cs="宋体" w:eastAsia="宋体" w:hint="default"/>
                <w:sz w:val="21"/>
                <w:szCs w:val="21"/>
              </w:rPr>
              <w:t>万</w:t>
            </w:r>
          </w:p>
        </w:tc>
      </w:tr>
      <w:tr>
        <w:trPr>
          <w:trHeight w:val="420"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一人有限责任公司（法人独资）</w:t>
            </w:r>
          </w:p>
        </w:tc>
      </w:tr>
      <w:tr>
        <w:trPr>
          <w:trHeight w:val="41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r>
    </w:tbl>
    <w:p>
      <w:pPr>
        <w:spacing w:line="240" w:lineRule="auto" w:before="4"/>
        <w:rPr>
          <w:rFonts w:ascii="宋体" w:hAnsi="宋体" w:cs="宋体" w:eastAsia="宋体" w:hint="default"/>
          <w:sz w:val="22"/>
          <w:szCs w:val="22"/>
        </w:rPr>
      </w:pPr>
    </w:p>
    <w:p>
      <w:pPr>
        <w:pStyle w:val="BodyText"/>
        <w:spacing w:line="336" w:lineRule="auto" w:before="36"/>
        <w:ind w:left="632" w:right="2012"/>
        <w:jc w:val="left"/>
      </w:pPr>
      <w:r>
        <w:rPr/>
        <w:t>（</w:t>
      </w:r>
      <w:r>
        <w:rPr>
          <w:rFonts w:ascii="Times New Roman" w:hAnsi="Times New Roman" w:cs="Times New Roman" w:eastAsia="Times New Roman" w:hint="default"/>
        </w:rPr>
        <w:t>3</w:t>
      </w:r>
      <w:r>
        <w:rPr/>
        <w:t>）北海石基信息技术有限公司</w:t>
      </w:r>
      <w:r>
        <w:rPr>
          <w:w w:val="100"/>
        </w:rPr>
        <w:t> </w:t>
      </w:r>
      <w:r>
        <w:rPr>
          <w:spacing w:val="-2"/>
        </w:rPr>
        <w:t>北海石基信息技术有限公司为本公司的全资子公司</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4927"/>
        <w:gridCol w:w="4927"/>
      </w:tblGrid>
      <w:tr>
        <w:trPr>
          <w:trHeight w:val="41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北海石基信息技术有限公司</w:t>
            </w:r>
          </w:p>
        </w:tc>
      </w:tr>
      <w:tr>
        <w:trPr>
          <w:trHeight w:val="41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450500000000227</w:t>
            </w:r>
          </w:p>
        </w:tc>
      </w:tr>
      <w:tr>
        <w:trPr>
          <w:trHeight w:val="420"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住所</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北海高新区创智路</w:t>
            </w:r>
            <w:r>
              <w:rPr>
                <w:rFonts w:ascii="Times New Roman" w:hAnsi="Times New Roman" w:cs="Times New Roman" w:eastAsia="Times New Roman" w:hint="default"/>
                <w:sz w:val="21"/>
                <w:szCs w:val="21"/>
              </w:rPr>
              <w:t>2</w:t>
            </w:r>
            <w:r>
              <w:rPr>
                <w:rFonts w:ascii="宋体" w:hAnsi="宋体" w:cs="宋体" w:eastAsia="宋体" w:hint="default"/>
                <w:sz w:val="21"/>
                <w:szCs w:val="21"/>
              </w:rPr>
              <w:t>号</w:t>
            </w:r>
          </w:p>
        </w:tc>
      </w:tr>
      <w:tr>
        <w:trPr>
          <w:trHeight w:val="41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赖德源</w:t>
            </w:r>
          </w:p>
        </w:tc>
      </w:tr>
      <w:tr>
        <w:trPr>
          <w:trHeight w:val="41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11,000</w:t>
            </w:r>
            <w:r>
              <w:rPr>
                <w:rFonts w:ascii="宋体" w:hAnsi="宋体" w:cs="宋体" w:eastAsia="宋体" w:hint="default"/>
                <w:sz w:val="21"/>
                <w:szCs w:val="21"/>
              </w:rPr>
              <w:t>万</w:t>
            </w:r>
          </w:p>
        </w:tc>
      </w:tr>
      <w:tr>
        <w:trPr>
          <w:trHeight w:val="420"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法人独资有限责任公司</w:t>
            </w:r>
          </w:p>
        </w:tc>
      </w:tr>
      <w:tr>
        <w:trPr>
          <w:trHeight w:val="41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r>
    </w:tbl>
    <w:p>
      <w:pPr>
        <w:spacing w:after="0" w:line="257" w:lineRule="exact"/>
        <w:jc w:val="left"/>
        <w:rPr>
          <w:rFonts w:ascii="宋体" w:hAnsi="宋体" w:cs="宋体" w:eastAsia="宋体" w:hint="default"/>
          <w:sz w:val="21"/>
          <w:szCs w:val="21"/>
        </w:rPr>
        <w:sectPr>
          <w:pgSz w:w="11910" w:h="16840"/>
          <w:pgMar w:header="850" w:footer="979" w:top="1200" w:bottom="1160" w:left="920" w:right="900"/>
        </w:sectPr>
      </w:pPr>
    </w:p>
    <w:p>
      <w:pPr>
        <w:spacing w:line="240" w:lineRule="auto" w:before="10"/>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Heading1"/>
        <w:spacing w:line="240" w:lineRule="auto"/>
        <w:ind w:left="3012" w:right="0"/>
        <w:jc w:val="left"/>
        <w:rPr>
          <w:b w:val="0"/>
          <w:bCs w:val="0"/>
        </w:rPr>
      </w:pPr>
      <w:bookmarkStart w:name="第二节 会计数据和财务指标摘要" w:id="3"/>
      <w:bookmarkEnd w:id="3"/>
      <w:r>
        <w:rPr>
          <w:b w:val="0"/>
          <w:bCs w:val="0"/>
        </w:rPr>
      </w:r>
      <w:bookmarkStart w:name="_bookmark1" w:id="4"/>
      <w:bookmarkEnd w:id="4"/>
      <w:r>
        <w:rPr>
          <w:b w:val="0"/>
          <w:bCs w:val="0"/>
        </w:rPr>
      </w:r>
      <w:r>
        <w:rPr/>
        <w:t>第二节</w:t>
      </w:r>
      <w:r>
        <w:rPr>
          <w:spacing w:val="-2"/>
        </w:rPr>
        <w:t> </w:t>
      </w:r>
      <w:r>
        <w:rPr/>
        <w:t>会计数据和财务指标摘要</w:t>
      </w:r>
      <w:r>
        <w:rPr>
          <w:b w:val="0"/>
          <w:bCs w:val="0"/>
        </w:rPr>
      </w:r>
    </w:p>
    <w:p>
      <w:pPr>
        <w:spacing w:line="240" w:lineRule="auto" w:before="11"/>
        <w:rPr>
          <w:rFonts w:ascii="宋体" w:hAnsi="宋体" w:cs="宋体" w:eastAsia="宋体" w:hint="default"/>
          <w:b/>
          <w:bCs/>
          <w:sz w:val="35"/>
          <w:szCs w:val="35"/>
        </w:rPr>
      </w:pPr>
    </w:p>
    <w:p>
      <w:pPr>
        <w:pStyle w:val="Heading4"/>
        <w:spacing w:line="240" w:lineRule="auto"/>
        <w:ind w:left="472" w:right="0"/>
        <w:jc w:val="left"/>
        <w:rPr>
          <w:b w:val="0"/>
          <w:bCs w:val="0"/>
        </w:rPr>
      </w:pPr>
      <w:r>
        <w:rPr/>
        <w:t>一、</w:t>
      </w:r>
      <w:r>
        <w:rPr>
          <w:spacing w:val="-82"/>
        </w:rPr>
        <w:t> </w:t>
      </w:r>
      <w:r>
        <w:rPr/>
        <w:t>截止报告期末公司近三年的主要会计数据和财务指标</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54"/>
        <w:ind w:left="335" w:right="0"/>
        <w:jc w:val="left"/>
        <w:rPr>
          <w:b w:val="0"/>
          <w:bCs w:val="0"/>
        </w:rPr>
      </w:pPr>
      <w:r>
        <w:rPr/>
        <w:t>（一）主要会计数据（单位：人民币元）</w:t>
      </w:r>
      <w:r>
        <w:rPr>
          <w:b w:val="0"/>
          <w:bCs w:val="0"/>
        </w:rPr>
      </w:r>
    </w:p>
    <w:p>
      <w:pPr>
        <w:spacing w:line="240" w:lineRule="auto" w:before="11"/>
        <w:rPr>
          <w:rFonts w:ascii="宋体" w:hAnsi="宋体" w:cs="宋体" w:eastAsia="宋体" w:hint="default"/>
          <w:b/>
          <w:bCs/>
          <w:sz w:val="12"/>
          <w:szCs w:val="12"/>
        </w:rPr>
      </w:pPr>
    </w:p>
    <w:tbl>
      <w:tblPr>
        <w:tblW w:w="0" w:type="auto"/>
        <w:jc w:val="left"/>
        <w:tblInd w:w="131" w:type="dxa"/>
        <w:tblLayout w:type="fixed"/>
        <w:tblCellMar>
          <w:top w:w="0" w:type="dxa"/>
          <w:left w:w="0" w:type="dxa"/>
          <w:bottom w:w="0" w:type="dxa"/>
          <w:right w:w="0" w:type="dxa"/>
        </w:tblCellMar>
        <w:tblLook w:val="01E0"/>
      </w:tblPr>
      <w:tblGrid>
        <w:gridCol w:w="2880"/>
        <w:gridCol w:w="1860"/>
        <w:gridCol w:w="1836"/>
        <w:gridCol w:w="1104"/>
        <w:gridCol w:w="2148"/>
      </w:tblGrid>
      <w:tr>
        <w:trPr>
          <w:trHeight w:val="284" w:hRule="exact"/>
        </w:trPr>
        <w:tc>
          <w:tcPr>
            <w:tcW w:w="2880" w:type="dxa"/>
            <w:tcBorders>
              <w:top w:val="single" w:sz="4" w:space="0" w:color="000000"/>
              <w:left w:val="single" w:sz="4" w:space="0" w:color="000000"/>
              <w:bottom w:val="nil" w:sz="6" w:space="0" w:color="auto"/>
              <w:right w:val="single" w:sz="4" w:space="0" w:color="000000"/>
            </w:tcBorders>
            <w:shd w:val="clear" w:color="auto" w:fill="DDDDDD"/>
          </w:tcPr>
          <w:p>
            <w:pPr/>
          </w:p>
        </w:tc>
        <w:tc>
          <w:tcPr>
            <w:tcW w:w="1860" w:type="dxa"/>
            <w:tcBorders>
              <w:top w:val="single" w:sz="4" w:space="0" w:color="000000"/>
              <w:left w:val="single" w:sz="4" w:space="0" w:color="000000"/>
              <w:bottom w:val="nil" w:sz="6" w:space="0" w:color="auto"/>
              <w:right w:val="single" w:sz="4" w:space="0" w:color="000000"/>
            </w:tcBorders>
            <w:shd w:val="clear" w:color="auto" w:fill="DDDDDD"/>
          </w:tcPr>
          <w:p>
            <w:pPr/>
          </w:p>
        </w:tc>
        <w:tc>
          <w:tcPr>
            <w:tcW w:w="1836" w:type="dxa"/>
            <w:tcBorders>
              <w:top w:val="single" w:sz="4" w:space="0" w:color="000000"/>
              <w:left w:val="single" w:sz="4" w:space="0" w:color="000000"/>
              <w:bottom w:val="nil" w:sz="6" w:space="0" w:color="auto"/>
              <w:right w:val="single" w:sz="4" w:space="0" w:color="000000"/>
            </w:tcBorders>
            <w:shd w:val="clear" w:color="auto" w:fill="DDDDDD"/>
          </w:tcPr>
          <w:p>
            <w:pPr/>
          </w:p>
        </w:tc>
        <w:tc>
          <w:tcPr>
            <w:tcW w:w="1104"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w:t>
            </w:r>
          </w:p>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sz w:val="21"/>
                <w:szCs w:val="21"/>
              </w:rPr>
              <w:t>年增减</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2148"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257" w:hRule="exact"/>
        </w:trPr>
        <w:tc>
          <w:tcPr>
            <w:tcW w:w="2880" w:type="dxa"/>
            <w:tcBorders>
              <w:top w:val="nil" w:sz="6" w:space="0" w:color="auto"/>
              <w:left w:val="single" w:sz="4" w:space="0" w:color="000000"/>
              <w:bottom w:val="nil" w:sz="6" w:space="0" w:color="auto"/>
              <w:right w:val="single" w:sz="4" w:space="0" w:color="000000"/>
            </w:tcBorders>
            <w:shd w:val="clear" w:color="auto" w:fill="DDDDDD"/>
          </w:tcPr>
          <w:p>
            <w:pPr/>
          </w:p>
        </w:tc>
        <w:tc>
          <w:tcPr>
            <w:tcW w:w="1860"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9" w:lineRule="exact"/>
              <w:ind w:left="5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836"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9" w:lineRule="exact"/>
              <w:ind w:left="5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104" w:type="dxa"/>
            <w:vMerge/>
            <w:tcBorders>
              <w:left w:val="single" w:sz="4" w:space="0" w:color="000000"/>
              <w:right w:val="single" w:sz="4" w:space="0" w:color="000000"/>
            </w:tcBorders>
            <w:shd w:val="clear" w:color="auto" w:fill="DDDDDD"/>
          </w:tcPr>
          <w:p>
            <w:pPr/>
          </w:p>
        </w:tc>
        <w:tc>
          <w:tcPr>
            <w:tcW w:w="214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9"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286" w:hRule="exact"/>
        </w:trPr>
        <w:tc>
          <w:tcPr>
            <w:tcW w:w="2880" w:type="dxa"/>
            <w:tcBorders>
              <w:top w:val="nil" w:sz="6" w:space="0" w:color="auto"/>
              <w:left w:val="single" w:sz="4" w:space="0" w:color="000000"/>
              <w:bottom w:val="single" w:sz="4" w:space="0" w:color="000000"/>
              <w:right w:val="single" w:sz="4" w:space="0" w:color="000000"/>
            </w:tcBorders>
            <w:shd w:val="clear" w:color="auto" w:fill="DDDDDD"/>
          </w:tcPr>
          <w:p>
            <w:pPr/>
          </w:p>
        </w:tc>
        <w:tc>
          <w:tcPr>
            <w:tcW w:w="1860" w:type="dxa"/>
            <w:tcBorders>
              <w:top w:val="nil" w:sz="6" w:space="0" w:color="auto"/>
              <w:left w:val="single" w:sz="4" w:space="0" w:color="000000"/>
              <w:bottom w:val="single" w:sz="4" w:space="0" w:color="000000"/>
              <w:right w:val="single" w:sz="4" w:space="0" w:color="000000"/>
            </w:tcBorders>
            <w:shd w:val="clear" w:color="auto" w:fill="DDDDDD"/>
          </w:tcPr>
          <w:p>
            <w:pPr/>
          </w:p>
        </w:tc>
        <w:tc>
          <w:tcPr>
            <w:tcW w:w="1836" w:type="dxa"/>
            <w:tcBorders>
              <w:top w:val="nil" w:sz="6" w:space="0" w:color="auto"/>
              <w:left w:val="single" w:sz="4" w:space="0" w:color="000000"/>
              <w:bottom w:val="single" w:sz="4" w:space="0" w:color="000000"/>
              <w:right w:val="single" w:sz="4" w:space="0" w:color="000000"/>
            </w:tcBorders>
            <w:shd w:val="clear" w:color="auto" w:fill="DDDDDD"/>
          </w:tcPr>
          <w:p>
            <w:pPr/>
          </w:p>
        </w:tc>
        <w:tc>
          <w:tcPr>
            <w:tcW w:w="1104" w:type="dxa"/>
            <w:vMerge/>
            <w:tcBorders>
              <w:left w:val="single" w:sz="4" w:space="0" w:color="000000"/>
              <w:bottom w:val="single" w:sz="4" w:space="0" w:color="000000"/>
              <w:right w:val="single" w:sz="4" w:space="0" w:color="000000"/>
            </w:tcBorders>
            <w:shd w:val="clear" w:color="auto" w:fill="DDDDDD"/>
          </w:tcPr>
          <w:p>
            <w:pPr/>
          </w:p>
        </w:tc>
        <w:tc>
          <w:tcPr>
            <w:tcW w:w="2148"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283" w:hRule="exact"/>
        </w:trPr>
        <w:tc>
          <w:tcPr>
            <w:tcW w:w="28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720,871,724.09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610,247,365.99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18.13%</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406,620,993.67</w:t>
            </w:r>
          </w:p>
        </w:tc>
      </w:tr>
      <w:tr>
        <w:trPr>
          <w:trHeight w:val="281" w:hRule="exact"/>
        </w:trPr>
        <w:tc>
          <w:tcPr>
            <w:tcW w:w="28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86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264,707,067.49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206,884,219.24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27.95%</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122,447,938.85</w:t>
            </w:r>
          </w:p>
        </w:tc>
      </w:tr>
      <w:tr>
        <w:trPr>
          <w:trHeight w:val="283" w:hRule="exact"/>
        </w:trPr>
        <w:tc>
          <w:tcPr>
            <w:tcW w:w="28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86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305,609,987.92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244,870,891.86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24.80%</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144,742,260.51</w:t>
            </w:r>
          </w:p>
        </w:tc>
      </w:tr>
      <w:tr>
        <w:trPr>
          <w:trHeight w:val="283" w:hRule="exact"/>
        </w:trPr>
        <w:tc>
          <w:tcPr>
            <w:tcW w:w="28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86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264,113,700.63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213,897,872.25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23.48%</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131,664,286.61</w:t>
            </w:r>
          </w:p>
        </w:tc>
      </w:tr>
      <w:tr>
        <w:trPr>
          <w:trHeight w:val="554" w:hRule="exact"/>
        </w:trPr>
        <w:tc>
          <w:tcPr>
            <w:tcW w:w="28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归属于上市公司股东的扣除非</w:t>
            </w:r>
          </w:p>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经常性损益的净利润</w:t>
            </w:r>
          </w:p>
        </w:tc>
        <w:tc>
          <w:tcPr>
            <w:tcW w:w="186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255,194,613.00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211,495,240.62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20.66%</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pacing w:val="-1"/>
                <w:sz w:val="21"/>
              </w:rPr>
              <w:t>131,492,548.54</w:t>
            </w:r>
          </w:p>
        </w:tc>
      </w:tr>
      <w:tr>
        <w:trPr>
          <w:trHeight w:val="281" w:hRule="exact"/>
        </w:trPr>
        <w:tc>
          <w:tcPr>
            <w:tcW w:w="28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275,207,163.65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203,266,424.33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35.39%</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145,853,782.86</w:t>
            </w:r>
          </w:p>
        </w:tc>
      </w:tr>
      <w:tr>
        <w:trPr>
          <w:trHeight w:val="286" w:hRule="exact"/>
        </w:trPr>
        <w:tc>
          <w:tcPr>
            <w:tcW w:w="2880" w:type="dxa"/>
            <w:tcBorders>
              <w:top w:val="single" w:sz="4" w:space="0" w:color="000000"/>
              <w:left w:val="single" w:sz="4" w:space="0" w:color="000000"/>
              <w:bottom w:val="nil" w:sz="6" w:space="0" w:color="auto"/>
              <w:right w:val="single" w:sz="4" w:space="0" w:color="000000"/>
            </w:tcBorders>
            <w:shd w:val="clear" w:color="auto" w:fill="DDDDDD"/>
          </w:tcPr>
          <w:p>
            <w:pPr/>
          </w:p>
        </w:tc>
        <w:tc>
          <w:tcPr>
            <w:tcW w:w="1860" w:type="dxa"/>
            <w:tcBorders>
              <w:top w:val="single" w:sz="4" w:space="0" w:color="000000"/>
              <w:left w:val="single" w:sz="4" w:space="0" w:color="000000"/>
              <w:bottom w:val="nil" w:sz="6" w:space="0" w:color="auto"/>
              <w:right w:val="single" w:sz="4" w:space="0" w:color="000000"/>
            </w:tcBorders>
            <w:shd w:val="clear" w:color="auto" w:fill="DDDDDD"/>
          </w:tcPr>
          <w:p>
            <w:pPr/>
          </w:p>
        </w:tc>
        <w:tc>
          <w:tcPr>
            <w:tcW w:w="1836" w:type="dxa"/>
            <w:tcBorders>
              <w:top w:val="single" w:sz="4" w:space="0" w:color="000000"/>
              <w:left w:val="single" w:sz="4" w:space="0" w:color="000000"/>
              <w:bottom w:val="nil" w:sz="6" w:space="0" w:color="auto"/>
              <w:right w:val="single" w:sz="4" w:space="0" w:color="000000"/>
            </w:tcBorders>
            <w:shd w:val="clear" w:color="auto" w:fill="DDDDDD"/>
          </w:tcPr>
          <w:p>
            <w:pPr/>
          </w:p>
        </w:tc>
        <w:tc>
          <w:tcPr>
            <w:tcW w:w="1104"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本年末比</w:t>
            </w:r>
          </w:p>
          <w:p>
            <w:pPr>
              <w:pStyle w:val="TableParagraph"/>
              <w:spacing w:line="272" w:lineRule="exact" w:before="27"/>
              <w:ind w:left="127" w:right="122"/>
              <w:jc w:val="left"/>
              <w:rPr>
                <w:rFonts w:ascii="宋体" w:hAnsi="宋体" w:cs="宋体" w:eastAsia="宋体" w:hint="default"/>
                <w:sz w:val="21"/>
                <w:szCs w:val="21"/>
              </w:rPr>
            </w:pPr>
            <w:r>
              <w:rPr>
                <w:rFonts w:ascii="宋体" w:hAnsi="宋体" w:cs="宋体" w:eastAsia="宋体" w:hint="default"/>
                <w:sz w:val="21"/>
                <w:szCs w:val="21"/>
              </w:rPr>
              <w:t>上年末增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2148"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257" w:hRule="exact"/>
        </w:trPr>
        <w:tc>
          <w:tcPr>
            <w:tcW w:w="2880" w:type="dxa"/>
            <w:tcBorders>
              <w:top w:val="nil" w:sz="6" w:space="0" w:color="auto"/>
              <w:left w:val="single" w:sz="4" w:space="0" w:color="000000"/>
              <w:bottom w:val="nil" w:sz="6" w:space="0" w:color="auto"/>
              <w:right w:val="single" w:sz="4" w:space="0" w:color="000000"/>
            </w:tcBorders>
            <w:shd w:val="clear" w:color="auto" w:fill="DDDDDD"/>
          </w:tcPr>
          <w:p>
            <w:pPr/>
          </w:p>
        </w:tc>
        <w:tc>
          <w:tcPr>
            <w:tcW w:w="1860"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9" w:lineRule="exact"/>
              <w:ind w:left="4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836"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9" w:lineRule="exact"/>
              <w:ind w:left="4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104" w:type="dxa"/>
            <w:vMerge/>
            <w:tcBorders>
              <w:left w:val="single" w:sz="4" w:space="0" w:color="000000"/>
              <w:right w:val="single" w:sz="4" w:space="0" w:color="000000"/>
            </w:tcBorders>
            <w:shd w:val="clear" w:color="auto" w:fill="DDDDDD"/>
          </w:tcPr>
          <w:p>
            <w:pPr/>
          </w:p>
        </w:tc>
        <w:tc>
          <w:tcPr>
            <w:tcW w:w="214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9" w:lineRule="exact"/>
              <w:ind w:left="6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6" w:hRule="exact"/>
        </w:trPr>
        <w:tc>
          <w:tcPr>
            <w:tcW w:w="2880" w:type="dxa"/>
            <w:tcBorders>
              <w:top w:val="nil" w:sz="6" w:space="0" w:color="auto"/>
              <w:left w:val="single" w:sz="4" w:space="0" w:color="000000"/>
              <w:bottom w:val="single" w:sz="4" w:space="0" w:color="000000"/>
              <w:right w:val="single" w:sz="4" w:space="0" w:color="000000"/>
            </w:tcBorders>
            <w:shd w:val="clear" w:color="auto" w:fill="DDDDDD"/>
          </w:tcPr>
          <w:p>
            <w:pPr/>
          </w:p>
        </w:tc>
        <w:tc>
          <w:tcPr>
            <w:tcW w:w="1860" w:type="dxa"/>
            <w:tcBorders>
              <w:top w:val="nil" w:sz="6" w:space="0" w:color="auto"/>
              <w:left w:val="single" w:sz="4" w:space="0" w:color="000000"/>
              <w:bottom w:val="single" w:sz="4" w:space="0" w:color="000000"/>
              <w:right w:val="single" w:sz="4" w:space="0" w:color="000000"/>
            </w:tcBorders>
            <w:shd w:val="clear" w:color="auto" w:fill="DDDDDD"/>
          </w:tcPr>
          <w:p>
            <w:pPr/>
          </w:p>
        </w:tc>
        <w:tc>
          <w:tcPr>
            <w:tcW w:w="1836" w:type="dxa"/>
            <w:tcBorders>
              <w:top w:val="nil" w:sz="6" w:space="0" w:color="auto"/>
              <w:left w:val="single" w:sz="4" w:space="0" w:color="000000"/>
              <w:bottom w:val="single" w:sz="4" w:space="0" w:color="000000"/>
              <w:right w:val="single" w:sz="4" w:space="0" w:color="000000"/>
            </w:tcBorders>
            <w:shd w:val="clear" w:color="auto" w:fill="DDDDDD"/>
          </w:tcPr>
          <w:p>
            <w:pPr/>
          </w:p>
        </w:tc>
        <w:tc>
          <w:tcPr>
            <w:tcW w:w="1104" w:type="dxa"/>
            <w:vMerge/>
            <w:tcBorders>
              <w:left w:val="single" w:sz="4" w:space="0" w:color="000000"/>
              <w:bottom w:val="single" w:sz="4" w:space="0" w:color="000000"/>
              <w:right w:val="single" w:sz="4" w:space="0" w:color="000000"/>
            </w:tcBorders>
            <w:shd w:val="clear" w:color="auto" w:fill="DDDDDD"/>
          </w:tcPr>
          <w:p>
            <w:pPr/>
          </w:p>
        </w:tc>
        <w:tc>
          <w:tcPr>
            <w:tcW w:w="2148"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283" w:hRule="exact"/>
        </w:trPr>
        <w:tc>
          <w:tcPr>
            <w:tcW w:w="28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186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1,302,353,087.79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1,070,041,696.23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21.71%</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869,006,514.15</w:t>
            </w:r>
          </w:p>
        </w:tc>
      </w:tr>
      <w:tr>
        <w:trPr>
          <w:trHeight w:val="281" w:hRule="exact"/>
        </w:trPr>
        <w:tc>
          <w:tcPr>
            <w:tcW w:w="28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负债总额</w:t>
            </w:r>
          </w:p>
        </w:tc>
        <w:tc>
          <w:tcPr>
            <w:tcW w:w="186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176,932,324.82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164,245,159.98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7.72%</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123,794,502.66</w:t>
            </w:r>
          </w:p>
        </w:tc>
      </w:tr>
      <w:tr>
        <w:trPr>
          <w:trHeight w:val="554" w:hRule="exact"/>
        </w:trPr>
        <w:tc>
          <w:tcPr>
            <w:tcW w:w="28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归属于上市公司股东的所有者</w:t>
            </w:r>
          </w:p>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权益</w:t>
            </w:r>
          </w:p>
        </w:tc>
        <w:tc>
          <w:tcPr>
            <w:tcW w:w="186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1,093,590,077.90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872,475,376.70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25.34%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pacing w:val="-1"/>
                <w:sz w:val="21"/>
              </w:rPr>
              <w:t>720,332,293.42</w:t>
            </w:r>
          </w:p>
        </w:tc>
      </w:tr>
      <w:tr>
        <w:trPr>
          <w:trHeight w:val="283" w:hRule="exact"/>
        </w:trPr>
        <w:tc>
          <w:tcPr>
            <w:tcW w:w="28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总股本</w:t>
            </w:r>
          </w:p>
        </w:tc>
        <w:tc>
          <w:tcPr>
            <w:tcW w:w="186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309,120,000.00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224,000,000.00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38.00%</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224,000,000.00</w:t>
            </w:r>
          </w:p>
        </w:tc>
      </w:tr>
    </w:tbl>
    <w:p>
      <w:pPr>
        <w:pStyle w:val="Heading4"/>
        <w:spacing w:line="240" w:lineRule="auto" w:before="86"/>
        <w:ind w:left="232" w:right="0"/>
        <w:jc w:val="left"/>
        <w:rPr>
          <w:b w:val="0"/>
          <w:bCs w:val="0"/>
        </w:rPr>
      </w:pPr>
      <w:r>
        <w:rPr/>
        <w:t>（二）主要财务指标（单位：人民币元）</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58" w:type="dxa"/>
        <w:tblLayout w:type="fixed"/>
        <w:tblCellMar>
          <w:top w:w="0" w:type="dxa"/>
          <w:left w:w="0" w:type="dxa"/>
          <w:bottom w:w="0" w:type="dxa"/>
          <w:right w:w="0" w:type="dxa"/>
        </w:tblCellMar>
        <w:tblLook w:val="01E0"/>
      </w:tblPr>
      <w:tblGrid>
        <w:gridCol w:w="2496"/>
        <w:gridCol w:w="1680"/>
        <w:gridCol w:w="1668"/>
        <w:gridCol w:w="2520"/>
        <w:gridCol w:w="1428"/>
      </w:tblGrid>
      <w:tr>
        <w:trPr>
          <w:trHeight w:val="281" w:hRule="exact"/>
        </w:trPr>
        <w:tc>
          <w:tcPr>
            <w:tcW w:w="2496"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7" w:lineRule="exact"/>
              <w:ind w:left="5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7" w:lineRule="exact"/>
              <w:ind w:left="4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5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4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7" w:lineRule="exact"/>
              <w:ind w:left="3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283" w:hRule="exact"/>
        </w:trPr>
        <w:tc>
          <w:tcPr>
            <w:tcW w:w="24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9" w:lineRule="exact"/>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8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0.85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0.69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23.19%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0.43</w:t>
            </w:r>
          </w:p>
        </w:tc>
      </w:tr>
      <w:tr>
        <w:trPr>
          <w:trHeight w:val="283" w:hRule="exact"/>
        </w:trPr>
        <w:tc>
          <w:tcPr>
            <w:tcW w:w="24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7" w:lineRule="exact"/>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8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0.85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0.69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23.19%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0.43</w:t>
            </w:r>
          </w:p>
        </w:tc>
      </w:tr>
      <w:tr>
        <w:trPr>
          <w:trHeight w:val="554" w:hRule="exact"/>
        </w:trPr>
        <w:tc>
          <w:tcPr>
            <w:tcW w:w="24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扣除非经常性损益后的基</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8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0.83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0.68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22.06%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0.43</w:t>
            </w:r>
          </w:p>
        </w:tc>
      </w:tr>
      <w:tr>
        <w:trPr>
          <w:trHeight w:val="554" w:hRule="exact"/>
        </w:trPr>
        <w:tc>
          <w:tcPr>
            <w:tcW w:w="24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27.01%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27.05%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pacing w:val="-1"/>
                <w:sz w:val="21"/>
              </w:rPr>
              <w:t>-0.04%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19.52%</w:t>
            </w:r>
          </w:p>
        </w:tc>
      </w:tr>
      <w:tr>
        <w:trPr>
          <w:trHeight w:val="554" w:hRule="exact"/>
        </w:trPr>
        <w:tc>
          <w:tcPr>
            <w:tcW w:w="24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2" w:right="-13"/>
              <w:jc w:val="left"/>
              <w:rPr>
                <w:rFonts w:ascii="宋体" w:hAnsi="宋体" w:cs="宋体" w:eastAsia="宋体" w:hint="default"/>
                <w:sz w:val="21"/>
                <w:szCs w:val="21"/>
              </w:rPr>
            </w:pPr>
            <w:r>
              <w:rPr>
                <w:rFonts w:ascii="宋体" w:hAnsi="宋体" w:cs="宋体" w:eastAsia="宋体" w:hint="default"/>
                <w:sz w:val="21"/>
                <w:szCs w:val="21"/>
              </w:rPr>
              <w:t>扣除非经常性损益后的加</w:t>
            </w:r>
          </w:p>
          <w:p>
            <w:pPr>
              <w:pStyle w:val="TableParagraph"/>
              <w:spacing w:line="290" w:lineRule="exact"/>
              <w:ind w:left="12" w:right="-13"/>
              <w:jc w:val="left"/>
              <w:rPr>
                <w:rFonts w:ascii="宋体" w:hAnsi="宋体" w:cs="宋体" w:eastAsia="宋体" w:hint="default"/>
                <w:sz w:val="21"/>
                <w:szCs w:val="21"/>
              </w:rPr>
            </w:pPr>
            <w:r>
              <w:rPr>
                <w:rFonts w:ascii="宋体" w:hAnsi="宋体" w:cs="宋体" w:eastAsia="宋体" w:hint="default"/>
                <w:spacing w:val="-2"/>
                <w:sz w:val="21"/>
                <w:szCs w:val="21"/>
              </w:rPr>
              <w:t>权平均净资产收益率（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68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26.01%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26.79%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pacing w:val="-1"/>
                <w:sz w:val="21"/>
              </w:rPr>
              <w:t>-0.78%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19.50%</w:t>
            </w:r>
          </w:p>
        </w:tc>
      </w:tr>
      <w:tr>
        <w:trPr>
          <w:trHeight w:val="554" w:hRule="exact"/>
        </w:trPr>
        <w:tc>
          <w:tcPr>
            <w:tcW w:w="24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w:t>
            </w:r>
          </w:p>
          <w:p>
            <w:pPr>
              <w:pStyle w:val="TableParagraph"/>
              <w:spacing w:line="290" w:lineRule="exact"/>
              <w:ind w:left="12" w:right="0"/>
              <w:jc w:val="left"/>
              <w:rPr>
                <w:rFonts w:ascii="宋体" w:hAnsi="宋体" w:cs="宋体" w:eastAsia="宋体" w:hint="default"/>
                <w:sz w:val="21"/>
                <w:szCs w:val="21"/>
              </w:rPr>
            </w:pPr>
            <w:r>
              <w:rPr>
                <w:rFonts w:ascii="宋体" w:hAnsi="宋体" w:cs="宋体" w:eastAsia="宋体" w:hint="default"/>
                <w:sz w:val="21"/>
                <w:szCs w:val="21"/>
              </w:rPr>
              <w:t>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8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0.89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0.91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pacing w:val="-1"/>
                <w:sz w:val="21"/>
              </w:rPr>
              <w:t>-2.20%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0.65</w:t>
            </w:r>
          </w:p>
        </w:tc>
      </w:tr>
      <w:tr>
        <w:trPr>
          <w:trHeight w:val="283" w:hRule="exact"/>
        </w:trPr>
        <w:tc>
          <w:tcPr>
            <w:tcW w:w="2496"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7" w:lineRule="exact"/>
              <w:ind w:left="3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6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7" w:lineRule="exact"/>
              <w:ind w:left="3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5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本年末比上年末增减（％）</w:t>
            </w:r>
          </w:p>
        </w:tc>
        <w:tc>
          <w:tcPr>
            <w:tcW w:w="14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7" w:lineRule="exact"/>
              <w:ind w:left="2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54" w:hRule="exact"/>
        </w:trPr>
        <w:tc>
          <w:tcPr>
            <w:tcW w:w="24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归属于上市公司股东的每</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8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3.54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3.89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pacing w:val="-1"/>
                <w:sz w:val="21"/>
              </w:rPr>
              <w:t>-9.00%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3.22</w:t>
            </w:r>
          </w:p>
        </w:tc>
      </w:tr>
      <w:tr>
        <w:trPr>
          <w:trHeight w:val="283" w:hRule="exact"/>
        </w:trPr>
        <w:tc>
          <w:tcPr>
            <w:tcW w:w="24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68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13.59%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15.35%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pacing w:val="-1"/>
                <w:sz w:val="21"/>
              </w:rPr>
              <w:t>-1.76%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14.25%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spacing w:line="240" w:lineRule="auto"/>
        <w:ind w:left="232" w:right="0"/>
        <w:jc w:val="left"/>
      </w:pPr>
      <w:r>
        <w:rPr/>
        <w:t>【注】：非经常性损益项目（单位：人民币元）</w:t>
      </w:r>
    </w:p>
    <w:p>
      <w:pPr>
        <w:spacing w:line="240" w:lineRule="auto" w:before="11"/>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651"/>
        <w:gridCol w:w="1402"/>
        <w:gridCol w:w="1402"/>
        <w:gridCol w:w="1399"/>
      </w:tblGrid>
      <w:tr>
        <w:trPr>
          <w:trHeight w:val="305" w:hRule="exact"/>
        </w:trPr>
        <w:tc>
          <w:tcPr>
            <w:tcW w:w="5651"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02"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4" w:lineRule="exact"/>
              <w:ind w:left="3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1402"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4" w:lineRule="exact"/>
              <w:ind w:left="3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399"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4" w:lineRule="exact"/>
              <w:ind w:left="3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300" w:hRule="exact"/>
        </w:trPr>
        <w:tc>
          <w:tcPr>
            <w:tcW w:w="5651"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8" w:lineRule="exact"/>
              <w:ind w:left="97"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71" w:right="0"/>
              <w:jc w:val="left"/>
              <w:rPr>
                <w:rFonts w:ascii="Times New Roman" w:hAnsi="Times New Roman" w:cs="Times New Roman" w:eastAsia="Times New Roman" w:hint="default"/>
                <w:sz w:val="21"/>
                <w:szCs w:val="21"/>
              </w:rPr>
            </w:pPr>
            <w:r>
              <w:rPr>
                <w:rFonts w:ascii="Times New Roman"/>
                <w:sz w:val="21"/>
              </w:rPr>
              <w:t>-542,107.79</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376" w:right="0"/>
              <w:jc w:val="left"/>
              <w:rPr>
                <w:rFonts w:ascii="Times New Roman" w:hAnsi="Times New Roman" w:cs="Times New Roman" w:eastAsia="Times New Roman" w:hint="default"/>
                <w:sz w:val="21"/>
                <w:szCs w:val="21"/>
              </w:rPr>
            </w:pPr>
            <w:r>
              <w:rPr>
                <w:rFonts w:ascii="Times New Roman"/>
                <w:sz w:val="21"/>
              </w:rPr>
              <w:t>-66,122.46</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372" w:right="0"/>
              <w:jc w:val="left"/>
              <w:rPr>
                <w:rFonts w:ascii="Times New Roman" w:hAnsi="Times New Roman" w:cs="Times New Roman" w:eastAsia="Times New Roman" w:hint="default"/>
                <w:sz w:val="21"/>
                <w:szCs w:val="21"/>
              </w:rPr>
            </w:pPr>
            <w:r>
              <w:rPr>
                <w:rFonts w:ascii="Times New Roman"/>
                <w:sz w:val="21"/>
              </w:rPr>
              <w:t>-18,015.33</w:t>
            </w:r>
          </w:p>
        </w:tc>
      </w:tr>
    </w:tbl>
    <w:p>
      <w:pPr>
        <w:spacing w:after="0" w:line="240" w:lineRule="auto"/>
        <w:jc w:val="left"/>
        <w:rPr>
          <w:rFonts w:ascii="Times New Roman" w:hAnsi="Times New Roman" w:cs="Times New Roman" w:eastAsia="Times New Roman" w:hint="default"/>
          <w:sz w:val="21"/>
          <w:szCs w:val="21"/>
        </w:rPr>
        <w:sectPr>
          <w:pgSz w:w="11910" w:h="16840"/>
          <w:pgMar w:header="850" w:footer="979" w:top="1200" w:bottom="1160" w:left="900" w:right="900"/>
        </w:sectPr>
      </w:pPr>
    </w:p>
    <w:p>
      <w:pPr>
        <w:spacing w:line="240" w:lineRule="auto" w:before="1"/>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5651"/>
        <w:gridCol w:w="1402"/>
        <w:gridCol w:w="1402"/>
        <w:gridCol w:w="1399"/>
      </w:tblGrid>
      <w:tr>
        <w:trPr>
          <w:trHeight w:val="336" w:hRule="exact"/>
        </w:trPr>
        <w:tc>
          <w:tcPr>
            <w:tcW w:w="5651" w:type="dxa"/>
            <w:tcBorders>
              <w:top w:val="single" w:sz="13" w:space="0" w:color="000000"/>
              <w:left w:val="single" w:sz="8" w:space="0" w:color="000000"/>
              <w:bottom w:val="single" w:sz="8" w:space="0" w:color="000000"/>
              <w:right w:val="single" w:sz="8" w:space="0" w:color="000000"/>
            </w:tcBorders>
            <w:shd w:val="clear" w:color="auto" w:fill="DDDDDD"/>
          </w:tcPr>
          <w:p>
            <w:pPr>
              <w:pStyle w:val="TableParagraph"/>
              <w:spacing w:line="265" w:lineRule="exact"/>
              <w:ind w:left="97" w:right="0"/>
              <w:jc w:val="left"/>
              <w:rPr>
                <w:rFonts w:ascii="宋体" w:hAnsi="宋体" w:cs="宋体" w:eastAsia="宋体" w:hint="default"/>
                <w:sz w:val="21"/>
                <w:szCs w:val="21"/>
              </w:rPr>
            </w:pPr>
            <w:r>
              <w:rPr>
                <w:rFonts w:ascii="宋体" w:hAnsi="宋体" w:cs="宋体" w:eastAsia="宋体" w:hint="default"/>
                <w:spacing w:val="-3"/>
                <w:sz w:val="21"/>
                <w:szCs w:val="21"/>
              </w:rPr>
              <w:t>越权审批，或无正式批准文件，或偶发性的税收返还、减免</w:t>
            </w:r>
          </w:p>
        </w:tc>
        <w:tc>
          <w:tcPr>
            <w:tcW w:w="140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44"/>
              <w:ind w:right="91"/>
              <w:jc w:val="right"/>
              <w:rPr>
                <w:rFonts w:ascii="Times New Roman" w:hAnsi="Times New Roman" w:cs="Times New Roman" w:eastAsia="Times New Roman" w:hint="default"/>
                <w:sz w:val="21"/>
                <w:szCs w:val="21"/>
              </w:rPr>
            </w:pPr>
            <w:r>
              <w:rPr>
                <w:rFonts w:ascii="Times New Roman"/>
                <w:spacing w:val="-1"/>
                <w:sz w:val="21"/>
              </w:rPr>
              <w:t>3,015,647.05</w:t>
            </w:r>
          </w:p>
        </w:tc>
        <w:tc>
          <w:tcPr>
            <w:tcW w:w="140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44"/>
              <w:ind w:right="91"/>
              <w:jc w:val="right"/>
              <w:rPr>
                <w:rFonts w:ascii="Times New Roman" w:hAnsi="Times New Roman" w:cs="Times New Roman" w:eastAsia="Times New Roman" w:hint="default"/>
                <w:sz w:val="21"/>
                <w:szCs w:val="21"/>
              </w:rPr>
            </w:pPr>
            <w:r>
              <w:rPr>
                <w:rFonts w:ascii="Times New Roman"/>
                <w:spacing w:val="-1"/>
                <w:sz w:val="21"/>
              </w:rPr>
              <w:t>2,185,918.10</w:t>
            </w:r>
          </w:p>
        </w:tc>
        <w:tc>
          <w:tcPr>
            <w:tcW w:w="1399"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w w:val="100"/>
                <w:sz w:val="21"/>
              </w:rPr>
              <w:t>0</w:t>
            </w:r>
          </w:p>
        </w:tc>
      </w:tr>
      <w:tr>
        <w:trPr>
          <w:trHeight w:val="838" w:hRule="exact"/>
        </w:trPr>
        <w:tc>
          <w:tcPr>
            <w:tcW w:w="5651"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pacing w:val="5"/>
                <w:sz w:val="21"/>
                <w:szCs w:val="21"/>
              </w:rPr>
              <w:t>计入当期损益的政府补助，但与公司正常经营业务密切相</w:t>
            </w:r>
            <w:r>
              <w:rPr>
                <w:rFonts w:ascii="宋体" w:hAnsi="宋体" w:cs="宋体" w:eastAsia="宋体" w:hint="default"/>
                <w:sz w:val="21"/>
                <w:szCs w:val="21"/>
              </w:rPr>
            </w:r>
          </w:p>
          <w:p>
            <w:pPr>
              <w:pStyle w:val="TableParagraph"/>
              <w:spacing w:line="240" w:lineRule="auto"/>
              <w:ind w:left="97" w:right="90"/>
              <w:jc w:val="left"/>
              <w:rPr>
                <w:rFonts w:ascii="宋体" w:hAnsi="宋体" w:cs="宋体" w:eastAsia="宋体" w:hint="default"/>
                <w:sz w:val="21"/>
                <w:szCs w:val="21"/>
              </w:rPr>
            </w:pPr>
            <w:r>
              <w:rPr>
                <w:rFonts w:ascii="宋体" w:hAnsi="宋体" w:cs="宋体" w:eastAsia="宋体" w:hint="default"/>
                <w:spacing w:val="-3"/>
                <w:sz w:val="21"/>
                <w:szCs w:val="21"/>
              </w:rPr>
              <w:t>关，符合国家政策规定、按照一定标准定额或定量持续享受</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的政府补助除外</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2,696,414.80</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2,453,474.54</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100"/>
                <w:sz w:val="21"/>
              </w:rPr>
              <w:t>0</w:t>
            </w:r>
          </w:p>
        </w:tc>
      </w:tr>
      <w:tr>
        <w:trPr>
          <w:trHeight w:val="1116" w:hRule="exact"/>
        </w:trPr>
        <w:tc>
          <w:tcPr>
            <w:tcW w:w="5651"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exact"/>
              <w:ind w:left="97" w:right="0"/>
              <w:jc w:val="both"/>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除同公司正常经营业务相关的有效套期保值业务外，持有交</w:t>
            </w:r>
          </w:p>
          <w:p>
            <w:pPr>
              <w:pStyle w:val="TableParagraph"/>
              <w:spacing w:line="237" w:lineRule="auto" w:before="2"/>
              <w:ind w:left="97" w:right="66"/>
              <w:jc w:val="both"/>
              <w:rPr>
                <w:rFonts w:ascii="宋体" w:hAnsi="宋体" w:cs="宋体" w:eastAsia="宋体" w:hint="default"/>
                <w:sz w:val="21"/>
                <w:szCs w:val="21"/>
              </w:rPr>
            </w:pPr>
            <w:r>
              <w:rPr>
                <w:rFonts w:ascii="宋体" w:hAnsi="宋体" w:cs="宋体" w:eastAsia="宋体" w:hint="default"/>
                <w:spacing w:val="-2"/>
                <w:sz w:val="21"/>
                <w:szCs w:val="21"/>
              </w:rPr>
              <w:t>易性金融资产、交易性金融负债产生的公允价值变动损益，</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以及处置交易性金融资产、交易性金融负债和可供出售金融</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资产取得的投资收益</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1"/>
              <w:jc w:val="right"/>
              <w:rPr>
                <w:rFonts w:ascii="Times New Roman" w:hAnsi="Times New Roman" w:cs="Times New Roman" w:eastAsia="Times New Roman" w:hint="default"/>
                <w:sz w:val="21"/>
                <w:szCs w:val="21"/>
              </w:rPr>
            </w:pPr>
            <w:r>
              <w:rPr>
                <w:rFonts w:ascii="Times New Roman"/>
                <w:spacing w:val="-1"/>
                <w:sz w:val="21"/>
              </w:rPr>
              <w:t>4,269,847.90</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1"/>
              <w:jc w:val="right"/>
              <w:rPr>
                <w:rFonts w:ascii="Times New Roman" w:hAnsi="Times New Roman" w:cs="Times New Roman" w:eastAsia="Times New Roman" w:hint="default"/>
                <w:sz w:val="21"/>
                <w:szCs w:val="21"/>
              </w:rPr>
            </w:pPr>
            <w:r>
              <w:rPr>
                <w:rFonts w:ascii="Times New Roman"/>
                <w:spacing w:val="-1"/>
                <w:sz w:val="21"/>
              </w:rPr>
              <w:t>18,976.37</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6"/>
              <w:jc w:val="right"/>
              <w:rPr>
                <w:rFonts w:ascii="Times New Roman" w:hAnsi="Times New Roman" w:cs="Times New Roman" w:eastAsia="Times New Roman" w:hint="default"/>
                <w:sz w:val="21"/>
                <w:szCs w:val="21"/>
              </w:rPr>
            </w:pPr>
            <w:r>
              <w:rPr>
                <w:rFonts w:ascii="Times New Roman"/>
                <w:w w:val="100"/>
                <w:sz w:val="21"/>
              </w:rPr>
              <w:t>0</w:t>
            </w:r>
          </w:p>
        </w:tc>
      </w:tr>
      <w:tr>
        <w:trPr>
          <w:trHeight w:val="314" w:hRule="exact"/>
        </w:trPr>
        <w:tc>
          <w:tcPr>
            <w:tcW w:w="5651"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8" w:lineRule="exact"/>
              <w:ind w:left="97"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1"/>
              <w:jc w:val="right"/>
              <w:rPr>
                <w:rFonts w:ascii="Times New Roman" w:hAnsi="Times New Roman" w:cs="Times New Roman" w:eastAsia="Times New Roman" w:hint="default"/>
                <w:sz w:val="21"/>
                <w:szCs w:val="21"/>
              </w:rPr>
            </w:pPr>
            <w:r>
              <w:rPr>
                <w:rFonts w:ascii="Times New Roman"/>
                <w:spacing w:val="-1"/>
                <w:sz w:val="21"/>
              </w:rPr>
              <w:t>128,039.31</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1"/>
              <w:jc w:val="right"/>
              <w:rPr>
                <w:rFonts w:ascii="Times New Roman" w:hAnsi="Times New Roman" w:cs="Times New Roman" w:eastAsia="Times New Roman" w:hint="default"/>
                <w:sz w:val="21"/>
                <w:szCs w:val="21"/>
              </w:rPr>
            </w:pPr>
            <w:r>
              <w:rPr>
                <w:rFonts w:ascii="Times New Roman"/>
                <w:spacing w:val="-1"/>
                <w:sz w:val="21"/>
              </w:rPr>
              <w:t>-1,730,334.30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190,327.88</w:t>
            </w:r>
          </w:p>
        </w:tc>
      </w:tr>
      <w:tr>
        <w:trPr>
          <w:trHeight w:val="319" w:hRule="exact"/>
        </w:trPr>
        <w:tc>
          <w:tcPr>
            <w:tcW w:w="5651"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55" w:lineRule="exact"/>
              <w:ind w:left="97"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1"/>
              <w:jc w:val="right"/>
              <w:rPr>
                <w:rFonts w:ascii="Times New Roman" w:hAnsi="Times New Roman" w:cs="Times New Roman" w:eastAsia="Times New Roman" w:hint="default"/>
                <w:sz w:val="21"/>
                <w:szCs w:val="21"/>
              </w:rPr>
            </w:pPr>
            <w:r>
              <w:rPr>
                <w:rFonts w:ascii="Times New Roman"/>
                <w:spacing w:val="-1"/>
                <w:sz w:val="21"/>
              </w:rPr>
              <w:t>-648,723.64</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1"/>
              <w:jc w:val="right"/>
              <w:rPr>
                <w:rFonts w:ascii="Times New Roman" w:hAnsi="Times New Roman" w:cs="Times New Roman" w:eastAsia="Times New Roman" w:hint="default"/>
                <w:sz w:val="21"/>
                <w:szCs w:val="21"/>
              </w:rPr>
            </w:pPr>
            <w:r>
              <w:rPr>
                <w:rFonts w:ascii="Times New Roman"/>
                <w:spacing w:val="-1"/>
                <w:sz w:val="21"/>
              </w:rPr>
              <w:t>-387,177.13</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spacing w:val="-1"/>
                <w:sz w:val="21"/>
              </w:rPr>
              <w:t>-249.2</w:t>
            </w:r>
          </w:p>
        </w:tc>
      </w:tr>
      <w:tr>
        <w:trPr>
          <w:trHeight w:val="319" w:hRule="exact"/>
        </w:trPr>
        <w:tc>
          <w:tcPr>
            <w:tcW w:w="5651"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55" w:lineRule="exact"/>
              <w:ind w:left="97"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4"/>
              <w:jc w:val="right"/>
              <w:rPr>
                <w:rFonts w:ascii="Times New Roman" w:hAnsi="Times New Roman" w:cs="Times New Roman" w:eastAsia="Times New Roman" w:hint="default"/>
                <w:sz w:val="21"/>
                <w:szCs w:val="21"/>
              </w:rPr>
            </w:pPr>
            <w:r>
              <w:rPr>
                <w:rFonts w:ascii="Times New Roman"/>
                <w:spacing w:val="-1"/>
                <w:sz w:val="21"/>
              </w:rPr>
              <w:t>-30.00</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1"/>
              <w:jc w:val="right"/>
              <w:rPr>
                <w:rFonts w:ascii="Times New Roman" w:hAnsi="Times New Roman" w:cs="Times New Roman" w:eastAsia="Times New Roman" w:hint="default"/>
                <w:sz w:val="21"/>
                <w:szCs w:val="21"/>
              </w:rPr>
            </w:pPr>
            <w:r>
              <w:rPr>
                <w:rFonts w:ascii="Times New Roman"/>
                <w:spacing w:val="-1"/>
                <w:sz w:val="21"/>
              </w:rPr>
              <w:t>-72,103.49</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-325.28</w:t>
            </w:r>
          </w:p>
        </w:tc>
      </w:tr>
      <w:tr>
        <w:trPr>
          <w:trHeight w:val="322" w:hRule="exact"/>
        </w:trPr>
        <w:tc>
          <w:tcPr>
            <w:tcW w:w="5651"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1"/>
              <w:jc w:val="right"/>
              <w:rPr>
                <w:rFonts w:ascii="Times New Roman" w:hAnsi="Times New Roman" w:cs="Times New Roman" w:eastAsia="Times New Roman" w:hint="default"/>
                <w:sz w:val="21"/>
                <w:szCs w:val="21"/>
              </w:rPr>
            </w:pPr>
            <w:r>
              <w:rPr>
                <w:rFonts w:ascii="Times New Roman"/>
                <w:spacing w:val="-1"/>
                <w:sz w:val="21"/>
              </w:rPr>
              <w:t>8,919,087.63</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1"/>
              <w:jc w:val="right"/>
              <w:rPr>
                <w:rFonts w:ascii="Times New Roman" w:hAnsi="Times New Roman" w:cs="Times New Roman" w:eastAsia="Times New Roman" w:hint="default"/>
                <w:sz w:val="21"/>
                <w:szCs w:val="21"/>
              </w:rPr>
            </w:pPr>
            <w:r>
              <w:rPr>
                <w:rFonts w:ascii="Times New Roman"/>
                <w:spacing w:val="-1"/>
                <w:sz w:val="21"/>
              </w:rPr>
              <w:t>2,402,631.63</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4"/>
              <w:jc w:val="right"/>
              <w:rPr>
                <w:rFonts w:ascii="Times New Roman" w:hAnsi="Times New Roman" w:cs="Times New Roman" w:eastAsia="Times New Roman" w:hint="default"/>
                <w:sz w:val="21"/>
                <w:szCs w:val="21"/>
              </w:rPr>
            </w:pPr>
            <w:r>
              <w:rPr>
                <w:rFonts w:ascii="Times New Roman"/>
                <w:spacing w:val="-1"/>
                <w:sz w:val="21"/>
              </w:rPr>
              <w:t>171,738.07</w:t>
            </w:r>
          </w:p>
        </w:tc>
      </w:tr>
    </w:tbl>
    <w:p>
      <w:pPr>
        <w:spacing w:line="240" w:lineRule="auto" w:before="12"/>
        <w:rPr>
          <w:rFonts w:ascii="宋体" w:hAnsi="宋体" w:cs="宋体" w:eastAsia="宋体" w:hint="default"/>
          <w:sz w:val="15"/>
          <w:szCs w:val="15"/>
        </w:rPr>
      </w:pPr>
    </w:p>
    <w:p>
      <w:pPr>
        <w:pStyle w:val="Heading4"/>
        <w:spacing w:line="240" w:lineRule="auto" w:before="36"/>
        <w:ind w:left="645" w:right="0"/>
        <w:jc w:val="left"/>
        <w:rPr>
          <w:b w:val="0"/>
          <w:bCs w:val="0"/>
        </w:rPr>
      </w:pPr>
      <w:r>
        <w:rPr/>
        <w:t>二、报告期内股东权益变动情况（单位：人民币元）</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1" w:type="dxa"/>
        <w:tblLayout w:type="fixed"/>
        <w:tblCellMar>
          <w:top w:w="0" w:type="dxa"/>
          <w:left w:w="0" w:type="dxa"/>
          <w:bottom w:w="0" w:type="dxa"/>
          <w:right w:w="0" w:type="dxa"/>
        </w:tblCellMar>
        <w:tblLook w:val="01E0"/>
      </w:tblPr>
      <w:tblGrid>
        <w:gridCol w:w="1552"/>
        <w:gridCol w:w="2057"/>
        <w:gridCol w:w="1985"/>
        <w:gridCol w:w="1805"/>
        <w:gridCol w:w="2455"/>
      </w:tblGrid>
      <w:tr>
        <w:trPr>
          <w:trHeight w:val="377" w:hRule="exact"/>
        </w:trPr>
        <w:tc>
          <w:tcPr>
            <w:tcW w:w="1552" w:type="dxa"/>
            <w:tcBorders>
              <w:top w:val="single" w:sz="4" w:space="0" w:color="000000"/>
              <w:left w:val="single" w:sz="4" w:space="0" w:color="000000"/>
              <w:bottom w:val="single" w:sz="4" w:space="0" w:color="000000"/>
              <w:right w:val="single" w:sz="4" w:space="0" w:color="000000"/>
            </w:tcBorders>
            <w:shd w:val="clear" w:color="auto" w:fill="E2E2E2"/>
          </w:tcPr>
          <w:p>
            <w:pPr>
              <w:pStyle w:val="TableParagraph"/>
              <w:spacing w:line="240" w:lineRule="auto" w:before="14"/>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7" w:type="dxa"/>
            <w:tcBorders>
              <w:top w:val="single" w:sz="4" w:space="0" w:color="000000"/>
              <w:left w:val="single" w:sz="4" w:space="0" w:color="000000"/>
              <w:bottom w:val="single" w:sz="4" w:space="0" w:color="000000"/>
              <w:right w:val="single" w:sz="4" w:space="0" w:color="000000"/>
            </w:tcBorders>
            <w:shd w:val="clear" w:color="auto" w:fill="E2E2E2"/>
          </w:tcPr>
          <w:p>
            <w:pPr>
              <w:pStyle w:val="TableParagraph"/>
              <w:spacing w:line="240" w:lineRule="auto" w:before="14"/>
              <w:ind w:left="76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85" w:type="dxa"/>
            <w:tcBorders>
              <w:top w:val="single" w:sz="4" w:space="0" w:color="000000"/>
              <w:left w:val="single" w:sz="4" w:space="0" w:color="000000"/>
              <w:bottom w:val="single" w:sz="4" w:space="0" w:color="000000"/>
              <w:right w:val="single" w:sz="4" w:space="0" w:color="000000"/>
            </w:tcBorders>
            <w:shd w:val="clear" w:color="auto" w:fill="E2E2E2"/>
          </w:tcPr>
          <w:p>
            <w:pPr>
              <w:pStyle w:val="TableParagraph"/>
              <w:spacing w:line="240" w:lineRule="auto" w:before="14"/>
              <w:ind w:left="62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shd w:val="clear" w:color="auto" w:fill="E2E2E2"/>
          </w:tcPr>
          <w:p>
            <w:pPr>
              <w:pStyle w:val="TableParagraph"/>
              <w:spacing w:line="240" w:lineRule="auto" w:before="14"/>
              <w:ind w:left="5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455" w:type="dxa"/>
            <w:tcBorders>
              <w:top w:val="single" w:sz="4" w:space="0" w:color="000000"/>
              <w:left w:val="single" w:sz="4" w:space="0" w:color="000000"/>
              <w:bottom w:val="single" w:sz="4" w:space="0" w:color="000000"/>
              <w:right w:val="single" w:sz="4" w:space="0" w:color="000000"/>
            </w:tcBorders>
            <w:shd w:val="clear" w:color="auto" w:fill="E2E2E2"/>
          </w:tcPr>
          <w:p>
            <w:pPr>
              <w:pStyle w:val="TableParagraph"/>
              <w:spacing w:line="240" w:lineRule="auto" w:before="14"/>
              <w:ind w:left="122"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79" w:hRule="exact"/>
        </w:trPr>
        <w:tc>
          <w:tcPr>
            <w:tcW w:w="155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tabs>
                <w:tab w:pos="472" w:val="left" w:leader="none"/>
              </w:tabs>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股</w:t>
              <w:tab/>
              <w:t>本</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224,000,000.00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85,120,000.00</w:t>
            </w:r>
          </w:p>
        </w:tc>
        <w:tc>
          <w:tcPr>
            <w:tcW w:w="1805"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309,120,000.00</w:t>
            </w:r>
          </w:p>
        </w:tc>
      </w:tr>
      <w:tr>
        <w:trPr>
          <w:trHeight w:val="377" w:hRule="exact"/>
        </w:trPr>
        <w:tc>
          <w:tcPr>
            <w:tcW w:w="155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21"/>
                <w:szCs w:val="21"/>
              </w:rPr>
            </w:pPr>
            <w:r>
              <w:rPr>
                <w:rFonts w:ascii="Times New Roman"/>
                <w:spacing w:val="-1"/>
                <w:sz w:val="21"/>
              </w:rPr>
              <w:t>93864464.15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21"/>
                <w:szCs w:val="21"/>
              </w:rPr>
            </w:pPr>
            <w:r>
              <w:rPr>
                <w:rFonts w:ascii="Times New Roman"/>
                <w:spacing w:val="-1"/>
                <w:sz w:val="21"/>
              </w:rPr>
              <w:t>1576412.25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21"/>
                <w:szCs w:val="21"/>
              </w:rPr>
            </w:pPr>
            <w:r>
              <w:rPr>
                <w:rFonts w:ascii="Times New Roman"/>
                <w:spacing w:val="-1"/>
                <w:sz w:val="21"/>
              </w:rPr>
              <w:t>83543587.75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10,320,876.4</w:t>
            </w:r>
          </w:p>
        </w:tc>
      </w:tr>
      <w:tr>
        <w:trPr>
          <w:trHeight w:val="379" w:hRule="exact"/>
        </w:trPr>
        <w:tc>
          <w:tcPr>
            <w:tcW w:w="155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46,187,818.37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8,946,833.34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17,676,736.97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37,457,914.74</w:t>
            </w:r>
          </w:p>
        </w:tc>
      </w:tr>
      <w:tr>
        <w:trPr>
          <w:trHeight w:val="379" w:hRule="exact"/>
        </w:trPr>
        <w:tc>
          <w:tcPr>
            <w:tcW w:w="155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512,092,207.37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264,113,700.63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1"/>
                <w:sz w:val="21"/>
              </w:rPr>
              <w:t>31,346,833.34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744,859,074.66</w:t>
            </w:r>
          </w:p>
        </w:tc>
      </w:tr>
      <w:tr>
        <w:trPr>
          <w:trHeight w:val="379" w:hRule="exact"/>
        </w:trPr>
        <w:tc>
          <w:tcPr>
            <w:tcW w:w="155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股东权益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21"/>
                <w:szCs w:val="21"/>
              </w:rPr>
            </w:pPr>
            <w:r>
              <w:rPr>
                <w:rFonts w:ascii="Times New Roman"/>
                <w:spacing w:val="-1"/>
                <w:sz w:val="21"/>
              </w:rPr>
              <w:t>905,796,536.25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21"/>
                <w:szCs w:val="21"/>
              </w:rPr>
            </w:pPr>
            <w:r>
              <w:rPr>
                <w:rFonts w:ascii="Times New Roman"/>
                <w:spacing w:val="-1"/>
                <w:sz w:val="21"/>
              </w:rPr>
              <w:t>274,334,016.16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21"/>
                <w:szCs w:val="21"/>
              </w:rPr>
            </w:pPr>
            <w:r>
              <w:rPr>
                <w:rFonts w:ascii="Times New Roman"/>
                <w:spacing w:val="-1"/>
                <w:sz w:val="21"/>
              </w:rPr>
              <w:t>54,809,789.44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1,125,320,762.97</w:t>
            </w:r>
          </w:p>
        </w:tc>
      </w:tr>
    </w:tbl>
    <w:p>
      <w:pPr>
        <w:spacing w:line="240" w:lineRule="auto" w:before="5"/>
        <w:rPr>
          <w:rFonts w:ascii="宋体" w:hAnsi="宋体" w:cs="宋体" w:eastAsia="宋体" w:hint="default"/>
          <w:b/>
          <w:bCs/>
          <w:sz w:val="10"/>
          <w:szCs w:val="10"/>
        </w:rPr>
      </w:pPr>
    </w:p>
    <w:p>
      <w:pPr>
        <w:pStyle w:val="BodyText"/>
        <w:spacing w:line="281" w:lineRule="exact" w:before="36"/>
        <w:ind w:left="232" w:right="0"/>
        <w:jc w:val="left"/>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w:t>
      </w:r>
      <w:r>
        <w:rPr>
          <w:spacing w:val="-2"/>
        </w:rPr>
        <w:t>、未分配利润增加额为本年度净利润增加额，减少额为分配现金股利</w:t>
      </w:r>
      <w:r>
        <w:rPr/>
        <w:t> </w:t>
      </w:r>
      <w:r>
        <w:rPr>
          <w:rFonts w:ascii="Times New Roman" w:hAnsi="Times New Roman" w:cs="Times New Roman" w:eastAsia="Times New Roman" w:hint="default"/>
        </w:rPr>
        <w:t>2,240</w:t>
      </w:r>
      <w:r>
        <w:rPr>
          <w:rFonts w:ascii="Times New Roman" w:hAnsi="Times New Roman" w:cs="Times New Roman" w:eastAsia="Times New Roman" w:hint="default"/>
          <w:spacing w:val="17"/>
        </w:rPr>
        <w:t> </w:t>
      </w:r>
      <w:r>
        <w:rPr>
          <w:spacing w:val="-2"/>
        </w:rPr>
        <w:t>万元、提取法定盈余公</w:t>
      </w:r>
      <w:r>
        <w:rPr/>
      </w:r>
    </w:p>
    <w:p>
      <w:pPr>
        <w:pStyle w:val="BodyText"/>
        <w:spacing w:line="281" w:lineRule="exact"/>
        <w:ind w:left="233" w:right="0"/>
        <w:jc w:val="left"/>
      </w:pPr>
      <w:r>
        <w:rPr/>
        <w:t>积金</w:t>
      </w:r>
      <w:r>
        <w:rPr>
          <w:spacing w:val="-53"/>
        </w:rPr>
        <w:t> </w:t>
      </w:r>
      <w:r>
        <w:rPr>
          <w:rFonts w:ascii="Times New Roman" w:hAnsi="Times New Roman" w:cs="Times New Roman" w:eastAsia="Times New Roman" w:hint="default"/>
        </w:rPr>
        <w:t>894.68 </w:t>
      </w:r>
      <w:r>
        <w:rPr/>
        <w:t>万元。</w:t>
      </w:r>
    </w:p>
    <w:p>
      <w:pPr>
        <w:spacing w:after="0" w:line="281" w:lineRule="exact"/>
        <w:jc w:val="left"/>
        <w:sectPr>
          <w:pgSz w:w="11910" w:h="16840"/>
          <w:pgMar w:header="850" w:footer="979" w:top="1200" w:bottom="1160" w:left="900" w:right="900"/>
        </w:sectPr>
      </w:pPr>
    </w:p>
    <w:p>
      <w:pPr>
        <w:spacing w:line="240" w:lineRule="auto" w:before="10"/>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Heading1"/>
        <w:spacing w:line="240" w:lineRule="auto"/>
        <w:ind w:left="3632" w:right="0"/>
        <w:jc w:val="left"/>
        <w:rPr>
          <w:b w:val="0"/>
          <w:bCs w:val="0"/>
        </w:rPr>
      </w:pPr>
      <w:bookmarkStart w:name="第三节 股份变动及股东情况" w:id="5"/>
      <w:bookmarkEnd w:id="5"/>
      <w:r>
        <w:rPr>
          <w:b w:val="0"/>
          <w:bCs w:val="0"/>
        </w:rPr>
      </w:r>
      <w:bookmarkStart w:name="_bookmark2" w:id="6"/>
      <w:bookmarkEnd w:id="6"/>
      <w:r>
        <w:rPr>
          <w:b w:val="0"/>
          <w:bCs w:val="0"/>
        </w:rPr>
      </w:r>
      <w:r>
        <w:rPr/>
        <w:t>第三节</w:t>
      </w:r>
      <w:r>
        <w:rPr>
          <w:spacing w:val="2"/>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pStyle w:val="Heading4"/>
        <w:spacing w:line="240" w:lineRule="auto"/>
        <w:ind w:right="3480"/>
        <w:jc w:val="left"/>
        <w:rPr>
          <w:b w:val="0"/>
          <w:bCs w:val="0"/>
        </w:rPr>
      </w:pPr>
      <w:r>
        <w:rPr/>
        <w:t>一、股份变动情况</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50"/>
        <w:ind w:left="572" w:right="3480"/>
        <w:jc w:val="left"/>
        <w:rPr>
          <w:b w:val="0"/>
          <w:bCs w:val="0"/>
        </w:rPr>
      </w:pPr>
      <w:r>
        <w:rPr/>
        <w:t>（一）股份变动情况表（单位：股）</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31" w:type="dxa"/>
        <w:tblLayout w:type="fixed"/>
        <w:tblCellMar>
          <w:top w:w="0" w:type="dxa"/>
          <w:left w:w="0" w:type="dxa"/>
          <w:bottom w:w="0" w:type="dxa"/>
          <w:right w:w="0" w:type="dxa"/>
        </w:tblCellMar>
        <w:tblLook w:val="01E0"/>
      </w:tblPr>
      <w:tblGrid>
        <w:gridCol w:w="1864"/>
        <w:gridCol w:w="1088"/>
        <w:gridCol w:w="629"/>
        <w:gridCol w:w="499"/>
        <w:gridCol w:w="451"/>
        <w:gridCol w:w="1181"/>
        <w:gridCol w:w="1253"/>
        <w:gridCol w:w="1140"/>
        <w:gridCol w:w="1027"/>
        <w:gridCol w:w="552"/>
      </w:tblGrid>
      <w:tr>
        <w:trPr>
          <w:trHeight w:val="397" w:hRule="exact"/>
        </w:trPr>
        <w:tc>
          <w:tcPr>
            <w:tcW w:w="1864" w:type="dxa"/>
            <w:tcBorders>
              <w:top w:val="single" w:sz="4" w:space="0" w:color="000000"/>
              <w:left w:val="single" w:sz="4" w:space="0" w:color="000000"/>
              <w:bottom w:val="nil" w:sz="6" w:space="0" w:color="auto"/>
              <w:right w:val="single" w:sz="4" w:space="0" w:color="000000"/>
            </w:tcBorders>
            <w:shd w:val="clear" w:color="auto" w:fill="DDDDDD"/>
          </w:tcPr>
          <w:p>
            <w:pPr/>
          </w:p>
        </w:tc>
        <w:tc>
          <w:tcPr>
            <w:tcW w:w="1717"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40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24" w:type="dxa"/>
            <w:gridSpan w:val="5"/>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368"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79"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33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10" w:hRule="exact"/>
        </w:trPr>
        <w:tc>
          <w:tcPr>
            <w:tcW w:w="1864" w:type="dxa"/>
            <w:tcBorders>
              <w:top w:val="nil" w:sz="6" w:space="0" w:color="auto"/>
              <w:left w:val="single" w:sz="4" w:space="0" w:color="000000"/>
              <w:bottom w:val="nil" w:sz="6" w:space="0" w:color="auto"/>
              <w:right w:val="single" w:sz="4" w:space="0" w:color="000000"/>
            </w:tcBorders>
            <w:shd w:val="clear" w:color="auto" w:fill="DDDDDD"/>
          </w:tcPr>
          <w:p>
            <w:pPr/>
          </w:p>
        </w:tc>
        <w:tc>
          <w:tcPr>
            <w:tcW w:w="1088"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76"/>
              <w:ind w:left="36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29"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76"/>
              <w:ind w:left="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499" w:type="dxa"/>
            <w:vMerge w:val="restart"/>
            <w:tcBorders>
              <w:top w:val="single" w:sz="4" w:space="0" w:color="000000"/>
              <w:left w:val="single" w:sz="4" w:space="0" w:color="000000"/>
              <w:right w:val="single" w:sz="4" w:space="0" w:color="000000"/>
            </w:tcBorders>
            <w:shd w:val="clear" w:color="auto" w:fill="DDDDDD"/>
          </w:tcPr>
          <w:p>
            <w:pPr>
              <w:pStyle w:val="TableParagraph"/>
              <w:spacing w:line="196" w:lineRule="exact"/>
              <w:ind w:left="64"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left="64"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451"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76"/>
              <w:ind w:left="4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81"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76"/>
              <w:ind w:left="13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53"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76"/>
              <w:ind w:left="355" w:right="0"/>
              <w:jc w:val="left"/>
              <w:rPr>
                <w:rFonts w:ascii="Times New Roman" w:hAnsi="Times New Roman" w:cs="Times New Roman" w:eastAsia="Times New Roman" w:hint="default"/>
                <w:sz w:val="12"/>
                <w:szCs w:val="12"/>
              </w:rPr>
            </w:pPr>
            <w:r>
              <w:rPr>
                <w:rFonts w:ascii="宋体" w:hAnsi="宋体" w:cs="宋体" w:eastAsia="宋体" w:hint="default"/>
                <w:sz w:val="18"/>
                <w:szCs w:val="18"/>
              </w:rPr>
              <w:t>其他</w:t>
            </w:r>
            <w:r>
              <w:rPr>
                <w:rFonts w:ascii="宋体" w:hAnsi="宋体" w:cs="宋体" w:eastAsia="宋体" w:hint="default"/>
                <w:position w:val="9"/>
                <w:sz w:val="9"/>
                <w:szCs w:val="9"/>
              </w:rPr>
              <w:t>注</w:t>
            </w:r>
            <w:r>
              <w:rPr>
                <w:rFonts w:ascii="宋体" w:hAnsi="宋体" w:cs="宋体" w:eastAsia="宋体" w:hint="default"/>
                <w:spacing w:val="-23"/>
                <w:position w:val="9"/>
                <w:sz w:val="9"/>
                <w:szCs w:val="9"/>
              </w:rPr>
              <w:t> </w:t>
            </w:r>
            <w:r>
              <w:rPr>
                <w:rFonts w:ascii="Times New Roman" w:hAnsi="Times New Roman" w:cs="Times New Roman" w:eastAsia="Times New Roman" w:hint="default"/>
                <w:position w:val="8"/>
                <w:sz w:val="12"/>
                <w:szCs w:val="12"/>
              </w:rPr>
              <w:t>2</w:t>
            </w:r>
            <w:r>
              <w:rPr>
                <w:rFonts w:ascii="Times New Roman" w:hAnsi="Times New Roman" w:cs="Times New Roman" w:eastAsia="Times New Roman" w:hint="default"/>
                <w:sz w:val="12"/>
                <w:szCs w:val="12"/>
              </w:rPr>
            </w:r>
          </w:p>
        </w:tc>
        <w:tc>
          <w:tcPr>
            <w:tcW w:w="1140"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27"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76"/>
              <w:ind w:left="33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552" w:type="dxa"/>
            <w:vMerge w:val="restart"/>
            <w:tcBorders>
              <w:top w:val="single" w:sz="4" w:space="0" w:color="000000"/>
              <w:left w:val="single" w:sz="4" w:space="0" w:color="000000"/>
              <w:right w:val="single" w:sz="4" w:space="0" w:color="000000"/>
            </w:tcBorders>
            <w:shd w:val="clear" w:color="auto" w:fill="DDDDDD"/>
          </w:tcPr>
          <w:p>
            <w:pPr>
              <w:pStyle w:val="TableParagraph"/>
              <w:spacing w:line="196" w:lineRule="exact"/>
              <w:ind w:left="105" w:right="0" w:firstLine="74"/>
              <w:jc w:val="left"/>
              <w:rPr>
                <w:rFonts w:ascii="宋体" w:hAnsi="宋体" w:cs="宋体" w:eastAsia="宋体" w:hint="default"/>
                <w:sz w:val="18"/>
                <w:szCs w:val="18"/>
              </w:rPr>
            </w:pPr>
            <w:r>
              <w:rPr>
                <w:rFonts w:ascii="宋体" w:hAnsi="宋体" w:cs="宋体" w:eastAsia="宋体" w:hint="default"/>
                <w:sz w:val="18"/>
                <w:szCs w:val="18"/>
              </w:rPr>
              <w:t>比</w:t>
            </w:r>
          </w:p>
          <w:p>
            <w:pPr>
              <w:pStyle w:val="TableParagraph"/>
              <w:spacing w:line="248"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305" w:hRule="exact"/>
        </w:trPr>
        <w:tc>
          <w:tcPr>
            <w:tcW w:w="1864" w:type="dxa"/>
            <w:tcBorders>
              <w:top w:val="nil" w:sz="6" w:space="0" w:color="auto"/>
              <w:left w:val="single" w:sz="4" w:space="0" w:color="000000"/>
              <w:bottom w:val="single" w:sz="4" w:space="0" w:color="000000"/>
              <w:right w:val="single" w:sz="4" w:space="0" w:color="000000"/>
            </w:tcBorders>
            <w:shd w:val="clear" w:color="auto" w:fill="DDDDDD"/>
          </w:tcPr>
          <w:p>
            <w:pPr/>
          </w:p>
        </w:tc>
        <w:tc>
          <w:tcPr>
            <w:tcW w:w="1088" w:type="dxa"/>
            <w:vMerge/>
            <w:tcBorders>
              <w:left w:val="single" w:sz="4" w:space="0" w:color="000000"/>
              <w:bottom w:val="single" w:sz="4" w:space="0" w:color="000000"/>
              <w:right w:val="single" w:sz="4" w:space="0" w:color="000000"/>
            </w:tcBorders>
            <w:shd w:val="clear" w:color="auto" w:fill="DDDDDD"/>
          </w:tcPr>
          <w:p>
            <w:pPr/>
          </w:p>
        </w:tc>
        <w:tc>
          <w:tcPr>
            <w:tcW w:w="629" w:type="dxa"/>
            <w:vMerge/>
            <w:tcBorders>
              <w:left w:val="single" w:sz="4" w:space="0" w:color="000000"/>
              <w:bottom w:val="single" w:sz="4" w:space="0" w:color="000000"/>
              <w:right w:val="single" w:sz="4" w:space="0" w:color="000000"/>
            </w:tcBorders>
            <w:shd w:val="clear" w:color="auto" w:fill="DDDDDD"/>
          </w:tcPr>
          <w:p>
            <w:pPr/>
          </w:p>
        </w:tc>
        <w:tc>
          <w:tcPr>
            <w:tcW w:w="499" w:type="dxa"/>
            <w:vMerge/>
            <w:tcBorders>
              <w:left w:val="single" w:sz="4" w:space="0" w:color="000000"/>
              <w:bottom w:val="single" w:sz="4" w:space="0" w:color="000000"/>
              <w:right w:val="single" w:sz="4" w:space="0" w:color="000000"/>
            </w:tcBorders>
            <w:shd w:val="clear" w:color="auto" w:fill="DDDDDD"/>
          </w:tcPr>
          <w:p>
            <w:pPr/>
          </w:p>
        </w:tc>
        <w:tc>
          <w:tcPr>
            <w:tcW w:w="451" w:type="dxa"/>
            <w:vMerge/>
            <w:tcBorders>
              <w:left w:val="single" w:sz="4" w:space="0" w:color="000000"/>
              <w:bottom w:val="single" w:sz="4" w:space="0" w:color="000000"/>
              <w:right w:val="single" w:sz="4" w:space="0" w:color="000000"/>
            </w:tcBorders>
            <w:shd w:val="clear" w:color="auto" w:fill="DDDDDD"/>
          </w:tcPr>
          <w:p>
            <w:pPr/>
          </w:p>
        </w:tc>
        <w:tc>
          <w:tcPr>
            <w:tcW w:w="1181" w:type="dxa"/>
            <w:vMerge/>
            <w:tcBorders>
              <w:left w:val="single" w:sz="4" w:space="0" w:color="000000"/>
              <w:bottom w:val="single" w:sz="4" w:space="0" w:color="000000"/>
              <w:right w:val="single" w:sz="4" w:space="0" w:color="000000"/>
            </w:tcBorders>
            <w:shd w:val="clear" w:color="auto" w:fill="DDDDDD"/>
          </w:tcPr>
          <w:p>
            <w:pPr/>
          </w:p>
        </w:tc>
        <w:tc>
          <w:tcPr>
            <w:tcW w:w="1253" w:type="dxa"/>
            <w:vMerge/>
            <w:tcBorders>
              <w:left w:val="single" w:sz="4" w:space="0" w:color="000000"/>
              <w:bottom w:val="single" w:sz="4" w:space="0" w:color="000000"/>
              <w:right w:val="single" w:sz="4" w:space="0" w:color="000000"/>
            </w:tcBorders>
            <w:shd w:val="clear" w:color="auto" w:fill="DDDDDD"/>
          </w:tcPr>
          <w:p>
            <w:pPr/>
          </w:p>
        </w:tc>
        <w:tc>
          <w:tcPr>
            <w:tcW w:w="1140" w:type="dxa"/>
            <w:vMerge/>
            <w:tcBorders>
              <w:left w:val="single" w:sz="4" w:space="0" w:color="000000"/>
              <w:bottom w:val="single" w:sz="4" w:space="0" w:color="000000"/>
              <w:right w:val="single" w:sz="4" w:space="0" w:color="000000"/>
            </w:tcBorders>
            <w:shd w:val="clear" w:color="auto" w:fill="DDDDDD"/>
          </w:tcPr>
          <w:p>
            <w:pPr/>
          </w:p>
        </w:tc>
        <w:tc>
          <w:tcPr>
            <w:tcW w:w="1027" w:type="dxa"/>
            <w:vMerge/>
            <w:tcBorders>
              <w:left w:val="single" w:sz="4" w:space="0" w:color="000000"/>
              <w:bottom w:val="single" w:sz="4" w:space="0" w:color="000000"/>
              <w:right w:val="single" w:sz="4" w:space="0" w:color="000000"/>
            </w:tcBorders>
            <w:shd w:val="clear" w:color="auto" w:fill="DDDDDD"/>
          </w:tcPr>
          <w:p>
            <w:pPr/>
          </w:p>
        </w:tc>
        <w:tc>
          <w:tcPr>
            <w:tcW w:w="552" w:type="dxa"/>
            <w:vMerge/>
            <w:tcBorders>
              <w:left w:val="single" w:sz="4" w:space="0" w:color="000000"/>
              <w:bottom w:val="single" w:sz="4" w:space="0" w:color="000000"/>
              <w:right w:val="single" w:sz="4" w:space="0" w:color="000000"/>
            </w:tcBorders>
            <w:shd w:val="clear" w:color="auto" w:fill="DDDDDD"/>
          </w:tcPr>
          <w:p>
            <w:pPr/>
          </w:p>
        </w:tc>
      </w:tr>
      <w:tr>
        <w:trPr>
          <w:trHeight w:val="341" w:hRule="exact"/>
        </w:trPr>
        <w:tc>
          <w:tcPr>
            <w:tcW w:w="1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88" w:type="dxa"/>
            <w:tcBorders>
              <w:top w:val="single" w:sz="50" w:space="0" w:color="DDDDDD"/>
              <w:left w:val="single" w:sz="9" w:space="0" w:color="DDDDDD"/>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108,128,284</w:t>
            </w:r>
          </w:p>
        </w:tc>
        <w:tc>
          <w:tcPr>
            <w:tcW w:w="629" w:type="dxa"/>
            <w:tcBorders>
              <w:top w:val="single" w:sz="50" w:space="0" w:color="DDDDDD"/>
              <w:left w:val="single" w:sz="4" w:space="0" w:color="000000"/>
              <w:bottom w:val="single" w:sz="4" w:space="0" w:color="000000"/>
              <w:right w:val="single" w:sz="4" w:space="0" w:color="000000"/>
            </w:tcBorders>
          </w:tcPr>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48.27</w:t>
            </w:r>
          </w:p>
        </w:tc>
        <w:tc>
          <w:tcPr>
            <w:tcW w:w="4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50" w:space="0" w:color="DDDDDD"/>
              <w:left w:val="single" w:sz="4" w:space="0" w:color="000000"/>
              <w:bottom w:val="single" w:sz="4" w:space="0" w:color="000000"/>
              <w:right w:val="single" w:sz="4" w:space="0" w:color="000000"/>
            </w:tcBorders>
          </w:tcPr>
          <w:p>
            <w:pPr/>
          </w:p>
        </w:tc>
        <w:tc>
          <w:tcPr>
            <w:tcW w:w="1181" w:type="dxa"/>
            <w:tcBorders>
              <w:top w:val="single" w:sz="50" w:space="0" w:color="DDDDDD"/>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41,088,748</w:t>
            </w:r>
          </w:p>
        </w:tc>
        <w:tc>
          <w:tcPr>
            <w:tcW w:w="1253" w:type="dxa"/>
            <w:tcBorders>
              <w:top w:val="single" w:sz="50" w:space="0" w:color="DDDDDD"/>
              <w:left w:val="single" w:sz="4" w:space="0" w:color="000000"/>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-1,571,671</w:t>
            </w:r>
          </w:p>
        </w:tc>
        <w:tc>
          <w:tcPr>
            <w:tcW w:w="1140" w:type="dxa"/>
            <w:tcBorders>
              <w:top w:val="single" w:sz="50" w:space="0" w:color="DDDDDD"/>
              <w:left w:val="single" w:sz="4" w:space="0" w:color="000000"/>
              <w:bottom w:val="single" w:sz="4" w:space="0" w:color="000000"/>
              <w:right w:val="single" w:sz="4" w:space="0" w:color="000000"/>
            </w:tcBorders>
          </w:tcPr>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39,517,077</w:t>
            </w:r>
          </w:p>
        </w:tc>
        <w:tc>
          <w:tcPr>
            <w:tcW w:w="1027" w:type="dxa"/>
            <w:tcBorders>
              <w:top w:val="single" w:sz="50" w:space="0" w:color="DDDDDD"/>
              <w:left w:val="single" w:sz="4" w:space="0" w:color="000000"/>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147,645,361</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1" w:right="0"/>
              <w:jc w:val="center"/>
              <w:rPr>
                <w:rFonts w:ascii="Times New Roman" w:hAnsi="Times New Roman" w:cs="Times New Roman" w:eastAsia="Times New Roman" w:hint="default"/>
                <w:sz w:val="18"/>
                <w:szCs w:val="18"/>
              </w:rPr>
            </w:pPr>
            <w:r>
              <w:rPr>
                <w:rFonts w:ascii="Times New Roman"/>
                <w:sz w:val="18"/>
              </w:rPr>
              <w:t>47.76</w:t>
            </w:r>
          </w:p>
        </w:tc>
      </w:tr>
      <w:tr>
        <w:trPr>
          <w:trHeight w:val="338" w:hRule="exact"/>
        </w:trPr>
        <w:tc>
          <w:tcPr>
            <w:tcW w:w="1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88" w:type="dxa"/>
            <w:tcBorders>
              <w:top w:val="single" w:sz="4" w:space="0" w:color="000000"/>
              <w:left w:val="single" w:sz="9" w:space="0" w:color="DDDDDD"/>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88" w:type="dxa"/>
            <w:tcBorders>
              <w:top w:val="single" w:sz="4" w:space="0" w:color="000000"/>
              <w:left w:val="single" w:sz="9" w:space="0" w:color="DDDDDD"/>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88" w:type="dxa"/>
            <w:tcBorders>
              <w:top w:val="single" w:sz="4" w:space="0" w:color="000000"/>
              <w:left w:val="single" w:sz="9" w:space="0" w:color="DDDDDD"/>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108,128,284</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Times New Roman" w:hAnsi="Times New Roman" w:cs="Times New Roman" w:eastAsia="Times New Roman" w:hint="default"/>
                <w:sz w:val="18"/>
                <w:szCs w:val="18"/>
              </w:rPr>
            </w:pPr>
            <w:r>
              <w:rPr>
                <w:rFonts w:ascii="Times New Roman"/>
                <w:sz w:val="18"/>
              </w:rPr>
              <w:t>48.27</w:t>
            </w:r>
          </w:p>
        </w:tc>
        <w:tc>
          <w:tcPr>
            <w:tcW w:w="4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z w:val="18"/>
              </w:rPr>
              <w:t>41,088,748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-1,571,671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39,517,077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147,645,361</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1" w:right="0"/>
              <w:jc w:val="center"/>
              <w:rPr>
                <w:rFonts w:ascii="Times New Roman" w:hAnsi="Times New Roman" w:cs="Times New Roman" w:eastAsia="Times New Roman" w:hint="default"/>
                <w:sz w:val="18"/>
                <w:szCs w:val="18"/>
              </w:rPr>
            </w:pPr>
            <w:r>
              <w:rPr>
                <w:rFonts w:ascii="Times New Roman"/>
                <w:sz w:val="18"/>
              </w:rPr>
              <w:t>47.76</w:t>
            </w:r>
          </w:p>
        </w:tc>
      </w:tr>
      <w:tr>
        <w:trPr>
          <w:trHeight w:val="574" w:hRule="exact"/>
        </w:trPr>
        <w:tc>
          <w:tcPr>
            <w:tcW w:w="1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42"/>
              <w:ind w:left="12" w:right="8" w:firstLine="91"/>
              <w:jc w:val="left"/>
              <w:rPr>
                <w:rFonts w:ascii="宋体" w:hAnsi="宋体" w:cs="宋体" w:eastAsia="宋体" w:hint="default"/>
                <w:sz w:val="18"/>
                <w:szCs w:val="18"/>
              </w:rPr>
            </w:pPr>
            <w:r>
              <w:rPr>
                <w:rFonts w:ascii="宋体" w:hAnsi="宋体" w:cs="宋体" w:eastAsia="宋体" w:hint="default"/>
                <w:spacing w:val="-6"/>
                <w:sz w:val="18"/>
                <w:szCs w:val="18"/>
              </w:rPr>
              <w:t>其中：境内非国有法人</w:t>
            </w:r>
            <w:r>
              <w:rPr>
                <w:rFonts w:ascii="宋体" w:hAnsi="宋体" w:cs="宋体" w:eastAsia="宋体" w:hint="default"/>
                <w:sz w:val="18"/>
                <w:szCs w:val="18"/>
              </w:rPr>
              <w:t> 法人持股</w:t>
            </w:r>
          </w:p>
        </w:tc>
        <w:tc>
          <w:tcPr>
            <w:tcW w:w="1088" w:type="dxa"/>
            <w:tcBorders>
              <w:top w:val="single" w:sz="4" w:space="0" w:color="000000"/>
              <w:left w:val="single" w:sz="9" w:space="0" w:color="DDDDDD"/>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4" w:lineRule="exact" w:before="17"/>
              <w:ind w:left="643" w:right="-13"/>
              <w:jc w:val="left"/>
              <w:rPr>
                <w:rFonts w:ascii="宋体" w:hAnsi="宋体" w:cs="宋体" w:eastAsia="宋体" w:hint="default"/>
                <w:sz w:val="18"/>
                <w:szCs w:val="18"/>
              </w:rPr>
            </w:pPr>
            <w:r>
              <w:rPr>
                <w:rFonts w:ascii="宋体" w:hAnsi="宋体" w:cs="宋体" w:eastAsia="宋体" w:hint="default"/>
                <w:spacing w:val="19"/>
                <w:sz w:val="18"/>
                <w:szCs w:val="18"/>
              </w:rPr>
              <w:t>境内自然人持</w:t>
            </w:r>
            <w:r>
              <w:rPr>
                <w:rFonts w:ascii="宋体" w:hAnsi="宋体" w:cs="宋体" w:eastAsia="宋体" w:hint="default"/>
                <w:spacing w:val="-67"/>
                <w:sz w:val="18"/>
                <w:szCs w:val="18"/>
              </w:rPr>
              <w:t> </w:t>
            </w:r>
            <w:r>
              <w:rPr>
                <w:rFonts w:ascii="宋体" w:hAnsi="宋体" w:cs="宋体" w:eastAsia="宋体" w:hint="default"/>
                <w:sz w:val="18"/>
                <w:szCs w:val="18"/>
              </w:rPr>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88" w:type="dxa"/>
            <w:tcBorders>
              <w:top w:val="single" w:sz="4" w:space="0" w:color="000000"/>
              <w:left w:val="single" w:sz="9" w:space="0" w:color="DDDDDD"/>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108,128,284</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48.27</w:t>
            </w:r>
          </w:p>
        </w:tc>
        <w:tc>
          <w:tcPr>
            <w:tcW w:w="4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41,088,748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-1,571,671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39,517,077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147,645,361</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47.76</w:t>
            </w:r>
          </w:p>
        </w:tc>
      </w:tr>
      <w:tr>
        <w:trPr>
          <w:trHeight w:val="341" w:hRule="exact"/>
        </w:trPr>
        <w:tc>
          <w:tcPr>
            <w:tcW w:w="1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88" w:type="dxa"/>
            <w:tcBorders>
              <w:top w:val="single" w:sz="4" w:space="0" w:color="000000"/>
              <w:left w:val="single" w:sz="9" w:space="0" w:color="DDDDDD"/>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88" w:type="dxa"/>
            <w:tcBorders>
              <w:top w:val="single" w:sz="4" w:space="0" w:color="000000"/>
              <w:left w:val="single" w:sz="9" w:space="0" w:color="DDDDDD"/>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574" w:hRule="exact"/>
        </w:trPr>
        <w:tc>
          <w:tcPr>
            <w:tcW w:w="1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5" w:lineRule="exact" w:before="17"/>
              <w:ind w:left="643" w:right="-13"/>
              <w:jc w:val="left"/>
              <w:rPr>
                <w:rFonts w:ascii="宋体" w:hAnsi="宋体" w:cs="宋体" w:eastAsia="宋体" w:hint="default"/>
                <w:sz w:val="18"/>
                <w:szCs w:val="18"/>
              </w:rPr>
            </w:pPr>
            <w:r>
              <w:rPr>
                <w:rFonts w:ascii="宋体" w:hAnsi="宋体" w:cs="宋体" w:eastAsia="宋体" w:hint="default"/>
                <w:spacing w:val="19"/>
                <w:sz w:val="18"/>
                <w:szCs w:val="18"/>
              </w:rPr>
              <w:t>境外自然人持</w:t>
            </w:r>
            <w:r>
              <w:rPr>
                <w:rFonts w:ascii="宋体" w:hAnsi="宋体" w:cs="宋体" w:eastAsia="宋体" w:hint="default"/>
                <w:spacing w:val="-67"/>
                <w:sz w:val="18"/>
                <w:szCs w:val="18"/>
              </w:rPr>
              <w:t> </w:t>
            </w:r>
            <w:r>
              <w:rPr>
                <w:rFonts w:ascii="宋体" w:hAnsi="宋体" w:cs="宋体" w:eastAsia="宋体" w:hint="default"/>
                <w:sz w:val="18"/>
                <w:szCs w:val="18"/>
              </w:rPr>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88" w:type="dxa"/>
            <w:tcBorders>
              <w:top w:val="single" w:sz="4" w:space="0" w:color="000000"/>
              <w:left w:val="single" w:sz="9" w:space="0" w:color="DDDDDD"/>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、高管锁定股份</w:t>
            </w:r>
          </w:p>
        </w:tc>
        <w:tc>
          <w:tcPr>
            <w:tcW w:w="1088" w:type="dxa"/>
            <w:tcBorders>
              <w:top w:val="single" w:sz="4" w:space="0" w:color="000000"/>
              <w:left w:val="single" w:sz="9" w:space="0" w:color="DDDDDD"/>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108,128,284</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Times New Roman" w:hAnsi="Times New Roman" w:cs="Times New Roman" w:eastAsia="Times New Roman" w:hint="default"/>
                <w:sz w:val="18"/>
                <w:szCs w:val="18"/>
              </w:rPr>
            </w:pPr>
            <w:r>
              <w:rPr>
                <w:rFonts w:ascii="Times New Roman"/>
                <w:sz w:val="18"/>
              </w:rPr>
              <w:t>48.27</w:t>
            </w:r>
          </w:p>
        </w:tc>
        <w:tc>
          <w:tcPr>
            <w:tcW w:w="4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z w:val="18"/>
              </w:rPr>
              <w:t>41,088,748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-1,571,671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39,517,077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147,645,361</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1" w:right="0"/>
              <w:jc w:val="center"/>
              <w:rPr>
                <w:rFonts w:ascii="Times New Roman" w:hAnsi="Times New Roman" w:cs="Times New Roman" w:eastAsia="Times New Roman" w:hint="default"/>
                <w:sz w:val="18"/>
                <w:szCs w:val="18"/>
              </w:rPr>
            </w:pPr>
            <w:r>
              <w:rPr>
                <w:rFonts w:ascii="Times New Roman"/>
                <w:sz w:val="18"/>
              </w:rPr>
              <w:t>47.76</w:t>
            </w:r>
          </w:p>
        </w:tc>
      </w:tr>
      <w:tr>
        <w:trPr>
          <w:trHeight w:val="341" w:hRule="exact"/>
        </w:trPr>
        <w:tc>
          <w:tcPr>
            <w:tcW w:w="1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88" w:type="dxa"/>
            <w:tcBorders>
              <w:top w:val="single" w:sz="4" w:space="0" w:color="000000"/>
              <w:left w:val="single" w:sz="9" w:space="0" w:color="DDDDDD"/>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115,871,716</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Times New Roman" w:hAnsi="Times New Roman" w:cs="Times New Roman" w:eastAsia="Times New Roman" w:hint="default"/>
                <w:sz w:val="18"/>
                <w:szCs w:val="18"/>
              </w:rPr>
            </w:pPr>
            <w:r>
              <w:rPr>
                <w:rFonts w:ascii="Times New Roman"/>
                <w:sz w:val="18"/>
              </w:rPr>
              <w:t>51.73</w:t>
            </w:r>
          </w:p>
        </w:tc>
        <w:tc>
          <w:tcPr>
            <w:tcW w:w="4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z w:val="18"/>
              </w:rPr>
              <w:t>44,031,252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1,571,671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45,602,923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161,474,639</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0" w:right="0"/>
              <w:jc w:val="center"/>
              <w:rPr>
                <w:rFonts w:ascii="Times New Roman" w:hAnsi="Times New Roman" w:cs="Times New Roman" w:eastAsia="Times New Roman" w:hint="default"/>
                <w:sz w:val="18"/>
                <w:szCs w:val="18"/>
              </w:rPr>
            </w:pPr>
            <w:r>
              <w:rPr>
                <w:rFonts w:ascii="Times New Roman"/>
                <w:sz w:val="18"/>
              </w:rPr>
              <w:t>52.24</w:t>
            </w:r>
          </w:p>
        </w:tc>
      </w:tr>
      <w:tr>
        <w:trPr>
          <w:trHeight w:val="338" w:hRule="exact"/>
        </w:trPr>
        <w:tc>
          <w:tcPr>
            <w:tcW w:w="1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88" w:type="dxa"/>
            <w:tcBorders>
              <w:top w:val="single" w:sz="4" w:space="0" w:color="000000"/>
              <w:left w:val="single" w:sz="9" w:space="0" w:color="DDDDDD"/>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115,871,716</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6"/>
              <w:jc w:val="right"/>
              <w:rPr>
                <w:rFonts w:ascii="Times New Roman" w:hAnsi="Times New Roman" w:cs="Times New Roman" w:eastAsia="Times New Roman" w:hint="default"/>
                <w:sz w:val="18"/>
                <w:szCs w:val="18"/>
              </w:rPr>
            </w:pPr>
            <w:r>
              <w:rPr>
                <w:rFonts w:ascii="Times New Roman"/>
                <w:sz w:val="18"/>
              </w:rPr>
              <w:t>51.73</w:t>
            </w:r>
          </w:p>
        </w:tc>
        <w:tc>
          <w:tcPr>
            <w:tcW w:w="4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z w:val="18"/>
              </w:rPr>
              <w:t>44,031,252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1,571,671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4"/>
              <w:jc w:val="right"/>
              <w:rPr>
                <w:rFonts w:ascii="Times New Roman" w:hAnsi="Times New Roman" w:cs="Times New Roman" w:eastAsia="Times New Roman" w:hint="default"/>
                <w:sz w:val="18"/>
                <w:szCs w:val="18"/>
              </w:rPr>
            </w:pPr>
            <w:r>
              <w:rPr>
                <w:rFonts w:ascii="Times New Roman"/>
                <w:sz w:val="18"/>
              </w:rPr>
              <w:t>45,602,923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161,474,639</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0" w:right="0"/>
              <w:jc w:val="center"/>
              <w:rPr>
                <w:rFonts w:ascii="Times New Roman" w:hAnsi="Times New Roman" w:cs="Times New Roman" w:eastAsia="Times New Roman" w:hint="default"/>
                <w:sz w:val="18"/>
                <w:szCs w:val="18"/>
              </w:rPr>
            </w:pPr>
            <w:r>
              <w:rPr>
                <w:rFonts w:ascii="Times New Roman"/>
                <w:sz w:val="18"/>
              </w:rPr>
              <w:t>52.24</w:t>
            </w:r>
          </w:p>
        </w:tc>
      </w:tr>
      <w:tr>
        <w:trPr>
          <w:trHeight w:val="341" w:hRule="exact"/>
        </w:trPr>
        <w:tc>
          <w:tcPr>
            <w:tcW w:w="1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88" w:type="dxa"/>
            <w:tcBorders>
              <w:top w:val="single" w:sz="4" w:space="0" w:color="000000"/>
              <w:left w:val="single" w:sz="9" w:space="0" w:color="DDDDDD"/>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88" w:type="dxa"/>
            <w:tcBorders>
              <w:top w:val="single" w:sz="4" w:space="0" w:color="000000"/>
              <w:left w:val="single" w:sz="9" w:space="0" w:color="DDDDDD"/>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8" w:type="dxa"/>
            <w:tcBorders>
              <w:top w:val="single" w:sz="4" w:space="0" w:color="000000"/>
              <w:left w:val="single" w:sz="9" w:space="0" w:color="DDDDDD"/>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8" w:type="dxa"/>
            <w:tcBorders>
              <w:top w:val="single" w:sz="4" w:space="0" w:color="000000"/>
              <w:left w:val="single" w:sz="9" w:space="0" w:color="DDDDDD"/>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224,000,000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100</w:t>
            </w:r>
          </w:p>
        </w:tc>
        <w:tc>
          <w:tcPr>
            <w:tcW w:w="4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z w:val="18"/>
              </w:rPr>
              <w:t>85,120,000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85,120,000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309,120,000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57" w:lineRule="exact"/>
        <w:ind w:left="565"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w:t>
      </w:r>
      <w:r>
        <w:rPr>
          <w:spacing w:val="-6"/>
        </w:rPr>
        <w:t> </w:t>
      </w:r>
      <w:r>
        <w:rPr>
          <w:rFonts w:ascii="Times New Roman" w:hAnsi="Times New Roman" w:cs="Times New Roman" w:eastAsia="Times New Roman" w:hint="default"/>
          <w:spacing w:val="-4"/>
        </w:rPr>
        <w:t>1</w:t>
      </w:r>
      <w:r>
        <w:rPr>
          <w:spacing w:val="-4"/>
        </w:rPr>
        <w:t>、根据公司</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3"/>
        </w:rPr>
        <w:t>年年度股东大会决议，公司向截止</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日下午深圳证券交易所收</w:t>
      </w:r>
    </w:p>
    <w:p>
      <w:pPr>
        <w:pStyle w:val="BodyText"/>
        <w:spacing w:line="240" w:lineRule="auto" w:before="117"/>
        <w:ind w:right="0"/>
        <w:jc w:val="left"/>
      </w:pPr>
      <w:r>
        <w:rPr/>
        <w:t>市后，在中国证券登记结算有限责任公司深圳分公司登记在册的本公司全体股东以资本公积金每 </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t>股转</w:t>
      </w:r>
    </w:p>
    <w:p>
      <w:pPr>
        <w:pStyle w:val="BodyText"/>
        <w:spacing w:line="340" w:lineRule="auto" w:before="117"/>
        <w:ind w:right="147"/>
        <w:jc w:val="left"/>
      </w:pPr>
      <w:r>
        <w:rPr/>
        <w:t>增</w:t>
      </w:r>
      <w:r>
        <w:rPr>
          <w:spacing w:val="-44"/>
        </w:rPr>
        <w:t> </w:t>
      </w:r>
      <w:r>
        <w:rPr>
          <w:rFonts w:ascii="Times New Roman" w:hAnsi="Times New Roman" w:cs="Times New Roman" w:eastAsia="Times New Roman" w:hint="default"/>
        </w:rPr>
        <w:t>3.8</w:t>
      </w:r>
      <w:r>
        <w:rPr>
          <w:rFonts w:ascii="Times New Roman" w:hAnsi="Times New Roman" w:cs="Times New Roman" w:eastAsia="Times New Roman" w:hint="default"/>
          <w:spacing w:val="6"/>
        </w:rPr>
        <w:t> </w:t>
      </w:r>
      <w:r>
        <w:rPr>
          <w:spacing w:val="-5"/>
        </w:rPr>
        <w:t>股；本次转增完成后，公司总股本由</w:t>
      </w:r>
      <w:r>
        <w:rPr>
          <w:spacing w:val="-44"/>
        </w:rPr>
        <w:t> </w:t>
      </w:r>
      <w:r>
        <w:rPr>
          <w:rFonts w:ascii="Times New Roman" w:hAnsi="Times New Roman" w:cs="Times New Roman" w:eastAsia="Times New Roman" w:hint="default"/>
        </w:rPr>
        <w:t>22,400</w:t>
      </w:r>
      <w:r>
        <w:rPr>
          <w:rFonts w:ascii="Times New Roman" w:hAnsi="Times New Roman" w:cs="Times New Roman" w:eastAsia="Times New Roman" w:hint="default"/>
          <w:spacing w:val="6"/>
        </w:rPr>
        <w:t> </w:t>
      </w:r>
      <w:r>
        <w:rPr/>
        <w:t>万股增至</w:t>
      </w:r>
      <w:r>
        <w:rPr>
          <w:spacing w:val="-44"/>
        </w:rPr>
        <w:t> </w:t>
      </w:r>
      <w:r>
        <w:rPr>
          <w:rFonts w:ascii="Times New Roman" w:hAnsi="Times New Roman" w:cs="Times New Roman" w:eastAsia="Times New Roman" w:hint="default"/>
        </w:rPr>
        <w:t>30,912</w:t>
      </w:r>
      <w:r>
        <w:rPr>
          <w:rFonts w:ascii="Times New Roman" w:hAnsi="Times New Roman" w:cs="Times New Roman" w:eastAsia="Times New Roman" w:hint="default"/>
          <w:spacing w:val="6"/>
        </w:rPr>
        <w:t> </w:t>
      </w:r>
      <w:r>
        <w:rPr>
          <w:spacing w:val="-4"/>
        </w:rPr>
        <w:t>万股。资本公积金转增股本方案已于报</w:t>
      </w:r>
      <w:r>
        <w:rPr>
          <w:spacing w:val="-99"/>
        </w:rPr>
        <w:t> </w:t>
      </w:r>
      <w:r>
        <w:rPr>
          <w:spacing w:val="-99"/>
        </w:rPr>
      </w:r>
      <w:r>
        <w:rPr/>
        <w:t>告期内实施完毕。</w:t>
      </w:r>
      <w:r>
        <w:rPr>
          <w:w w:val="100"/>
        </w:rPr>
        <w:t> </w:t>
      </w:r>
      <w:r>
        <w:rPr>
          <w:rFonts w:ascii="Times New Roman" w:hAnsi="Times New Roman" w:cs="Times New Roman" w:eastAsia="Times New Roman" w:hint="default"/>
        </w:rPr>
        <w:t>2</w:t>
      </w:r>
      <w:r>
        <w:rPr/>
        <w:t>、公司第三届董事会副董事长李殿坤先生于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日不再担任公司副董事长，根据《深圳证券交</w:t>
      </w:r>
      <w:r>
        <w:rPr>
          <w:spacing w:val="-27"/>
        </w:rPr>
        <w:t> </w:t>
      </w:r>
      <w:r>
        <w:rPr>
          <w:spacing w:val="-27"/>
        </w:rPr>
      </w:r>
      <w:r>
        <w:rPr/>
        <w:t>易所中小板上市公司规范运作指引》</w:t>
      </w:r>
      <w:r>
        <w:rPr>
          <w:rFonts w:ascii="Times New Roman" w:hAnsi="Times New Roman" w:cs="Times New Roman" w:eastAsia="Times New Roman" w:hint="default"/>
        </w:rPr>
        <w:t>3.8.13</w:t>
      </w:r>
      <w:r>
        <w:rPr/>
        <w:t>，上市公司董事、监事和高级管理人员离任并委托公司申报个</w:t>
      </w:r>
      <w:r>
        <w:rPr>
          <w:spacing w:val="-30"/>
        </w:rPr>
        <w:t> </w:t>
      </w:r>
      <w:r>
        <w:rPr>
          <w:spacing w:val="-30"/>
        </w:rPr>
      </w:r>
      <w:r>
        <w:rPr>
          <w:spacing w:val="-2"/>
        </w:rPr>
        <w:t>人信息后，中国结算深圳分公司自其申报离任日起六个月内将其持有及新增的本公司股份全部锁定，因此</w:t>
      </w:r>
      <w:r>
        <w:rPr>
          <w:spacing w:val="-42"/>
        </w:rPr>
        <w:t> </w:t>
      </w:r>
      <w:r>
        <w:rPr>
          <w:spacing w:val="-42"/>
        </w:rPr>
      </w:r>
      <w:r>
        <w:rPr>
          <w:spacing w:val="-2"/>
        </w:rPr>
        <w:t>李殿坤先生</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日持有的</w:t>
      </w:r>
      <w:r>
        <w:rPr>
          <w:rFonts w:ascii="Times New Roman" w:hAnsi="Times New Roman" w:cs="Times New Roman" w:eastAsia="Times New Roman" w:hint="default"/>
          <w:spacing w:val="-2"/>
        </w:rPr>
        <w:t>2,288,284</w:t>
      </w:r>
      <w:r>
        <w:rPr>
          <w:spacing w:val="-2"/>
        </w:rPr>
        <w:t>股全部锁定。自离任人员的离任信息申报之日起六个月的第一</w:t>
      </w:r>
      <w:r>
        <w:rPr>
          <w:spacing w:val="-25"/>
        </w:rPr>
        <w:t> </w:t>
      </w:r>
      <w:r>
        <w:rPr>
          <w:spacing w:val="-25"/>
        </w:rPr>
      </w:r>
      <w:r>
        <w:rPr>
          <w:spacing w:val="22"/>
        </w:rPr>
        <w:t>个交易日，其持有的股份按</w:t>
      </w:r>
      <w:r>
        <w:rPr>
          <w:spacing w:val="-39"/>
        </w:rPr>
        <w:t> </w:t>
      </w:r>
      <w:r>
        <w:rPr>
          <w:rFonts w:ascii="Times New Roman" w:hAnsi="Times New Roman" w:cs="Times New Roman" w:eastAsia="Times New Roman" w:hint="default"/>
        </w:rPr>
        <w:t>50%</w:t>
      </w:r>
      <w:r>
        <w:rPr>
          <w:rFonts w:ascii="Times New Roman" w:hAnsi="Times New Roman" w:cs="Times New Roman" w:eastAsia="Times New Roman" w:hint="default"/>
          <w:spacing w:val="12"/>
        </w:rPr>
        <w:t> </w:t>
      </w:r>
      <w:r>
        <w:rPr>
          <w:spacing w:val="23"/>
        </w:rPr>
        <w:t>比例进行锁定。报告期内：李殿坤先生持有的限售股份减少：</w:t>
      </w:r>
      <w:r>
        <w:rPr>
          <w:spacing w:val="-69"/>
        </w:rPr>
        <w:t> </w:t>
      </w:r>
      <w:r>
        <w:rPr>
          <w:spacing w:val="-69"/>
        </w:rPr>
      </w:r>
      <w:r>
        <w:rPr>
          <w:rFonts w:ascii="Times New Roman" w:hAnsi="Times New Roman" w:cs="Times New Roman" w:eastAsia="Times New Roman" w:hint="default"/>
        </w:rPr>
        <w:t>2288284*1.38/2=1,578,916</w:t>
      </w:r>
      <w:r>
        <w:rPr/>
        <w:t>。另外，公司于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日聘任的副总裁王敏敏女士于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日持有</w:t>
      </w:r>
      <w:r>
        <w:rPr>
          <w:spacing w:val="-52"/>
        </w:rPr>
        <w:t> </w:t>
      </w:r>
      <w:r>
        <w:rPr>
          <w:spacing w:val="24"/>
        </w:rPr>
        <w:t>公司股份</w:t>
      </w:r>
      <w:r>
        <w:rPr>
          <w:spacing w:val="-60"/>
        </w:rPr>
        <w:t> </w:t>
      </w:r>
      <w:r>
        <w:rPr>
          <w:rFonts w:ascii="Times New Roman" w:hAnsi="Times New Roman" w:cs="Times New Roman" w:eastAsia="Times New Roman" w:hint="default"/>
        </w:rPr>
        <w:t>9,650</w:t>
      </w:r>
      <w:r>
        <w:rPr>
          <w:rFonts w:ascii="Times New Roman" w:hAnsi="Times New Roman" w:cs="Times New Roman" w:eastAsia="Times New Roman" w:hint="default"/>
          <w:spacing w:val="-11"/>
        </w:rPr>
        <w:t> </w:t>
      </w:r>
      <w:r>
        <w:rPr>
          <w:spacing w:val="28"/>
        </w:rPr>
        <w:t>股，其中锁定股份</w:t>
      </w:r>
      <w:r>
        <w:rPr>
          <w:spacing w:val="-60"/>
        </w:rPr>
        <w:t> </w:t>
      </w:r>
      <w:r>
        <w:rPr>
          <w:rFonts w:ascii="Times New Roman" w:hAnsi="Times New Roman" w:cs="Times New Roman" w:eastAsia="Times New Roman" w:hint="default"/>
        </w:rPr>
        <w:t>7,245</w:t>
      </w:r>
      <w:r>
        <w:rPr>
          <w:rFonts w:ascii="Times New Roman" w:hAnsi="Times New Roman" w:cs="Times New Roman" w:eastAsia="Times New Roman" w:hint="default"/>
          <w:spacing w:val="-11"/>
        </w:rPr>
        <w:t> </w:t>
      </w:r>
      <w:r>
        <w:rPr>
          <w:spacing w:val="29"/>
        </w:rPr>
        <w:t>股为本报告期增加的限售股份</w:t>
      </w:r>
      <w:r>
        <w:rPr>
          <w:spacing w:val="-64"/>
        </w:rPr>
        <w:t>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合</w:t>
      </w:r>
      <w:r>
        <w:rPr>
          <w:spacing w:val="-62"/>
        </w:rPr>
        <w:t> </w:t>
      </w:r>
      <w:r>
        <w:rPr>
          <w:spacing w:val="28"/>
        </w:rPr>
        <w:t>计限售股份减少为</w:t>
      </w:r>
      <w:r>
        <w:rPr>
          <w:spacing w:val="-62"/>
        </w:rPr>
        <w:t> </w:t>
      </w:r>
      <w:r>
        <w:rPr/>
        <w:t>：</w:t>
      </w:r>
      <w:r>
        <w:rPr>
          <w:spacing w:val="-98"/>
        </w:rPr>
        <w:t> </w:t>
      </w:r>
      <w:r>
        <w:rPr>
          <w:spacing w:val="-98"/>
        </w:rPr>
      </w:r>
      <w:r>
        <w:rPr>
          <w:rFonts w:ascii="Times New Roman" w:hAnsi="Times New Roman" w:cs="Times New Roman" w:eastAsia="Times New Roman" w:hint="default"/>
        </w:rPr>
        <w:t>1,578,915-7,245=1,571,671</w:t>
      </w:r>
      <w:r>
        <w:rPr/>
        <w:t>。</w:t>
      </w:r>
    </w:p>
    <w:p>
      <w:pPr>
        <w:spacing w:after="0" w:line="340" w:lineRule="auto"/>
        <w:jc w:val="left"/>
        <w:sectPr>
          <w:pgSz w:w="11910" w:h="16840"/>
          <w:pgMar w:header="850" w:footer="979" w:top="1200" w:bottom="1160" w:left="980" w:right="980"/>
        </w:sectPr>
      </w:pPr>
    </w:p>
    <w:p>
      <w:pPr>
        <w:spacing w:line="240" w:lineRule="auto" w:before="2"/>
        <w:rPr>
          <w:rFonts w:ascii="宋体" w:hAnsi="宋体" w:cs="宋体" w:eastAsia="宋体" w:hint="default"/>
          <w:sz w:val="23"/>
          <w:szCs w:val="23"/>
        </w:rPr>
      </w:pPr>
    </w:p>
    <w:p>
      <w:pPr>
        <w:pStyle w:val="Heading4"/>
        <w:spacing w:line="240" w:lineRule="auto" w:before="36"/>
        <w:ind w:left="152" w:right="0"/>
        <w:jc w:val="left"/>
        <w:rPr>
          <w:b w:val="0"/>
          <w:bCs w:val="0"/>
        </w:rPr>
      </w:pPr>
      <w:r>
        <w:rPr/>
        <w:t>（二）限售股份变动情况表（单位：股）</w:t>
      </w:r>
      <w:r>
        <w:rPr>
          <w:b w:val="0"/>
          <w:bCs w:val="0"/>
        </w:rPr>
      </w:r>
    </w:p>
    <w:p>
      <w:pPr>
        <w:spacing w:line="240" w:lineRule="auto" w:before="13"/>
        <w:rPr>
          <w:rFonts w:ascii="宋体" w:hAnsi="宋体" w:cs="宋体" w:eastAsia="宋体" w:hint="default"/>
          <w:b/>
          <w:bCs/>
          <w:sz w:val="12"/>
          <w:szCs w:val="12"/>
        </w:rPr>
      </w:pPr>
    </w:p>
    <w:tbl>
      <w:tblPr>
        <w:tblW w:w="0" w:type="auto"/>
        <w:jc w:val="left"/>
        <w:tblInd w:w="191" w:type="dxa"/>
        <w:tblLayout w:type="fixed"/>
        <w:tblCellMar>
          <w:top w:w="0" w:type="dxa"/>
          <w:left w:w="0" w:type="dxa"/>
          <w:bottom w:w="0" w:type="dxa"/>
          <w:right w:w="0" w:type="dxa"/>
        </w:tblCellMar>
        <w:tblLook w:val="01E0"/>
      </w:tblPr>
      <w:tblGrid>
        <w:gridCol w:w="775"/>
        <w:gridCol w:w="1138"/>
        <w:gridCol w:w="1495"/>
        <w:gridCol w:w="1495"/>
        <w:gridCol w:w="1138"/>
        <w:gridCol w:w="984"/>
        <w:gridCol w:w="2503"/>
      </w:tblGrid>
      <w:tr>
        <w:trPr>
          <w:trHeight w:val="338" w:hRule="exact"/>
        </w:trPr>
        <w:tc>
          <w:tcPr>
            <w:tcW w:w="77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right="23"/>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14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right="19"/>
              <w:jc w:val="right"/>
              <w:rPr>
                <w:rFonts w:ascii="宋体" w:hAnsi="宋体" w:cs="宋体" w:eastAsia="宋体" w:hint="default"/>
                <w:sz w:val="18"/>
                <w:szCs w:val="18"/>
              </w:rPr>
            </w:pPr>
            <w:r>
              <w:rPr>
                <w:rFonts w:ascii="宋体" w:hAnsi="宋体" w:cs="宋体" w:eastAsia="宋体" w:hint="default"/>
                <w:sz w:val="18"/>
                <w:szCs w:val="18"/>
              </w:rPr>
              <w:t>本年解除限售股数</w:t>
            </w:r>
          </w:p>
        </w:tc>
        <w:tc>
          <w:tcPr>
            <w:tcW w:w="14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right="19"/>
              <w:jc w:val="right"/>
              <w:rPr>
                <w:rFonts w:ascii="宋体" w:hAnsi="宋体" w:cs="宋体" w:eastAsia="宋体" w:hint="default"/>
                <w:sz w:val="18"/>
                <w:szCs w:val="18"/>
              </w:rPr>
            </w:pPr>
            <w:r>
              <w:rPr>
                <w:rFonts w:ascii="宋体" w:hAnsi="宋体" w:cs="宋体" w:eastAsia="宋体" w:hint="default"/>
                <w:sz w:val="18"/>
                <w:szCs w:val="18"/>
              </w:rPr>
              <w:t>本年增加限售股数</w:t>
            </w:r>
          </w:p>
        </w:tc>
        <w:tc>
          <w:tcPr>
            <w:tcW w:w="113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right="23"/>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98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50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38" w:hRule="exact"/>
        </w:trPr>
        <w:tc>
          <w:tcPr>
            <w:tcW w:w="77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1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138"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105,840,000</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40,219,200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146,059,200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可减持上年末所持股份的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341" w:hRule="exact"/>
        </w:trPr>
        <w:tc>
          <w:tcPr>
            <w:tcW w:w="77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left="112" w:right="0"/>
              <w:jc w:val="left"/>
              <w:rPr>
                <w:rFonts w:ascii="宋体" w:hAnsi="宋体" w:cs="宋体" w:eastAsia="宋体" w:hint="default"/>
                <w:sz w:val="18"/>
                <w:szCs w:val="18"/>
              </w:rPr>
            </w:pPr>
            <w:r>
              <w:rPr>
                <w:rFonts w:ascii="宋体" w:hAnsi="宋体" w:cs="宋体" w:eastAsia="宋体" w:hint="default"/>
                <w:sz w:val="18"/>
                <w:szCs w:val="18"/>
              </w:rPr>
              <w:t>王敏敏</w:t>
            </w:r>
          </w:p>
        </w:tc>
        <w:tc>
          <w:tcPr>
            <w:tcW w:w="1138"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sz w:val="18"/>
              </w:rPr>
              <w:t>0</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7,245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z w:val="18"/>
              </w:rPr>
              <w:t>7,245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可减持上年末所持股份的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547" w:hRule="exact"/>
        </w:trPr>
        <w:tc>
          <w:tcPr>
            <w:tcW w:w="775" w:type="dxa"/>
            <w:tcBorders>
              <w:top w:val="single" w:sz="45" w:space="0" w:color="DDDDDD"/>
              <w:left w:val="single" w:sz="13" w:space="0" w:color="DDDDDD"/>
              <w:bottom w:val="single" w:sz="45" w:space="0" w:color="DDDDDD"/>
              <w:right w:val="single" w:sz="10" w:space="0" w:color="DDDDDD"/>
            </w:tcBorders>
          </w:tcPr>
          <w:p>
            <w:pPr>
              <w:pStyle w:val="TableParagraph"/>
              <w:spacing w:line="240" w:lineRule="auto" w:before="6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2"/>
                <w:sz w:val="18"/>
                <w:szCs w:val="18"/>
                <w:shd w:fill="DDDDDD" w:color="auto" w:val="clear"/>
              </w:rPr>
              <w:t> </w:t>
            </w:r>
            <w:r>
              <w:rPr>
                <w:rFonts w:ascii="Times New Roman" w:hAnsi="Times New Roman" w:cs="Times New Roman" w:eastAsia="Times New Roman" w:hint="default"/>
                <w:sz w:val="18"/>
                <w:szCs w:val="18"/>
                <w:shd w:fill="DDDDDD" w:color="auto" w:val="clear"/>
              </w:rPr>
              <w:t>*</w:t>
            </w:r>
            <w:r>
              <w:rPr>
                <w:rFonts w:ascii="宋体" w:hAnsi="宋体" w:cs="宋体" w:eastAsia="宋体" w:hint="default"/>
                <w:sz w:val="18"/>
                <w:szCs w:val="18"/>
                <w:shd w:fill="DDDDDD" w:color="auto" w:val="clear"/>
              </w:rPr>
              <w:t>李殿坤</w:t>
            </w:r>
            <w:r>
              <w:rPr>
                <w:rFonts w:ascii="宋体" w:hAnsi="宋体" w:cs="宋体" w:eastAsia="宋体" w:hint="default"/>
                <w:sz w:val="18"/>
                <w:szCs w:val="18"/>
              </w:rPr>
            </w:r>
          </w:p>
        </w:tc>
        <w:tc>
          <w:tcPr>
            <w:tcW w:w="1138"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1"/>
                <w:sz w:val="18"/>
              </w:rPr>
              <w:t>2,288,284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8"/>
              <w:jc w:val="right"/>
              <w:rPr>
                <w:rFonts w:ascii="Times New Roman" w:hAnsi="Times New Roman" w:cs="Times New Roman" w:eastAsia="Times New Roman" w:hint="default"/>
                <w:sz w:val="18"/>
                <w:szCs w:val="18"/>
              </w:rPr>
            </w:pPr>
            <w:r>
              <w:rPr>
                <w:rFonts w:ascii="Times New Roman"/>
                <w:spacing w:val="-1"/>
                <w:sz w:val="18"/>
              </w:rPr>
              <w:t>1,578,916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z w:val="18"/>
              </w:rPr>
              <w:t>869,547.92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pacing w:val="-1"/>
                <w:sz w:val="18"/>
              </w:rPr>
              <w:t>1,578,916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3" w:right="0"/>
              <w:jc w:val="left"/>
              <w:rPr>
                <w:rFonts w:ascii="宋体" w:hAnsi="宋体" w:cs="宋体" w:eastAsia="宋体" w:hint="default"/>
                <w:sz w:val="18"/>
                <w:szCs w:val="18"/>
              </w:rPr>
            </w:pPr>
            <w:r>
              <w:rPr>
                <w:rFonts w:ascii="宋体" w:hAnsi="宋体" w:cs="宋体" w:eastAsia="宋体" w:hint="default"/>
                <w:spacing w:val="8"/>
                <w:sz w:val="18"/>
                <w:szCs w:val="18"/>
              </w:rPr>
              <w:t>离任可减持上年末所持股份的</w:t>
            </w:r>
            <w:r>
              <w:rPr>
                <w:rFonts w:ascii="宋体" w:hAnsi="宋体" w:cs="宋体" w:eastAsia="宋体" w:hint="default"/>
                <w:sz w:val="18"/>
                <w:szCs w:val="18"/>
              </w:rPr>
            </w:r>
          </w:p>
          <w:p>
            <w:pPr>
              <w:pStyle w:val="TableParagraph"/>
              <w:spacing w:line="240" w:lineRule="auto" w:before="22"/>
              <w:ind w:left="23" w:right="0"/>
              <w:jc w:val="left"/>
              <w:rPr>
                <w:rFonts w:ascii="Times New Roman" w:hAnsi="Times New Roman" w:cs="Times New Roman" w:eastAsia="Times New Roman" w:hint="default"/>
                <w:sz w:val="18"/>
                <w:szCs w:val="18"/>
              </w:rPr>
            </w:pPr>
            <w:r>
              <w:rPr>
                <w:rFonts w:ascii="Times New Roman"/>
                <w:sz w:val="18"/>
              </w:rPr>
              <w:t>50%</w:t>
            </w:r>
          </w:p>
        </w:tc>
      </w:tr>
      <w:tr>
        <w:trPr>
          <w:trHeight w:val="118" w:hRule="exact"/>
        </w:trPr>
        <w:tc>
          <w:tcPr>
            <w:tcW w:w="775" w:type="dxa"/>
            <w:tcBorders>
              <w:top w:val="single" w:sz="4" w:space="0" w:color="000000"/>
              <w:left w:val="single" w:sz="4" w:space="0" w:color="000000"/>
              <w:bottom w:val="nil" w:sz="6" w:space="0" w:color="auto"/>
              <w:right w:val="single" w:sz="4" w:space="0" w:color="000000"/>
            </w:tcBorders>
            <w:shd w:val="clear" w:color="auto" w:fill="DDDDDD"/>
          </w:tcPr>
          <w:p>
            <w:pPr/>
          </w:p>
        </w:tc>
        <w:tc>
          <w:tcPr>
            <w:tcW w:w="1138" w:type="dxa"/>
            <w:vMerge w:val="restart"/>
            <w:tcBorders>
              <w:top w:val="single" w:sz="4" w:space="0" w:color="000000"/>
              <w:left w:val="single" w:sz="10" w:space="0" w:color="DDDDDD"/>
              <w:right w:val="single" w:sz="4" w:space="0" w:color="000000"/>
            </w:tcBorders>
          </w:tcPr>
          <w:p>
            <w:pPr>
              <w:pStyle w:val="TableParagraph"/>
              <w:spacing w:line="240" w:lineRule="auto" w:before="43"/>
              <w:ind w:left="196" w:right="0"/>
              <w:jc w:val="left"/>
              <w:rPr>
                <w:rFonts w:ascii="Times New Roman" w:hAnsi="Times New Roman" w:cs="Times New Roman" w:eastAsia="Times New Roman" w:hint="default"/>
                <w:sz w:val="18"/>
                <w:szCs w:val="18"/>
              </w:rPr>
            </w:pPr>
            <w:r>
              <w:rPr>
                <w:rFonts w:ascii="Times New Roman"/>
                <w:sz w:val="18"/>
              </w:rPr>
              <w:t>108,128,284</w:t>
            </w:r>
          </w:p>
        </w:tc>
        <w:tc>
          <w:tcPr>
            <w:tcW w:w="1495" w:type="dxa"/>
            <w:vMerge w:val="restart"/>
            <w:tcBorders>
              <w:top w:val="single" w:sz="4" w:space="0" w:color="000000"/>
              <w:left w:val="single" w:sz="4" w:space="0" w:color="000000"/>
              <w:right w:val="single" w:sz="4" w:space="0" w:color="000000"/>
            </w:tcBorders>
          </w:tcPr>
          <w:p>
            <w:pPr>
              <w:pStyle w:val="TableParagraph"/>
              <w:spacing w:line="240" w:lineRule="auto" w:before="43"/>
              <w:ind w:left="743" w:right="0"/>
              <w:jc w:val="left"/>
              <w:rPr>
                <w:rFonts w:ascii="Times New Roman" w:hAnsi="Times New Roman" w:cs="Times New Roman" w:eastAsia="Times New Roman" w:hint="default"/>
                <w:sz w:val="18"/>
                <w:szCs w:val="18"/>
              </w:rPr>
            </w:pPr>
            <w:r>
              <w:rPr>
                <w:rFonts w:ascii="Times New Roman"/>
                <w:sz w:val="18"/>
              </w:rPr>
              <w:t>1,578,916</w:t>
            </w:r>
          </w:p>
        </w:tc>
        <w:tc>
          <w:tcPr>
            <w:tcW w:w="1495" w:type="dxa"/>
            <w:vMerge w:val="restart"/>
            <w:tcBorders>
              <w:top w:val="single" w:sz="4" w:space="0" w:color="000000"/>
              <w:left w:val="single" w:sz="4" w:space="0" w:color="000000"/>
              <w:right w:val="single" w:sz="4" w:space="0" w:color="000000"/>
            </w:tcBorders>
          </w:tcPr>
          <w:p>
            <w:pPr>
              <w:pStyle w:val="TableParagraph"/>
              <w:spacing w:line="240" w:lineRule="auto" w:before="43"/>
              <w:ind w:left="652" w:right="0"/>
              <w:jc w:val="left"/>
              <w:rPr>
                <w:rFonts w:ascii="Times New Roman" w:hAnsi="Times New Roman" w:cs="Times New Roman" w:eastAsia="Times New Roman" w:hint="default"/>
                <w:sz w:val="18"/>
                <w:szCs w:val="18"/>
              </w:rPr>
            </w:pPr>
            <w:r>
              <w:rPr>
                <w:rFonts w:ascii="Times New Roman"/>
                <w:sz w:val="18"/>
              </w:rPr>
              <w:t>41,095,993</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43"/>
              <w:ind w:left="203" w:right="0"/>
              <w:jc w:val="left"/>
              <w:rPr>
                <w:rFonts w:ascii="Times New Roman" w:hAnsi="Times New Roman" w:cs="Times New Roman" w:eastAsia="Times New Roman" w:hint="default"/>
                <w:sz w:val="18"/>
                <w:szCs w:val="18"/>
              </w:rPr>
            </w:pPr>
            <w:r>
              <w:rPr>
                <w:rFonts w:ascii="Times New Roman"/>
                <w:sz w:val="18"/>
              </w:rPr>
              <w:t>147,645,361</w:t>
            </w:r>
          </w:p>
        </w:tc>
        <w:tc>
          <w:tcPr>
            <w:tcW w:w="98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0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49" w:hRule="exact"/>
        </w:trPr>
        <w:tc>
          <w:tcPr>
            <w:tcW w:w="775" w:type="dxa"/>
            <w:tcBorders>
              <w:top w:val="nil" w:sz="6" w:space="0" w:color="auto"/>
              <w:left w:val="single" w:sz="4" w:space="0" w:color="000000"/>
              <w:bottom w:val="single" w:sz="4" w:space="0" w:color="000000"/>
              <w:right w:val="single" w:sz="4" w:space="0" w:color="000000"/>
            </w:tcBorders>
            <w:shd w:val="clear" w:color="auto" w:fill="DDDDDD"/>
          </w:tcPr>
          <w:p>
            <w:pPr>
              <w:pStyle w:val="TableParagraph"/>
              <w:spacing w:line="240" w:lineRule="auto" w:before="17"/>
              <w:ind w:left="2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8" w:type="dxa"/>
            <w:vMerge/>
            <w:tcBorders>
              <w:left w:val="single" w:sz="10" w:space="0" w:color="DDDDDD"/>
              <w:bottom w:val="single" w:sz="4" w:space="0" w:color="000000"/>
              <w:right w:val="single" w:sz="4" w:space="0" w:color="000000"/>
            </w:tcBorders>
          </w:tcPr>
          <w:p>
            <w:pPr/>
          </w:p>
        </w:tc>
        <w:tc>
          <w:tcPr>
            <w:tcW w:w="1495" w:type="dxa"/>
            <w:vMerge/>
            <w:tcBorders>
              <w:left w:val="single" w:sz="4" w:space="0" w:color="000000"/>
              <w:bottom w:val="single" w:sz="4" w:space="0" w:color="000000"/>
              <w:right w:val="single" w:sz="4" w:space="0" w:color="000000"/>
            </w:tcBorders>
          </w:tcPr>
          <w:p>
            <w:pPr/>
          </w:p>
        </w:tc>
        <w:tc>
          <w:tcPr>
            <w:tcW w:w="1495"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2503" w:type="dxa"/>
            <w:vMerge/>
            <w:tcBorders>
              <w:left w:val="single" w:sz="4" w:space="0" w:color="000000"/>
              <w:bottom w:val="single" w:sz="4" w:space="0" w:color="000000"/>
              <w:right w:val="single" w:sz="4" w:space="0" w:color="000000"/>
            </w:tcBorders>
          </w:tcPr>
          <w:p>
            <w:pPr/>
          </w:p>
        </w:tc>
      </w:tr>
    </w:tbl>
    <w:p>
      <w:pPr>
        <w:pStyle w:val="BodyText"/>
        <w:spacing w:line="257" w:lineRule="exact"/>
        <w:ind w:right="0" w:firstLine="419"/>
        <w:jc w:val="left"/>
      </w:pP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spacing w:val="-2"/>
        </w:rPr>
        <w:t>根据公司</w:t>
      </w:r>
      <w:r>
        <w:rPr>
          <w:rFonts w:ascii="Times New Roman" w:hAnsi="Times New Roman" w:cs="Times New Roman" w:eastAsia="Times New Roman" w:hint="default"/>
          <w:spacing w:val="-2"/>
        </w:rPr>
        <w:t>2010</w:t>
      </w:r>
      <w:r>
        <w:rPr>
          <w:spacing w:val="-2"/>
        </w:rPr>
        <w:t>年年度股东大会决议，公司向截止</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日下午深圳证券交易所收市后，</w:t>
      </w:r>
      <w:r>
        <w:rPr/>
      </w:r>
    </w:p>
    <w:p>
      <w:pPr>
        <w:pStyle w:val="BodyText"/>
        <w:spacing w:line="336" w:lineRule="auto" w:before="119"/>
        <w:ind w:right="0"/>
        <w:jc w:val="left"/>
      </w:pPr>
      <w:r>
        <w:rPr>
          <w:spacing w:val="-2"/>
        </w:rPr>
        <w:t>在中国证券登记结算有限责任公司深圳分公司登记在册的本公司全体股东以资本公积金每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3.8</w:t>
      </w:r>
      <w:r>
        <w:rPr>
          <w:spacing w:val="-2"/>
        </w:rPr>
        <w:t>股；</w:t>
      </w:r>
      <w:r>
        <w:rPr>
          <w:spacing w:val="-16"/>
        </w:rPr>
        <w:t> </w:t>
      </w:r>
      <w:r>
        <w:rPr/>
        <w:t>本次转增完成后，公司总股本由</w:t>
      </w:r>
      <w:r>
        <w:rPr>
          <w:rFonts w:ascii="Times New Roman" w:hAnsi="Times New Roman" w:cs="Times New Roman" w:eastAsia="Times New Roman" w:hint="default"/>
        </w:rPr>
        <w:t>22,400</w:t>
      </w:r>
      <w:r>
        <w:rPr/>
        <w:t>万股增至</w:t>
      </w:r>
      <w:r>
        <w:rPr>
          <w:rFonts w:ascii="Times New Roman" w:hAnsi="Times New Roman" w:cs="Times New Roman" w:eastAsia="Times New Roman" w:hint="default"/>
        </w:rPr>
        <w:t>30,912</w:t>
      </w:r>
      <w:r>
        <w:rPr/>
        <w:t>万股。</w:t>
      </w:r>
    </w:p>
    <w:p>
      <w:pPr>
        <w:pStyle w:val="BodyText"/>
        <w:spacing w:line="336" w:lineRule="auto" w:before="24"/>
        <w:ind w:left="153" w:right="0" w:firstLine="419"/>
        <w:jc w:val="left"/>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24</w:t>
      </w:r>
      <w:r>
        <w:rPr>
          <w:spacing w:val="-2"/>
        </w:rPr>
        <w:t>日聘任的副总裁王敏敏女士于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日持有公司股份</w:t>
      </w:r>
      <w:r>
        <w:rPr>
          <w:rFonts w:ascii="Times New Roman" w:hAnsi="Times New Roman" w:cs="Times New Roman" w:eastAsia="Times New Roman" w:hint="default"/>
          <w:spacing w:val="-2"/>
        </w:rPr>
        <w:t>9,650</w:t>
      </w:r>
      <w:r>
        <w:rPr>
          <w:spacing w:val="-2"/>
        </w:rPr>
        <w:t>股，其中高管</w:t>
      </w:r>
      <w:r>
        <w:rPr>
          <w:spacing w:val="-3"/>
          <w:w w:val="100"/>
        </w:rPr>
        <w:t> </w:t>
      </w:r>
      <w:r>
        <w:rPr/>
        <w:t>锁定股份</w:t>
      </w:r>
      <w:r>
        <w:rPr>
          <w:rFonts w:ascii="Times New Roman" w:hAnsi="Times New Roman" w:cs="Times New Roman" w:eastAsia="Times New Roman" w:hint="default"/>
        </w:rPr>
        <w:t>7,245</w:t>
      </w:r>
      <w:r>
        <w:rPr/>
        <w:t>股为本报告期增加的限售股份。</w:t>
      </w:r>
    </w:p>
    <w:p>
      <w:pPr>
        <w:pStyle w:val="BodyText"/>
        <w:spacing w:line="345" w:lineRule="auto" w:before="24"/>
        <w:ind w:left="153" w:right="0" w:firstLine="419"/>
        <w:jc w:val="left"/>
        <w:rPr>
          <w:rFonts w:ascii="Times New Roman" w:hAnsi="Times New Roman" w:cs="Times New Roman" w:eastAsia="Times New Roman" w:hint="default"/>
        </w:rPr>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spacing w:val="-4"/>
        </w:rPr>
        <w:t>公司第三届董事会副董事长李殿坤先生于</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15</w:t>
      </w:r>
      <w:r>
        <w:rPr>
          <w:spacing w:val="-4"/>
        </w:rPr>
        <w:t>日不再担任公司副董事长，根据《深圳证券</w:t>
      </w:r>
      <w:r>
        <w:rPr>
          <w:spacing w:val="-3"/>
          <w:w w:val="100"/>
        </w:rPr>
        <w:t> </w:t>
      </w:r>
      <w:r>
        <w:rPr/>
        <w:t>交易所中小板上市公司规范运作指引》</w:t>
      </w:r>
      <w:r>
        <w:rPr>
          <w:rFonts w:ascii="Times New Roman" w:hAnsi="Times New Roman" w:cs="Times New Roman" w:eastAsia="Times New Roman" w:hint="default"/>
        </w:rPr>
        <w:t>3.8.13</w:t>
      </w:r>
      <w:r>
        <w:rPr/>
        <w:t>，上市公司董事、监事和高级管理人员离任并委托公司申报</w:t>
      </w:r>
      <w:r>
        <w:rPr>
          <w:w w:val="100"/>
        </w:rPr>
        <w:t> </w:t>
      </w:r>
      <w:r>
        <w:rPr>
          <w:spacing w:val="-2"/>
        </w:rPr>
        <w:t>个人信息后，中国结算深圳分公司自其申报离任日起六个月内将其持有及新增的本公司股份全部锁定，因</w:t>
      </w:r>
      <w:r>
        <w:rPr>
          <w:spacing w:val="-44"/>
        </w:rPr>
        <w:t> </w:t>
      </w:r>
      <w:r>
        <w:rPr>
          <w:spacing w:val="-44"/>
        </w:rPr>
      </w:r>
      <w:r>
        <w:rPr>
          <w:spacing w:val="-2"/>
        </w:rPr>
        <w:t>此李殿坤先生</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日持有的</w:t>
      </w:r>
      <w:r>
        <w:rPr>
          <w:rFonts w:ascii="Times New Roman" w:hAnsi="Times New Roman" w:cs="Times New Roman" w:eastAsia="Times New Roman" w:hint="default"/>
          <w:spacing w:val="-2"/>
        </w:rPr>
        <w:t>2,288,284</w:t>
      </w:r>
      <w:r>
        <w:rPr>
          <w:spacing w:val="-2"/>
        </w:rPr>
        <w:t>股全部锁定。自离任人员的离任信息申报之日起六个月的第</w:t>
      </w:r>
      <w:r>
        <w:rPr>
          <w:spacing w:val="-34"/>
        </w:rPr>
        <w:t> </w:t>
      </w:r>
      <w:r>
        <w:rPr>
          <w:spacing w:val="-34"/>
        </w:rPr>
      </w:r>
      <w:r>
        <w:rPr/>
        <w:t>一个交易日，其持有的股份按</w:t>
      </w:r>
      <w:r>
        <w:rPr>
          <w:rFonts w:ascii="Times New Roman" w:hAnsi="Times New Roman" w:cs="Times New Roman" w:eastAsia="Times New Roman" w:hint="default"/>
        </w:rPr>
        <w:t>50%</w:t>
      </w:r>
      <w:r>
        <w:rPr/>
        <w:t>比例进行锁定。报告期内：李殿坤先生持有的限售股份减少：</w:t>
      </w:r>
      <w:r>
        <w:rPr>
          <w:w w:val="100"/>
        </w:rPr>
        <w:t> </w:t>
      </w:r>
      <w:r>
        <w:rPr>
          <w:rFonts w:ascii="Times New Roman" w:hAnsi="Times New Roman" w:cs="Times New Roman" w:eastAsia="Times New Roman" w:hint="default"/>
        </w:rPr>
        <w:t>2288284*1.38/2=1,578,916</w:t>
      </w:r>
    </w:p>
    <w:p>
      <w:pPr>
        <w:pStyle w:val="Heading4"/>
        <w:spacing w:line="240" w:lineRule="auto" w:before="110"/>
        <w:ind w:right="0"/>
        <w:jc w:val="left"/>
        <w:rPr>
          <w:b w:val="0"/>
          <w:bCs w:val="0"/>
        </w:rPr>
      </w:pPr>
      <w:r>
        <w:rPr/>
        <w:t>二、股票发行与上市情况</w:t>
      </w:r>
      <w:r>
        <w:rPr>
          <w:b w:val="0"/>
          <w:bCs w:val="0"/>
        </w:rPr>
      </w:r>
    </w:p>
    <w:p>
      <w:pPr>
        <w:spacing w:line="240" w:lineRule="auto" w:before="7"/>
        <w:rPr>
          <w:rFonts w:ascii="宋体" w:hAnsi="宋体" w:cs="宋体" w:eastAsia="宋体" w:hint="default"/>
          <w:b/>
          <w:bCs/>
          <w:sz w:val="19"/>
          <w:szCs w:val="19"/>
        </w:rPr>
      </w:pPr>
    </w:p>
    <w:p>
      <w:pPr>
        <w:pStyle w:val="BodyText"/>
        <w:spacing w:line="338" w:lineRule="auto"/>
        <w:ind w:right="244" w:firstLine="42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月，经中国证券监督管理委员会证监发字【</w:t>
      </w:r>
      <w:r>
        <w:rPr>
          <w:rFonts w:ascii="Times New Roman" w:hAnsi="Times New Roman" w:cs="Times New Roman" w:eastAsia="Times New Roman" w:hint="default"/>
          <w:spacing w:val="-2"/>
        </w:rPr>
        <w:t>2007</w:t>
      </w:r>
      <w:r>
        <w:rPr>
          <w:spacing w:val="-2"/>
        </w:rPr>
        <w:t>】</w:t>
      </w:r>
      <w:r>
        <w:rPr>
          <w:rFonts w:ascii="Times New Roman" w:hAnsi="Times New Roman" w:cs="Times New Roman" w:eastAsia="Times New Roman" w:hint="default"/>
          <w:spacing w:val="-2"/>
        </w:rPr>
        <w:t>189</w:t>
      </w:r>
      <w:r>
        <w:rPr>
          <w:spacing w:val="-2"/>
        </w:rPr>
        <w:t>号《关于核准北京中长石基信息技</w:t>
      </w:r>
      <w:r>
        <w:rPr>
          <w:spacing w:val="-3"/>
          <w:w w:val="100"/>
        </w:rPr>
        <w:t> </w:t>
      </w:r>
      <w:r>
        <w:rPr>
          <w:spacing w:val="-2"/>
        </w:rPr>
        <w:t>术股份有限公司首次公开发行股票的通知》核准，本公司于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27</w:t>
      </w:r>
      <w:r>
        <w:rPr>
          <w:spacing w:val="-2"/>
        </w:rPr>
        <w:t>日、</w:t>
      </w:r>
      <w:r>
        <w:rPr>
          <w:rFonts w:ascii="Times New Roman" w:hAnsi="Times New Roman" w:cs="Times New Roman" w:eastAsia="Times New Roman" w:hint="default"/>
          <w:spacing w:val="-2"/>
        </w:rPr>
        <w:t>30</w:t>
      </w:r>
      <w:r>
        <w:rPr>
          <w:spacing w:val="-2"/>
        </w:rPr>
        <w:t>日，采用网下向询价对象</w:t>
      </w:r>
      <w:r>
        <w:rPr>
          <w:spacing w:val="-18"/>
        </w:rPr>
        <w:t> </w:t>
      </w:r>
      <w:r>
        <w:rPr>
          <w:spacing w:val="-18"/>
        </w:rPr>
      </w:r>
      <w:r>
        <w:rPr>
          <w:spacing w:val="-2"/>
        </w:rPr>
        <w:t>询价配售与网上资金申购定价发行相结合的方式，首次公开发行人民币普通股（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400</w:t>
      </w:r>
      <w:r>
        <w:rPr>
          <w:spacing w:val="-2"/>
        </w:rPr>
        <w:t>万股；其中</w:t>
      </w:r>
      <w:r>
        <w:rPr>
          <w:spacing w:val="-17"/>
        </w:rPr>
        <w:t> </w:t>
      </w:r>
      <w:r>
        <w:rPr>
          <w:spacing w:val="-17"/>
        </w:rPr>
      </w:r>
      <w:r>
        <w:rPr>
          <w:spacing w:val="-2"/>
        </w:rPr>
        <w:t>网下向询价对象询价配售</w:t>
      </w:r>
      <w:r>
        <w:rPr>
          <w:rFonts w:ascii="Times New Roman" w:hAnsi="Times New Roman" w:cs="Times New Roman" w:eastAsia="Times New Roman" w:hint="default"/>
          <w:spacing w:val="-2"/>
        </w:rPr>
        <w:t>280</w:t>
      </w:r>
      <w:r>
        <w:rPr>
          <w:spacing w:val="-2"/>
        </w:rPr>
        <w:t>万股，网上向社会公众投资者按市值配售</w:t>
      </w:r>
      <w:r>
        <w:rPr>
          <w:rFonts w:ascii="Times New Roman" w:hAnsi="Times New Roman" w:cs="Times New Roman" w:eastAsia="Times New Roman" w:hint="default"/>
          <w:spacing w:val="-2"/>
        </w:rPr>
        <w:t>1,120</w:t>
      </w:r>
      <w:r>
        <w:rPr>
          <w:spacing w:val="-2"/>
        </w:rPr>
        <w:t>万股。网下配售部分已于</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日在保荐机构</w:t>
      </w:r>
      <w:r>
        <w:rPr>
          <w:rFonts w:ascii="Times New Roman" w:hAnsi="Times New Roman" w:cs="Times New Roman" w:eastAsia="Times New Roman" w:hint="default"/>
        </w:rPr>
        <w:t>(</w:t>
      </w:r>
      <w:r>
        <w:rPr/>
        <w:t>主承销商</w:t>
      </w:r>
      <w:r>
        <w:rPr>
          <w:rFonts w:ascii="Times New Roman" w:hAnsi="Times New Roman" w:cs="Times New Roman" w:eastAsia="Times New Roman" w:hint="default"/>
        </w:rPr>
        <w:t>)</w:t>
      </w:r>
      <w:r>
        <w:rPr/>
        <w:t>国信证券有限责任公司主持下发行完毕，网上配售部分已于</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41"/>
        </w:rPr>
        <w:t> </w:t>
      </w:r>
      <w:r>
        <w:rPr/>
        <w:t>月</w:t>
      </w:r>
      <w:r>
        <w:rPr>
          <w:w w:val="100"/>
        </w:rPr>
        <w:t> </w:t>
      </w:r>
      <w:r>
        <w:rPr>
          <w:rFonts w:ascii="Times New Roman" w:hAnsi="Times New Roman" w:cs="Times New Roman" w:eastAsia="Times New Roman" w:hint="default"/>
        </w:rPr>
        <w:t>30</w:t>
      </w:r>
      <w:r>
        <w:rPr>
          <w:rFonts w:ascii="Times New Roman" w:hAnsi="Times New Roman" w:cs="Times New Roman" w:eastAsia="Times New Roman" w:hint="default"/>
          <w:spacing w:val="45"/>
        </w:rPr>
        <w:t> </w:t>
      </w:r>
      <w:r>
        <w:rPr/>
        <w:t>日成功发行。公司股本由</w:t>
      </w:r>
      <w:r>
        <w:rPr>
          <w:rFonts w:ascii="Times New Roman" w:hAnsi="Times New Roman" w:cs="Times New Roman" w:eastAsia="Times New Roman" w:hint="default"/>
        </w:rPr>
        <w:t>4,200</w:t>
      </w:r>
      <w:r>
        <w:rPr/>
        <w:t>万股增加到</w:t>
      </w:r>
      <w:r>
        <w:rPr>
          <w:rFonts w:ascii="Times New Roman" w:hAnsi="Times New Roman" w:cs="Times New Roman" w:eastAsia="Times New Roman" w:hint="default"/>
        </w:rPr>
        <w:t>5,600</w:t>
      </w:r>
      <w:r>
        <w:rPr/>
        <w:t>万股。</w:t>
      </w:r>
    </w:p>
    <w:p>
      <w:pPr>
        <w:pStyle w:val="BodyText"/>
        <w:spacing w:line="338" w:lineRule="auto" w:before="22"/>
        <w:ind w:left="153" w:right="0" w:firstLine="41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月，经深圳证券交易所深证上【</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125</w:t>
      </w:r>
      <w:r>
        <w:rPr/>
        <w:t>号文批准，本公司公开发行的</w:t>
      </w:r>
      <w:r>
        <w:rPr>
          <w:rFonts w:ascii="Times New Roman" w:hAnsi="Times New Roman" w:cs="Times New Roman" w:eastAsia="Times New Roman" w:hint="default"/>
        </w:rPr>
        <w:t>1,400</w:t>
      </w:r>
      <w:r>
        <w:rPr/>
        <w:t>万股人民</w:t>
      </w:r>
      <w:r>
        <w:rPr>
          <w:spacing w:val="-3"/>
          <w:w w:val="100"/>
        </w:rPr>
        <w:t> </w:t>
      </w:r>
      <w:r>
        <w:rPr>
          <w:spacing w:val="-2"/>
        </w:rPr>
        <w:t>币普通股（</w:t>
      </w:r>
      <w:r>
        <w:rPr>
          <w:rFonts w:ascii="Times New Roman" w:hAnsi="Times New Roman" w:cs="Times New Roman" w:eastAsia="Times New Roman" w:hint="default"/>
          <w:spacing w:val="-2"/>
        </w:rPr>
        <w:t>A</w:t>
      </w:r>
      <w:r>
        <w:rPr>
          <w:spacing w:val="-2"/>
        </w:rPr>
        <w:t>股）在深圳证券交易所挂牌交易。其中：网上定价发行的</w:t>
      </w:r>
      <w:r>
        <w:rPr>
          <w:rFonts w:ascii="Times New Roman" w:hAnsi="Times New Roman" w:cs="Times New Roman" w:eastAsia="Times New Roman" w:hint="default"/>
          <w:spacing w:val="-2"/>
        </w:rPr>
        <w:t>1,120</w:t>
      </w:r>
      <w:r>
        <w:rPr>
          <w:spacing w:val="-2"/>
        </w:rPr>
        <w:t>万股股票于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日上</w:t>
      </w:r>
      <w:r>
        <w:rPr>
          <w:spacing w:val="-19"/>
        </w:rPr>
        <w:t> </w:t>
      </w:r>
      <w:r>
        <w:rPr>
          <w:spacing w:val="-2"/>
        </w:rPr>
        <w:t>市交易，股票简称</w:t>
      </w:r>
      <w:r>
        <w:rPr>
          <w:rFonts w:ascii="Times New Roman" w:hAnsi="Times New Roman" w:cs="Times New Roman" w:eastAsia="Times New Roman" w:hint="default"/>
          <w:spacing w:val="-2"/>
        </w:rPr>
        <w:t>“</w:t>
      </w:r>
      <w:r>
        <w:rPr>
          <w:spacing w:val="-2"/>
        </w:rPr>
        <w:t>石基信息</w:t>
      </w:r>
      <w:r>
        <w:rPr>
          <w:rFonts w:ascii="Times New Roman" w:hAnsi="Times New Roman" w:cs="Times New Roman" w:eastAsia="Times New Roman" w:hint="default"/>
          <w:spacing w:val="-2"/>
        </w:rPr>
        <w:t>”</w:t>
      </w:r>
      <w:r>
        <w:rPr>
          <w:spacing w:val="-2"/>
        </w:rPr>
        <w:t>，股票代码</w:t>
      </w:r>
      <w:r>
        <w:rPr>
          <w:rFonts w:ascii="Times New Roman" w:hAnsi="Times New Roman" w:cs="Times New Roman" w:eastAsia="Times New Roman" w:hint="default"/>
          <w:spacing w:val="-2"/>
        </w:rPr>
        <w:t>“002153</w:t>
      </w:r>
      <w:r>
        <w:rPr>
          <w:rFonts w:ascii="Times New Roman" w:hAnsi="Times New Roman" w:cs="Times New Roman" w:eastAsia="Times New Roman" w:hint="default"/>
        </w:rPr>
        <w:t> </w:t>
      </w:r>
      <w:r>
        <w:rPr>
          <w:rFonts w:ascii="Times New Roman" w:hAnsi="Times New Roman" w:cs="Times New Roman" w:eastAsia="Times New Roman" w:hint="default"/>
          <w:spacing w:val="-2"/>
        </w:rPr>
        <w:t>”</w:t>
      </w:r>
      <w:r>
        <w:rPr>
          <w:spacing w:val="-2"/>
        </w:rPr>
        <w:t>，股票发行价</w:t>
      </w:r>
      <w:r>
        <w:rPr>
          <w:rFonts w:ascii="Times New Roman" w:hAnsi="Times New Roman" w:cs="Times New Roman" w:eastAsia="Times New Roman" w:hint="default"/>
          <w:spacing w:val="-2"/>
        </w:rPr>
        <w:t>21.50</w:t>
      </w:r>
      <w:r>
        <w:rPr>
          <w:spacing w:val="-2"/>
        </w:rPr>
        <w:t>元</w:t>
      </w:r>
      <w:r>
        <w:rPr>
          <w:rFonts w:ascii="Times New Roman" w:hAnsi="Times New Roman" w:cs="Times New Roman" w:eastAsia="Times New Roman" w:hint="default"/>
          <w:spacing w:val="-2"/>
        </w:rPr>
        <w:t>/</w:t>
      </w:r>
      <w:r>
        <w:rPr>
          <w:spacing w:val="-2"/>
        </w:rPr>
        <w:t>股。其余股票的上市可交易时间</w:t>
      </w:r>
      <w:r>
        <w:rPr>
          <w:spacing w:val="-63"/>
        </w:rPr>
        <w:t> </w:t>
      </w:r>
      <w:r>
        <w:rPr>
          <w:spacing w:val="-63"/>
        </w:rPr>
      </w:r>
      <w:r>
        <w:rPr/>
        <w:t>按照有关法律法规、深交所上市规则及公司相关股东的承诺执行。</w:t>
      </w:r>
    </w:p>
    <w:p>
      <w:pPr>
        <w:pStyle w:val="BodyText"/>
        <w:spacing w:line="240" w:lineRule="auto" w:before="47"/>
        <w:ind w:left="573" w:right="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日召开的</w:t>
      </w:r>
      <w:r>
        <w:rPr>
          <w:rFonts w:ascii="Times New Roman" w:hAnsi="Times New Roman" w:cs="Times New Roman" w:eastAsia="Times New Roman" w:hint="default"/>
        </w:rPr>
        <w:t>2007</w:t>
      </w:r>
      <w:r>
        <w:rPr/>
        <w:t>年年度股东大会审议通过了公司</w:t>
      </w:r>
      <w:r>
        <w:rPr>
          <w:rFonts w:ascii="Times New Roman" w:hAnsi="Times New Roman" w:cs="Times New Roman" w:eastAsia="Times New Roman" w:hint="default"/>
        </w:rPr>
        <w:t>2007</w:t>
      </w:r>
      <w:r>
        <w:rPr/>
        <w:t>年度分红派息方案，公司以</w:t>
      </w:r>
    </w:p>
    <w:p>
      <w:pPr>
        <w:pStyle w:val="BodyText"/>
        <w:spacing w:line="240" w:lineRule="auto" w:before="117"/>
        <w:ind w:left="153" w:right="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日为股权登记日，以截止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5,600</w:t>
      </w:r>
      <w:r>
        <w:rPr/>
        <w:t>万股为基数，向全体股东以公积金每</w:t>
      </w:r>
    </w:p>
    <w:p>
      <w:pPr>
        <w:pStyle w:val="BodyText"/>
        <w:spacing w:line="240" w:lineRule="auto" w:before="117"/>
        <w:ind w:left="153" w:right="0"/>
        <w:jc w:val="left"/>
      </w:pP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股红股，转增完成后，公司总股本由</w:t>
      </w:r>
      <w:r>
        <w:rPr>
          <w:rFonts w:ascii="Times New Roman" w:hAnsi="Times New Roman" w:cs="Times New Roman" w:eastAsia="Times New Roman" w:hint="default"/>
        </w:rPr>
        <w:t>5,600</w:t>
      </w:r>
      <w:r>
        <w:rPr/>
        <w:t>万股增至</w:t>
      </w:r>
      <w:r>
        <w:rPr>
          <w:rFonts w:ascii="Times New Roman" w:hAnsi="Times New Roman" w:cs="Times New Roman" w:eastAsia="Times New Roman" w:hint="default"/>
        </w:rPr>
        <w:t>11,200</w:t>
      </w:r>
      <w:r>
        <w:rPr/>
        <w:t>万股。</w:t>
      </w:r>
    </w:p>
    <w:p>
      <w:pPr>
        <w:pStyle w:val="BodyText"/>
        <w:spacing w:line="240" w:lineRule="auto" w:before="117"/>
        <w:ind w:left="572" w:right="0"/>
        <w:jc w:val="left"/>
      </w:pP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日召开的</w:t>
      </w:r>
      <w:r>
        <w:rPr>
          <w:rFonts w:ascii="Times New Roman" w:hAnsi="Times New Roman" w:cs="Times New Roman" w:eastAsia="Times New Roman" w:hint="default"/>
        </w:rPr>
        <w:t>2008</w:t>
      </w:r>
      <w:r>
        <w:rPr/>
        <w:t>年年度股东大会审议通过了公司</w:t>
      </w:r>
      <w:r>
        <w:rPr>
          <w:rFonts w:ascii="Times New Roman" w:hAnsi="Times New Roman" w:cs="Times New Roman" w:eastAsia="Times New Roman" w:hint="default"/>
        </w:rPr>
        <w:t>2008</w:t>
      </w:r>
      <w:r>
        <w:rPr/>
        <w:t>年度分红派息方案，公司以</w:t>
      </w:r>
    </w:p>
    <w:p>
      <w:pPr>
        <w:pStyle w:val="BodyText"/>
        <w:spacing w:line="240" w:lineRule="auto" w:before="119"/>
        <w:ind w:right="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日为股权登记日，以截止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11,200</w:t>
      </w:r>
      <w:r>
        <w:rPr/>
        <w:t>万股为基数，向全体股东以公积金每</w:t>
      </w:r>
    </w:p>
    <w:p>
      <w:pPr>
        <w:pStyle w:val="BodyText"/>
        <w:spacing w:line="240" w:lineRule="auto" w:before="117"/>
        <w:ind w:left="153" w:right="0"/>
        <w:jc w:val="left"/>
      </w:pP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股红股，转增完成后，公司总股本由</w:t>
      </w:r>
      <w:r>
        <w:rPr>
          <w:rFonts w:ascii="Times New Roman" w:hAnsi="Times New Roman" w:cs="Times New Roman" w:eastAsia="Times New Roman" w:hint="default"/>
        </w:rPr>
        <w:t>11,200</w:t>
      </w:r>
      <w:r>
        <w:rPr/>
        <w:t>万股增至</w:t>
      </w:r>
      <w:r>
        <w:rPr>
          <w:rFonts w:ascii="Times New Roman" w:hAnsi="Times New Roman" w:cs="Times New Roman" w:eastAsia="Times New Roman" w:hint="default"/>
        </w:rPr>
        <w:t>22,400</w:t>
      </w:r>
      <w:r>
        <w:rPr/>
        <w:t>万股。</w:t>
      </w:r>
    </w:p>
    <w:p>
      <w:pPr>
        <w:spacing w:after="0" w:line="240" w:lineRule="auto"/>
        <w:jc w:val="left"/>
        <w:sectPr>
          <w:footerReference w:type="default" r:id="rId13"/>
          <w:pgSz w:w="11910" w:h="16840"/>
          <w:pgMar w:footer="979" w:header="850" w:top="1200" w:bottom="1160" w:left="980" w:right="920"/>
          <w:pgNumType w:start="10"/>
        </w:sectPr>
      </w:pPr>
    </w:p>
    <w:p>
      <w:pPr>
        <w:pStyle w:val="BodyText"/>
        <w:spacing w:line="240" w:lineRule="auto" w:before="30"/>
        <w:ind w:left="572" w:right="0"/>
        <w:jc w:val="left"/>
      </w:pPr>
      <w:r>
        <w:rPr/>
        <w:pict>
          <v:group style="position:absolute;margin-left:55.200001pt;margin-top:2.843687pt;width:484.8pt;height:.1pt;mso-position-horizontal-relative:page;mso-position-vertical-relative:paragraph;z-index:-773392" coordorigin="1104,57" coordsize="9696,2">
            <v:shape style="position:absolute;left:1104;top:57;width:9696;height:2" coordorigin="1104,57" coordsize="9696,0" path="m1104,57l10800,57e" filled="false" stroked="true" strokeweight=".72pt" strokecolor="#000000">
              <v:path arrowok="t"/>
            </v:shape>
            <w10:wrap type="none"/>
          </v:group>
        </w:pict>
      </w:r>
      <w:r>
        <w:rPr>
          <w:rFonts w:ascii="Times New Roman" w:hAnsi="Times New Roman" w:cs="Times New Roman" w:eastAsia="Times New Roman" w:hint="default"/>
        </w:rPr>
        <w:t>5</w:t>
      </w:r>
      <w:r>
        <w:rPr/>
        <w:t>、公司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2010</w:t>
      </w:r>
      <w:r>
        <w:rPr/>
        <w:t>年年度股东大会审议通过了</w:t>
      </w:r>
      <w:r>
        <w:rPr>
          <w:rFonts w:ascii="Times New Roman" w:hAnsi="Times New Roman" w:cs="Times New Roman" w:eastAsia="Times New Roman" w:hint="default"/>
        </w:rPr>
        <w:t>2010</w:t>
      </w:r>
      <w:r>
        <w:rPr/>
        <w:t>年度分红派息方案，公司以</w:t>
      </w:r>
      <w:r>
        <w:rPr>
          <w:rFonts w:ascii="Times New Roman" w:hAnsi="Times New Roman" w:cs="Times New Roman" w:eastAsia="Times New Roman" w:hint="default"/>
        </w:rPr>
        <w:t>2011</w:t>
      </w:r>
      <w:r>
        <w:rPr/>
        <w:t>年</w:t>
      </w:r>
    </w:p>
    <w:p>
      <w:pPr>
        <w:pStyle w:val="BodyText"/>
        <w:spacing w:line="336" w:lineRule="auto" w:before="117"/>
        <w:ind w:right="0"/>
        <w:jc w:val="left"/>
      </w:pP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6</w:t>
      </w:r>
      <w:r>
        <w:rPr>
          <w:spacing w:val="-2"/>
        </w:rPr>
        <w:t>日为股权登记日，以截至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22,400</w:t>
      </w:r>
      <w:r>
        <w:rPr>
          <w:spacing w:val="-2"/>
        </w:rPr>
        <w:t>万股为基数，向全体股东以公积金每</w:t>
      </w:r>
      <w:r>
        <w:rPr>
          <w:rFonts w:ascii="Times New Roman" w:hAnsi="Times New Roman" w:cs="Times New Roman" w:eastAsia="Times New Roman" w:hint="default"/>
          <w:spacing w:val="-2"/>
        </w:rPr>
        <w:t>10</w:t>
      </w:r>
      <w:r>
        <w:rPr>
          <w:spacing w:val="-2"/>
        </w:rPr>
        <w:t>股转 </w:t>
      </w:r>
      <w:r>
        <w:rPr/>
        <w:t>增</w:t>
      </w:r>
      <w:r>
        <w:rPr>
          <w:rFonts w:ascii="Times New Roman" w:hAnsi="Times New Roman" w:cs="Times New Roman" w:eastAsia="Times New Roman" w:hint="default"/>
        </w:rPr>
        <w:t>3.8</w:t>
      </w:r>
      <w:r>
        <w:rPr/>
        <w:t>股，转增完成后，公司总股本由</w:t>
      </w:r>
      <w:r>
        <w:rPr>
          <w:rFonts w:ascii="Times New Roman" w:hAnsi="Times New Roman" w:cs="Times New Roman" w:eastAsia="Times New Roman" w:hint="default"/>
        </w:rPr>
        <w:t>22,400</w:t>
      </w:r>
      <w:r>
        <w:rPr/>
        <w:t>万股增至</w:t>
      </w:r>
      <w:r>
        <w:rPr>
          <w:rFonts w:ascii="Times New Roman" w:hAnsi="Times New Roman" w:cs="Times New Roman" w:eastAsia="Times New Roman" w:hint="default"/>
        </w:rPr>
        <w:t>30,912</w:t>
      </w:r>
      <w:r>
        <w:rPr/>
        <w:t>万股。</w:t>
      </w:r>
    </w:p>
    <w:p>
      <w:pPr>
        <w:pStyle w:val="BodyText"/>
        <w:spacing w:line="240" w:lineRule="auto" w:before="26"/>
        <w:ind w:left="573" w:right="0"/>
        <w:jc w:val="left"/>
      </w:pPr>
      <w:r>
        <w:rPr>
          <w:rFonts w:ascii="Times New Roman" w:hAnsi="Times New Roman" w:cs="Times New Roman" w:eastAsia="Times New Roman" w:hint="default"/>
        </w:rPr>
        <w:t>6</w:t>
      </w:r>
      <w:r>
        <w:rPr/>
        <w:t>、本公司无内部职工股。</w:t>
      </w:r>
    </w:p>
    <w:p>
      <w:pPr>
        <w:spacing w:line="436" w:lineRule="auto" w:before="117"/>
        <w:ind w:left="565" w:right="205" w:firstLine="7"/>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、本公司报告期末止的前三年除首次上市发行外无发行新股及衍生证券。</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三、股东和实际控制人情况</w:t>
      </w:r>
      <w:r>
        <w:rPr>
          <w:rFonts w:ascii="宋体" w:hAnsi="宋体" w:cs="宋体" w:eastAsia="宋体" w:hint="default"/>
          <w:sz w:val="21"/>
          <w:szCs w:val="21"/>
        </w:rPr>
      </w:r>
    </w:p>
    <w:p>
      <w:pPr>
        <w:pStyle w:val="Heading4"/>
        <w:spacing w:line="240" w:lineRule="auto" w:before="81"/>
        <w:ind w:left="572" w:right="0"/>
        <w:jc w:val="left"/>
        <w:rPr>
          <w:b w:val="0"/>
          <w:bCs w:val="0"/>
        </w:rPr>
      </w:pPr>
      <w:r>
        <w:rPr/>
        <w:t>（一）报告期末股东数量和持股情况（单位：股）</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1440"/>
        <w:gridCol w:w="3055"/>
        <w:gridCol w:w="1397"/>
        <w:gridCol w:w="588"/>
        <w:gridCol w:w="1056"/>
        <w:gridCol w:w="439"/>
        <w:gridCol w:w="785"/>
        <w:gridCol w:w="960"/>
      </w:tblGrid>
      <w:tr>
        <w:trPr>
          <w:trHeight w:val="341" w:hRule="exact"/>
        </w:trPr>
        <w:tc>
          <w:tcPr>
            <w:tcW w:w="4495"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5225" w:type="dxa"/>
            <w:gridSpan w:val="6"/>
            <w:tcBorders>
              <w:top w:val="single" w:sz="4" w:space="0" w:color="000000"/>
              <w:left w:val="single" w:sz="12" w:space="0" w:color="DDDDDD"/>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4307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r>
      <w:tr>
        <w:trPr>
          <w:trHeight w:val="343" w:hRule="exact"/>
        </w:trPr>
        <w:tc>
          <w:tcPr>
            <w:tcW w:w="4495"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806" w:right="0"/>
              <w:jc w:val="left"/>
              <w:rPr>
                <w:rFonts w:ascii="宋体" w:hAnsi="宋体" w:cs="宋体" w:eastAsia="宋体" w:hint="default"/>
                <w:sz w:val="18"/>
                <w:szCs w:val="18"/>
              </w:rPr>
            </w:pPr>
            <w:r>
              <w:rPr>
                <w:rFonts w:ascii="宋体" w:hAnsi="宋体" w:cs="宋体" w:eastAsia="宋体" w:hint="default"/>
                <w:sz w:val="18"/>
                <w:szCs w:val="18"/>
              </w:rPr>
              <w:t>本年度报告公布日前一月末股东总数</w:t>
            </w:r>
          </w:p>
        </w:tc>
        <w:tc>
          <w:tcPr>
            <w:tcW w:w="5225" w:type="dxa"/>
            <w:gridSpan w:val="6"/>
            <w:tcBorders>
              <w:top w:val="single" w:sz="4" w:space="0" w:color="000000"/>
              <w:left w:val="single" w:sz="12" w:space="0" w:color="DDDDDD"/>
              <w:bottom w:val="single" w:sz="4" w:space="0" w:color="000000"/>
              <w:right w:val="single" w:sz="4" w:space="0" w:color="000000"/>
            </w:tcBorders>
          </w:tcPr>
          <w:p>
            <w:pPr>
              <w:pStyle w:val="TableParagraph"/>
              <w:spacing w:line="240" w:lineRule="auto" w:before="17"/>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4684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r>
      <w:tr>
        <w:trPr>
          <w:trHeight w:val="395" w:hRule="exact"/>
        </w:trPr>
        <w:tc>
          <w:tcPr>
            <w:tcW w:w="9720" w:type="dxa"/>
            <w:gridSpan w:val="8"/>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55" w:hRule="exact"/>
        </w:trPr>
        <w:tc>
          <w:tcPr>
            <w:tcW w:w="4495"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6"/>
              <w:ind w:left="7"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9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6"/>
              <w:ind w:left="33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5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193" w:lineRule="exact"/>
              <w:ind w:left="35" w:right="0" w:firstLine="74"/>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8"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6"/>
              <w:ind w:left="163"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24"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193" w:lineRule="exact"/>
              <w:ind w:left="158" w:right="0" w:hanging="92"/>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34" w:lineRule="exact"/>
              <w:ind w:left="158"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193" w:lineRule="exact"/>
              <w:ind w:left="26" w:right="0"/>
              <w:jc w:val="left"/>
              <w:rPr>
                <w:rFonts w:ascii="宋体" w:hAnsi="宋体" w:cs="宋体" w:eastAsia="宋体" w:hint="default"/>
                <w:sz w:val="18"/>
                <w:szCs w:val="18"/>
              </w:rPr>
            </w:pPr>
            <w:r>
              <w:rPr>
                <w:rFonts w:ascii="宋体" w:hAnsi="宋体" w:cs="宋体" w:eastAsia="宋体" w:hint="default"/>
                <w:sz w:val="18"/>
                <w:szCs w:val="18"/>
              </w:rPr>
              <w:t>质押或冻结</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的股份数量</w:t>
            </w:r>
          </w:p>
        </w:tc>
      </w:tr>
      <w:tr>
        <w:trPr>
          <w:trHeight w:val="372" w:hRule="exact"/>
        </w:trPr>
        <w:tc>
          <w:tcPr>
            <w:tcW w:w="4495" w:type="dxa"/>
            <w:gridSpan w:val="2"/>
            <w:tcBorders>
              <w:top w:val="single" w:sz="50" w:space="0" w:color="DDDDDD"/>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397" w:type="dxa"/>
            <w:tcBorders>
              <w:top w:val="single" w:sz="50" w:space="0" w:color="DDDDDD"/>
              <w:left w:val="single" w:sz="4" w:space="0" w:color="000000"/>
              <w:bottom w:val="single" w:sz="4" w:space="0" w:color="000000"/>
              <w:right w:val="single" w:sz="14" w:space="0" w:color="DDDDDD"/>
            </w:tcBorders>
          </w:tcPr>
          <w:p>
            <w:pPr>
              <w:pStyle w:val="TableParagraph"/>
              <w:spacing w:line="240" w:lineRule="auto" w:before="5"/>
              <w:ind w:left="29"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88" w:type="dxa"/>
            <w:tcBorders>
              <w:top w:val="single" w:sz="4" w:space="0" w:color="000000"/>
              <w:left w:val="single" w:sz="14" w:space="0" w:color="DDDDDD"/>
              <w:bottom w:val="single" w:sz="4" w:space="0" w:color="000000"/>
              <w:right w:val="single" w:sz="12" w:space="0" w:color="DDDDDD"/>
            </w:tcBorders>
          </w:tcPr>
          <w:p>
            <w:pPr>
              <w:pStyle w:val="TableParagraph"/>
              <w:spacing w:line="240" w:lineRule="auto" w:before="103"/>
              <w:ind w:right="6"/>
              <w:jc w:val="right"/>
              <w:rPr>
                <w:rFonts w:ascii="Times New Roman" w:hAnsi="Times New Roman" w:cs="Times New Roman" w:eastAsia="Times New Roman" w:hint="default"/>
                <w:sz w:val="18"/>
                <w:szCs w:val="18"/>
              </w:rPr>
            </w:pPr>
            <w:r>
              <w:rPr>
                <w:rFonts w:ascii="Times New Roman"/>
                <w:sz w:val="18"/>
              </w:rPr>
              <w:t>63</w:t>
            </w:r>
          </w:p>
        </w:tc>
        <w:tc>
          <w:tcPr>
            <w:tcW w:w="1056" w:type="dxa"/>
            <w:tcBorders>
              <w:top w:val="single" w:sz="50" w:space="0" w:color="DDDDDD"/>
              <w:left w:val="single" w:sz="12" w:space="0" w:color="DDDDDD"/>
              <w:bottom w:val="single" w:sz="4" w:space="0" w:color="000000"/>
              <w:right w:val="single" w:sz="13" w:space="0" w:color="DDDDDD"/>
            </w:tcBorders>
          </w:tcPr>
          <w:p>
            <w:pPr>
              <w:pStyle w:val="TableParagraph"/>
              <w:spacing w:line="240" w:lineRule="auto" w:before="45"/>
              <w:ind w:right="7"/>
              <w:jc w:val="right"/>
              <w:rPr>
                <w:rFonts w:ascii="Times New Roman" w:hAnsi="Times New Roman" w:cs="Times New Roman" w:eastAsia="Times New Roman" w:hint="default"/>
                <w:sz w:val="18"/>
                <w:szCs w:val="18"/>
              </w:rPr>
            </w:pPr>
            <w:r>
              <w:rPr>
                <w:rFonts w:ascii="Times New Roman"/>
                <w:spacing w:val="-1"/>
                <w:sz w:val="18"/>
              </w:rPr>
              <w:t>194,745,600</w:t>
            </w:r>
            <w:r>
              <w:rPr>
                <w:rFonts w:ascii="Times New Roman"/>
                <w:sz w:val="18"/>
              </w:rPr>
            </w:r>
          </w:p>
        </w:tc>
        <w:tc>
          <w:tcPr>
            <w:tcW w:w="1224" w:type="dxa"/>
            <w:gridSpan w:val="2"/>
            <w:tcBorders>
              <w:top w:val="single" w:sz="4" w:space="0" w:color="000000"/>
              <w:left w:val="single" w:sz="13" w:space="0" w:color="DDDDDD"/>
              <w:bottom w:val="single" w:sz="4" w:space="0" w:color="000000"/>
              <w:right w:val="single" w:sz="9" w:space="0" w:color="DDDDDD"/>
            </w:tcBorders>
          </w:tcPr>
          <w:p>
            <w:pPr>
              <w:pStyle w:val="TableParagraph"/>
              <w:spacing w:line="240" w:lineRule="auto" w:before="103"/>
              <w:ind w:left="280" w:right="0"/>
              <w:jc w:val="left"/>
              <w:rPr>
                <w:rFonts w:ascii="Times New Roman" w:hAnsi="Times New Roman" w:cs="Times New Roman" w:eastAsia="Times New Roman" w:hint="default"/>
                <w:sz w:val="18"/>
                <w:szCs w:val="18"/>
              </w:rPr>
            </w:pPr>
            <w:r>
              <w:rPr>
                <w:rFonts w:ascii="Times New Roman"/>
                <w:sz w:val="18"/>
              </w:rPr>
              <w:t>146,059,200</w:t>
            </w:r>
          </w:p>
        </w:tc>
        <w:tc>
          <w:tcPr>
            <w:tcW w:w="960" w:type="dxa"/>
            <w:tcBorders>
              <w:top w:val="single" w:sz="4" w:space="0" w:color="000000"/>
              <w:left w:val="single" w:sz="9" w:space="0" w:color="DDDDDD"/>
              <w:bottom w:val="single" w:sz="4" w:space="0" w:color="000000"/>
              <w:right w:val="single" w:sz="9" w:space="0" w:color="DDDDDD"/>
            </w:tcBorders>
          </w:tcPr>
          <w:p>
            <w:pPr>
              <w:pStyle w:val="TableParagraph"/>
              <w:spacing w:line="240" w:lineRule="auto" w:before="103"/>
              <w:ind w:right="14"/>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4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北京业勤投资有限公司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9"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4.32</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13,352,000</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4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交通银行－富国天益价值证券投资基金</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 w:right="0"/>
              <w:jc w:val="left"/>
              <w:rPr>
                <w:rFonts w:ascii="宋体" w:hAnsi="宋体" w:cs="宋体" w:eastAsia="宋体" w:hint="default"/>
                <w:sz w:val="18"/>
                <w:szCs w:val="18"/>
              </w:rPr>
            </w:pPr>
            <w:r>
              <w:rPr>
                <w:rFonts w:ascii="宋体" w:hAnsi="宋体" w:cs="宋体" w:eastAsia="宋体" w:hint="default"/>
                <w:spacing w:val="12"/>
                <w:sz w:val="18"/>
                <w:szCs w:val="18"/>
              </w:rPr>
              <w:t>基金、理财产品</w:t>
            </w:r>
            <w:r>
              <w:rPr>
                <w:rFonts w:ascii="宋体" w:hAnsi="宋体" w:cs="宋体" w:eastAsia="宋体" w:hint="default"/>
                <w:sz w:val="18"/>
                <w:szCs w:val="18"/>
              </w:rPr>
            </w: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等其他</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4.28</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13,236,216</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4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9"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4.17</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12,900,240</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4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中国工商银行－富国天惠精选成长混合型证券投资基金</w:t>
            </w:r>
            <w:r>
              <w:rPr>
                <w:rFonts w:ascii="宋体" w:hAnsi="宋体" w:cs="宋体" w:eastAsia="宋体" w:hint="default"/>
                <w:sz w:val="18"/>
                <w:szCs w:val="18"/>
              </w:rPr>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（ＬＯＦ</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 w:right="0"/>
              <w:jc w:val="left"/>
              <w:rPr>
                <w:rFonts w:ascii="宋体" w:hAnsi="宋体" w:cs="宋体" w:eastAsia="宋体" w:hint="default"/>
                <w:sz w:val="18"/>
                <w:szCs w:val="18"/>
              </w:rPr>
            </w:pPr>
            <w:r>
              <w:rPr>
                <w:rFonts w:ascii="宋体" w:hAnsi="宋体" w:cs="宋体" w:eastAsia="宋体" w:hint="default"/>
                <w:spacing w:val="12"/>
                <w:sz w:val="18"/>
                <w:szCs w:val="18"/>
              </w:rPr>
              <w:t>基金、理财产品</w:t>
            </w:r>
            <w:r>
              <w:rPr>
                <w:rFonts w:ascii="宋体" w:hAnsi="宋体" w:cs="宋体" w:eastAsia="宋体" w:hint="default"/>
                <w:sz w:val="18"/>
                <w:szCs w:val="18"/>
              </w:rPr>
            </w: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等其他</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3.6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11,135,521</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4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中国工商银行－诺安价值增长股票证券投资基金</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9" w:right="0"/>
              <w:jc w:val="left"/>
              <w:rPr>
                <w:rFonts w:ascii="宋体" w:hAnsi="宋体" w:cs="宋体" w:eastAsia="宋体" w:hint="default"/>
                <w:sz w:val="18"/>
                <w:szCs w:val="18"/>
              </w:rPr>
            </w:pPr>
            <w:r>
              <w:rPr>
                <w:rFonts w:ascii="宋体" w:hAnsi="宋体" w:cs="宋体" w:eastAsia="宋体" w:hint="default"/>
                <w:spacing w:val="12"/>
                <w:sz w:val="18"/>
                <w:szCs w:val="18"/>
              </w:rPr>
              <w:t>基金、理财产品</w:t>
            </w:r>
            <w:r>
              <w:rPr>
                <w:rFonts w:ascii="宋体" w:hAnsi="宋体" w:cs="宋体" w:eastAsia="宋体" w:hint="default"/>
                <w:sz w:val="18"/>
                <w:szCs w:val="18"/>
              </w:rPr>
            </w:r>
          </w:p>
          <w:p>
            <w:pPr>
              <w:pStyle w:val="TableParagraph"/>
              <w:spacing w:line="234" w:lineRule="exact"/>
              <w:ind w:left="29" w:right="0"/>
              <w:jc w:val="left"/>
              <w:rPr>
                <w:rFonts w:ascii="宋体" w:hAnsi="宋体" w:cs="宋体" w:eastAsia="宋体" w:hint="default"/>
                <w:sz w:val="18"/>
                <w:szCs w:val="18"/>
              </w:rPr>
            </w:pPr>
            <w:r>
              <w:rPr>
                <w:rFonts w:ascii="宋体" w:hAnsi="宋体" w:cs="宋体" w:eastAsia="宋体" w:hint="default"/>
                <w:sz w:val="18"/>
                <w:szCs w:val="18"/>
              </w:rPr>
              <w:t>等其他</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1.93</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w w:val="95"/>
                <w:sz w:val="18"/>
              </w:rPr>
              <w:t>5,955,110</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4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中国工商银行－诺安灵活配置混合型证券投资基金</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9" w:right="0"/>
              <w:jc w:val="left"/>
              <w:rPr>
                <w:rFonts w:ascii="宋体" w:hAnsi="宋体" w:cs="宋体" w:eastAsia="宋体" w:hint="default"/>
                <w:sz w:val="18"/>
                <w:szCs w:val="18"/>
              </w:rPr>
            </w:pPr>
            <w:r>
              <w:rPr>
                <w:rFonts w:ascii="宋体" w:hAnsi="宋体" w:cs="宋体" w:eastAsia="宋体" w:hint="default"/>
                <w:spacing w:val="12"/>
                <w:sz w:val="18"/>
                <w:szCs w:val="18"/>
              </w:rPr>
              <w:t>基金、理财产品</w:t>
            </w:r>
            <w:r>
              <w:rPr>
                <w:rFonts w:ascii="宋体" w:hAnsi="宋体" w:cs="宋体" w:eastAsia="宋体" w:hint="default"/>
                <w:sz w:val="18"/>
                <w:szCs w:val="18"/>
              </w:rPr>
            </w:r>
          </w:p>
          <w:p>
            <w:pPr>
              <w:pStyle w:val="TableParagraph"/>
              <w:spacing w:line="234" w:lineRule="exact"/>
              <w:ind w:left="29" w:right="0"/>
              <w:jc w:val="left"/>
              <w:rPr>
                <w:rFonts w:ascii="宋体" w:hAnsi="宋体" w:cs="宋体" w:eastAsia="宋体" w:hint="default"/>
                <w:sz w:val="18"/>
                <w:szCs w:val="18"/>
              </w:rPr>
            </w:pPr>
            <w:r>
              <w:rPr>
                <w:rFonts w:ascii="宋体" w:hAnsi="宋体" w:cs="宋体" w:eastAsia="宋体" w:hint="default"/>
                <w:sz w:val="18"/>
                <w:szCs w:val="18"/>
              </w:rPr>
              <w:t>等其他</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1.24</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3,835,640</w:t>
            </w:r>
            <w:r>
              <w:rPr>
                <w:rFonts w:ascii="Times New Roman"/>
                <w:sz w:val="18"/>
              </w:rPr>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r>
      <w:tr>
        <w:trPr>
          <w:trHeight w:val="314" w:hRule="exact"/>
        </w:trPr>
        <w:tc>
          <w:tcPr>
            <w:tcW w:w="4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9"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1.12</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pacing w:val="-1"/>
                <w:w w:val="95"/>
                <w:sz w:val="18"/>
              </w:rPr>
              <w:t>3,475,116</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4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中国工商银行－诺安股票证券投资基金</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9" w:right="0"/>
              <w:jc w:val="left"/>
              <w:rPr>
                <w:rFonts w:ascii="宋体" w:hAnsi="宋体" w:cs="宋体" w:eastAsia="宋体" w:hint="default"/>
                <w:sz w:val="18"/>
                <w:szCs w:val="18"/>
              </w:rPr>
            </w:pPr>
            <w:r>
              <w:rPr>
                <w:rFonts w:ascii="宋体" w:hAnsi="宋体" w:cs="宋体" w:eastAsia="宋体" w:hint="default"/>
                <w:spacing w:val="12"/>
                <w:sz w:val="18"/>
                <w:szCs w:val="18"/>
              </w:rPr>
              <w:t>基金、理财产品</w:t>
            </w:r>
            <w:r>
              <w:rPr>
                <w:rFonts w:ascii="宋体" w:hAnsi="宋体" w:cs="宋体" w:eastAsia="宋体" w:hint="default"/>
                <w:sz w:val="18"/>
                <w:szCs w:val="18"/>
              </w:rPr>
            </w:r>
          </w:p>
          <w:p>
            <w:pPr>
              <w:pStyle w:val="TableParagraph"/>
              <w:spacing w:line="234" w:lineRule="exact"/>
              <w:ind w:left="29" w:right="0"/>
              <w:jc w:val="left"/>
              <w:rPr>
                <w:rFonts w:ascii="宋体" w:hAnsi="宋体" w:cs="宋体" w:eastAsia="宋体" w:hint="default"/>
                <w:sz w:val="18"/>
                <w:szCs w:val="18"/>
              </w:rPr>
            </w:pPr>
            <w:r>
              <w:rPr>
                <w:rFonts w:ascii="宋体" w:hAnsi="宋体" w:cs="宋体" w:eastAsia="宋体" w:hint="default"/>
                <w:sz w:val="18"/>
                <w:szCs w:val="18"/>
              </w:rPr>
              <w:t>等其他</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1.06</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3,281,571</w:t>
            </w:r>
            <w:r>
              <w:rPr>
                <w:rFonts w:ascii="Times New Roman"/>
                <w:sz w:val="18"/>
              </w:rPr>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4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中国建设银行－富国天博创新主题股票型证券投资基金</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9" w:right="0"/>
              <w:jc w:val="left"/>
              <w:rPr>
                <w:rFonts w:ascii="宋体" w:hAnsi="宋体" w:cs="宋体" w:eastAsia="宋体" w:hint="default"/>
                <w:sz w:val="18"/>
                <w:szCs w:val="18"/>
              </w:rPr>
            </w:pPr>
            <w:r>
              <w:rPr>
                <w:rFonts w:ascii="宋体" w:hAnsi="宋体" w:cs="宋体" w:eastAsia="宋体" w:hint="default"/>
                <w:spacing w:val="12"/>
                <w:sz w:val="18"/>
                <w:szCs w:val="18"/>
              </w:rPr>
              <w:t>基金、理财产品</w:t>
            </w:r>
            <w:r>
              <w:rPr>
                <w:rFonts w:ascii="宋体" w:hAnsi="宋体" w:cs="宋体" w:eastAsia="宋体" w:hint="default"/>
                <w:sz w:val="18"/>
                <w:szCs w:val="18"/>
              </w:rPr>
            </w:r>
          </w:p>
          <w:p>
            <w:pPr>
              <w:pStyle w:val="TableParagraph"/>
              <w:spacing w:line="234" w:lineRule="exact"/>
              <w:ind w:left="29" w:right="0"/>
              <w:jc w:val="left"/>
              <w:rPr>
                <w:rFonts w:ascii="宋体" w:hAnsi="宋体" w:cs="宋体" w:eastAsia="宋体" w:hint="default"/>
                <w:sz w:val="18"/>
                <w:szCs w:val="18"/>
              </w:rPr>
            </w:pPr>
            <w:r>
              <w:rPr>
                <w:rFonts w:ascii="宋体" w:hAnsi="宋体" w:cs="宋体" w:eastAsia="宋体" w:hint="default"/>
                <w:sz w:val="18"/>
                <w:szCs w:val="18"/>
              </w:rPr>
              <w:t>等其他</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1.06</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3,280,198</w:t>
            </w:r>
            <w:r>
              <w:rPr>
                <w:rFonts w:ascii="Times New Roman"/>
                <w:sz w:val="18"/>
              </w:rPr>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r>
      <w:tr>
        <w:trPr>
          <w:trHeight w:val="341" w:hRule="exact"/>
        </w:trPr>
        <w:tc>
          <w:tcPr>
            <w:tcW w:w="9720" w:type="dxa"/>
            <w:gridSpan w:val="8"/>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40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38" w:hRule="exact"/>
        </w:trPr>
        <w:tc>
          <w:tcPr>
            <w:tcW w:w="5892"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083"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508"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341" w:hRule="exact"/>
        </w:trPr>
        <w:tc>
          <w:tcPr>
            <w:tcW w:w="58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240" w:right="0"/>
              <w:jc w:val="left"/>
              <w:rPr>
                <w:rFonts w:ascii="Times New Roman" w:hAnsi="Times New Roman" w:cs="Times New Roman" w:eastAsia="Times New Roman" w:hint="default"/>
                <w:sz w:val="18"/>
                <w:szCs w:val="18"/>
              </w:rPr>
            </w:pPr>
            <w:r>
              <w:rPr>
                <w:rFonts w:ascii="Times New Roman"/>
                <w:sz w:val="18"/>
              </w:rPr>
              <w:t>48,686,400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r>
      <w:tr>
        <w:trPr>
          <w:trHeight w:val="338" w:hRule="exact"/>
        </w:trPr>
        <w:tc>
          <w:tcPr>
            <w:tcW w:w="58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北京业勤投资有限公司</w:t>
            </w:r>
          </w:p>
        </w:tc>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240" w:right="0"/>
              <w:jc w:val="left"/>
              <w:rPr>
                <w:rFonts w:ascii="Times New Roman" w:hAnsi="Times New Roman" w:cs="Times New Roman" w:eastAsia="Times New Roman" w:hint="default"/>
                <w:sz w:val="18"/>
                <w:szCs w:val="18"/>
              </w:rPr>
            </w:pPr>
            <w:r>
              <w:rPr>
                <w:rFonts w:ascii="Times New Roman"/>
                <w:sz w:val="18"/>
              </w:rPr>
              <w:t>13,352,000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r>
      <w:tr>
        <w:trPr>
          <w:trHeight w:val="338" w:hRule="exact"/>
        </w:trPr>
        <w:tc>
          <w:tcPr>
            <w:tcW w:w="58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交通银行－富国天益价值证券投资基金</w:t>
            </w:r>
          </w:p>
        </w:tc>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240" w:right="0"/>
              <w:jc w:val="left"/>
              <w:rPr>
                <w:rFonts w:ascii="Times New Roman" w:hAnsi="Times New Roman" w:cs="Times New Roman" w:eastAsia="Times New Roman" w:hint="default"/>
                <w:sz w:val="18"/>
                <w:szCs w:val="18"/>
              </w:rPr>
            </w:pPr>
            <w:r>
              <w:rPr>
                <w:rFonts w:ascii="Times New Roman"/>
                <w:sz w:val="18"/>
              </w:rPr>
              <w:t>13,236,216</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r>
      <w:tr>
        <w:trPr>
          <w:trHeight w:val="341" w:hRule="exact"/>
        </w:trPr>
        <w:tc>
          <w:tcPr>
            <w:tcW w:w="58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240" w:right="0"/>
              <w:jc w:val="left"/>
              <w:rPr>
                <w:rFonts w:ascii="Times New Roman" w:hAnsi="Times New Roman" w:cs="Times New Roman" w:eastAsia="Times New Roman" w:hint="default"/>
                <w:sz w:val="18"/>
                <w:szCs w:val="18"/>
              </w:rPr>
            </w:pPr>
            <w:r>
              <w:rPr>
                <w:rFonts w:ascii="Times New Roman"/>
                <w:sz w:val="18"/>
              </w:rPr>
              <w:t>12,900,240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r>
      <w:tr>
        <w:trPr>
          <w:trHeight w:val="338" w:hRule="exact"/>
        </w:trPr>
        <w:tc>
          <w:tcPr>
            <w:tcW w:w="58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中国工商银行－富国天惠精选成长混合型证券投资基金（ＬＯＦ</w:t>
            </w:r>
          </w:p>
        </w:tc>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247" w:right="0"/>
              <w:jc w:val="left"/>
              <w:rPr>
                <w:rFonts w:ascii="Times New Roman" w:hAnsi="Times New Roman" w:cs="Times New Roman" w:eastAsia="Times New Roman" w:hint="default"/>
                <w:sz w:val="18"/>
                <w:szCs w:val="18"/>
              </w:rPr>
            </w:pPr>
            <w:r>
              <w:rPr>
                <w:rFonts w:ascii="Times New Roman"/>
                <w:sz w:val="18"/>
              </w:rPr>
              <w:t>11,135,521</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r>
      <w:tr>
        <w:trPr>
          <w:trHeight w:val="341" w:hRule="exact"/>
        </w:trPr>
        <w:tc>
          <w:tcPr>
            <w:tcW w:w="58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中国工商银行－诺安价值增长股票证券投资基金</w:t>
            </w:r>
          </w:p>
        </w:tc>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339" w:right="0"/>
              <w:jc w:val="left"/>
              <w:rPr>
                <w:rFonts w:ascii="Times New Roman" w:hAnsi="Times New Roman" w:cs="Times New Roman" w:eastAsia="Times New Roman" w:hint="default"/>
                <w:sz w:val="18"/>
                <w:szCs w:val="18"/>
              </w:rPr>
            </w:pPr>
            <w:r>
              <w:rPr>
                <w:rFonts w:ascii="Times New Roman"/>
                <w:sz w:val="18"/>
              </w:rPr>
              <w:t>5,955,110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r>
      <w:tr>
        <w:trPr>
          <w:trHeight w:val="338" w:hRule="exact"/>
        </w:trPr>
        <w:tc>
          <w:tcPr>
            <w:tcW w:w="58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中国工商银行－诺安灵活配置混合型证券投资基金</w:t>
            </w:r>
          </w:p>
        </w:tc>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331" w:right="0"/>
              <w:jc w:val="left"/>
              <w:rPr>
                <w:rFonts w:ascii="Times New Roman" w:hAnsi="Times New Roman" w:cs="Times New Roman" w:eastAsia="Times New Roman" w:hint="default"/>
                <w:sz w:val="18"/>
                <w:szCs w:val="18"/>
              </w:rPr>
            </w:pPr>
            <w:r>
              <w:rPr>
                <w:rFonts w:ascii="Times New Roman"/>
                <w:sz w:val="18"/>
              </w:rPr>
              <w:t>3,835,640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r>
      <w:tr>
        <w:trPr>
          <w:trHeight w:val="341" w:hRule="exact"/>
        </w:trPr>
        <w:tc>
          <w:tcPr>
            <w:tcW w:w="58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339" w:right="0"/>
              <w:jc w:val="left"/>
              <w:rPr>
                <w:rFonts w:ascii="Times New Roman" w:hAnsi="Times New Roman" w:cs="Times New Roman" w:eastAsia="Times New Roman" w:hint="default"/>
                <w:sz w:val="18"/>
                <w:szCs w:val="18"/>
              </w:rPr>
            </w:pPr>
            <w:r>
              <w:rPr>
                <w:rFonts w:ascii="Times New Roman"/>
                <w:sz w:val="18"/>
              </w:rPr>
              <w:t>3,475,116</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r>
      <w:tr>
        <w:trPr>
          <w:trHeight w:val="338" w:hRule="exact"/>
        </w:trPr>
        <w:tc>
          <w:tcPr>
            <w:tcW w:w="58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中国工商银行－诺安股票证券投资基金</w:t>
            </w:r>
          </w:p>
        </w:tc>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331" w:right="0"/>
              <w:jc w:val="left"/>
              <w:rPr>
                <w:rFonts w:ascii="Times New Roman" w:hAnsi="Times New Roman" w:cs="Times New Roman" w:eastAsia="Times New Roman" w:hint="default"/>
                <w:sz w:val="18"/>
                <w:szCs w:val="18"/>
              </w:rPr>
            </w:pPr>
            <w:r>
              <w:rPr>
                <w:rFonts w:ascii="Times New Roman"/>
                <w:sz w:val="18"/>
              </w:rPr>
              <w:t>3,281,571</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r>
      <w:tr>
        <w:trPr>
          <w:trHeight w:val="338" w:hRule="exact"/>
        </w:trPr>
        <w:tc>
          <w:tcPr>
            <w:tcW w:w="58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中国建设银行－富国天博创新主题股票型证券投资基金</w:t>
            </w:r>
          </w:p>
        </w:tc>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331" w:right="0"/>
              <w:jc w:val="left"/>
              <w:rPr>
                <w:rFonts w:ascii="Times New Roman" w:hAnsi="Times New Roman" w:cs="Times New Roman" w:eastAsia="Times New Roman" w:hint="default"/>
                <w:sz w:val="18"/>
                <w:szCs w:val="18"/>
              </w:rPr>
            </w:pPr>
            <w:r>
              <w:rPr>
                <w:rFonts w:ascii="Times New Roman"/>
                <w:sz w:val="18"/>
              </w:rPr>
              <w:t>3,280,198</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r>
      <w:tr>
        <w:trPr>
          <w:trHeight w:val="1090" w:hRule="exact"/>
        </w:trPr>
        <w:tc>
          <w:tcPr>
            <w:tcW w:w="14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7" w:lineRule="auto" w:before="161"/>
              <w:ind w:left="86" w:right="83"/>
              <w:jc w:val="center"/>
              <w:rPr>
                <w:rFonts w:ascii="宋体" w:hAnsi="宋体" w:cs="宋体" w:eastAsia="宋体" w:hint="default"/>
                <w:sz w:val="18"/>
                <w:szCs w:val="18"/>
              </w:rPr>
            </w:pPr>
            <w:r>
              <w:rPr>
                <w:rFonts w:ascii="宋体" w:hAnsi="宋体" w:cs="宋体" w:eastAsia="宋体" w:hint="default"/>
                <w:sz w:val="18"/>
                <w:szCs w:val="18"/>
              </w:rPr>
              <w:t>上述股东关联关 系或一致行动的 说明</w:t>
            </w:r>
          </w:p>
        </w:tc>
        <w:tc>
          <w:tcPr>
            <w:tcW w:w="82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32" w:lineRule="exact" w:before="45"/>
              <w:ind w:left="24" w:right="19" w:firstLine="360"/>
              <w:jc w:val="left"/>
              <w:rPr>
                <w:rFonts w:ascii="宋体" w:hAnsi="宋体" w:cs="宋体" w:eastAsia="宋体" w:hint="default"/>
                <w:sz w:val="18"/>
                <w:szCs w:val="18"/>
              </w:rPr>
            </w:pPr>
            <w:r>
              <w:rPr>
                <w:rFonts w:ascii="宋体" w:hAnsi="宋体" w:cs="宋体" w:eastAsia="宋体" w:hint="default"/>
                <w:sz w:val="18"/>
                <w:szCs w:val="18"/>
              </w:rPr>
              <w:t>本公司股东焦梅荣为本公司控股股东李仲初之岳母，李仲初持有本公司</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63%</w:t>
            </w:r>
            <w:r>
              <w:rPr>
                <w:rFonts w:ascii="宋体" w:hAnsi="宋体" w:cs="宋体" w:eastAsia="宋体" w:hint="default"/>
                <w:spacing w:val="-3"/>
                <w:sz w:val="18"/>
                <w:szCs w:val="18"/>
              </w:rPr>
              <w:t>的股份，焦梅荣持有本公</w:t>
            </w:r>
            <w:r>
              <w:rPr>
                <w:rFonts w:ascii="宋体" w:hAnsi="宋体" w:cs="宋体" w:eastAsia="宋体" w:hint="default"/>
                <w:sz w:val="18"/>
                <w:szCs w:val="18"/>
              </w:rPr>
              <w:t> 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4.17%</w:t>
            </w:r>
            <w:r>
              <w:rPr>
                <w:rFonts w:ascii="宋体" w:hAnsi="宋体" w:cs="宋体" w:eastAsia="宋体" w:hint="default"/>
                <w:sz w:val="18"/>
                <w:szCs w:val="18"/>
              </w:rPr>
              <w:t>的股份。与有限售条件的其他股东之间不存在关联关系，也不属于一致行动人。</w:t>
            </w:r>
          </w:p>
          <w:p>
            <w:pPr>
              <w:pStyle w:val="TableParagraph"/>
              <w:spacing w:line="232" w:lineRule="exact" w:before="49"/>
              <w:ind w:left="24" w:right="22" w:firstLine="360"/>
              <w:jc w:val="left"/>
              <w:rPr>
                <w:rFonts w:ascii="宋体" w:hAnsi="宋体" w:cs="宋体" w:eastAsia="宋体" w:hint="default"/>
                <w:sz w:val="18"/>
                <w:szCs w:val="18"/>
              </w:rPr>
            </w:pPr>
            <w:r>
              <w:rPr>
                <w:rFonts w:ascii="宋体" w:hAnsi="宋体" w:cs="宋体" w:eastAsia="宋体" w:hint="default"/>
                <w:spacing w:val="-2"/>
                <w:sz w:val="18"/>
                <w:szCs w:val="18"/>
              </w:rPr>
              <w:t>未知其他股东相互之间是否存在关联关系，也未知是否属于《上市公司信息披露管理办法》中规定的</w:t>
            </w:r>
            <w:r>
              <w:rPr>
                <w:rFonts w:ascii="宋体" w:hAnsi="宋体" w:cs="宋体" w:eastAsia="宋体" w:hint="default"/>
                <w:sz w:val="18"/>
                <w:szCs w:val="18"/>
              </w:rPr>
              <w:t> 一致行动人。</w:t>
            </w:r>
          </w:p>
        </w:tc>
      </w:tr>
    </w:tbl>
    <w:p>
      <w:pPr>
        <w:spacing w:after="0" w:line="232" w:lineRule="exact"/>
        <w:jc w:val="left"/>
        <w:rPr>
          <w:rFonts w:ascii="宋体" w:hAnsi="宋体" w:cs="宋体" w:eastAsia="宋体" w:hint="default"/>
          <w:sz w:val="18"/>
          <w:szCs w:val="18"/>
        </w:rPr>
        <w:sectPr>
          <w:pgSz w:w="11910" w:h="16840"/>
          <w:pgMar w:header="850" w:footer="979" w:top="1200" w:bottom="1160" w:left="980" w:right="920"/>
        </w:sectPr>
      </w:pPr>
    </w:p>
    <w:p>
      <w:pPr>
        <w:spacing w:line="240" w:lineRule="auto" w:before="10"/>
        <w:rPr>
          <w:rFonts w:ascii="宋体" w:hAnsi="宋体" w:cs="宋体" w:eastAsia="宋体" w:hint="default"/>
          <w:b/>
          <w:bCs/>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1"/>
          <w:szCs w:val="21"/>
        </w:rPr>
      </w:pPr>
    </w:p>
    <w:p>
      <w:pPr>
        <w:pStyle w:val="Heading4"/>
        <w:spacing w:line="240" w:lineRule="auto" w:before="36"/>
        <w:ind w:left="575" w:right="20"/>
        <w:jc w:val="left"/>
        <w:rPr>
          <w:b w:val="0"/>
          <w:bCs w:val="0"/>
        </w:rPr>
      </w:pPr>
      <w:r>
        <w:rPr/>
        <w:t>（三）公司控股股东及实际控制人情况</w:t>
      </w:r>
      <w:r>
        <w:rPr>
          <w:b w:val="0"/>
          <w:bCs w:val="0"/>
        </w:rPr>
      </w:r>
    </w:p>
    <w:p>
      <w:pPr>
        <w:pStyle w:val="BodyText"/>
        <w:spacing w:line="348" w:lineRule="auto" w:before="133"/>
        <w:ind w:left="572" w:right="20"/>
        <w:jc w:val="left"/>
      </w:pPr>
      <w:r>
        <w:rPr>
          <w:rFonts w:ascii="Times New Roman" w:hAnsi="Times New Roman" w:cs="Times New Roman" w:eastAsia="Times New Roman" w:hint="default"/>
        </w:rPr>
        <w:t>1</w:t>
      </w:r>
      <w:r>
        <w:rPr/>
        <w:t>、控股股东与实际控制人情况介绍</w:t>
      </w:r>
      <w:r>
        <w:rPr>
          <w:w w:val="100"/>
        </w:rPr>
        <w:t> </w:t>
      </w:r>
      <w:r>
        <w:rPr>
          <w:spacing w:val="-5"/>
        </w:rPr>
        <w:t>本公司控股股东和实际控制人是自然人李仲初。报告期内，本公司控股股东和实际控制人未发生变化。</w:t>
      </w:r>
      <w:r>
        <w:rPr>
          <w:spacing w:val="-45"/>
        </w:rPr>
        <w:t> </w:t>
      </w:r>
      <w:r>
        <w:rPr>
          <w:spacing w:val="-45"/>
        </w:rPr>
      </w:r>
      <w:r>
        <w:rPr>
          <w:spacing w:val="-4"/>
        </w:rPr>
        <w:t>李仲初先生是本公司创始人及控股股东，中国国籍，身份证号码为</w:t>
      </w:r>
      <w:r>
        <w:rPr>
          <w:spacing w:val="21"/>
        </w:rPr>
        <w:t> </w:t>
      </w:r>
      <w:r>
        <w:rPr>
          <w:rFonts w:ascii="Times New Roman" w:hAnsi="Times New Roman" w:cs="Times New Roman" w:eastAsia="Times New Roman" w:hint="default"/>
          <w:spacing w:val="-3"/>
        </w:rPr>
        <w:t>110108196308263712</w:t>
      </w:r>
      <w:r>
        <w:rPr>
          <w:spacing w:val="-3"/>
        </w:rPr>
        <w:t>，住址为北京</w:t>
      </w:r>
      <w:r>
        <w:rPr/>
      </w:r>
    </w:p>
    <w:p>
      <w:pPr>
        <w:pStyle w:val="BodyText"/>
        <w:spacing w:line="240" w:lineRule="auto" w:before="12"/>
        <w:ind w:right="20"/>
        <w:jc w:val="left"/>
      </w:pPr>
      <w:r>
        <w:rPr/>
        <w:t>市海淀区复兴路</w:t>
      </w:r>
      <w:r>
        <w:rPr>
          <w:spacing w:val="-53"/>
        </w:rPr>
        <w:t> </w:t>
      </w:r>
      <w:r>
        <w:rPr>
          <w:rFonts w:ascii="Times New Roman" w:hAnsi="Times New Roman" w:cs="Times New Roman" w:eastAsia="Times New Roman" w:hint="default"/>
        </w:rPr>
        <w:t>79</w:t>
      </w:r>
      <w:r>
        <w:rPr>
          <w:rFonts w:ascii="Times New Roman" w:hAnsi="Times New Roman" w:cs="Times New Roman" w:eastAsia="Times New Roman" w:hint="default"/>
          <w:spacing w:val="-3"/>
        </w:rPr>
        <w:t> </w:t>
      </w:r>
      <w:r>
        <w:rPr/>
        <w:t>号</w:t>
      </w:r>
      <w:r>
        <w:rPr>
          <w:spacing w:val="-53"/>
        </w:rPr>
        <w:t> </w:t>
      </w:r>
      <w:r>
        <w:rPr>
          <w:rFonts w:ascii="Times New Roman" w:hAnsi="Times New Roman" w:cs="Times New Roman" w:eastAsia="Times New Roman" w:hint="default"/>
        </w:rPr>
        <w:t>608</w:t>
      </w:r>
      <w:r>
        <w:rPr>
          <w:rFonts w:ascii="Times New Roman" w:hAnsi="Times New Roman" w:cs="Times New Roman" w:eastAsia="Times New Roman" w:hint="default"/>
          <w:spacing w:val="-3"/>
        </w:rPr>
        <w:t> </w:t>
      </w:r>
      <w:r>
        <w:rPr/>
        <w:t>楼</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门</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层</w:t>
      </w:r>
      <w:r>
        <w:rPr>
          <w:spacing w:val="-53"/>
        </w:rPr>
        <w:t> </w:t>
      </w:r>
      <w:r>
        <w:rPr>
          <w:rFonts w:ascii="Times New Roman" w:hAnsi="Times New Roman" w:cs="Times New Roman" w:eastAsia="Times New Roman" w:hint="default"/>
        </w:rPr>
        <w:t>4 </w:t>
      </w:r>
      <w:r>
        <w:rPr/>
        <w:t>号，无境外永久居留权，持有本公司</w:t>
      </w:r>
      <w:r>
        <w:rPr>
          <w:spacing w:val="-55"/>
        </w:rPr>
        <w:t> </w:t>
      </w:r>
      <w:r>
        <w:rPr>
          <w:rFonts w:ascii="Times New Roman" w:hAnsi="Times New Roman" w:cs="Times New Roman" w:eastAsia="Times New Roman" w:hint="default"/>
        </w:rPr>
        <w:t>63%</w:t>
      </w:r>
      <w:r>
        <w:rPr/>
        <w:t>的股权。</w:t>
      </w:r>
    </w:p>
    <w:p>
      <w:pPr>
        <w:pStyle w:val="BodyText"/>
        <w:spacing w:line="343" w:lineRule="auto" w:before="117"/>
        <w:ind w:left="153" w:right="211" w:firstLine="419"/>
        <w:jc w:val="both"/>
      </w:pPr>
      <w:r>
        <w:rPr/>
        <w:t>李仲初先生</w:t>
      </w:r>
      <w:r>
        <w:rPr>
          <w:spacing w:val="-54"/>
        </w:rPr>
        <w:t> </w:t>
      </w:r>
      <w:r>
        <w:rPr>
          <w:rFonts w:ascii="Times New Roman" w:hAnsi="Times New Roman" w:cs="Times New Roman" w:eastAsia="Times New Roman" w:hint="default"/>
        </w:rPr>
        <w:t>1984</w:t>
      </w:r>
      <w:r>
        <w:rPr>
          <w:rFonts w:ascii="Times New Roman" w:hAnsi="Times New Roman" w:cs="Times New Roman" w:eastAsia="Times New Roman" w:hint="default"/>
          <w:spacing w:val="-2"/>
        </w:rPr>
        <w:t> </w:t>
      </w:r>
      <w:r>
        <w:rPr/>
        <w:t>年毕业于武汉大学空间物理系，获得理学学士学位，</w:t>
      </w:r>
      <w:r>
        <w:rPr>
          <w:rFonts w:ascii="Times New Roman" w:hAnsi="Times New Roman" w:cs="Times New Roman" w:eastAsia="Times New Roman" w:hint="default"/>
        </w:rPr>
        <w:t>1987</w:t>
      </w:r>
      <w:r>
        <w:rPr>
          <w:rFonts w:ascii="Times New Roman" w:hAnsi="Times New Roman" w:cs="Times New Roman" w:eastAsia="Times New Roman" w:hint="default"/>
          <w:spacing w:val="-4"/>
        </w:rPr>
        <w:t> </w:t>
      </w:r>
      <w:r>
        <w:rPr/>
        <w:t>年获得原国家航天部第二</w:t>
      </w:r>
      <w:r>
        <w:rPr>
          <w:spacing w:val="-3"/>
          <w:w w:val="100"/>
        </w:rPr>
        <w:t> </w:t>
      </w:r>
      <w:r>
        <w:rPr>
          <w:spacing w:val="-3"/>
        </w:rPr>
        <w:t>研究院光电技术专业工学硕士学位。曾先后任职于国家航天部某研究所、国家某重点实验室，从事理论建</w:t>
      </w:r>
      <w:r>
        <w:rPr>
          <w:spacing w:val="-25"/>
        </w:rPr>
        <w:t> </w:t>
      </w:r>
      <w:r>
        <w:rPr>
          <w:spacing w:val="-25"/>
        </w:rPr>
      </w:r>
      <w:r>
        <w:rPr>
          <w:spacing w:val="-5"/>
        </w:rPr>
        <w:t>模研究，是当时国内红外制导和隐身技术的主要理论研究者之一。</w:t>
      </w:r>
      <w:r>
        <w:rPr>
          <w:rFonts w:ascii="Times New Roman" w:hAnsi="Times New Roman" w:cs="Times New Roman" w:eastAsia="Times New Roman" w:hint="default"/>
          <w:spacing w:val="-5"/>
        </w:rPr>
        <w:t>1998 </w:t>
      </w:r>
      <w:r>
        <w:rPr/>
        <w:t>年李仲初先生创办北京中长石基网</w:t>
      </w:r>
      <w:r>
        <w:rPr>
          <w:spacing w:val="-91"/>
        </w:rPr>
        <w:t> </w:t>
      </w:r>
      <w:r>
        <w:rPr>
          <w:spacing w:val="-91"/>
        </w:rPr>
      </w:r>
      <w:r>
        <w:rPr/>
        <w:t>络系统工程技术有限公司，专门从事酒店信息管理系统的研究与开发，现任本公司董事长兼总裁。</w:t>
      </w:r>
    </w:p>
    <w:p>
      <w:pPr>
        <w:pStyle w:val="BodyText"/>
        <w:spacing w:line="240" w:lineRule="auto" w:before="43"/>
        <w:ind w:left="573" w:right="20"/>
        <w:jc w:val="left"/>
      </w:pPr>
      <w:r>
        <w:rPr>
          <w:rFonts w:ascii="Times New Roman" w:hAnsi="Times New Roman" w:cs="Times New Roman" w:eastAsia="Times New Roman" w:hint="default"/>
        </w:rPr>
        <w:t>2</w:t>
      </w:r>
      <w:r>
        <w:rPr/>
        <w:t>、公司与实际控制人的产权和控制关系如图：</w:t>
      </w:r>
    </w:p>
    <w:p>
      <w:pPr>
        <w:spacing w:line="240" w:lineRule="auto" w:before="10"/>
        <w:rPr>
          <w:rFonts w:ascii="宋体" w:hAnsi="宋体" w:cs="宋体" w:eastAsia="宋体" w:hint="default"/>
          <w:sz w:val="15"/>
          <w:szCs w:val="15"/>
        </w:rPr>
      </w:pPr>
    </w:p>
    <w:p>
      <w:pPr>
        <w:spacing w:line="468" w:lineRule="exact"/>
        <w:ind w:left="3394"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59.55pt;height:23.4pt;mso-position-horizontal-relative:char;mso-position-vertical-relative:line" type="#_x0000_t202" filled="false" stroked="true" strokeweight=".75pt" strokecolor="#000000">
            <w10:anchorlock/>
            <v:textbox inset="0,0,0,0">
              <w:txbxContent>
                <w:p>
                  <w:pPr>
                    <w:pStyle w:val="BodyText"/>
                    <w:spacing w:line="240" w:lineRule="auto" w:before="37"/>
                    <w:ind w:left="144" w:right="0"/>
                    <w:jc w:val="left"/>
                  </w:pPr>
                  <w:r>
                    <w:rPr/>
                    <w:t>李 仲</w:t>
                  </w:r>
                  <w:r>
                    <w:rPr>
                      <w:spacing w:val="1"/>
                    </w:rPr>
                    <w:t> </w:t>
                  </w:r>
                  <w:r>
                    <w:rPr/>
                    <w:t>初</w:t>
                  </w:r>
                </w:p>
              </w:txbxContent>
            </v:textbox>
          </v:shape>
        </w:pict>
      </w:r>
      <w:r>
        <w:rPr>
          <w:rFonts w:ascii="宋体" w:hAnsi="宋体" w:cs="宋体" w:eastAsia="宋体" w:hint="default"/>
          <w:position w:val="-8"/>
          <w:sz w:val="20"/>
          <w:szCs w:val="20"/>
        </w:rPr>
      </w:r>
    </w:p>
    <w:p>
      <w:pPr>
        <w:spacing w:line="240" w:lineRule="auto" w:before="4"/>
        <w:rPr>
          <w:rFonts w:ascii="宋体" w:hAnsi="宋体" w:cs="宋体" w:eastAsia="宋体" w:hint="default"/>
          <w:sz w:val="9"/>
          <w:szCs w:val="9"/>
        </w:rPr>
      </w:pPr>
    </w:p>
    <w:p>
      <w:pPr>
        <w:pStyle w:val="BodyText"/>
        <w:spacing w:line="240" w:lineRule="auto" w:before="36"/>
        <w:ind w:left="3991" w:right="5639"/>
        <w:jc w:val="center"/>
        <w:rPr>
          <w:rFonts w:ascii="宋体" w:hAnsi="宋体" w:cs="宋体" w:eastAsia="宋体" w:hint="default"/>
        </w:rPr>
      </w:pPr>
      <w:r>
        <w:rPr/>
        <w:pict>
          <v:group style="position:absolute;margin-left:242.699997pt;margin-top:-3.536339pt;width:6pt;height:31.7pt;mso-position-horizontal-relative:page;mso-position-vertical-relative:paragraph;z-index:1192" coordorigin="4854,-71" coordsize="120,634">
            <v:group style="position:absolute;left:4914;top:-61;width:2;height:524" coordorigin="4914,-61" coordsize="2,524">
              <v:shape style="position:absolute;left:4914;top:-61;width:2;height:524" coordorigin="4914,-61" coordsize="0,524" path="m4914,-61l4914,463e" filled="false" stroked="true" strokeweight="1pt" strokecolor="#000000">
                <v:path arrowok="t"/>
              </v:shape>
            </v:group>
            <v:group style="position:absolute;left:4854;top:443;width:120;height:120" coordorigin="4854,443" coordsize="120,120">
              <v:shape style="position:absolute;left:4854;top:443;width:120;height:120" coordorigin="4854,443" coordsize="120,120" path="m4974,443l4854,443,4914,563,4974,443xe" filled="true" fillcolor="#000000" stroked="false">
                <v:path arrowok="t"/>
                <v:fill type="solid"/>
              </v:shape>
            </v:group>
            <w10:wrap type="none"/>
          </v:group>
        </w:pict>
      </w:r>
      <w:r>
        <w:rPr/>
        <w:pict>
          <v:group style="position:absolute;margin-left:290.975006pt;margin-top:-30.011339pt;width:63.1pt;height:59.45pt;mso-position-horizontal-relative:page;mso-position-vertical-relative:paragraph;z-index:1264" coordorigin="5820,-600" coordsize="1262,1189">
            <v:group style="position:absolute;left:5827;top:-593;width:1247;height:468" coordorigin="5827,-593" coordsize="1247,468">
              <v:shape style="position:absolute;left:5827;top:-593;width:1247;height:468" coordorigin="5827,-593" coordsize="1247,468" path="m5827,-125l7074,-125,7074,-593,5827,-593,5827,-125xe" filled="false" stroked="true" strokeweight=".75pt" strokecolor="#000000">
                <v:path arrowok="t"/>
              </v:shape>
            </v:group>
            <v:group style="position:absolute;left:6367;top:-92;width:2;height:580" coordorigin="6367,-92" coordsize="2,580">
              <v:shape style="position:absolute;left:6367;top:-92;width:2;height:580" coordorigin="6367,-92" coordsize="0,580" path="m6367,-92l6367,488e" filled="false" stroked="true" strokeweight="1pt" strokecolor="#000000">
                <v:path arrowok="t"/>
              </v:shape>
            </v:group>
            <v:group style="position:absolute;left:6307;top:468;width:120;height:120" coordorigin="6307,468" coordsize="120,120">
              <v:shape style="position:absolute;left:6307;top:468;width:120;height:120" coordorigin="6307,468" coordsize="120,120" path="m6427,468l6307,468,6367,588,6427,468xe" filled="true" fillcolor="#000000" stroked="false">
                <v:path arrowok="t"/>
                <v:fill type="solid"/>
              </v:shape>
              <v:shape style="position:absolute;left:5827;top:-593;width:1247;height:468" type="#_x0000_t202" filled="false" stroked="false">
                <v:textbox inset="0,0,0,0">
                  <w:txbxContent>
                    <w:p>
                      <w:pPr>
                        <w:spacing w:before="45"/>
                        <w:ind w:left="151" w:right="0" w:firstLine="0"/>
                        <w:jc w:val="left"/>
                        <w:rPr>
                          <w:rFonts w:ascii="宋体" w:hAnsi="宋体" w:cs="宋体" w:eastAsia="宋体" w:hint="default"/>
                          <w:sz w:val="21"/>
                          <w:szCs w:val="21"/>
                        </w:rPr>
                      </w:pPr>
                      <w:r>
                        <w:rPr>
                          <w:rFonts w:ascii="宋体" w:hAnsi="宋体" w:cs="宋体" w:eastAsia="宋体" w:hint="default"/>
                          <w:sz w:val="21"/>
                          <w:szCs w:val="21"/>
                        </w:rPr>
                        <w:t>焦 梅</w:t>
                      </w:r>
                      <w:r>
                        <w:rPr>
                          <w:rFonts w:ascii="宋体" w:hAnsi="宋体" w:cs="宋体" w:eastAsia="宋体" w:hint="default"/>
                          <w:spacing w:val="1"/>
                          <w:sz w:val="21"/>
                          <w:szCs w:val="21"/>
                        </w:rPr>
                        <w:t> </w:t>
                      </w:r>
                      <w:r>
                        <w:rPr>
                          <w:rFonts w:ascii="宋体" w:hAnsi="宋体" w:cs="宋体" w:eastAsia="宋体" w:hint="default"/>
                          <w:sz w:val="21"/>
                          <w:szCs w:val="21"/>
                        </w:rPr>
                        <w:t>荣</w:t>
                      </w:r>
                    </w:p>
                  </w:txbxContent>
                </v:textbox>
                <w10:wrap type="none"/>
              </v:shape>
              <v:shape style="position:absolute;left:5820;top:-600;width:1262;height:1189"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0"/>
                        <w:ind w:left="622" w:right="0" w:firstLine="0"/>
                        <w:jc w:val="left"/>
                        <w:rPr>
                          <w:rFonts w:ascii="宋体" w:hAnsi="宋体" w:cs="宋体" w:eastAsia="宋体" w:hint="default"/>
                          <w:sz w:val="21"/>
                          <w:szCs w:val="21"/>
                        </w:rPr>
                      </w:pPr>
                      <w:r>
                        <w:rPr>
                          <w:rFonts w:ascii="宋体"/>
                          <w:sz w:val="21"/>
                        </w:rPr>
                        <w:t>4.17%</w:t>
                      </w:r>
                    </w:p>
                  </w:txbxContent>
                </v:textbox>
                <w10:wrap type="none"/>
              </v:shape>
            </v:group>
            <w10:wrap type="none"/>
          </v:group>
        </w:pict>
      </w:r>
      <w:r>
        <w:rPr>
          <w:rFonts w:ascii="宋体"/>
        </w:rPr>
        <w:t>63%</w:t>
      </w:r>
    </w:p>
    <w:p>
      <w:pPr>
        <w:spacing w:line="240" w:lineRule="auto" w:before="0"/>
        <w:rPr>
          <w:rFonts w:ascii="宋体" w:hAnsi="宋体" w:cs="宋体" w:eastAsia="宋体" w:hint="default"/>
          <w:sz w:val="25"/>
          <w:szCs w:val="25"/>
        </w:rPr>
      </w:pPr>
    </w:p>
    <w:p>
      <w:pPr>
        <w:spacing w:line="468" w:lineRule="exact"/>
        <w:ind w:left="2854"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85.65pt;height:23.4pt;mso-position-horizontal-relative:char;mso-position-vertical-relative:line" type="#_x0000_t202" filled="false" stroked="true" strokeweight=".75pt" strokecolor="#000000">
            <w10:anchorlock/>
            <v:textbox inset="0,0,0,0">
              <w:txbxContent>
                <w:p>
                  <w:pPr>
                    <w:pStyle w:val="BodyText"/>
                    <w:spacing w:line="240" w:lineRule="auto" w:before="40"/>
                    <w:ind w:left="144" w:right="0"/>
                    <w:jc w:val="left"/>
                  </w:pPr>
                  <w:r>
                    <w:rPr/>
                    <w:t>北京中长石基信息技术股份有限公司</w:t>
                  </w:r>
                </w:p>
              </w:txbxContent>
            </v:textbox>
          </v:shape>
        </w:pict>
      </w:r>
      <w:r>
        <w:rPr>
          <w:rFonts w:ascii="宋体" w:hAnsi="宋体" w:cs="宋体" w:eastAsia="宋体" w:hint="default"/>
          <w:position w:val="-8"/>
          <w:sz w:val="20"/>
          <w:szCs w:val="20"/>
        </w:rPr>
      </w:r>
    </w:p>
    <w:p>
      <w:pPr>
        <w:spacing w:line="240" w:lineRule="auto" w:before="5"/>
        <w:rPr>
          <w:rFonts w:ascii="宋体" w:hAnsi="宋体" w:cs="宋体" w:eastAsia="宋体" w:hint="default"/>
          <w:sz w:val="11"/>
          <w:szCs w:val="11"/>
        </w:rPr>
      </w:pPr>
    </w:p>
    <w:p>
      <w:pPr>
        <w:pStyle w:val="BodyText"/>
        <w:spacing w:line="240" w:lineRule="auto" w:before="36"/>
        <w:ind w:left="572" w:right="20"/>
        <w:jc w:val="left"/>
      </w:pPr>
      <w:r>
        <w:rPr/>
        <w:t>注：本公司股东焦梅荣为本公司控股股东李仲初之岳母。</w:t>
      </w:r>
    </w:p>
    <w:p>
      <w:pPr>
        <w:spacing w:line="336" w:lineRule="auto" w:before="133"/>
        <w:ind w:left="572" w:right="3066" w:hanging="1"/>
        <w:jc w:val="left"/>
        <w:rPr>
          <w:rFonts w:ascii="宋体" w:hAnsi="宋体" w:cs="宋体" w:eastAsia="宋体" w:hint="default"/>
          <w:sz w:val="21"/>
          <w:szCs w:val="21"/>
        </w:rPr>
      </w:pPr>
      <w:r>
        <w:rPr>
          <w:rFonts w:ascii="宋体" w:hAnsi="宋体" w:cs="宋体" w:eastAsia="宋体" w:hint="default"/>
          <w:b/>
          <w:bCs/>
          <w:sz w:val="21"/>
          <w:szCs w:val="21"/>
        </w:rPr>
        <w:t>（三）其他持股在</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以上（含</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）的法人股股东情况介绍：</w:t>
      </w:r>
      <w:r>
        <w:rPr>
          <w:rFonts w:ascii="宋体" w:hAnsi="宋体" w:cs="宋体" w:eastAsia="宋体" w:hint="default"/>
          <w:b/>
          <w:bCs/>
          <w:w w:val="100"/>
          <w:sz w:val="21"/>
          <w:szCs w:val="21"/>
        </w:rPr>
        <w:t> </w:t>
      </w:r>
      <w:r>
        <w:rPr>
          <w:rFonts w:ascii="宋体" w:hAnsi="宋体" w:cs="宋体" w:eastAsia="宋体" w:hint="default"/>
          <w:sz w:val="21"/>
          <w:szCs w:val="21"/>
        </w:rPr>
        <w:t>报告期内，本公司无其他持股在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）的法人股股东。</w:t>
      </w:r>
    </w:p>
    <w:p>
      <w:pPr>
        <w:spacing w:after="0" w:line="336" w:lineRule="auto"/>
        <w:jc w:val="left"/>
        <w:rPr>
          <w:rFonts w:ascii="宋体" w:hAnsi="宋体" w:cs="宋体" w:eastAsia="宋体" w:hint="default"/>
          <w:sz w:val="21"/>
          <w:szCs w:val="21"/>
        </w:rPr>
        <w:sectPr>
          <w:pgSz w:w="11910" w:h="16840"/>
          <w:pgMar w:header="850" w:footer="979" w:top="1200" w:bottom="1160" w:left="980" w:right="940"/>
        </w:sectPr>
      </w:pPr>
    </w:p>
    <w:p>
      <w:pPr>
        <w:spacing w:line="240" w:lineRule="auto" w:before="7"/>
        <w:rPr>
          <w:rFonts w:ascii="宋体" w:hAnsi="宋体" w:cs="宋体" w:eastAsia="宋体" w:hint="default"/>
          <w:sz w:val="21"/>
          <w:szCs w:val="21"/>
        </w:rPr>
      </w:pPr>
    </w:p>
    <w:p>
      <w:pPr>
        <w:pStyle w:val="Heading1"/>
        <w:spacing w:line="240" w:lineRule="auto"/>
        <w:ind w:left="2209" w:right="0"/>
        <w:jc w:val="left"/>
        <w:rPr>
          <w:b w:val="0"/>
          <w:bCs w:val="0"/>
        </w:rPr>
      </w:pPr>
      <w:bookmarkStart w:name="第四节 董事、监事、高级管理人员和员工情况" w:id="7"/>
      <w:bookmarkEnd w:id="7"/>
      <w:r>
        <w:rPr>
          <w:b w:val="0"/>
          <w:bCs w:val="0"/>
        </w:rPr>
      </w:r>
      <w:bookmarkStart w:name="_bookmark3" w:id="8"/>
      <w:bookmarkEnd w:id="8"/>
      <w:r>
        <w:rPr>
          <w:b w:val="0"/>
          <w:bCs w:val="0"/>
        </w:rPr>
      </w:r>
      <w:r>
        <w:rPr/>
        <w:t>第四节 董事、监事、高级管理人员和员工情况</w:t>
      </w:r>
      <w:r>
        <w:rPr>
          <w:b w:val="0"/>
          <w:bCs w:val="0"/>
        </w:rPr>
      </w:r>
    </w:p>
    <w:p>
      <w:pPr>
        <w:spacing w:line="240" w:lineRule="auto" w:before="11"/>
        <w:rPr>
          <w:rFonts w:ascii="宋体" w:hAnsi="宋体" w:cs="宋体" w:eastAsia="宋体" w:hint="default"/>
          <w:b/>
          <w:bCs/>
          <w:sz w:val="35"/>
          <w:szCs w:val="35"/>
        </w:rPr>
      </w:pPr>
    </w:p>
    <w:p>
      <w:pPr>
        <w:pStyle w:val="Heading4"/>
        <w:spacing w:line="240" w:lineRule="auto"/>
        <w:ind w:left="685" w:right="0"/>
        <w:jc w:val="left"/>
        <w:rPr>
          <w:b w:val="0"/>
          <w:bCs w:val="0"/>
        </w:rPr>
      </w:pPr>
      <w:r>
        <w:rPr/>
        <w:t>一、公司现任及报告期内离任董事、监事、高级管理人员情况</w:t>
      </w:r>
      <w:r>
        <w:rPr>
          <w:b w:val="0"/>
          <w:bCs w:val="0"/>
        </w:rPr>
      </w:r>
    </w:p>
    <w:p>
      <w:pPr>
        <w:spacing w:line="240" w:lineRule="auto" w:before="0"/>
        <w:rPr>
          <w:rFonts w:ascii="宋体" w:hAnsi="宋体" w:cs="宋体" w:eastAsia="宋体" w:hint="default"/>
          <w:b/>
          <w:bCs/>
          <w:sz w:val="20"/>
          <w:szCs w:val="20"/>
        </w:rPr>
      </w:pPr>
    </w:p>
    <w:p>
      <w:pPr>
        <w:spacing w:before="152"/>
        <w:ind w:left="685" w:right="0" w:firstLine="0"/>
        <w:jc w:val="left"/>
        <w:rPr>
          <w:rFonts w:ascii="宋体" w:hAnsi="宋体" w:cs="宋体" w:eastAsia="宋体" w:hint="default"/>
          <w:sz w:val="21"/>
          <w:szCs w:val="21"/>
        </w:rPr>
      </w:pPr>
      <w:r>
        <w:rPr>
          <w:rFonts w:ascii="宋体" w:hAnsi="宋体" w:cs="宋体" w:eastAsia="宋体" w:hint="default"/>
          <w:sz w:val="18"/>
          <w:szCs w:val="18"/>
        </w:rPr>
        <w:t>（一） </w:t>
      </w:r>
      <w:r>
        <w:rPr>
          <w:rFonts w:ascii="宋体" w:hAnsi="宋体" w:cs="宋体" w:eastAsia="宋体" w:hint="default"/>
          <w:spacing w:val="1"/>
          <w:sz w:val="18"/>
          <w:szCs w:val="18"/>
        </w:rPr>
        <w:t> </w:t>
      </w:r>
      <w:r>
        <w:rPr>
          <w:rFonts w:ascii="宋体" w:hAnsi="宋体" w:cs="宋体" w:eastAsia="宋体" w:hint="default"/>
          <w:b/>
          <w:bCs/>
          <w:sz w:val="21"/>
          <w:szCs w:val="21"/>
        </w:rPr>
        <w:t>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07" w:type="dxa"/>
        <w:tblLayout w:type="fixed"/>
        <w:tblCellMar>
          <w:top w:w="0" w:type="dxa"/>
          <w:left w:w="0" w:type="dxa"/>
          <w:bottom w:w="0" w:type="dxa"/>
          <w:right w:w="0" w:type="dxa"/>
        </w:tblCellMar>
        <w:tblLook w:val="01E0"/>
      </w:tblPr>
      <w:tblGrid>
        <w:gridCol w:w="900"/>
        <w:gridCol w:w="1546"/>
        <w:gridCol w:w="595"/>
        <w:gridCol w:w="540"/>
        <w:gridCol w:w="1675"/>
        <w:gridCol w:w="1565"/>
        <w:gridCol w:w="1080"/>
        <w:gridCol w:w="1080"/>
        <w:gridCol w:w="977"/>
      </w:tblGrid>
      <w:tr>
        <w:trPr>
          <w:trHeight w:val="242" w:hRule="exact"/>
        </w:trPr>
        <w:tc>
          <w:tcPr>
            <w:tcW w:w="9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4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67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97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董事长、总裁</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sz w:val="18"/>
              </w:rPr>
              <w:t>48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141,120,000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194,745,600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center"/>
              <w:rPr>
                <w:rFonts w:ascii="宋体" w:hAnsi="宋体" w:cs="宋体" w:eastAsia="宋体" w:hint="default"/>
                <w:sz w:val="18"/>
                <w:szCs w:val="18"/>
              </w:rPr>
            </w:pPr>
            <w:r>
              <w:rPr>
                <w:rFonts w:ascii="宋体" w:hAnsi="宋体" w:cs="宋体" w:eastAsia="宋体" w:hint="default"/>
                <w:sz w:val="18"/>
                <w:szCs w:val="18"/>
              </w:rPr>
              <w:t>公积金转增</w:t>
            </w:r>
          </w:p>
        </w:tc>
      </w:tr>
      <w:tr>
        <w:trPr>
          <w:trHeight w:val="6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408" w:right="137" w:hanging="272"/>
              <w:jc w:val="left"/>
              <w:rPr>
                <w:rFonts w:ascii="宋体" w:hAnsi="宋体" w:cs="宋体" w:eastAsia="宋体" w:hint="default"/>
                <w:sz w:val="18"/>
                <w:szCs w:val="18"/>
              </w:rPr>
            </w:pPr>
            <w:r>
              <w:rPr>
                <w:rFonts w:ascii="宋体" w:hAnsi="宋体" w:cs="宋体" w:eastAsia="宋体" w:hint="default"/>
                <w:sz w:val="18"/>
                <w:szCs w:val="18"/>
              </w:rPr>
              <w:t>董事、副总裁、 财务总监</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郑大立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40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郭田勇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43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刘剑锋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42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阎丽明</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48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罗芳</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676" w:right="45" w:hanging="629"/>
              <w:jc w:val="left"/>
              <w:rPr>
                <w:rFonts w:ascii="宋体" w:hAnsi="宋体" w:cs="宋体" w:eastAsia="宋体" w:hint="default"/>
                <w:sz w:val="18"/>
                <w:szCs w:val="18"/>
              </w:rPr>
            </w:pPr>
            <w:r>
              <w:rPr>
                <w:rFonts w:ascii="宋体" w:hAnsi="宋体" w:cs="宋体" w:eastAsia="宋体" w:hint="default"/>
                <w:sz w:val="18"/>
                <w:szCs w:val="18"/>
              </w:rPr>
              <w:t>副总裁兼董事会秘 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罗志明</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47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关东玉</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48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王敏敏</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49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9,660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公积金转增</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郭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55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张广杰</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51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王淑杰</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sz w:val="18"/>
              </w:rPr>
              <w:t>43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郭 </w:t>
            </w:r>
            <w:r>
              <w:rPr>
                <w:rFonts w:ascii="宋体" w:hAnsi="宋体" w:cs="宋体" w:eastAsia="宋体" w:hint="default"/>
                <w:spacing w:val="2"/>
                <w:sz w:val="18"/>
                <w:szCs w:val="18"/>
              </w:rPr>
              <w:t> </w:t>
            </w:r>
            <w:r>
              <w:rPr>
                <w:rFonts w:ascii="宋体" w:hAnsi="宋体" w:cs="宋体" w:eastAsia="宋体" w:hint="default"/>
                <w:sz w:val="18"/>
                <w:szCs w:val="18"/>
              </w:rPr>
              <w:t>洁</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587" w:right="46" w:hanging="540"/>
              <w:jc w:val="left"/>
              <w:rPr>
                <w:rFonts w:ascii="宋体" w:hAnsi="宋体" w:cs="宋体" w:eastAsia="宋体" w:hint="default"/>
                <w:sz w:val="18"/>
                <w:szCs w:val="18"/>
              </w:rPr>
            </w:pPr>
            <w:r>
              <w:rPr>
                <w:rFonts w:ascii="宋体" w:hAnsi="宋体" w:cs="宋体" w:eastAsia="宋体" w:hint="default"/>
                <w:sz w:val="18"/>
                <w:szCs w:val="18"/>
              </w:rPr>
              <w:t>离任董事、董事会 秘书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center"/>
              <w:rPr>
                <w:rFonts w:ascii="Times New Roman" w:hAnsi="Times New Roman" w:cs="Times New Roman" w:eastAsia="Times New Roman" w:hint="default"/>
                <w:sz w:val="18"/>
                <w:szCs w:val="18"/>
              </w:rPr>
            </w:pPr>
            <w:r>
              <w:rPr>
                <w:rFonts w:ascii="Times New Roman"/>
                <w:sz w:val="18"/>
              </w:rPr>
              <w:t>141,127,000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center"/>
              <w:rPr>
                <w:rFonts w:ascii="Times New Roman" w:hAnsi="Times New Roman" w:cs="Times New Roman" w:eastAsia="Times New Roman" w:hint="default"/>
                <w:sz w:val="18"/>
                <w:szCs w:val="18"/>
              </w:rPr>
            </w:pPr>
            <w:r>
              <w:rPr>
                <w:rFonts w:ascii="Times New Roman"/>
                <w:sz w:val="18"/>
              </w:rPr>
              <w:t>194,755,260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2"/>
        <w:rPr>
          <w:rFonts w:ascii="宋体" w:hAnsi="宋体" w:cs="宋体" w:eastAsia="宋体" w:hint="default"/>
          <w:b/>
          <w:bCs/>
          <w:sz w:val="15"/>
          <w:szCs w:val="15"/>
        </w:rPr>
      </w:pPr>
    </w:p>
    <w:p>
      <w:pPr>
        <w:pStyle w:val="Heading4"/>
        <w:spacing w:line="240" w:lineRule="auto" w:before="36"/>
        <w:ind w:left="685" w:right="0"/>
        <w:jc w:val="left"/>
        <w:rPr>
          <w:b w:val="0"/>
          <w:bCs w:val="0"/>
        </w:rPr>
      </w:pPr>
      <w:r>
        <w:rPr/>
        <w:t>（二）现任及报告期内离任董事、监事、高级管理人员报告期内被授予的股权激励情况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287" w:type="dxa"/>
        <w:tblLayout w:type="fixed"/>
        <w:tblCellMar>
          <w:top w:w="0" w:type="dxa"/>
          <w:left w:w="0" w:type="dxa"/>
          <w:bottom w:w="0" w:type="dxa"/>
          <w:right w:w="0" w:type="dxa"/>
        </w:tblCellMar>
        <w:tblLook w:val="01E0"/>
      </w:tblPr>
      <w:tblGrid>
        <w:gridCol w:w="780"/>
        <w:gridCol w:w="1121"/>
        <w:gridCol w:w="919"/>
        <w:gridCol w:w="977"/>
        <w:gridCol w:w="871"/>
        <w:gridCol w:w="869"/>
        <w:gridCol w:w="871"/>
        <w:gridCol w:w="871"/>
        <w:gridCol w:w="871"/>
        <w:gridCol w:w="730"/>
        <w:gridCol w:w="720"/>
      </w:tblGrid>
      <w:tr>
        <w:trPr>
          <w:trHeight w:val="1370" w:hRule="exact"/>
        </w:trPr>
        <w:tc>
          <w:tcPr>
            <w:tcW w:w="7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70"/>
              <w:jc w:val="right"/>
              <w:rPr>
                <w:rFonts w:ascii="宋体" w:hAnsi="宋体" w:cs="宋体" w:eastAsia="宋体" w:hint="default"/>
                <w:sz w:val="21"/>
                <w:szCs w:val="21"/>
              </w:rPr>
            </w:pPr>
            <w:r>
              <w:rPr>
                <w:rFonts w:ascii="宋体" w:hAnsi="宋体" w:cs="宋体" w:eastAsia="宋体" w:hint="default"/>
                <w:sz w:val="21"/>
                <w:szCs w:val="21"/>
              </w:rPr>
              <w:t>姓名</w:t>
            </w:r>
          </w:p>
        </w:tc>
        <w:tc>
          <w:tcPr>
            <w:tcW w:w="112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9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37" w:lineRule="auto"/>
              <w:ind w:left="36" w:right="29"/>
              <w:jc w:val="center"/>
              <w:rPr>
                <w:rFonts w:ascii="宋体" w:hAnsi="宋体" w:cs="宋体" w:eastAsia="宋体" w:hint="default"/>
                <w:sz w:val="21"/>
                <w:szCs w:val="21"/>
              </w:rPr>
            </w:pPr>
            <w:r>
              <w:rPr>
                <w:rFonts w:ascii="宋体" w:hAnsi="宋体" w:cs="宋体" w:eastAsia="宋体" w:hint="default"/>
                <w:sz w:val="21"/>
                <w:szCs w:val="21"/>
              </w:rPr>
              <w:t>期初持有</w:t>
            </w:r>
            <w:r>
              <w:rPr>
                <w:rFonts w:ascii="宋体" w:hAnsi="宋体" w:cs="宋体" w:eastAsia="宋体" w:hint="default"/>
                <w:w w:val="100"/>
                <w:sz w:val="21"/>
                <w:szCs w:val="21"/>
              </w:rPr>
              <w:t> </w:t>
            </w:r>
            <w:r>
              <w:rPr>
                <w:rFonts w:ascii="宋体" w:hAnsi="宋体" w:cs="宋体" w:eastAsia="宋体" w:hint="default"/>
                <w:sz w:val="21"/>
                <w:szCs w:val="21"/>
              </w:rPr>
              <w:t>股票期权</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97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37" w:lineRule="auto"/>
              <w:ind w:left="62" w:right="60"/>
              <w:jc w:val="both"/>
              <w:rPr>
                <w:rFonts w:ascii="宋体" w:hAnsi="宋体" w:cs="宋体" w:eastAsia="宋体" w:hint="default"/>
                <w:sz w:val="21"/>
                <w:szCs w:val="21"/>
              </w:rPr>
            </w:pPr>
            <w:r>
              <w:rPr>
                <w:rFonts w:ascii="宋体" w:hAnsi="宋体" w:cs="宋体" w:eastAsia="宋体" w:hint="default"/>
                <w:sz w:val="21"/>
                <w:szCs w:val="21"/>
              </w:rPr>
              <w:t>报告期新</w:t>
            </w:r>
            <w:r>
              <w:rPr>
                <w:rFonts w:ascii="宋体" w:hAnsi="宋体" w:cs="宋体" w:eastAsia="宋体" w:hint="default"/>
                <w:w w:val="100"/>
                <w:sz w:val="21"/>
                <w:szCs w:val="21"/>
              </w:rPr>
              <w:t> </w:t>
            </w:r>
            <w:r>
              <w:rPr>
                <w:rFonts w:ascii="宋体" w:hAnsi="宋体" w:cs="宋体" w:eastAsia="宋体" w:hint="default"/>
                <w:sz w:val="21"/>
                <w:szCs w:val="21"/>
              </w:rPr>
              <w:t>授予股票</w:t>
            </w:r>
            <w:r>
              <w:rPr>
                <w:rFonts w:ascii="宋体" w:hAnsi="宋体" w:cs="宋体" w:eastAsia="宋体" w:hint="default"/>
                <w:w w:val="100"/>
                <w:sz w:val="21"/>
                <w:szCs w:val="21"/>
              </w:rPr>
              <w:t> </w:t>
            </w:r>
            <w:r>
              <w:rPr>
                <w:rFonts w:ascii="宋体" w:hAnsi="宋体" w:cs="宋体" w:eastAsia="宋体" w:hint="default"/>
                <w:sz w:val="21"/>
                <w:szCs w:val="21"/>
              </w:rPr>
              <w:t>期权数量</w:t>
            </w:r>
          </w:p>
        </w:tc>
        <w:tc>
          <w:tcPr>
            <w:tcW w:w="87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7" w:lineRule="auto" w:before="105"/>
              <w:ind w:left="115" w:right="110"/>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股票期</w:t>
            </w:r>
            <w:r>
              <w:rPr>
                <w:rFonts w:ascii="宋体" w:hAnsi="宋体" w:cs="宋体" w:eastAsia="宋体" w:hint="default"/>
                <w:spacing w:val="-102"/>
                <w:sz w:val="21"/>
                <w:szCs w:val="21"/>
              </w:rPr>
              <w:t> </w:t>
            </w:r>
            <w:r>
              <w:rPr>
                <w:rFonts w:ascii="宋体" w:hAnsi="宋体" w:cs="宋体" w:eastAsia="宋体" w:hint="default"/>
                <w:sz w:val="21"/>
                <w:szCs w:val="21"/>
              </w:rPr>
              <w:t>权行权</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86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37" w:lineRule="auto"/>
              <w:ind w:left="115" w:right="108"/>
              <w:jc w:val="both"/>
              <w:rPr>
                <w:rFonts w:ascii="宋体" w:hAnsi="宋体" w:cs="宋体" w:eastAsia="宋体" w:hint="default"/>
                <w:sz w:val="21"/>
                <w:szCs w:val="21"/>
              </w:rPr>
            </w:pPr>
            <w:r>
              <w:rPr>
                <w:rFonts w:ascii="宋体" w:hAnsi="宋体" w:cs="宋体" w:eastAsia="宋体" w:hint="default"/>
                <w:sz w:val="21"/>
                <w:szCs w:val="21"/>
              </w:rPr>
              <w:t>股票期</w:t>
            </w:r>
            <w:r>
              <w:rPr>
                <w:rFonts w:ascii="宋体" w:hAnsi="宋体" w:cs="宋体" w:eastAsia="宋体" w:hint="default"/>
                <w:spacing w:val="-102"/>
                <w:sz w:val="21"/>
                <w:szCs w:val="21"/>
              </w:rPr>
              <w:t> </w:t>
            </w:r>
            <w:r>
              <w:rPr>
                <w:rFonts w:ascii="宋体" w:hAnsi="宋体" w:cs="宋体" w:eastAsia="宋体" w:hint="default"/>
                <w:sz w:val="21"/>
                <w:szCs w:val="21"/>
              </w:rPr>
              <w:t>权行权</w:t>
            </w:r>
            <w:r>
              <w:rPr>
                <w:rFonts w:ascii="宋体" w:hAnsi="宋体" w:cs="宋体" w:eastAsia="宋体" w:hint="default"/>
                <w:spacing w:val="-102"/>
                <w:sz w:val="21"/>
                <w:szCs w:val="21"/>
              </w:rPr>
              <w:t> </w:t>
            </w:r>
            <w:r>
              <w:rPr>
                <w:rFonts w:ascii="宋体" w:hAnsi="宋体" w:cs="宋体" w:eastAsia="宋体" w:hint="default"/>
                <w:sz w:val="21"/>
                <w:szCs w:val="21"/>
              </w:rPr>
              <w:t>价格</w:t>
            </w:r>
          </w:p>
        </w:tc>
        <w:tc>
          <w:tcPr>
            <w:tcW w:w="87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7" w:lineRule="auto" w:before="105"/>
              <w:ind w:left="26" w:right="-8" w:firstLine="91"/>
              <w:jc w:val="both"/>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w w:val="100"/>
                <w:sz w:val="21"/>
                <w:szCs w:val="21"/>
              </w:rPr>
              <w:t> </w:t>
            </w:r>
            <w:r>
              <w:rPr>
                <w:rFonts w:ascii="宋体" w:hAnsi="宋体" w:cs="宋体" w:eastAsia="宋体" w:hint="default"/>
                <w:sz w:val="21"/>
                <w:szCs w:val="21"/>
              </w:rPr>
              <w:t>有股票</w:t>
            </w:r>
            <w:r>
              <w:rPr>
                <w:rFonts w:ascii="宋体" w:hAnsi="宋体" w:cs="宋体" w:eastAsia="宋体" w:hint="default"/>
                <w:spacing w:val="-102"/>
                <w:sz w:val="21"/>
                <w:szCs w:val="21"/>
              </w:rPr>
              <w:t> </w:t>
            </w:r>
            <w:r>
              <w:rPr>
                <w:rFonts w:ascii="宋体" w:hAnsi="宋体" w:cs="宋体" w:eastAsia="宋体" w:hint="default"/>
                <w:sz w:val="21"/>
                <w:szCs w:val="21"/>
              </w:rPr>
              <w:t>期权数</w:t>
            </w:r>
            <w:r>
              <w:rPr>
                <w:rFonts w:ascii="宋体" w:hAnsi="宋体" w:cs="宋体" w:eastAsia="宋体" w:hint="default"/>
                <w:spacing w:val="-102"/>
                <w:sz w:val="21"/>
                <w:szCs w:val="21"/>
              </w:rPr>
              <w:t> </w:t>
            </w:r>
            <w:r>
              <w:rPr>
                <w:rFonts w:ascii="宋体" w:hAnsi="宋体" w:cs="宋体" w:eastAsia="宋体" w:hint="default"/>
                <w:sz w:val="21"/>
                <w:szCs w:val="21"/>
              </w:rPr>
              <w:t>量（注）</w:t>
            </w:r>
          </w:p>
        </w:tc>
        <w:tc>
          <w:tcPr>
            <w:tcW w:w="87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7" w:lineRule="auto" w:before="105"/>
              <w:ind w:left="115" w:right="110"/>
              <w:jc w:val="both"/>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有限制</w:t>
            </w:r>
            <w:r>
              <w:rPr>
                <w:rFonts w:ascii="宋体" w:hAnsi="宋体" w:cs="宋体" w:eastAsia="宋体" w:hint="default"/>
                <w:spacing w:val="-102"/>
                <w:sz w:val="21"/>
                <w:szCs w:val="21"/>
              </w:rPr>
              <w:t> </w:t>
            </w:r>
            <w:r>
              <w:rPr>
                <w:rFonts w:ascii="宋体" w:hAnsi="宋体" w:cs="宋体" w:eastAsia="宋体" w:hint="default"/>
                <w:sz w:val="21"/>
                <w:szCs w:val="21"/>
              </w:rPr>
              <w:t>性股票</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87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37" w:lineRule="auto"/>
              <w:ind w:left="115" w:right="110"/>
              <w:jc w:val="center"/>
              <w:rPr>
                <w:rFonts w:ascii="宋体" w:hAnsi="宋体" w:cs="宋体" w:eastAsia="宋体" w:hint="default"/>
                <w:sz w:val="21"/>
                <w:szCs w:val="21"/>
              </w:rPr>
            </w:pPr>
            <w:r>
              <w:rPr>
                <w:rFonts w:ascii="宋体" w:hAnsi="宋体" w:cs="宋体" w:eastAsia="宋体" w:hint="default"/>
                <w:sz w:val="21"/>
                <w:szCs w:val="21"/>
              </w:rPr>
              <w:t>新授予</w:t>
            </w:r>
            <w:r>
              <w:rPr>
                <w:rFonts w:ascii="宋体" w:hAnsi="宋体" w:cs="宋体" w:eastAsia="宋体" w:hint="default"/>
                <w:w w:val="100"/>
                <w:sz w:val="21"/>
                <w:szCs w:val="21"/>
              </w:rPr>
              <w:t> </w:t>
            </w:r>
            <w:r>
              <w:rPr>
                <w:rFonts w:ascii="宋体" w:hAnsi="宋体" w:cs="宋体" w:eastAsia="宋体" w:hint="default"/>
                <w:sz w:val="21"/>
                <w:szCs w:val="21"/>
              </w:rPr>
              <w:t>限制性</w:t>
            </w:r>
            <w:r>
              <w:rPr>
                <w:rFonts w:ascii="宋体" w:hAnsi="宋体" w:cs="宋体" w:eastAsia="宋体" w:hint="default"/>
                <w:w w:val="100"/>
                <w:sz w:val="21"/>
                <w:szCs w:val="21"/>
              </w:rPr>
              <w:t> </w:t>
            </w:r>
            <w:r>
              <w:rPr>
                <w:rFonts w:ascii="宋体" w:hAnsi="宋体" w:cs="宋体" w:eastAsia="宋体" w:hint="default"/>
                <w:sz w:val="21"/>
                <w:szCs w:val="21"/>
              </w:rPr>
              <w:t>股票数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7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7" w:lineRule="auto" w:before="105"/>
              <w:ind w:left="43" w:right="41"/>
              <w:jc w:val="center"/>
              <w:rPr>
                <w:rFonts w:ascii="宋体" w:hAnsi="宋体" w:cs="宋体" w:eastAsia="宋体" w:hint="default"/>
                <w:sz w:val="21"/>
                <w:szCs w:val="21"/>
              </w:rPr>
            </w:pPr>
            <w:r>
              <w:rPr>
                <w:rFonts w:ascii="宋体" w:hAnsi="宋体" w:cs="宋体" w:eastAsia="宋体" w:hint="default"/>
                <w:sz w:val="21"/>
                <w:szCs w:val="21"/>
              </w:rPr>
              <w:t>限制性</w:t>
            </w:r>
            <w:r>
              <w:rPr>
                <w:rFonts w:ascii="宋体" w:hAnsi="宋体" w:cs="宋体" w:eastAsia="宋体" w:hint="default"/>
                <w:w w:val="100"/>
                <w:sz w:val="21"/>
                <w:szCs w:val="21"/>
              </w:rPr>
              <w:t> </w:t>
            </w:r>
            <w:r>
              <w:rPr>
                <w:rFonts w:ascii="宋体" w:hAnsi="宋体" w:cs="宋体" w:eastAsia="宋体" w:hint="default"/>
                <w:sz w:val="21"/>
                <w:szCs w:val="21"/>
              </w:rPr>
              <w:t>股票的</w:t>
            </w:r>
            <w:r>
              <w:rPr>
                <w:rFonts w:ascii="宋体" w:hAnsi="宋体" w:cs="宋体" w:eastAsia="宋体" w:hint="default"/>
                <w:w w:val="100"/>
                <w:sz w:val="21"/>
                <w:szCs w:val="21"/>
              </w:rPr>
              <w:t> </w:t>
            </w:r>
            <w:r>
              <w:rPr>
                <w:rFonts w:ascii="宋体" w:hAnsi="宋体" w:cs="宋体" w:eastAsia="宋体" w:hint="default"/>
                <w:sz w:val="21"/>
                <w:szCs w:val="21"/>
              </w:rPr>
              <w:t>授予价</w:t>
            </w:r>
            <w:r>
              <w:rPr>
                <w:rFonts w:ascii="宋体" w:hAnsi="宋体" w:cs="宋体" w:eastAsia="宋体" w:hint="default"/>
                <w:w w:val="100"/>
                <w:sz w:val="21"/>
                <w:szCs w:val="21"/>
              </w:rPr>
              <w:t> </w:t>
            </w:r>
            <w:r>
              <w:rPr>
                <w:rFonts w:ascii="宋体" w:hAnsi="宋体" w:cs="宋体" w:eastAsia="宋体" w:hint="default"/>
                <w:sz w:val="21"/>
                <w:szCs w:val="21"/>
              </w:rPr>
              <w:t>格</w:t>
            </w:r>
          </w:p>
        </w:tc>
        <w:tc>
          <w:tcPr>
            <w:tcW w:w="7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7" w:lineRule="auto" w:before="105"/>
              <w:ind w:left="40" w:right="35"/>
              <w:jc w:val="both"/>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有限制</w:t>
            </w:r>
            <w:r>
              <w:rPr>
                <w:rFonts w:ascii="宋体" w:hAnsi="宋体" w:cs="宋体" w:eastAsia="宋体" w:hint="default"/>
                <w:spacing w:val="-102"/>
                <w:sz w:val="21"/>
                <w:szCs w:val="21"/>
              </w:rPr>
              <w:t> </w:t>
            </w:r>
            <w:r>
              <w:rPr>
                <w:rFonts w:ascii="宋体" w:hAnsi="宋体" w:cs="宋体" w:eastAsia="宋体" w:hint="default"/>
                <w:sz w:val="21"/>
                <w:szCs w:val="21"/>
              </w:rPr>
              <w:t>性股票</w:t>
            </w:r>
            <w:r>
              <w:rPr>
                <w:rFonts w:ascii="宋体" w:hAnsi="宋体" w:cs="宋体" w:eastAsia="宋体" w:hint="default"/>
                <w:spacing w:val="-102"/>
                <w:sz w:val="21"/>
                <w:szCs w:val="21"/>
              </w:rPr>
              <w:t> </w:t>
            </w:r>
            <w:r>
              <w:rPr>
                <w:rFonts w:ascii="宋体" w:hAnsi="宋体" w:cs="宋体" w:eastAsia="宋体" w:hint="default"/>
                <w:sz w:val="21"/>
                <w:szCs w:val="21"/>
              </w:rPr>
              <w:t>数量</w:t>
            </w:r>
          </w:p>
        </w:tc>
      </w:tr>
      <w:tr>
        <w:trPr>
          <w:trHeight w:val="31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4"/>
              <w:jc w:val="right"/>
              <w:rPr>
                <w:rFonts w:ascii="宋体" w:hAnsi="宋体" w:cs="宋体" w:eastAsia="宋体" w:hint="default"/>
                <w:sz w:val="18"/>
                <w:szCs w:val="18"/>
              </w:rPr>
            </w:pPr>
            <w:r>
              <w:rPr>
                <w:rFonts w:ascii="宋体" w:hAnsi="宋体" w:cs="宋体" w:eastAsia="宋体" w:hint="default"/>
                <w:sz w:val="18"/>
                <w:szCs w:val="18"/>
              </w:rPr>
              <w:t>罗志明</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z w:val="18"/>
              </w:rPr>
              <w:t>140,000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
              <w:jc w:val="right"/>
              <w:rPr>
                <w:rFonts w:ascii="Times New Roman" w:hAnsi="Times New Roman" w:cs="Times New Roman" w:eastAsia="Times New Roman" w:hint="default"/>
                <w:sz w:val="18"/>
                <w:szCs w:val="18"/>
              </w:rPr>
            </w:pPr>
            <w:r>
              <w:rPr>
                <w:rFonts w:ascii="Times New Roman"/>
                <w:sz w:val="18"/>
              </w:rPr>
              <w:t>32.32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193,200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4"/>
              <w:jc w:val="right"/>
              <w:rPr>
                <w:rFonts w:ascii="宋体" w:hAnsi="宋体" w:cs="宋体" w:eastAsia="宋体" w:hint="default"/>
                <w:sz w:val="18"/>
                <w:szCs w:val="18"/>
              </w:rPr>
            </w:pPr>
            <w:r>
              <w:rPr>
                <w:rFonts w:ascii="宋体" w:hAnsi="宋体" w:cs="宋体" w:eastAsia="宋体" w:hint="default"/>
                <w:sz w:val="18"/>
                <w:szCs w:val="18"/>
              </w:rPr>
              <w:t>王敏敏</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4"/>
              <w:jc w:val="right"/>
              <w:rPr>
                <w:rFonts w:ascii="Times New Roman" w:hAnsi="Times New Roman" w:cs="Times New Roman" w:eastAsia="Times New Roman" w:hint="default"/>
                <w:sz w:val="18"/>
                <w:szCs w:val="18"/>
              </w:rPr>
            </w:pPr>
            <w:r>
              <w:rPr>
                <w:rFonts w:ascii="Times New Roman"/>
                <w:sz w:val="18"/>
              </w:rPr>
              <w:t>32.32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8"/>
              <w:jc w:val="right"/>
              <w:rPr>
                <w:rFonts w:ascii="Times New Roman" w:hAnsi="Times New Roman" w:cs="Times New Roman" w:eastAsia="Times New Roman" w:hint="default"/>
                <w:sz w:val="18"/>
                <w:szCs w:val="18"/>
              </w:rPr>
            </w:pPr>
            <w:r>
              <w:rPr>
                <w:rFonts w:ascii="Times New Roman"/>
                <w:spacing w:val="-1"/>
                <w:sz w:val="18"/>
              </w:rPr>
              <w:t>82,800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1"/>
              <w:jc w:val="right"/>
              <w:rPr>
                <w:rFonts w:ascii="宋体" w:hAnsi="宋体" w:cs="宋体" w:eastAsia="宋体" w:hint="default"/>
                <w:sz w:val="18"/>
                <w:szCs w:val="18"/>
              </w:rPr>
            </w:pPr>
            <w:r>
              <w:rPr>
                <w:rFonts w:ascii="宋体" w:hAnsi="宋体" w:cs="宋体" w:eastAsia="宋体" w:hint="default"/>
                <w:sz w:val="18"/>
                <w:szCs w:val="18"/>
              </w:rPr>
              <w:t>郭 </w:t>
            </w:r>
            <w:r>
              <w:rPr>
                <w:rFonts w:ascii="宋体" w:hAnsi="宋体" w:cs="宋体" w:eastAsia="宋体" w:hint="default"/>
                <w:spacing w:val="2"/>
                <w:sz w:val="18"/>
                <w:szCs w:val="18"/>
              </w:rPr>
              <w:t> </w:t>
            </w:r>
            <w:r>
              <w:rPr>
                <w:rFonts w:ascii="宋体" w:hAnsi="宋体" w:cs="宋体" w:eastAsia="宋体" w:hint="default"/>
                <w:sz w:val="18"/>
                <w:szCs w:val="18"/>
              </w:rPr>
              <w:t>洁</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18"/>
              <w:jc w:val="left"/>
              <w:rPr>
                <w:rFonts w:ascii="宋体" w:hAnsi="宋体" w:cs="宋体" w:eastAsia="宋体" w:hint="default"/>
                <w:sz w:val="18"/>
                <w:szCs w:val="18"/>
              </w:rPr>
            </w:pPr>
            <w:r>
              <w:rPr>
                <w:rFonts w:ascii="宋体" w:hAnsi="宋体" w:cs="宋体" w:eastAsia="宋体" w:hint="default"/>
                <w:spacing w:val="32"/>
                <w:sz w:val="18"/>
                <w:szCs w:val="18"/>
              </w:rPr>
              <w:t>董事会秘书</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8"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已离职</w:t>
            </w:r>
            <w:r>
              <w:rPr>
                <w:rFonts w:ascii="Times New Roman" w:hAnsi="Times New Roman" w:cs="Times New Roman" w:eastAsia="Times New Roman" w:hint="default"/>
                <w:sz w:val="18"/>
                <w:szCs w:val="18"/>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4"/>
              <w:jc w:val="right"/>
              <w:rPr>
                <w:rFonts w:ascii="Times New Roman" w:hAnsi="Times New Roman" w:cs="Times New Roman" w:eastAsia="Times New Roman" w:hint="default"/>
                <w:sz w:val="18"/>
                <w:szCs w:val="18"/>
              </w:rPr>
            </w:pPr>
            <w:r>
              <w:rPr>
                <w:rFonts w:ascii="Times New Roman"/>
                <w:sz w:val="18"/>
              </w:rPr>
              <w:t>32.32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16,560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7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3"/>
              <w:ind w:right="203"/>
              <w:jc w:val="right"/>
              <w:rPr>
                <w:rFonts w:ascii="宋体" w:hAnsi="宋体" w:cs="宋体" w:eastAsia="宋体" w:hint="default"/>
                <w:sz w:val="18"/>
                <w:szCs w:val="18"/>
              </w:rPr>
            </w:pPr>
            <w:r>
              <w:rPr>
                <w:rFonts w:ascii="宋体" w:hAnsi="宋体" w:cs="宋体" w:eastAsia="宋体" w:hint="default"/>
                <w:sz w:val="18"/>
                <w:szCs w:val="18"/>
              </w:rPr>
              <w:t>合计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z w:val="18"/>
              </w:rPr>
              <w:t>240,000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7"/>
              <w:jc w:val="right"/>
              <w:rPr>
                <w:rFonts w:ascii="Times New Roman" w:hAnsi="Times New Roman" w:cs="Times New Roman" w:eastAsia="Times New Roman" w:hint="default"/>
                <w:sz w:val="18"/>
                <w:szCs w:val="18"/>
              </w:rPr>
            </w:pPr>
            <w:r>
              <w:rPr>
                <w:rFonts w:ascii="Times New Roman"/>
                <w:spacing w:val="-1"/>
                <w:sz w:val="18"/>
              </w:rPr>
              <w:t>292,560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57" w:lineRule="exact"/>
        <w:ind w:left="273" w:right="0" w:firstLine="412"/>
        <w:jc w:val="left"/>
        <w:rPr>
          <w:rFonts w:ascii="Times New Roman" w:hAnsi="Times New Roman" w:cs="Times New Roman" w:eastAsia="Times New Roman" w:hint="default"/>
        </w:rPr>
      </w:pPr>
      <w:r>
        <w:rPr>
          <w:w w:val="100"/>
        </w:rPr>
        <w:t>注：</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w w:val="100"/>
        </w:rPr>
        <w:t>年</w:t>
      </w:r>
      <w:r>
        <w:rPr>
          <w:rFonts w:ascii="Times New Roman" w:hAnsi="Times New Roman" w:cs="Times New Roman" w:eastAsia="Times New Roman" w:hint="default"/>
          <w:spacing w:val="-3"/>
          <w:w w:val="100"/>
        </w:rPr>
        <w:t>4</w:t>
      </w:r>
      <w:r>
        <w:rPr>
          <w:w w:val="100"/>
        </w:rPr>
        <w:t>月</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2</w:t>
      </w:r>
      <w:r>
        <w:rPr>
          <w:w w:val="100"/>
        </w:rPr>
        <w:t>日</w:t>
      </w:r>
      <w:r>
        <w:rPr>
          <w:spacing w:val="-3"/>
          <w:w w:val="100"/>
        </w:rPr>
        <w:t>，公</w:t>
      </w:r>
      <w:r>
        <w:rPr>
          <w:w w:val="100"/>
        </w:rPr>
        <w:t>司</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0</w:t>
      </w:r>
      <w:r>
        <w:rPr>
          <w:w w:val="100"/>
        </w:rPr>
        <w:t>年</w:t>
      </w:r>
      <w:r>
        <w:rPr>
          <w:spacing w:val="-3"/>
          <w:w w:val="100"/>
        </w:rPr>
        <w:t>年</w:t>
      </w:r>
      <w:r>
        <w:rPr>
          <w:w w:val="100"/>
        </w:rPr>
        <w:t>度</w:t>
      </w:r>
      <w:r>
        <w:rPr>
          <w:spacing w:val="-3"/>
          <w:w w:val="100"/>
        </w:rPr>
        <w:t>股</w:t>
      </w:r>
      <w:r>
        <w:rPr>
          <w:w w:val="100"/>
        </w:rPr>
        <w:t>东</w:t>
      </w:r>
      <w:r>
        <w:rPr>
          <w:spacing w:val="-3"/>
          <w:w w:val="100"/>
        </w:rPr>
        <w:t>大</w:t>
      </w:r>
      <w:r>
        <w:rPr>
          <w:w w:val="100"/>
        </w:rPr>
        <w:t>会</w:t>
      </w:r>
      <w:r>
        <w:rPr>
          <w:spacing w:val="-3"/>
          <w:w w:val="100"/>
        </w:rPr>
        <w:t>审</w:t>
      </w:r>
      <w:r>
        <w:rPr>
          <w:w w:val="100"/>
        </w:rPr>
        <w:t>议通</w:t>
      </w:r>
      <w:r>
        <w:rPr>
          <w:spacing w:val="-3"/>
          <w:w w:val="100"/>
        </w:rPr>
        <w:t>过</w:t>
      </w:r>
      <w:r>
        <w:rPr>
          <w:w w:val="100"/>
        </w:rPr>
        <w:t>了</w:t>
      </w:r>
      <w:r>
        <w:rPr>
          <w:spacing w:val="-3"/>
          <w:w w:val="100"/>
        </w:rPr>
        <w:t>《</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0</w:t>
      </w:r>
      <w:r>
        <w:rPr>
          <w:w w:val="100"/>
        </w:rPr>
        <w:t>年</w:t>
      </w:r>
      <w:r>
        <w:rPr>
          <w:spacing w:val="-3"/>
          <w:w w:val="100"/>
        </w:rPr>
        <w:t>度</w:t>
      </w:r>
      <w:r>
        <w:rPr>
          <w:w w:val="100"/>
        </w:rPr>
        <w:t>利</w:t>
      </w:r>
      <w:r>
        <w:rPr>
          <w:spacing w:val="-3"/>
          <w:w w:val="100"/>
        </w:rPr>
        <w:t>润</w:t>
      </w:r>
      <w:r>
        <w:rPr>
          <w:w w:val="100"/>
        </w:rPr>
        <w:t>分配</w:t>
      </w:r>
      <w:r>
        <w:rPr>
          <w:spacing w:val="-3"/>
          <w:w w:val="100"/>
        </w:rPr>
        <w:t>预</w:t>
      </w:r>
      <w:r>
        <w:rPr>
          <w:w w:val="100"/>
        </w:rPr>
        <w:t>案</w:t>
      </w:r>
      <w:r>
        <w:rPr>
          <w:spacing w:val="-108"/>
          <w:w w:val="100"/>
        </w:rPr>
        <w:t>》</w:t>
      </w:r>
      <w:r>
        <w:rPr>
          <w:w w:val="100"/>
        </w:rPr>
        <w:t>，</w:t>
      </w:r>
      <w:r>
        <w:rPr>
          <w:spacing w:val="-3"/>
          <w:w w:val="100"/>
        </w:rPr>
        <w:t>公</w:t>
      </w:r>
      <w:r>
        <w:rPr>
          <w:w w:val="100"/>
        </w:rPr>
        <w:t>司以</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010</w:t>
      </w:r>
    </w:p>
    <w:p>
      <w:pPr>
        <w:pStyle w:val="BodyText"/>
        <w:spacing w:line="336" w:lineRule="auto" w:before="119"/>
        <w:ind w:left="273" w:right="268"/>
        <w:jc w:val="both"/>
      </w:pPr>
      <w:r>
        <w:rPr>
          <w:spacing w:val="-4"/>
          <w:w w:val="100"/>
        </w:rPr>
        <w:t>年</w:t>
      </w:r>
      <w:r>
        <w:rPr>
          <w:rFonts w:ascii="Times New Roman" w:hAnsi="Times New Roman" w:cs="Times New Roman" w:eastAsia="Times New Roman" w:hint="default"/>
          <w:spacing w:val="-4"/>
          <w:w w:val="100"/>
        </w:rPr>
        <w:t>12</w:t>
      </w:r>
      <w:r>
        <w:rPr>
          <w:spacing w:val="-4"/>
          <w:w w:val="100"/>
        </w:rPr>
        <w:t>月</w:t>
      </w:r>
      <w:r>
        <w:rPr>
          <w:rFonts w:ascii="Times New Roman" w:hAnsi="Times New Roman" w:cs="Times New Roman" w:eastAsia="Times New Roman" w:hint="default"/>
          <w:spacing w:val="-4"/>
          <w:w w:val="100"/>
        </w:rPr>
        <w:t>31</w:t>
      </w:r>
      <w:r>
        <w:rPr>
          <w:spacing w:val="-4"/>
          <w:w w:val="100"/>
        </w:rPr>
        <w:t>日总股本</w:t>
      </w:r>
      <w:r>
        <w:rPr>
          <w:rFonts w:ascii="Times New Roman" w:hAnsi="Times New Roman" w:cs="Times New Roman" w:eastAsia="Times New Roman" w:hint="default"/>
          <w:spacing w:val="-4"/>
          <w:w w:val="100"/>
        </w:rPr>
        <w:t>224,000,000</w:t>
      </w:r>
      <w:r>
        <w:rPr>
          <w:spacing w:val="-4"/>
          <w:w w:val="100"/>
        </w:rPr>
        <w:t>为基数，向全体股东按每</w:t>
      </w:r>
      <w:r>
        <w:rPr>
          <w:rFonts w:ascii="Times New Roman" w:hAnsi="Times New Roman" w:cs="Times New Roman" w:eastAsia="Times New Roman" w:hint="default"/>
          <w:spacing w:val="-4"/>
          <w:w w:val="100"/>
        </w:rPr>
        <w:t>10</w:t>
      </w:r>
      <w:r>
        <w:rPr>
          <w:spacing w:val="-4"/>
          <w:w w:val="100"/>
        </w:rPr>
        <w:t>股派发现金股利人民币</w:t>
      </w:r>
      <w:r>
        <w:rPr>
          <w:rFonts w:ascii="Times New Roman" w:hAnsi="Times New Roman" w:cs="Times New Roman" w:eastAsia="Times New Roman" w:hint="default"/>
          <w:spacing w:val="-4"/>
          <w:w w:val="100"/>
        </w:rPr>
        <w:t>1</w:t>
      </w:r>
      <w:r>
        <w:rPr>
          <w:spacing w:val="-4"/>
          <w:w w:val="100"/>
        </w:rPr>
        <w:t>元（含税），同时以资本</w:t>
      </w:r>
      <w:r>
        <w:rPr>
          <w:spacing w:val="-85"/>
          <w:w w:val="100"/>
        </w:rPr>
        <w:t> </w:t>
      </w:r>
      <w:r>
        <w:rPr>
          <w:spacing w:val="-85"/>
          <w:w w:val="100"/>
        </w:rPr>
      </w:r>
      <w:r>
        <w:rPr>
          <w:spacing w:val="-3"/>
        </w:rPr>
        <w:t>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3.8</w:t>
      </w:r>
      <w:r>
        <w:rPr>
          <w:spacing w:val="-3"/>
        </w:rPr>
        <w:t>股。根据公司《股票期权激励计划（草案）修订案》的有关规定，经公司第</w:t>
      </w:r>
      <w:r>
        <w:rPr>
          <w:spacing w:val="-46"/>
        </w:rPr>
        <w:t> </w:t>
      </w:r>
      <w:r>
        <w:rPr>
          <w:spacing w:val="-46"/>
        </w:rPr>
      </w:r>
      <w:r>
        <w:rPr>
          <w:spacing w:val="-2"/>
        </w:rPr>
        <w:t>四届董事会</w:t>
      </w:r>
      <w:r>
        <w:rPr>
          <w:rFonts w:ascii="Times New Roman" w:hAnsi="Times New Roman" w:cs="Times New Roman" w:eastAsia="Times New Roman" w:hint="default"/>
          <w:spacing w:val="-2"/>
        </w:rPr>
        <w:t>2011</w:t>
      </w:r>
      <w:r>
        <w:rPr>
          <w:spacing w:val="-2"/>
        </w:rPr>
        <w:t>年第四次临时会议审议通过，公司股票期权激励计划的期权数量调整为</w:t>
      </w:r>
      <w:r>
        <w:rPr>
          <w:rFonts w:ascii="Times New Roman" w:hAnsi="Times New Roman" w:cs="Times New Roman" w:eastAsia="Times New Roman" w:hint="default"/>
          <w:spacing w:val="-2"/>
        </w:rPr>
        <w:t>2,243,880</w:t>
      </w:r>
      <w:r>
        <w:rPr>
          <w:spacing w:val="-2"/>
        </w:rPr>
        <w:t>份，各激</w:t>
      </w:r>
      <w:r>
        <w:rPr>
          <w:spacing w:val="-29"/>
        </w:rPr>
        <w:t> </w:t>
      </w:r>
      <w:r>
        <w:rPr>
          <w:spacing w:val="-29"/>
        </w:rPr>
      </w:r>
      <w:r>
        <w:rPr/>
        <w:t>励对象获授的期权数量进行相应的调整，同时行权价格调整为</w:t>
      </w:r>
      <w:r>
        <w:rPr>
          <w:rFonts w:ascii="Times New Roman" w:hAnsi="Times New Roman" w:cs="Times New Roman" w:eastAsia="Times New Roman" w:hint="default"/>
        </w:rPr>
        <w:t>32.32</w:t>
      </w:r>
      <w:r>
        <w:rPr/>
        <w:t>元。</w:t>
      </w:r>
    </w:p>
    <w:p>
      <w:pPr>
        <w:spacing w:after="0" w:line="336" w:lineRule="auto"/>
        <w:jc w:val="both"/>
        <w:sectPr>
          <w:pgSz w:w="11910" w:h="16840"/>
          <w:pgMar w:header="850" w:footer="979" w:top="1200" w:bottom="1160" w:left="860" w:right="860"/>
        </w:sectPr>
      </w:pPr>
    </w:p>
    <w:p>
      <w:pPr>
        <w:pStyle w:val="BodyText"/>
        <w:spacing w:line="336" w:lineRule="auto" w:before="30"/>
        <w:ind w:right="0" w:firstLine="412"/>
        <w:jc w:val="left"/>
      </w:pPr>
      <w:r>
        <w:rPr/>
        <w:pict>
          <v:group style="position:absolute;margin-left:55.200001pt;margin-top:2.843687pt;width:484.8pt;height:.1pt;mso-position-horizontal-relative:page;mso-position-vertical-relative:paragraph;z-index:-773200" coordorigin="1104,57" coordsize="9696,2">
            <v:shape style="position:absolute;left:1104;top:57;width:9696;height:2" coordorigin="1104,57" coordsize="9696,0" path="m1104,57l10800,57e" filled="false" stroked="true" strokeweight=".72pt" strokecolor="#000000">
              <v:path arrowok="t"/>
            </v:shape>
            <w10:wrap type="none"/>
          </v:group>
        </w:pict>
      </w:r>
      <w:r>
        <w:rPr>
          <w:rFonts w:ascii="Times New Roman" w:hAnsi="Times New Roman" w:cs="Times New Roman" w:eastAsia="Times New Roman" w:hint="default"/>
          <w:spacing w:val="-3"/>
        </w:rPr>
        <w:t>2.</w:t>
      </w:r>
      <w:r>
        <w:rPr>
          <w:spacing w:val="-3"/>
        </w:rPr>
        <w:t>郭洁女士于本报告期初担任公司董事、董事会秘书，已于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17</w:t>
      </w:r>
      <w:r>
        <w:rPr>
          <w:spacing w:val="-3"/>
        </w:rPr>
        <w:t>日离职，本报告期末不在公司</w:t>
      </w:r>
      <w:r>
        <w:rPr>
          <w:w w:val="100"/>
        </w:rPr>
        <w:t> </w:t>
      </w:r>
      <w:r>
        <w:rPr/>
        <w:t>任职。</w:t>
      </w:r>
    </w:p>
    <w:p>
      <w:pPr>
        <w:spacing w:line="240" w:lineRule="auto" w:before="0"/>
        <w:rPr>
          <w:rFonts w:ascii="宋体" w:hAnsi="宋体" w:cs="宋体" w:eastAsia="宋体" w:hint="default"/>
          <w:sz w:val="25"/>
          <w:szCs w:val="25"/>
        </w:rPr>
      </w:pPr>
    </w:p>
    <w:p>
      <w:pPr>
        <w:pStyle w:val="Heading4"/>
        <w:spacing w:line="240" w:lineRule="auto"/>
        <w:ind w:right="0"/>
        <w:jc w:val="left"/>
        <w:rPr>
          <w:b w:val="0"/>
          <w:bCs w:val="0"/>
        </w:rPr>
      </w:pPr>
      <w:r>
        <w:rPr/>
        <w:t>（三）现任董事、监事、高级管理人员最近五年的主要工作经历</w:t>
      </w:r>
      <w:r>
        <w:rPr>
          <w:b w:val="0"/>
          <w:bCs w:val="0"/>
        </w:rPr>
      </w:r>
    </w:p>
    <w:p>
      <w:pPr>
        <w:spacing w:line="240" w:lineRule="auto" w:before="5"/>
        <w:rPr>
          <w:rFonts w:ascii="宋体" w:hAnsi="宋体" w:cs="宋体" w:eastAsia="宋体" w:hint="default"/>
          <w:b/>
          <w:bCs/>
          <w:sz w:val="21"/>
          <w:szCs w:val="21"/>
        </w:rPr>
      </w:pPr>
    </w:p>
    <w:p>
      <w:pPr>
        <w:pStyle w:val="BodyText"/>
        <w:spacing w:line="343" w:lineRule="auto"/>
        <w:ind w:right="207" w:firstLine="420"/>
        <w:jc w:val="both"/>
      </w:pPr>
      <w:r>
        <w:rPr/>
        <w:t>李仲初：出生于 </w:t>
      </w:r>
      <w:r>
        <w:rPr>
          <w:rFonts w:ascii="Times New Roman" w:hAnsi="Times New Roman" w:cs="Times New Roman" w:eastAsia="Times New Roman" w:hint="default"/>
        </w:rPr>
        <w:t>1963 </w:t>
      </w:r>
      <w:r>
        <w:rPr/>
        <w:t>年，中国公民，工学硕士，工程师，本公司创始人及控股股东，</w:t>
      </w:r>
      <w:r>
        <w:rPr>
          <w:rFonts w:ascii="Times New Roman" w:hAnsi="Times New Roman" w:cs="Times New Roman" w:eastAsia="Times New Roman" w:hint="default"/>
        </w:rPr>
        <w:t>1984</w:t>
      </w:r>
      <w:r>
        <w:rPr>
          <w:rFonts w:ascii="Times New Roman" w:hAnsi="Times New Roman" w:cs="Times New Roman" w:eastAsia="Times New Roman" w:hint="default"/>
          <w:spacing w:val="-23"/>
        </w:rPr>
        <w:t> </w:t>
      </w:r>
      <w:r>
        <w:rPr>
          <w:spacing w:val="-3"/>
        </w:rPr>
        <w:t>年毕业于</w:t>
      </w:r>
      <w:r>
        <w:rPr>
          <w:spacing w:val="-3"/>
          <w:w w:val="100"/>
        </w:rPr>
        <w:t> </w:t>
      </w:r>
      <w:r>
        <w:rPr>
          <w:spacing w:val="-5"/>
        </w:rPr>
        <w:t>武汉大学空间物理系，获得理学学士学位，</w:t>
      </w:r>
      <w:r>
        <w:rPr>
          <w:rFonts w:ascii="Times New Roman" w:hAnsi="Times New Roman" w:cs="Times New Roman" w:eastAsia="Times New Roman" w:hint="default"/>
          <w:spacing w:val="-5"/>
        </w:rPr>
        <w:t>1987</w:t>
      </w:r>
      <w:r>
        <w:rPr>
          <w:rFonts w:ascii="Times New Roman" w:hAnsi="Times New Roman" w:cs="Times New Roman" w:eastAsia="Times New Roman" w:hint="default"/>
          <w:spacing w:val="24"/>
        </w:rPr>
        <w:t> </w:t>
      </w:r>
      <w:r>
        <w:rPr/>
        <w:t>年获得原国家航天部第二研究院光电技术专业工学硕士学</w:t>
      </w:r>
      <w:r>
        <w:rPr>
          <w:spacing w:val="-96"/>
        </w:rPr>
        <w:t> </w:t>
      </w:r>
      <w:r>
        <w:rPr>
          <w:spacing w:val="-96"/>
        </w:rPr>
      </w:r>
      <w:r>
        <w:rPr>
          <w:spacing w:val="-3"/>
        </w:rPr>
        <w:t>位。曾先后任职于国家航天部某研究所、国家某重点实验室。现任本公司董事长兼总裁、北京石基软件公</w:t>
      </w:r>
      <w:r>
        <w:rPr>
          <w:spacing w:val="-6"/>
        </w:rPr>
        <w:t> </w:t>
      </w:r>
      <w:r>
        <w:rPr>
          <w:spacing w:val="-6"/>
        </w:rPr>
      </w:r>
      <w:r>
        <w:rPr/>
        <w:t>司董事长、上海石基信息技术有限公司董事长。</w:t>
      </w:r>
    </w:p>
    <w:p>
      <w:pPr>
        <w:pStyle w:val="BodyText"/>
        <w:spacing w:line="338" w:lineRule="auto" w:before="43"/>
        <w:ind w:left="153" w:right="0" w:firstLine="419"/>
        <w:jc w:val="left"/>
      </w:pPr>
      <w:r>
        <w:rPr>
          <w:spacing w:val="-2"/>
        </w:rPr>
        <w:t>赖德源：出生于</w:t>
      </w:r>
      <w:r>
        <w:rPr>
          <w:rFonts w:ascii="Times New Roman" w:hAnsi="Times New Roman" w:cs="Times New Roman" w:eastAsia="Times New Roman" w:hint="default"/>
          <w:spacing w:val="-2"/>
        </w:rPr>
        <w:t>1963</w:t>
      </w:r>
      <w:r>
        <w:rPr>
          <w:spacing w:val="-2"/>
        </w:rPr>
        <w:t>年，中华人民共和国香港特别行政区居民，本科学历，毕业于香港理工学院电子</w:t>
      </w:r>
      <w:r>
        <w:rPr>
          <w:w w:val="100"/>
        </w:rPr>
        <w:t> </w:t>
      </w:r>
      <w:r>
        <w:rPr/>
        <w:t>工程系。先后就职于香港地下铁路有限公司、香港国辉电脑有限公司，</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月先后担任</w:t>
      </w:r>
      <w:r>
        <w:rPr>
          <w:spacing w:val="-3"/>
          <w:w w:val="100"/>
        </w:rPr>
        <w:t> </w:t>
      </w:r>
      <w:r>
        <w:rPr>
          <w:spacing w:val="-2"/>
        </w:rPr>
        <w:t>富达自动化管理系统（上海）有限公司（该公司为</w:t>
      </w:r>
      <w:r>
        <w:rPr>
          <w:rFonts w:ascii="Times New Roman" w:hAnsi="Times New Roman" w:cs="Times New Roman" w:eastAsia="Times New Roman" w:hint="default"/>
          <w:spacing w:val="-2"/>
        </w:rPr>
        <w:t>MICROS</w:t>
      </w:r>
      <w:r>
        <w:rPr>
          <w:spacing w:val="-2"/>
        </w:rPr>
        <w:t>在中国设立的全资子公司）董事总经理、香港</w:t>
      </w:r>
      <w:r>
        <w:rPr>
          <w:spacing w:val="-18"/>
        </w:rPr>
        <w:t> </w:t>
      </w:r>
      <w:r>
        <w:rPr>
          <w:spacing w:val="-18"/>
        </w:rPr>
      </w:r>
      <w:r>
        <w:rPr>
          <w:rFonts w:ascii="Times New Roman" w:hAnsi="Times New Roman" w:cs="Times New Roman" w:eastAsia="Times New Roman" w:hint="default"/>
        </w:rPr>
        <w:t>MOVIELINK</w:t>
      </w:r>
      <w:r>
        <w:rPr/>
        <w:t>公司总经理。现任本公司董事、副总裁、财务总监，杭州西软科技有限公司董事、</w:t>
      </w:r>
      <w:r>
        <w:rPr>
          <w:rFonts w:ascii="Times New Roman" w:hAnsi="Times New Roman" w:cs="Times New Roman" w:eastAsia="Times New Roman" w:hint="default"/>
        </w:rPr>
        <w:t>Infrasys</w:t>
      </w:r>
      <w:r>
        <w:rPr>
          <w:rFonts w:ascii="Times New Roman" w:hAnsi="Times New Roman" w:cs="Times New Roman" w:eastAsia="Times New Roman" w:hint="default"/>
          <w:w w:val="100"/>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9"/>
        </w:rPr>
        <w:t> </w:t>
      </w:r>
      <w:r>
        <w:rPr>
          <w:rFonts w:ascii="Times New Roman" w:hAnsi="Times New Roman" w:cs="Times New Roman" w:eastAsia="Times New Roman" w:hint="default"/>
        </w:rPr>
        <w:t>Ltd</w:t>
      </w:r>
      <w:r>
        <w:rPr/>
        <w:t>（香港现化）董事。</w:t>
      </w:r>
    </w:p>
    <w:p>
      <w:pPr>
        <w:pStyle w:val="BodyText"/>
        <w:spacing w:line="348" w:lineRule="auto" w:before="22"/>
        <w:ind w:left="153" w:right="206" w:firstLine="420"/>
        <w:jc w:val="both"/>
      </w:pPr>
      <w:r>
        <w:rPr>
          <w:spacing w:val="-3"/>
        </w:rPr>
        <w:t>郑大立：</w:t>
      </w:r>
      <w:r>
        <w:rPr>
          <w:rFonts w:ascii="Times New Roman" w:hAnsi="Times New Roman" w:cs="Times New Roman" w:eastAsia="Times New Roman" w:hint="default"/>
          <w:spacing w:val="-3"/>
        </w:rPr>
        <w:t>1971</w:t>
      </w:r>
      <w:r>
        <w:rPr>
          <w:rFonts w:ascii="Times New Roman" w:hAnsi="Times New Roman" w:cs="Times New Roman" w:eastAsia="Times New Roman" w:hint="default"/>
          <w:spacing w:val="36"/>
        </w:rPr>
        <w:t> </w:t>
      </w:r>
      <w:r>
        <w:rPr>
          <w:spacing w:val="-3"/>
        </w:rPr>
        <w:t>年出生，中国公民，研究生学历。曾经任职于申银万国证券股份有限公司、上海格雷特</w:t>
      </w:r>
      <w:r>
        <w:rPr>
          <w:w w:val="100"/>
        </w:rPr>
        <w:t> </w:t>
      </w:r>
      <w:r>
        <w:rPr>
          <w:spacing w:val="-2"/>
        </w:rPr>
        <w:t>投资管理有限公司。现任上海爱婴室商务服务有限公司董事，秦皇岛天业通联重工股份有限公司董事、董</w:t>
      </w:r>
      <w:r>
        <w:rPr>
          <w:spacing w:val="-43"/>
        </w:rPr>
        <w:t> </w:t>
      </w:r>
      <w:r>
        <w:rPr>
          <w:spacing w:val="-43"/>
        </w:rPr>
      </w:r>
      <w:r>
        <w:rPr/>
        <w:t>事会秘书，本公司董事。</w:t>
      </w:r>
    </w:p>
    <w:p>
      <w:pPr>
        <w:pStyle w:val="BodyText"/>
        <w:spacing w:line="336" w:lineRule="auto" w:before="38"/>
        <w:ind w:left="153" w:right="208" w:firstLine="419"/>
        <w:jc w:val="both"/>
      </w:pPr>
      <w:r>
        <w:rPr>
          <w:spacing w:val="-3"/>
        </w:rPr>
        <w:t>罗芳：</w:t>
      </w:r>
      <w:r>
        <w:rPr>
          <w:rFonts w:ascii="Times New Roman" w:hAnsi="Times New Roman" w:cs="Times New Roman" w:eastAsia="Times New Roman" w:hint="default"/>
          <w:spacing w:val="-3"/>
        </w:rPr>
        <w:t>1978</w:t>
      </w:r>
      <w:r>
        <w:rPr>
          <w:rFonts w:ascii="Times New Roman" w:hAnsi="Times New Roman" w:cs="Times New Roman" w:eastAsia="Times New Roman" w:hint="default"/>
          <w:spacing w:val="9"/>
        </w:rPr>
        <w:t> </w:t>
      </w:r>
      <w:r>
        <w:rPr>
          <w:spacing w:val="-4"/>
        </w:rPr>
        <w:t>年出生，中国公民，理学、经济学双学士，副研究员。毕业于北京大学技术物理系应用化</w:t>
      </w:r>
      <w:r>
        <w:rPr>
          <w:w w:val="100"/>
        </w:rPr>
        <w:t> </w:t>
      </w:r>
      <w:r>
        <w:rPr>
          <w:spacing w:val="-5"/>
        </w:rPr>
        <w:t>学专业、北京大学中国经济研究中心经济学专业。</w:t>
      </w:r>
      <w:r>
        <w:rPr>
          <w:rFonts w:ascii="Times New Roman" w:hAnsi="Times New Roman" w:cs="Times New Roman" w:eastAsia="Times New Roman" w:hint="default"/>
          <w:spacing w:val="-5"/>
        </w:rPr>
        <w:t>1999</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月至</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日就职于中国核科技信息</w:t>
      </w:r>
      <w:r>
        <w:rPr>
          <w:spacing w:val="-103"/>
        </w:rPr>
        <w:t> </w:t>
      </w:r>
      <w:r>
        <w:rPr>
          <w:spacing w:val="-103"/>
        </w:rPr>
      </w:r>
      <w:r>
        <w:rPr/>
        <w:t>与经济研究院，从事核科技情报研究工作。现任本公司副总裁兼董事会秘书。</w:t>
      </w:r>
    </w:p>
    <w:p>
      <w:pPr>
        <w:pStyle w:val="BodyText"/>
        <w:spacing w:line="343" w:lineRule="auto" w:before="49"/>
        <w:ind w:left="153" w:right="0" w:firstLine="420"/>
        <w:jc w:val="left"/>
      </w:pPr>
      <w:r>
        <w:rPr>
          <w:spacing w:val="-4"/>
        </w:rPr>
        <w:t>郭田勇：</w:t>
      </w:r>
      <w:r>
        <w:rPr>
          <w:rFonts w:ascii="Times New Roman" w:hAnsi="Times New Roman" w:cs="Times New Roman" w:eastAsia="Times New Roman" w:hint="default"/>
          <w:spacing w:val="-4"/>
        </w:rPr>
        <w:t>1968</w:t>
      </w:r>
      <w:r>
        <w:rPr>
          <w:spacing w:val="-4"/>
        </w:rPr>
        <w:t>年出生，中国人民银行研究生部经济学博士，享受国务院特殊津贴。</w:t>
      </w:r>
      <w:r>
        <w:rPr>
          <w:rFonts w:ascii="Times New Roman" w:hAnsi="Times New Roman" w:cs="Times New Roman" w:eastAsia="Times New Roman" w:hint="default"/>
          <w:spacing w:val="-4"/>
        </w:rPr>
        <w:t>1990</w:t>
      </w:r>
      <w:r>
        <w:rPr>
          <w:spacing w:val="-4"/>
        </w:rPr>
        <w:t>年</w:t>
      </w:r>
      <w:r>
        <w:rPr>
          <w:rFonts w:ascii="Times New Roman" w:hAnsi="Times New Roman" w:cs="Times New Roman" w:eastAsia="Times New Roman" w:hint="default"/>
          <w:spacing w:val="-4"/>
        </w:rPr>
        <w:t>-1993</w:t>
      </w:r>
      <w:r>
        <w:rPr>
          <w:spacing w:val="-4"/>
        </w:rPr>
        <w:t>年任职</w:t>
      </w:r>
      <w:r>
        <w:rPr>
          <w:spacing w:val="-3"/>
          <w:w w:val="100"/>
        </w:rPr>
        <w:t> </w:t>
      </w:r>
      <w:r>
        <w:rPr>
          <w:spacing w:val="-2"/>
        </w:rPr>
        <w:t>于中国人民银行烟台分行从事金融实务工作。现任中央财经大学金融学院教授、中央财经大学中国银行业</w:t>
      </w:r>
      <w:r>
        <w:rPr>
          <w:spacing w:val="-44"/>
        </w:rPr>
        <w:t> </w:t>
      </w:r>
      <w:r>
        <w:rPr>
          <w:spacing w:val="-44"/>
        </w:rPr>
      </w:r>
      <w:r>
        <w:rPr>
          <w:spacing w:val="-2"/>
        </w:rPr>
        <w:t>研究中心主任兼证券期货研究所副所长，兼任中国国际金融学会理事、民建中央财政金融委员会委员、民</w:t>
      </w:r>
      <w:r>
        <w:rPr>
          <w:spacing w:val="-43"/>
        </w:rPr>
        <w:t> </w:t>
      </w:r>
      <w:r>
        <w:rPr>
          <w:spacing w:val="-43"/>
        </w:rPr>
      </w:r>
      <w:r>
        <w:rPr>
          <w:spacing w:val="-2"/>
        </w:rPr>
        <w:t>建北京市金融委员会副主任。主持和参与各类课题研究</w:t>
      </w:r>
      <w:r>
        <w:rPr>
          <w:rFonts w:ascii="Times New Roman" w:hAnsi="Times New Roman" w:cs="Times New Roman" w:eastAsia="Times New Roman" w:hint="default"/>
          <w:spacing w:val="-2"/>
        </w:rPr>
        <w:t>20</w:t>
      </w:r>
      <w:r>
        <w:rPr>
          <w:spacing w:val="-2"/>
        </w:rPr>
        <w:t>多项，发表和出版各类著作</w:t>
      </w:r>
      <w:r>
        <w:rPr>
          <w:rFonts w:ascii="Times New Roman" w:hAnsi="Times New Roman" w:cs="Times New Roman" w:eastAsia="Times New Roman" w:hint="default"/>
          <w:spacing w:val="-2"/>
        </w:rPr>
        <w:t>20</w:t>
      </w:r>
      <w:r>
        <w:rPr>
          <w:spacing w:val="-2"/>
        </w:rPr>
        <w:t>多部。</w:t>
      </w:r>
      <w:r>
        <w:rPr>
          <w:rFonts w:ascii="Times New Roman" w:hAnsi="Times New Roman" w:cs="Times New Roman" w:eastAsia="Times New Roman" w:hint="default"/>
          <w:spacing w:val="-2"/>
        </w:rPr>
        <w:t>2001</w:t>
      </w:r>
      <w:r>
        <w:rPr>
          <w:spacing w:val="-2"/>
        </w:rPr>
        <w:t>年获中</w:t>
      </w:r>
      <w:r>
        <w:rPr>
          <w:spacing w:val="-38"/>
        </w:rPr>
        <w:t> </w:t>
      </w:r>
      <w:r>
        <w:rPr/>
        <w:t>国金融学会全国优秀论文奖，</w:t>
      </w:r>
      <w:r>
        <w:rPr>
          <w:rFonts w:ascii="Times New Roman" w:hAnsi="Times New Roman" w:cs="Times New Roman" w:eastAsia="Times New Roman" w:hint="default"/>
        </w:rPr>
        <w:t>2004</w:t>
      </w:r>
      <w:r>
        <w:rPr/>
        <w:t>年获霍英东教育基金会全国优秀青年教师基金奖，</w:t>
      </w:r>
      <w:r>
        <w:rPr>
          <w:rFonts w:ascii="Times New Roman" w:hAnsi="Times New Roman" w:cs="Times New Roman" w:eastAsia="Times New Roman" w:hint="default"/>
        </w:rPr>
        <w:t>2007</w:t>
      </w:r>
      <w:r>
        <w:rPr/>
        <w:t>年入选国家级</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4"/>
        </w:rPr>
        <w:t>新世纪优秀人才支持计划</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2009</w:t>
      </w:r>
      <w:r>
        <w:rPr>
          <w:spacing w:val="-4"/>
        </w:rPr>
        <w:t>年获得</w:t>
      </w:r>
      <w:r>
        <w:rPr>
          <w:rFonts w:ascii="Times New Roman" w:hAnsi="Times New Roman" w:cs="Times New Roman" w:eastAsia="Times New Roman" w:hint="default"/>
          <w:spacing w:val="-4"/>
        </w:rPr>
        <w:t>“</w:t>
      </w:r>
      <w:r>
        <w:rPr>
          <w:spacing w:val="-4"/>
        </w:rPr>
        <w:t>中国金融专家远见奖</w:t>
      </w:r>
      <w:r>
        <w:rPr>
          <w:rFonts w:ascii="Times New Roman" w:hAnsi="Times New Roman" w:cs="Times New Roman" w:eastAsia="Times New Roman" w:hint="default"/>
          <w:spacing w:val="-4"/>
        </w:rPr>
        <w:t>”</w:t>
      </w:r>
      <w:r>
        <w:rPr>
          <w:spacing w:val="-4"/>
        </w:rPr>
        <w:t>。现任方大炭素新材料科技股份有限公司独</w:t>
      </w:r>
      <w:r>
        <w:rPr>
          <w:spacing w:val="-2"/>
        </w:rPr>
        <w:t> </w:t>
      </w:r>
      <w:r>
        <w:rPr>
          <w:spacing w:val="-2"/>
        </w:rPr>
      </w:r>
      <w:r>
        <w:rPr/>
        <w:t>立董事，本公司独立董事。</w:t>
      </w:r>
    </w:p>
    <w:p>
      <w:pPr>
        <w:pStyle w:val="BodyText"/>
        <w:spacing w:line="350" w:lineRule="auto" w:before="43"/>
        <w:ind w:left="153" w:right="0" w:firstLine="419"/>
        <w:jc w:val="left"/>
      </w:pPr>
      <w:r>
        <w:rPr>
          <w:spacing w:val="-5"/>
        </w:rPr>
        <w:t>刘剑锋：</w:t>
      </w:r>
      <w:r>
        <w:rPr>
          <w:rFonts w:ascii="Times New Roman" w:hAnsi="Times New Roman" w:cs="Times New Roman" w:eastAsia="Times New Roman" w:hint="default"/>
          <w:spacing w:val="-5"/>
        </w:rPr>
        <w:t>1969</w:t>
      </w:r>
      <w:r>
        <w:rPr>
          <w:spacing w:val="-5"/>
        </w:rPr>
        <w:t>年出生，中国国籍，无永久境外居留权。毕业于澳大利亚新南威尔士大学，获商学硕士，</w:t>
      </w:r>
      <w:r>
        <w:rPr>
          <w:w w:val="100"/>
        </w:rPr>
        <w:t> </w:t>
      </w:r>
      <w:r>
        <w:rPr>
          <w:spacing w:val="-2"/>
        </w:rPr>
        <w:t>高级会计师。曾任北京水泵厂财务处副处长、中软总公司北京富士通系统工程有限公司中方财务总监、北</w:t>
      </w:r>
      <w:r>
        <w:rPr>
          <w:spacing w:val="-42"/>
        </w:rPr>
        <w:t> </w:t>
      </w:r>
      <w:r>
        <w:rPr>
          <w:spacing w:val="-42"/>
        </w:rPr>
      </w:r>
      <w:r>
        <w:rPr>
          <w:spacing w:val="-2"/>
        </w:rPr>
        <w:t>电网络通讯工程有限公司财务总监、沈阳北电通信有限公司财务总监和北电网络（中国）有限公司高级财</w:t>
      </w:r>
      <w:r>
        <w:rPr>
          <w:spacing w:val="-43"/>
        </w:rPr>
        <w:t> </w:t>
      </w:r>
      <w:r>
        <w:rPr>
          <w:spacing w:val="-43"/>
        </w:rPr>
      </w:r>
      <w:r>
        <w:rPr/>
        <w:t>务分析师。现任上海科蕙价值投资管理有限公司董事总经理、本公司独立董事。</w:t>
      </w:r>
    </w:p>
    <w:p>
      <w:pPr>
        <w:pStyle w:val="BodyText"/>
        <w:spacing w:line="350" w:lineRule="auto" w:before="36"/>
        <w:ind w:left="153" w:right="0" w:firstLine="420"/>
        <w:jc w:val="left"/>
      </w:pPr>
      <w:r>
        <w:rPr>
          <w:spacing w:val="-5"/>
        </w:rPr>
        <w:t>阎丽明：</w:t>
      </w:r>
      <w:r>
        <w:rPr>
          <w:rFonts w:ascii="Times New Roman" w:hAnsi="Times New Roman" w:cs="Times New Roman" w:eastAsia="Times New Roman" w:hint="default"/>
          <w:spacing w:val="-5"/>
        </w:rPr>
        <w:t>1963</w:t>
      </w:r>
      <w:r>
        <w:rPr>
          <w:spacing w:val="-5"/>
        </w:rPr>
        <w:t>年出生，中国公民，毕业于中国人民大学，会计学学士。具有注册会计师、注册税务师、</w:t>
      </w:r>
      <w:r>
        <w:rPr>
          <w:w w:val="100"/>
        </w:rPr>
        <w:t> </w:t>
      </w:r>
      <w:r>
        <w:rPr>
          <w:spacing w:val="-2"/>
        </w:rPr>
        <w:t>注册评估师、国际内部审计师和证券从业资格。曾任中国船舶总公司汾西机器厂成本核算科长、深圳奥克</w:t>
      </w:r>
      <w:r>
        <w:rPr>
          <w:spacing w:val="-43"/>
        </w:rPr>
        <w:t> </w:t>
      </w:r>
      <w:r>
        <w:rPr>
          <w:spacing w:val="-43"/>
        </w:rPr>
      </w:r>
      <w:r>
        <w:rPr>
          <w:spacing w:val="-2"/>
        </w:rPr>
        <w:t>兰机械有限公司财务总监、山西晋元会计师事务所合伙人、山西天元会计师事务所合伙人。现任中联会计</w:t>
      </w:r>
      <w:r>
        <w:rPr>
          <w:spacing w:val="-49"/>
        </w:rPr>
        <w:t> </w:t>
      </w:r>
      <w:r>
        <w:rPr>
          <w:spacing w:val="-49"/>
        </w:rPr>
      </w:r>
      <w:r>
        <w:rPr/>
        <w:t>师事务所副主任会计师、本公司独立董事。</w:t>
      </w:r>
    </w:p>
    <w:p>
      <w:pPr>
        <w:pStyle w:val="BodyText"/>
        <w:spacing w:line="240" w:lineRule="auto" w:before="38"/>
        <w:ind w:left="572" w:right="0"/>
        <w:jc w:val="left"/>
      </w:pPr>
      <w:r>
        <w:rPr/>
        <w:t>罗志明：出生于 </w:t>
      </w:r>
      <w:r>
        <w:rPr>
          <w:rFonts w:ascii="Times New Roman" w:hAnsi="Times New Roman" w:cs="Times New Roman" w:eastAsia="Times New Roman" w:hint="default"/>
        </w:rPr>
        <w:t>1964</w:t>
      </w:r>
      <w:r>
        <w:rPr>
          <w:rFonts w:ascii="Times New Roman" w:hAnsi="Times New Roman" w:cs="Times New Roman" w:eastAsia="Times New Roman" w:hint="default"/>
          <w:spacing w:val="25"/>
        </w:rPr>
        <w:t> </w:t>
      </w:r>
      <w:r>
        <w:rPr/>
        <w:t>年，学士学位，毕业于北京航空航天大学计算机软件专业。先后任职于北京市</w:t>
      </w:r>
    </w:p>
    <w:p>
      <w:pPr>
        <w:spacing w:after="0" w:line="240" w:lineRule="auto"/>
        <w:jc w:val="left"/>
        <w:sectPr>
          <w:pgSz w:w="11910" w:h="16840"/>
          <w:pgMar w:header="850" w:footer="979" w:top="1200" w:bottom="1160" w:left="980" w:right="920"/>
        </w:sectPr>
      </w:pPr>
    </w:p>
    <w:p>
      <w:pPr>
        <w:pStyle w:val="BodyText"/>
        <w:spacing w:line="240" w:lineRule="auto" w:before="30"/>
        <w:ind w:right="0"/>
        <w:jc w:val="both"/>
      </w:pPr>
      <w:r>
        <w:rPr/>
        <w:pict>
          <v:group style="position:absolute;margin-left:55.200001pt;margin-top:2.843687pt;width:484.8pt;height:.1pt;mso-position-horizontal-relative:page;mso-position-vertical-relative:paragraph;z-index:-773176" coordorigin="1104,57" coordsize="9696,2">
            <v:shape style="position:absolute;left:1104;top:57;width:9696;height:2" coordorigin="1104,57" coordsize="9696,0" path="m1104,57l10800,57e" filled="false" stroked="true" strokeweight=".72pt" strokecolor="#000000">
              <v:path arrowok="t"/>
            </v:shape>
            <w10:wrap type="none"/>
          </v:group>
        </w:pict>
      </w:r>
      <w:r>
        <w:rPr>
          <w:spacing w:val="-3"/>
        </w:rPr>
        <w:t>计算机中心和北京王府饭店电脑部。</w:t>
      </w:r>
      <w:r>
        <w:rPr>
          <w:rFonts w:ascii="Times New Roman" w:hAnsi="Times New Roman" w:cs="Times New Roman" w:eastAsia="Times New Roman" w:hint="default"/>
          <w:spacing w:val="-3"/>
        </w:rPr>
        <w:t>1992</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月至</w:t>
      </w:r>
      <w:r>
        <w:rPr>
          <w:spacing w:val="-46"/>
        </w:rPr>
        <w:t> </w:t>
      </w:r>
      <w:r>
        <w:rPr>
          <w:rFonts w:ascii="Times New Roman" w:hAnsi="Times New Roman" w:cs="Times New Roman" w:eastAsia="Times New Roman" w:hint="default"/>
        </w:rPr>
        <w:t>1997</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5"/>
        </w:rPr>
        <w:t>月担任酒店业资讯系统（</w:t>
      </w:r>
      <w:r>
        <w:rPr>
          <w:rFonts w:ascii="Times New Roman" w:hAnsi="Times New Roman" w:cs="Times New Roman" w:eastAsia="Times New Roman" w:hint="default"/>
          <w:spacing w:val="-5"/>
        </w:rPr>
        <w:t>HIS</w:t>
      </w:r>
      <w:r>
        <w:rPr>
          <w:spacing w:val="-5"/>
        </w:rPr>
        <w:t>）北京办事处经</w:t>
      </w:r>
      <w:r>
        <w:rPr/>
      </w:r>
    </w:p>
    <w:p>
      <w:pPr>
        <w:pStyle w:val="BodyText"/>
        <w:spacing w:line="348" w:lineRule="auto" w:before="117"/>
        <w:ind w:left="153" w:right="206" w:hanging="1"/>
        <w:jc w:val="both"/>
      </w:pPr>
      <w:r>
        <w:rPr/>
        <w:t>理，</w:t>
      </w:r>
      <w:r>
        <w:rPr>
          <w:rFonts w:ascii="Times New Roman" w:hAnsi="Times New Roman" w:cs="Times New Roman" w:eastAsia="Times New Roman" w:hint="default"/>
        </w:rPr>
        <w:t>1997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月至</w:t>
      </w:r>
      <w:r>
        <w:rPr>
          <w:spacing w:val="-54"/>
        </w:rPr>
        <w:t> </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月担任</w:t>
      </w:r>
      <w:r>
        <w:rPr>
          <w:spacing w:val="-54"/>
        </w:rPr>
        <w:t> </w:t>
      </w:r>
      <w:r>
        <w:rPr>
          <w:rFonts w:ascii="Times New Roman" w:hAnsi="Times New Roman" w:cs="Times New Roman" w:eastAsia="Times New Roman" w:hint="default"/>
        </w:rPr>
        <w:t>MICROS-FIDELIO(</w:t>
      </w:r>
      <w:r>
        <w:rPr/>
        <w:t>中国</w:t>
      </w:r>
      <w:r>
        <w:rPr>
          <w:rFonts w:ascii="Times New Roman" w:hAnsi="Times New Roman" w:cs="Times New Roman" w:eastAsia="Times New Roman" w:hint="default"/>
        </w:rPr>
        <w:t>)</w:t>
      </w:r>
      <w:r>
        <w:rPr/>
        <w:t>有限公司市场销售总监，</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spacing w:val="-3"/>
        </w:rPr>
        <w:t>月至今担</w:t>
      </w:r>
      <w:r>
        <w:rPr>
          <w:spacing w:val="-3"/>
          <w:w w:val="100"/>
        </w:rPr>
        <w:t> </w:t>
      </w:r>
      <w:r>
        <w:rPr>
          <w:spacing w:val="-2"/>
        </w:rPr>
        <w:t>任本公司负责市场销售的副总裁，杭州西软科技有限公司董事。现任本公司副总裁、本公司控股子公司杭</w:t>
      </w:r>
      <w:r>
        <w:rPr>
          <w:spacing w:val="-44"/>
        </w:rPr>
        <w:t> </w:t>
      </w:r>
      <w:r>
        <w:rPr>
          <w:spacing w:val="-44"/>
        </w:rPr>
      </w:r>
      <w:r>
        <w:rPr/>
        <w:t>州西软科技有限公司董事。</w:t>
      </w:r>
    </w:p>
    <w:p>
      <w:pPr>
        <w:pStyle w:val="BodyText"/>
        <w:spacing w:line="340" w:lineRule="auto" w:before="38"/>
        <w:ind w:left="154" w:right="206" w:firstLine="419"/>
        <w:jc w:val="both"/>
      </w:pPr>
      <w:r>
        <w:rPr/>
        <w:t>关东玉：出生于 </w:t>
      </w:r>
      <w:r>
        <w:rPr>
          <w:rFonts w:ascii="Times New Roman" w:hAnsi="Times New Roman" w:cs="Times New Roman" w:eastAsia="Times New Roman" w:hint="default"/>
        </w:rPr>
        <w:t>1963</w:t>
      </w:r>
      <w:r>
        <w:rPr>
          <w:rFonts w:ascii="Times New Roman" w:hAnsi="Times New Roman" w:cs="Times New Roman" w:eastAsia="Times New Roman" w:hint="default"/>
          <w:spacing w:val="24"/>
        </w:rPr>
        <w:t> </w:t>
      </w:r>
      <w:r>
        <w:rPr/>
        <w:t>年，中华人民共和国公民，毕业于国防科技大学电子技术系，学士学位。</w:t>
      </w:r>
      <w:r>
        <w:rPr>
          <w:rFonts w:ascii="Times New Roman" w:hAnsi="Times New Roman" w:cs="Times New Roman" w:eastAsia="Times New Roman" w:hint="default"/>
        </w:rPr>
        <w:t>1984</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-1988 </w:t>
      </w:r>
      <w:r>
        <w:rPr>
          <w:spacing w:val="-4"/>
        </w:rPr>
        <w:t>年任职于空军科研部某研究所，</w:t>
      </w:r>
      <w:r>
        <w:rPr>
          <w:rFonts w:ascii="Times New Roman" w:hAnsi="Times New Roman" w:cs="Times New Roman" w:eastAsia="Times New Roman" w:hint="default"/>
          <w:spacing w:val="-4"/>
        </w:rPr>
        <w:t>1988 </w:t>
      </w:r>
      <w:r>
        <w:rPr/>
        <w:t>年至 </w:t>
      </w:r>
      <w:r>
        <w:rPr>
          <w:rFonts w:ascii="Times New Roman" w:hAnsi="Times New Roman" w:cs="Times New Roman" w:eastAsia="Times New Roman" w:hint="default"/>
        </w:rPr>
        <w:t>1997 </w:t>
      </w:r>
      <w:r>
        <w:rPr>
          <w:spacing w:val="-4"/>
        </w:rPr>
        <w:t>年期间先后任北京丽都假日酒店电脑部工程师、香</w:t>
      </w:r>
      <w:r>
        <w:rPr>
          <w:spacing w:val="-101"/>
        </w:rPr>
        <w:t> </w:t>
      </w:r>
      <w:r>
        <w:rPr>
          <w:spacing w:val="-101"/>
        </w:rPr>
      </w:r>
      <w:r>
        <w:rPr/>
        <w:t>港锦标公司工程师及中国区经理、香港鑫宇公司中国区经理。</w:t>
      </w:r>
      <w:r>
        <w:rPr>
          <w:rFonts w:ascii="Times New Roman" w:hAnsi="Times New Roman" w:cs="Times New Roman" w:eastAsia="Times New Roman" w:hint="default"/>
        </w:rPr>
        <w:t>1997 </w:t>
      </w:r>
      <w:r>
        <w:rPr/>
        <w:t>年至 </w:t>
      </w:r>
      <w:r>
        <w:rPr>
          <w:rFonts w:ascii="Times New Roman" w:hAnsi="Times New Roman" w:cs="Times New Roman" w:eastAsia="Times New Roman" w:hint="default"/>
        </w:rPr>
        <w:t>2008</w:t>
      </w:r>
      <w:r>
        <w:rPr>
          <w:rFonts w:ascii="Times New Roman" w:hAnsi="Times New Roman" w:cs="Times New Roman" w:eastAsia="Times New Roman" w:hint="default"/>
          <w:spacing w:val="-31"/>
        </w:rPr>
        <w:t> </w:t>
      </w:r>
      <w:r>
        <w:rPr/>
        <w:t>年任香港现化电脑系统有限</w:t>
      </w:r>
      <w:r>
        <w:rPr>
          <w:w w:val="100"/>
        </w:rPr>
        <w:t> </w:t>
      </w:r>
      <w:r>
        <w:rPr>
          <w:spacing w:val="-3"/>
        </w:rPr>
        <w:t>公司中国区副总经理、香港现化电脑系统有限公司北京代表处首席代表，</w:t>
      </w:r>
      <w:r>
        <w:rPr>
          <w:rFonts w:ascii="Times New Roman" w:hAnsi="Times New Roman" w:cs="Times New Roman" w:eastAsia="Times New Roman" w:hint="default"/>
          <w:spacing w:val="-3"/>
        </w:rPr>
        <w:t>2008 </w:t>
      </w:r>
      <w:r>
        <w:rPr>
          <w:spacing w:val="-4"/>
        </w:rPr>
        <w:t>年至今任现化电脑系统（北</w:t>
      </w:r>
      <w:r>
        <w:rPr>
          <w:spacing w:val="-86"/>
        </w:rPr>
        <w:t> </w:t>
      </w:r>
      <w:r>
        <w:rPr>
          <w:spacing w:val="-86"/>
        </w:rPr>
      </w:r>
      <w:r>
        <w:rPr>
          <w:spacing w:val="-2"/>
        </w:rPr>
        <w:t>京）有限公司副总裁，现任本公司副总裁、现化电脑系统（北京）有限公司副总裁，上海正品贵德有限责</w:t>
      </w:r>
      <w:r>
        <w:rPr>
          <w:spacing w:val="-43"/>
        </w:rPr>
        <w:t> </w:t>
      </w:r>
      <w:r>
        <w:rPr>
          <w:spacing w:val="-43"/>
        </w:rPr>
      </w:r>
      <w:r>
        <w:rPr/>
        <w:t>任公司法定代表人。</w:t>
      </w:r>
    </w:p>
    <w:p>
      <w:pPr>
        <w:pStyle w:val="BodyText"/>
        <w:spacing w:line="338" w:lineRule="auto" w:before="45"/>
        <w:ind w:left="154" w:right="206" w:firstLine="419"/>
        <w:jc w:val="both"/>
      </w:pPr>
      <w:r>
        <w:rPr/>
        <w:t>王敏敏： </w:t>
      </w:r>
      <w:r>
        <w:rPr>
          <w:rFonts w:ascii="Times New Roman" w:hAnsi="Times New Roman" w:cs="Times New Roman" w:eastAsia="Times New Roman" w:hint="default"/>
        </w:rPr>
        <w:t>1962 </w:t>
      </w:r>
      <w:r>
        <w:rPr>
          <w:spacing w:val="-7"/>
        </w:rPr>
        <w:t>年出生，中华人民共和国公民，</w:t>
      </w:r>
      <w:r>
        <w:rPr>
          <w:rFonts w:ascii="Times New Roman" w:hAnsi="Times New Roman" w:cs="Times New Roman" w:eastAsia="Times New Roman" w:hint="default"/>
          <w:spacing w:val="-7"/>
        </w:rPr>
        <w:t>1983</w:t>
      </w:r>
      <w:r>
        <w:rPr>
          <w:rFonts w:ascii="Times New Roman" w:hAnsi="Times New Roman" w:cs="Times New Roman" w:eastAsia="Times New Roman" w:hint="default"/>
          <w:spacing w:val="16"/>
        </w:rPr>
        <w:t> </w:t>
      </w:r>
      <w:r>
        <w:rPr>
          <w:spacing w:val="-6"/>
        </w:rPr>
        <w:t>年毕业于东北大学计算机科学系，学士学位。</w:t>
      </w:r>
      <w:r>
        <w:rPr>
          <w:rFonts w:ascii="Times New Roman" w:hAnsi="Times New Roman" w:cs="Times New Roman" w:eastAsia="Times New Roman" w:hint="default"/>
          <w:spacing w:val="-6"/>
        </w:rPr>
        <w:t>1983</w:t>
      </w:r>
      <w:r>
        <w:rPr>
          <w:rFonts w:ascii="Times New Roman" w:hAnsi="Times New Roman" w:cs="Times New Roman" w:eastAsia="Times New Roman" w:hint="default"/>
          <w:w w:val="100"/>
        </w:rPr>
        <w:t> </w:t>
      </w:r>
      <w:r>
        <w:rPr>
          <w:spacing w:val="-1"/>
          <w:w w:val="100"/>
        </w:rPr>
        <w:t>年</w:t>
      </w:r>
      <w:r>
        <w:rPr>
          <w:rFonts w:ascii="Times New Roman" w:hAnsi="Times New Roman" w:cs="Times New Roman" w:eastAsia="Times New Roman" w:hint="default"/>
          <w:spacing w:val="-1"/>
          <w:w w:val="100"/>
        </w:rPr>
        <w:t>-1997</w:t>
      </w:r>
      <w:r>
        <w:rPr>
          <w:rFonts w:ascii="Times New Roman" w:hAnsi="Times New Roman" w:cs="Times New Roman" w:eastAsia="Times New Roman" w:hint="default"/>
          <w:spacing w:val="2"/>
          <w:w w:val="100"/>
        </w:rPr>
        <w:t> </w:t>
      </w:r>
      <w:r>
        <w:rPr>
          <w:spacing w:val="-6"/>
          <w:w w:val="100"/>
        </w:rPr>
        <w:t>年任职于浙江省计算技术研究所，</w:t>
      </w:r>
      <w:r>
        <w:rPr>
          <w:rFonts w:ascii="Times New Roman" w:hAnsi="Times New Roman" w:cs="Times New Roman" w:eastAsia="Times New Roman" w:hint="default"/>
          <w:spacing w:val="-6"/>
          <w:w w:val="100"/>
        </w:rPr>
        <w:t>1998</w:t>
      </w:r>
      <w:r>
        <w:rPr>
          <w:rFonts w:ascii="Times New Roman" w:hAnsi="Times New Roman" w:cs="Times New Roman" w:eastAsia="Times New Roman" w:hint="default"/>
          <w:spacing w:val="2"/>
          <w:w w:val="100"/>
        </w:rPr>
        <w:t> </w:t>
      </w:r>
      <w:r>
        <w:rPr>
          <w:spacing w:val="-2"/>
          <w:w w:val="100"/>
        </w:rPr>
        <w:t>年至</w:t>
      </w:r>
      <w:r>
        <w:rPr>
          <w:spacing w:val="-51"/>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1"/>
          <w:w w:val="100"/>
        </w:rPr>
        <w:t> </w:t>
      </w:r>
      <w:r>
        <w:rPr>
          <w:w w:val="100"/>
        </w:rPr>
        <w:t>年</w:t>
      </w:r>
      <w:r>
        <w:rPr>
          <w:spacing w:val="-51"/>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spacing w:val="-2"/>
          <w:w w:val="100"/>
        </w:rPr>
        <w:t>月先后任杭州西软科技有限公司常务副总经</w:t>
      </w:r>
      <w:r>
        <w:rPr>
          <w:spacing w:val="-3"/>
          <w:w w:val="100"/>
        </w:rPr>
        <w:t> </w:t>
      </w:r>
      <w:r>
        <w:rPr/>
        <w:t>理、总经理。现任本公司副总裁、杭州西软科技有限公司总经理</w:t>
      </w:r>
    </w:p>
    <w:p>
      <w:pPr>
        <w:pStyle w:val="BodyText"/>
        <w:spacing w:line="336" w:lineRule="auto" w:before="47"/>
        <w:ind w:left="154" w:right="230" w:firstLine="420"/>
        <w:jc w:val="both"/>
      </w:pPr>
      <w:r>
        <w:rPr/>
        <w:t>郭 明：出生于 </w:t>
      </w:r>
      <w:r>
        <w:rPr>
          <w:rFonts w:ascii="Times New Roman" w:hAnsi="Times New Roman" w:cs="Times New Roman" w:eastAsia="Times New Roman" w:hint="default"/>
        </w:rPr>
        <w:t>1956 </w:t>
      </w:r>
      <w:r>
        <w:rPr/>
        <w:t>年，经济师，大专学历，毕业于长春职工大学。</w:t>
      </w:r>
      <w:r>
        <w:rPr>
          <w:rFonts w:ascii="Times New Roman" w:hAnsi="Times New Roman" w:cs="Times New Roman" w:eastAsia="Times New Roman" w:hint="default"/>
        </w:rPr>
        <w:t>1977</w:t>
      </w:r>
      <w:r>
        <w:rPr>
          <w:rFonts w:ascii="Times New Roman" w:hAnsi="Times New Roman" w:cs="Times New Roman" w:eastAsia="Times New Roman" w:hint="default"/>
          <w:spacing w:val="51"/>
        </w:rPr>
        <w:t> </w:t>
      </w:r>
      <w:r>
        <w:rPr/>
        <w:t>年起先后任职于长春市电</w:t>
      </w:r>
      <w:r>
        <w:rPr>
          <w:spacing w:val="-3"/>
          <w:w w:val="100"/>
        </w:rPr>
        <w:t> </w:t>
      </w:r>
      <w:r>
        <w:rPr/>
        <w:t>车公司、长春市公共交通总公司、长春市煤气公司东郊煤气厂。自 </w:t>
      </w:r>
      <w:r>
        <w:rPr>
          <w:rFonts w:ascii="Times New Roman" w:hAnsi="Times New Roman" w:cs="Times New Roman" w:eastAsia="Times New Roman" w:hint="default"/>
        </w:rPr>
        <w:t>1993</w:t>
      </w:r>
      <w:r>
        <w:rPr>
          <w:rFonts w:ascii="Times New Roman" w:hAnsi="Times New Roman" w:cs="Times New Roman" w:eastAsia="Times New Roman" w:hint="default"/>
          <w:spacing w:val="-4"/>
        </w:rPr>
        <w:t> </w:t>
      </w:r>
      <w:r>
        <w:rPr/>
        <w:t>年起先后参与长春振兴实业股份</w:t>
      </w:r>
    </w:p>
    <w:p>
      <w:pPr>
        <w:pStyle w:val="BodyText"/>
        <w:spacing w:line="240" w:lineRule="auto" w:before="24"/>
        <w:ind w:left="154" w:right="0"/>
        <w:jc w:val="both"/>
        <w:rPr>
          <w:rFonts w:ascii="Times New Roman" w:hAnsi="Times New Roman" w:cs="Times New Roman" w:eastAsia="Times New Roman" w:hint="default"/>
        </w:rPr>
      </w:pPr>
      <w:r>
        <w:rPr>
          <w:spacing w:val="-5"/>
        </w:rPr>
        <w:t>有限公司、长春康达医疗器械股份有限公司的股份制改造及上市工作，曾任董事会秘书、总经济师；</w:t>
      </w:r>
      <w:r>
        <w:rPr>
          <w:spacing w:val="56"/>
        </w:rPr>
        <w:t> </w:t>
      </w:r>
      <w:r>
        <w:rPr>
          <w:rFonts w:ascii="Times New Roman" w:hAnsi="Times New Roman" w:cs="Times New Roman" w:eastAsia="Times New Roman" w:hint="default"/>
        </w:rPr>
        <w:t>1999</w:t>
      </w:r>
    </w:p>
    <w:p>
      <w:pPr>
        <w:pStyle w:val="BodyText"/>
        <w:spacing w:line="338" w:lineRule="auto" w:before="117"/>
        <w:ind w:left="154" w:right="230" w:hanging="1"/>
        <w:jc w:val="both"/>
      </w:pPr>
      <w:r>
        <w:rPr>
          <w:spacing w:val="-4"/>
        </w:rPr>
        <w:t>年起任长春燃气股份有限公司董事、证券投资部经理，</w:t>
      </w:r>
      <w:r>
        <w:rPr>
          <w:rFonts w:ascii="Times New Roman" w:hAnsi="Times New Roman" w:cs="Times New Roman" w:eastAsia="Times New Roman" w:hint="default"/>
          <w:spacing w:val="-4"/>
        </w:rPr>
        <w:t>2001</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月至</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spacing w:val="-5"/>
        </w:rPr>
        <w:t>月历任本公司董事、副总</w:t>
      </w:r>
      <w:r>
        <w:rPr>
          <w:spacing w:val="-101"/>
        </w:rPr>
        <w:t> </w:t>
      </w:r>
      <w:r>
        <w:rPr>
          <w:spacing w:val="-101"/>
        </w:rPr>
      </w:r>
      <w:r>
        <w:rPr/>
        <w:t>经理、董事会秘书，现任本公司监事会主席。</w:t>
      </w:r>
    </w:p>
    <w:p>
      <w:pPr>
        <w:pStyle w:val="BodyText"/>
        <w:spacing w:line="240" w:lineRule="auto" w:before="47"/>
        <w:ind w:left="574" w:right="0"/>
        <w:jc w:val="left"/>
      </w:pPr>
      <w:r>
        <w:rPr>
          <w:spacing w:val="-3"/>
        </w:rPr>
        <w:t>张广杰：出生于</w:t>
      </w:r>
      <w:r>
        <w:rPr>
          <w:spacing w:val="-57"/>
        </w:rPr>
        <w:t> </w:t>
      </w:r>
      <w:r>
        <w:rPr>
          <w:rFonts w:ascii="Times New Roman" w:hAnsi="Times New Roman" w:cs="Times New Roman" w:eastAsia="Times New Roman" w:hint="default"/>
        </w:rPr>
        <w:t>1960</w:t>
      </w:r>
      <w:r>
        <w:rPr>
          <w:rFonts w:ascii="Times New Roman" w:hAnsi="Times New Roman" w:cs="Times New Roman" w:eastAsia="Times New Roman" w:hint="default"/>
          <w:spacing w:val="-4"/>
        </w:rPr>
        <w:t> </w:t>
      </w:r>
      <w:r>
        <w:rPr/>
        <w:t>年，毕业于首都师范大学数学系，先后就职于航天工业部第二研究院二零七所、</w:t>
      </w:r>
    </w:p>
    <w:p>
      <w:pPr>
        <w:pStyle w:val="BodyText"/>
        <w:spacing w:line="336" w:lineRule="auto" w:before="117"/>
        <w:ind w:left="154" w:right="205" w:hanging="1"/>
        <w:jc w:val="both"/>
      </w:pPr>
      <w:r>
        <w:rPr/>
        <w:t>北京香格里拉大饭店，任助理工程师、电脑部经理。自 </w:t>
      </w:r>
      <w:r>
        <w:rPr>
          <w:rFonts w:ascii="Times New Roman" w:hAnsi="Times New Roman" w:cs="Times New Roman" w:eastAsia="Times New Roman" w:hint="default"/>
        </w:rPr>
        <w:t>2001</w:t>
      </w:r>
      <w:r>
        <w:rPr>
          <w:rFonts w:ascii="Times New Roman" w:hAnsi="Times New Roman" w:cs="Times New Roman" w:eastAsia="Times New Roman" w:hint="default"/>
          <w:spacing w:val="22"/>
        </w:rPr>
        <w:t> </w:t>
      </w:r>
      <w:r>
        <w:rPr/>
        <w:t>年起在北京中长石基信息技术股份有限公司</w:t>
      </w:r>
      <w:r>
        <w:rPr>
          <w:w w:val="100"/>
        </w:rPr>
        <w:t> </w:t>
      </w:r>
      <w:r>
        <w:rPr/>
        <w:t>就职，现任本公司监事。</w:t>
      </w:r>
    </w:p>
    <w:p>
      <w:pPr>
        <w:pStyle w:val="BodyText"/>
        <w:spacing w:line="338" w:lineRule="auto" w:before="49"/>
        <w:ind w:left="154" w:right="205" w:firstLine="420"/>
        <w:jc w:val="both"/>
      </w:pPr>
      <w:r>
        <w:rPr/>
        <w:t>王淑杰：出生于 </w:t>
      </w:r>
      <w:r>
        <w:rPr>
          <w:rFonts w:ascii="Times New Roman" w:hAnsi="Times New Roman" w:cs="Times New Roman" w:eastAsia="Times New Roman" w:hint="default"/>
        </w:rPr>
        <w:t>1968 </w:t>
      </w:r>
      <w:r>
        <w:rPr/>
        <w:t>年，硕士学位，</w:t>
      </w:r>
      <w:r>
        <w:rPr>
          <w:rFonts w:ascii="Times New Roman" w:hAnsi="Times New Roman" w:cs="Times New Roman" w:eastAsia="Times New Roman" w:hint="default"/>
        </w:rPr>
        <w:t>1991</w:t>
      </w:r>
      <w:r>
        <w:rPr>
          <w:rFonts w:ascii="Times New Roman" w:hAnsi="Times New Roman" w:cs="Times New Roman" w:eastAsia="Times New Roman" w:hint="default"/>
          <w:spacing w:val="-29"/>
        </w:rPr>
        <w:t> </w:t>
      </w:r>
      <w:r>
        <w:rPr/>
        <w:t>年毕业于北京航空航天大学机械制造专业，获工学学士学</w:t>
      </w:r>
      <w:r>
        <w:rPr>
          <w:w w:val="100"/>
        </w:rPr>
        <w:t> </w:t>
      </w:r>
      <w:r>
        <w:rPr/>
        <w:t>位。</w:t>
      </w:r>
      <w:r>
        <w:rPr>
          <w:rFonts w:ascii="Times New Roman" w:hAnsi="Times New Roman" w:cs="Times New Roman" w:eastAsia="Times New Roman" w:hint="default"/>
        </w:rPr>
        <w:t>1991</w:t>
      </w:r>
      <w:r>
        <w:rPr>
          <w:rFonts w:ascii="Times New Roman" w:hAnsi="Times New Roman" w:cs="Times New Roman" w:eastAsia="Times New Roman" w:hint="default"/>
          <w:spacing w:val="10"/>
        </w:rPr>
        <w:t> </w:t>
      </w:r>
      <w:r>
        <w:rPr/>
        <w:t>年至</w:t>
      </w:r>
      <w:r>
        <w:rPr>
          <w:spacing w:val="-40"/>
        </w:rPr>
        <w:t> </w:t>
      </w:r>
      <w:r>
        <w:rPr>
          <w:rFonts w:ascii="Times New Roman" w:hAnsi="Times New Roman" w:cs="Times New Roman" w:eastAsia="Times New Roman" w:hint="default"/>
        </w:rPr>
        <w:t>1994</w:t>
      </w:r>
      <w:r>
        <w:rPr>
          <w:rFonts w:ascii="Times New Roman" w:hAnsi="Times New Roman" w:cs="Times New Roman" w:eastAsia="Times New Roman" w:hint="default"/>
          <w:spacing w:val="10"/>
        </w:rPr>
        <w:t> </w:t>
      </w:r>
      <w:r>
        <w:rPr/>
        <w:t>年在中国航天工业总公司第二研究院从事机械设计工作，</w:t>
      </w:r>
      <w:r>
        <w:rPr>
          <w:rFonts w:ascii="Times New Roman" w:hAnsi="Times New Roman" w:cs="Times New Roman" w:eastAsia="Times New Roman" w:hint="default"/>
        </w:rPr>
        <w:t>1994</w:t>
      </w:r>
      <w:r>
        <w:rPr>
          <w:rFonts w:ascii="Times New Roman" w:hAnsi="Times New Roman" w:cs="Times New Roman" w:eastAsia="Times New Roman" w:hint="default"/>
          <w:spacing w:val="12"/>
        </w:rPr>
        <w:t> </w:t>
      </w:r>
      <w:r>
        <w:rPr/>
        <w:t>年至</w:t>
      </w:r>
      <w:r>
        <w:rPr>
          <w:spacing w:val="-40"/>
        </w:rPr>
        <w:t> </w:t>
      </w:r>
      <w:r>
        <w:rPr>
          <w:rFonts w:ascii="Times New Roman" w:hAnsi="Times New Roman" w:cs="Times New Roman" w:eastAsia="Times New Roman" w:hint="default"/>
        </w:rPr>
        <w:t>1997</w:t>
      </w:r>
      <w:r>
        <w:rPr>
          <w:rFonts w:ascii="Times New Roman" w:hAnsi="Times New Roman" w:cs="Times New Roman" w:eastAsia="Times New Roman" w:hint="default"/>
          <w:spacing w:val="12"/>
        </w:rPr>
        <w:t> </w:t>
      </w:r>
      <w:r>
        <w:rPr/>
        <w:t>年工作于北</w:t>
      </w:r>
      <w:r>
        <w:rPr>
          <w:w w:val="100"/>
        </w:rPr>
        <w:t> </w:t>
      </w:r>
      <w:r>
        <w:rPr>
          <w:spacing w:val="-5"/>
        </w:rPr>
        <w:t>京商品交易所，</w:t>
      </w:r>
      <w:r>
        <w:rPr>
          <w:rFonts w:ascii="Times New Roman" w:hAnsi="Times New Roman" w:cs="Times New Roman" w:eastAsia="Times New Roman" w:hint="default"/>
          <w:spacing w:val="-5"/>
        </w:rPr>
        <w:t>1998</w:t>
      </w:r>
      <w:r>
        <w:rPr>
          <w:rFonts w:ascii="Times New Roman" w:hAnsi="Times New Roman" w:cs="Times New Roman" w:eastAsia="Times New Roman" w:hint="default"/>
          <w:spacing w:val="5"/>
        </w:rPr>
        <w:t> </w:t>
      </w:r>
      <w:r>
        <w:rPr/>
        <w:t>年至</w:t>
      </w:r>
      <w:r>
        <w:rPr>
          <w:spacing w:val="-47"/>
        </w:rPr>
        <w:t> </w:t>
      </w:r>
      <w:r>
        <w:rPr>
          <w:rFonts w:ascii="Times New Roman" w:hAnsi="Times New Roman" w:cs="Times New Roman" w:eastAsia="Times New Roman" w:hint="default"/>
        </w:rPr>
        <w:t>2000</w:t>
      </w:r>
      <w:r>
        <w:rPr>
          <w:rFonts w:ascii="Times New Roman" w:hAnsi="Times New Roman" w:cs="Times New Roman" w:eastAsia="Times New Roman" w:hint="default"/>
          <w:spacing w:val="5"/>
        </w:rPr>
        <w:t> </w:t>
      </w:r>
      <w:r>
        <w:rPr>
          <w:spacing w:val="-3"/>
        </w:rPr>
        <w:t>年在首都经济贸易大学经济系研究生班学习并毕业，自</w:t>
      </w:r>
      <w:r>
        <w:rPr>
          <w:spacing w:val="-46"/>
        </w:rPr>
        <w:t> </w:t>
      </w:r>
      <w:r>
        <w:rPr>
          <w:rFonts w:ascii="Times New Roman" w:hAnsi="Times New Roman" w:cs="Times New Roman" w:eastAsia="Times New Roman" w:hint="default"/>
        </w:rPr>
        <w:t>1998</w:t>
      </w:r>
      <w:r>
        <w:rPr>
          <w:rFonts w:ascii="Times New Roman" w:hAnsi="Times New Roman" w:cs="Times New Roman" w:eastAsia="Times New Roman" w:hint="default"/>
          <w:spacing w:val="8"/>
        </w:rPr>
        <w:t> </w:t>
      </w:r>
      <w:r>
        <w:rPr/>
        <w:t>年起就职于本</w:t>
      </w:r>
      <w:r>
        <w:rPr>
          <w:spacing w:val="-101"/>
        </w:rPr>
        <w:t> </w:t>
      </w:r>
      <w:r>
        <w:rPr>
          <w:spacing w:val="-101"/>
        </w:rPr>
      </w:r>
      <w:r>
        <w:rPr/>
        <w:t>公司，从事客户服务工作，本公司职工监事。</w:t>
      </w:r>
    </w:p>
    <w:p>
      <w:pPr>
        <w:spacing w:line="240" w:lineRule="auto" w:before="11"/>
        <w:rPr>
          <w:rFonts w:ascii="宋体" w:hAnsi="宋体" w:cs="宋体" w:eastAsia="宋体" w:hint="default"/>
          <w:sz w:val="24"/>
          <w:szCs w:val="24"/>
        </w:rPr>
      </w:pPr>
    </w:p>
    <w:p>
      <w:pPr>
        <w:pStyle w:val="Heading4"/>
        <w:spacing w:line="240" w:lineRule="auto"/>
        <w:ind w:right="0"/>
        <w:jc w:val="left"/>
        <w:rPr>
          <w:b w:val="0"/>
          <w:bCs w:val="0"/>
        </w:rPr>
      </w:pPr>
      <w:r>
        <w:rPr/>
        <w:t>（四）现任及报告期内离任董事、监事和高级管理人员年度报酬情况</w:t>
      </w:r>
      <w:r>
        <w:rPr>
          <w:b w:val="0"/>
          <w:bCs w:val="0"/>
        </w:rPr>
      </w:r>
    </w:p>
    <w:p>
      <w:pPr>
        <w:spacing w:line="240" w:lineRule="auto" w:before="5"/>
        <w:rPr>
          <w:rFonts w:ascii="宋体" w:hAnsi="宋体" w:cs="宋体" w:eastAsia="宋体" w:hint="default"/>
          <w:b/>
          <w:bCs/>
          <w:sz w:val="21"/>
          <w:szCs w:val="21"/>
        </w:rPr>
      </w:pPr>
    </w:p>
    <w:p>
      <w:pPr>
        <w:pStyle w:val="BodyText"/>
        <w:spacing w:line="350" w:lineRule="auto"/>
        <w:ind w:right="207" w:firstLine="420"/>
        <w:jc w:val="both"/>
      </w:pPr>
      <w:r>
        <w:rPr>
          <w:rFonts w:ascii="Times New Roman" w:hAnsi="Times New Roman" w:cs="Times New Roman" w:eastAsia="Times New Roman" w:hint="default"/>
        </w:rPr>
        <w:t>1</w:t>
      </w:r>
      <w:r>
        <w:rPr/>
        <w:t>、报酬的决策程序和报酬确定依据：本公司董事、监事和高级管理人员的报酬根据公司薪酬制度有</w:t>
      </w:r>
      <w:r>
        <w:rPr>
          <w:w w:val="100"/>
        </w:rPr>
        <w:t> </w:t>
      </w:r>
      <w:r>
        <w:rPr>
          <w:spacing w:val="-2"/>
          <w:w w:val="100"/>
        </w:rPr>
        <w:t>关规定按月发放（独立董事按年发放）。目前本公司已经设立董事会薪酬委员会，负责公司董事、监事和</w:t>
      </w:r>
      <w:r>
        <w:rPr>
          <w:spacing w:val="-94"/>
          <w:w w:val="100"/>
        </w:rPr>
        <w:t> </w:t>
      </w:r>
      <w:r>
        <w:rPr>
          <w:spacing w:val="-94"/>
          <w:w w:val="100"/>
        </w:rPr>
      </w:r>
      <w:r>
        <w:rPr>
          <w:spacing w:val="-2"/>
        </w:rPr>
        <w:t>高级管理人员的薪酬考核工作。独立董事津贴标准由本公司股东大会决议通过，独立董事参加会议发生的</w:t>
      </w:r>
      <w:r>
        <w:rPr>
          <w:spacing w:val="-44"/>
        </w:rPr>
        <w:t> </w:t>
      </w:r>
      <w:r>
        <w:rPr>
          <w:spacing w:val="-44"/>
        </w:rPr>
      </w:r>
      <w:r>
        <w:rPr/>
        <w:t>差旅费，办公费等履职费用由本公司承担。</w:t>
      </w:r>
    </w:p>
    <w:p>
      <w:pPr>
        <w:pStyle w:val="BodyText"/>
        <w:spacing w:line="240" w:lineRule="auto" w:before="36"/>
        <w:ind w:left="587" w:right="0"/>
        <w:jc w:val="left"/>
      </w:pPr>
      <w:r>
        <w:rPr>
          <w:rFonts w:ascii="Times New Roman" w:hAnsi="Times New Roman" w:cs="Times New Roman" w:eastAsia="Times New Roman" w:hint="default"/>
        </w:rPr>
        <w:t>2</w:t>
      </w:r>
      <w:r>
        <w:rPr/>
        <w:t>、报告期内，现任及离任董事、监事和高级管理人员应付报酬情况。</w:t>
      </w:r>
    </w:p>
    <w:p>
      <w:pPr>
        <w:spacing w:line="240" w:lineRule="auto" w:before="7"/>
        <w:rPr>
          <w:rFonts w:ascii="宋体" w:hAnsi="宋体" w:cs="宋体" w:eastAsia="宋体" w:hint="default"/>
          <w:sz w:val="11"/>
          <w:szCs w:val="11"/>
        </w:rPr>
      </w:pPr>
    </w:p>
    <w:tbl>
      <w:tblPr>
        <w:tblW w:w="0" w:type="auto"/>
        <w:jc w:val="left"/>
        <w:tblInd w:w="232" w:type="dxa"/>
        <w:tblLayout w:type="fixed"/>
        <w:tblCellMar>
          <w:top w:w="0" w:type="dxa"/>
          <w:left w:w="0" w:type="dxa"/>
          <w:bottom w:w="0" w:type="dxa"/>
          <w:right w:w="0" w:type="dxa"/>
        </w:tblCellMar>
        <w:tblLook w:val="01E0"/>
      </w:tblPr>
      <w:tblGrid>
        <w:gridCol w:w="1644"/>
        <w:gridCol w:w="2784"/>
        <w:gridCol w:w="2280"/>
        <w:gridCol w:w="2760"/>
      </w:tblGrid>
      <w:tr>
        <w:trPr>
          <w:trHeight w:val="610" w:hRule="exact"/>
        </w:trPr>
        <w:tc>
          <w:tcPr>
            <w:tcW w:w="1644"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784"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146"/>
              <w:ind w:left="4"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280"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40" w:lineRule="auto" w:before="146"/>
              <w:ind w:left="297" w:right="0"/>
              <w:jc w:val="left"/>
              <w:rPr>
                <w:rFonts w:ascii="宋体" w:hAnsi="宋体" w:cs="宋体" w:eastAsia="宋体" w:hint="default"/>
                <w:sz w:val="21"/>
                <w:szCs w:val="21"/>
              </w:rPr>
            </w:pPr>
            <w:r>
              <w:rPr>
                <w:rFonts w:ascii="宋体" w:hAnsi="宋体" w:cs="宋体" w:eastAsia="宋体" w:hint="default"/>
                <w:sz w:val="21"/>
                <w:szCs w:val="21"/>
              </w:rPr>
              <w:t>年度薪酬（万元）</w:t>
            </w:r>
          </w:p>
        </w:tc>
        <w:tc>
          <w:tcPr>
            <w:tcW w:w="2760" w:type="dxa"/>
            <w:tcBorders>
              <w:top w:val="single" w:sz="4" w:space="0" w:color="000000"/>
              <w:left w:val="single" w:sz="4" w:space="0" w:color="000000"/>
              <w:bottom w:val="single" w:sz="4" w:space="0" w:color="000000"/>
              <w:right w:val="single" w:sz="4" w:space="0" w:color="000000"/>
            </w:tcBorders>
            <w:shd w:val="clear" w:color="auto" w:fill="DEDEDE"/>
          </w:tcPr>
          <w:p>
            <w:pPr>
              <w:pStyle w:val="TableParagraph"/>
              <w:spacing w:line="261" w:lineRule="auto"/>
              <w:ind w:left="431" w:right="110" w:hanging="317"/>
              <w:jc w:val="left"/>
              <w:rPr>
                <w:rFonts w:ascii="宋体" w:hAnsi="宋体" w:cs="宋体" w:eastAsia="宋体" w:hint="default"/>
                <w:sz w:val="21"/>
                <w:szCs w:val="21"/>
              </w:rPr>
            </w:pPr>
            <w:r>
              <w:rPr>
                <w:rFonts w:ascii="宋体" w:hAnsi="宋体" w:cs="宋体" w:eastAsia="宋体" w:hint="default"/>
                <w:spacing w:val="-2"/>
                <w:sz w:val="21"/>
                <w:szCs w:val="21"/>
              </w:rPr>
              <w:t>是否在股东单位或其他关联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单位领取薪酬、津贴</w:t>
            </w:r>
          </w:p>
        </w:tc>
      </w:tr>
      <w:tr>
        <w:trPr>
          <w:trHeight w:val="312" w:hRule="exact"/>
        </w:trPr>
        <w:tc>
          <w:tcPr>
            <w:tcW w:w="164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李仲初</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董事长、总裁</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6"/>
              <w:jc w:val="right"/>
              <w:rPr>
                <w:rFonts w:ascii="Times New Roman" w:hAnsi="Times New Roman" w:cs="Times New Roman" w:eastAsia="Times New Roman" w:hint="default"/>
                <w:sz w:val="21"/>
                <w:szCs w:val="21"/>
              </w:rPr>
            </w:pPr>
            <w:r>
              <w:rPr>
                <w:rFonts w:ascii="Times New Roman"/>
                <w:sz w:val="21"/>
              </w:rPr>
              <w:t>10.06</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164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赖德源</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董事、副总裁、财务总监</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sz w:val="21"/>
              </w:rPr>
              <w:t>72.00</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53" w:lineRule="exact"/>
        <w:jc w:val="center"/>
        <w:rPr>
          <w:rFonts w:ascii="宋体" w:hAnsi="宋体" w:cs="宋体" w:eastAsia="宋体" w:hint="default"/>
          <w:sz w:val="21"/>
          <w:szCs w:val="21"/>
        </w:rPr>
        <w:sectPr>
          <w:pgSz w:w="11910" w:h="16840"/>
          <w:pgMar w:header="850" w:footer="979" w:top="1200" w:bottom="1160" w:left="980" w:right="920"/>
        </w:sectPr>
      </w:pPr>
    </w:p>
    <w:p>
      <w:pPr>
        <w:spacing w:line="240" w:lineRule="auto" w:before="5"/>
        <w:rPr>
          <w:rFonts w:ascii="宋体" w:hAnsi="宋体" w:cs="宋体" w:eastAsia="宋体" w:hint="default"/>
          <w:sz w:val="3"/>
          <w:szCs w:val="3"/>
        </w:rPr>
      </w:pPr>
    </w:p>
    <w:tbl>
      <w:tblPr>
        <w:tblW w:w="0" w:type="auto"/>
        <w:jc w:val="left"/>
        <w:tblInd w:w="293" w:type="dxa"/>
        <w:tblLayout w:type="fixed"/>
        <w:tblCellMar>
          <w:top w:w="0" w:type="dxa"/>
          <w:left w:w="0" w:type="dxa"/>
          <w:bottom w:w="0" w:type="dxa"/>
          <w:right w:w="0" w:type="dxa"/>
        </w:tblCellMar>
        <w:tblLook w:val="01E0"/>
      </w:tblPr>
      <w:tblGrid>
        <w:gridCol w:w="1643"/>
        <w:gridCol w:w="2784"/>
        <w:gridCol w:w="2280"/>
        <w:gridCol w:w="2760"/>
      </w:tblGrid>
      <w:tr>
        <w:trPr>
          <w:trHeight w:val="322" w:hRule="exact"/>
        </w:trPr>
        <w:tc>
          <w:tcPr>
            <w:tcW w:w="1643" w:type="dxa"/>
            <w:tcBorders>
              <w:top w:val="single" w:sz="10"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郑大立</w:t>
            </w:r>
          </w:p>
        </w:tc>
        <w:tc>
          <w:tcPr>
            <w:tcW w:w="2784" w:type="dxa"/>
            <w:tcBorders>
              <w:top w:val="single" w:sz="10"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w w:val="100"/>
                <w:sz w:val="21"/>
              </w:rPr>
              <w:t>0</w:t>
            </w:r>
          </w:p>
        </w:tc>
        <w:tc>
          <w:tcPr>
            <w:tcW w:w="2760" w:type="dxa"/>
            <w:tcBorders>
              <w:top w:val="single" w:sz="10"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164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tabs>
                <w:tab w:pos="423" w:val="left" w:leader="none"/>
              </w:tabs>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罗</w:t>
              <w:tab/>
              <w:t>芳</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副总裁、董事会秘书</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z w:val="21"/>
              </w:rPr>
              <w:t>15.30</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164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郭田勇</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z w:val="21"/>
              </w:rPr>
              <w:t>5.00</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164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刘剑锋</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z w:val="21"/>
              </w:rPr>
              <w:t>5.00</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164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阎丽明</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sz w:val="21"/>
              </w:rPr>
              <w:t>5.00</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5" w:hRule="exact"/>
        </w:trPr>
        <w:tc>
          <w:tcPr>
            <w:tcW w:w="164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6"/>
              <w:ind w:left="1" w:right="0"/>
              <w:jc w:val="center"/>
              <w:rPr>
                <w:rFonts w:ascii="宋体" w:hAnsi="宋体" w:cs="宋体" w:eastAsia="宋体" w:hint="default"/>
                <w:sz w:val="21"/>
                <w:szCs w:val="21"/>
              </w:rPr>
            </w:pPr>
            <w:r>
              <w:rPr>
                <w:rFonts w:ascii="宋体" w:hAnsi="宋体" w:cs="宋体" w:eastAsia="宋体" w:hint="default"/>
                <w:sz w:val="21"/>
                <w:szCs w:val="21"/>
              </w:rPr>
              <w:t>罗志明</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6"/>
              <w:jc w:val="right"/>
              <w:rPr>
                <w:rFonts w:ascii="Times New Roman" w:hAnsi="Times New Roman" w:cs="Times New Roman" w:eastAsia="Times New Roman" w:hint="default"/>
                <w:sz w:val="21"/>
                <w:szCs w:val="21"/>
              </w:rPr>
            </w:pPr>
            <w:r>
              <w:rPr>
                <w:rFonts w:ascii="Times New Roman"/>
                <w:sz w:val="21"/>
              </w:rPr>
              <w:t>52.27</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164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关东玉</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sz w:val="21"/>
              </w:rPr>
              <w:t>48.96</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164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王敏敏</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30</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164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tabs>
                <w:tab w:pos="423" w:val="left" w:leader="none"/>
              </w:tabs>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郭</w:t>
              <w:tab/>
              <w:t>明</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sz w:val="21"/>
              </w:rPr>
              <w:t>20.02</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164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张广杰</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z w:val="21"/>
              </w:rPr>
              <w:t>8.13</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164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王淑杰</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6"/>
              <w:jc w:val="right"/>
              <w:rPr>
                <w:rFonts w:ascii="Times New Roman" w:hAnsi="Times New Roman" w:cs="Times New Roman" w:eastAsia="Times New Roman" w:hint="default"/>
                <w:sz w:val="21"/>
                <w:szCs w:val="21"/>
              </w:rPr>
            </w:pPr>
            <w:r>
              <w:rPr>
                <w:rFonts w:ascii="Times New Roman"/>
                <w:sz w:val="21"/>
              </w:rPr>
              <w:t>14.79</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164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tabs>
                <w:tab w:pos="423" w:val="left" w:leader="none"/>
              </w:tabs>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郭</w:t>
              <w:tab/>
              <w:t>洁</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离任董事、董事会秘书</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sz w:val="21"/>
              </w:rPr>
              <w:t>7.59</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164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tabs>
                <w:tab w:pos="423" w:val="left" w:leader="none"/>
              </w:tabs>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z w:val="21"/>
              </w:rPr>
              <w:t>294.12</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57" w:lineRule="exact"/>
        <w:ind w:left="625" w:right="0"/>
        <w:jc w:val="left"/>
      </w:pPr>
      <w:r>
        <w:rPr/>
        <w:t>注： </w:t>
      </w:r>
      <w:r>
        <w:rPr>
          <w:rFonts w:ascii="Times New Roman" w:hAnsi="Times New Roman" w:cs="Times New Roman" w:eastAsia="Times New Roman" w:hint="default"/>
        </w:rPr>
        <w:t>1</w:t>
      </w:r>
      <w:r>
        <w:rPr/>
        <w:t>、公司于</w:t>
      </w:r>
      <w:r>
        <w:rPr>
          <w:spacing w:val="-53"/>
        </w:rPr>
        <w:t> </w:t>
      </w:r>
      <w:r>
        <w:rPr>
          <w:rFonts w:ascii="Times New Roman" w:hAnsi="Times New Roman" w:cs="Times New Roman" w:eastAsia="Times New Roman" w:hint="default"/>
          <w:spacing w:val="-3"/>
        </w:rPr>
        <w:t>2011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日聘任罗芳女士为公司副总裁兼董事会秘书。</w:t>
      </w:r>
    </w:p>
    <w:p>
      <w:pPr>
        <w:pStyle w:val="BodyText"/>
        <w:spacing w:line="240" w:lineRule="auto" w:before="117"/>
        <w:ind w:left="625" w:right="0"/>
        <w:jc w:val="left"/>
      </w:pPr>
      <w:r>
        <w:rPr>
          <w:rFonts w:ascii="Times New Roman" w:hAnsi="Times New Roman" w:cs="Times New Roman" w:eastAsia="Times New Roman" w:hint="default"/>
        </w:rPr>
        <w:t>2</w:t>
      </w:r>
      <w:r>
        <w:rPr/>
        <w:t>、郭洁女士于</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日辞去其在公司担任的董事、董事会秘书职务。</w:t>
      </w:r>
    </w:p>
    <w:p>
      <w:pPr>
        <w:spacing w:line="240" w:lineRule="auto" w:before="3"/>
        <w:rPr>
          <w:rFonts w:ascii="宋体" w:hAnsi="宋体" w:cs="宋体" w:eastAsia="宋体" w:hint="default"/>
          <w:sz w:val="30"/>
          <w:szCs w:val="30"/>
        </w:rPr>
      </w:pPr>
    </w:p>
    <w:p>
      <w:pPr>
        <w:pStyle w:val="Heading4"/>
        <w:spacing w:line="240" w:lineRule="auto"/>
        <w:ind w:left="625" w:right="0"/>
        <w:jc w:val="left"/>
        <w:rPr>
          <w:b w:val="0"/>
          <w:bCs w:val="0"/>
        </w:rPr>
      </w:pPr>
      <w:r>
        <w:rPr/>
        <w:t>（五）公司董事、监事和高级人员变动情况</w:t>
      </w:r>
      <w:r>
        <w:rPr>
          <w:b w:val="0"/>
          <w:bCs w:val="0"/>
        </w:rPr>
      </w:r>
    </w:p>
    <w:p>
      <w:pPr>
        <w:spacing w:line="240" w:lineRule="auto" w:before="0"/>
        <w:rPr>
          <w:rFonts w:ascii="宋体" w:hAnsi="宋体" w:cs="宋体" w:eastAsia="宋体" w:hint="default"/>
          <w:b/>
          <w:bCs/>
          <w:sz w:val="20"/>
          <w:szCs w:val="20"/>
        </w:rPr>
      </w:pPr>
    </w:p>
    <w:p>
      <w:pPr>
        <w:pStyle w:val="BodyText"/>
        <w:spacing w:line="336" w:lineRule="auto" w:before="154"/>
        <w:ind w:left="213" w:right="0" w:firstLine="412"/>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spacing w:val="-3"/>
        </w:rPr>
        <w:t>日，经公司第四届董事会</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spacing w:val="-3"/>
        </w:rPr>
        <w:t>年第一次临时会议审议通过，公司董事会聘任王敏</w:t>
      </w:r>
      <w:r>
        <w:rPr>
          <w:spacing w:val="-3"/>
          <w:w w:val="100"/>
        </w:rPr>
        <w:t> </w:t>
      </w:r>
      <w:r>
        <w:rPr/>
        <w:t>敏女士担任公司副总裁，任期至本届董事会任期届满。</w:t>
      </w:r>
    </w:p>
    <w:p>
      <w:pPr>
        <w:pStyle w:val="BodyText"/>
        <w:spacing w:line="240" w:lineRule="auto" w:before="49"/>
        <w:ind w:left="626"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日，公司董事会同意郭洁女士辞去在公司担任的公司董事、董事会秘书的职务。</w:t>
      </w:r>
    </w:p>
    <w:p>
      <w:pPr>
        <w:pStyle w:val="BodyText"/>
        <w:spacing w:line="336" w:lineRule="auto" w:before="119"/>
        <w:ind w:left="213" w:right="0" w:firstLine="412"/>
        <w:jc w:val="left"/>
      </w:pP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spacing w:val="-3"/>
        </w:rPr>
        <w:t>日，经公司第四届董事会</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spacing w:val="-3"/>
        </w:rPr>
        <w:t>年第五次临时会议审议通过，公司董事会聘任罗芳</w:t>
      </w:r>
      <w:r>
        <w:rPr>
          <w:spacing w:val="-3"/>
          <w:w w:val="100"/>
        </w:rPr>
        <w:t> </w:t>
      </w:r>
      <w:r>
        <w:rPr/>
        <w:t>女士担任公司副总裁兼董事会秘书，任期至本届董事会任期届满。</w:t>
      </w:r>
    </w:p>
    <w:p>
      <w:pPr>
        <w:spacing w:line="240" w:lineRule="auto" w:before="0"/>
        <w:rPr>
          <w:rFonts w:ascii="宋体" w:hAnsi="宋体" w:cs="宋体" w:eastAsia="宋体" w:hint="default"/>
          <w:sz w:val="25"/>
          <w:szCs w:val="25"/>
        </w:rPr>
      </w:pPr>
    </w:p>
    <w:p>
      <w:pPr>
        <w:pStyle w:val="Heading4"/>
        <w:spacing w:line="240" w:lineRule="auto"/>
        <w:ind w:left="625" w:right="5418"/>
        <w:jc w:val="left"/>
        <w:rPr>
          <w:b w:val="0"/>
          <w:bCs w:val="0"/>
        </w:rPr>
      </w:pPr>
      <w:r>
        <w:rPr/>
        <w:t>二、公司员工情况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4"/>
        <w:ind w:left="644" w:right="0"/>
        <w:jc w:val="left"/>
      </w:pPr>
      <w:r>
        <w:rPr/>
        <w:t>截至</w:t>
      </w:r>
      <w:r>
        <w:rPr>
          <w:spacing w:val="-53"/>
        </w:rPr>
        <w:t> </w:t>
      </w:r>
      <w:r>
        <w:rPr>
          <w:rFonts w:ascii="Times New Roman" w:hAnsi="Times New Roman" w:cs="Times New Roman" w:eastAsia="Times New Roman" w:hint="default"/>
          <w:spacing w:val="-3"/>
        </w:rPr>
        <w:t>2011 </w:t>
      </w:r>
      <w:r>
        <w:rPr/>
        <w:t>年</w:t>
      </w:r>
      <w:r>
        <w:rPr>
          <w:spacing w:val="-53"/>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日，本公司在职人员为</w:t>
      </w:r>
      <w:r>
        <w:rPr>
          <w:spacing w:val="-53"/>
        </w:rPr>
        <w:t> </w:t>
      </w:r>
      <w:r>
        <w:rPr>
          <w:rFonts w:ascii="Times New Roman" w:hAnsi="Times New Roman" w:cs="Times New Roman" w:eastAsia="Times New Roman" w:hint="default"/>
        </w:rPr>
        <w:t>1001</w:t>
      </w:r>
      <w:r>
        <w:rPr>
          <w:rFonts w:ascii="Times New Roman" w:hAnsi="Times New Roman" w:cs="Times New Roman" w:eastAsia="Times New Roman" w:hint="default"/>
          <w:spacing w:val="-3"/>
        </w:rPr>
        <w:t> </w:t>
      </w:r>
      <w:r>
        <w:rPr>
          <w:spacing w:val="-3"/>
        </w:rPr>
        <w:t>人。</w:t>
      </w:r>
      <w:r>
        <w:rPr/>
      </w:r>
    </w:p>
    <w:p>
      <w:pPr>
        <w:spacing w:line="240" w:lineRule="auto" w:before="3"/>
        <w:rPr>
          <w:rFonts w:ascii="宋体" w:hAnsi="宋体" w:cs="宋体" w:eastAsia="宋体" w:hint="default"/>
          <w:sz w:val="30"/>
          <w:szCs w:val="30"/>
        </w:rPr>
      </w:pPr>
    </w:p>
    <w:p>
      <w:pPr>
        <w:pStyle w:val="Heading4"/>
        <w:spacing w:line="240" w:lineRule="auto"/>
        <w:ind w:left="644" w:right="5418"/>
        <w:jc w:val="left"/>
        <w:rPr>
          <w:b w:val="0"/>
          <w:bCs w:val="0"/>
        </w:rPr>
      </w:pPr>
      <w:r>
        <w:rPr>
          <w:rFonts w:ascii="Times New Roman" w:hAnsi="Times New Roman" w:cs="Times New Roman" w:eastAsia="Times New Roman" w:hint="default"/>
        </w:rPr>
        <w:t>1</w:t>
      </w:r>
      <w:r>
        <w:rPr/>
        <w:t>、员工构成比例</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tbl>
      <w:tblPr>
        <w:tblW w:w="0" w:type="auto"/>
        <w:jc w:val="left"/>
        <w:tblInd w:w="100" w:type="dxa"/>
        <w:tblLayout w:type="fixed"/>
        <w:tblCellMar>
          <w:top w:w="0" w:type="dxa"/>
          <w:left w:w="0" w:type="dxa"/>
          <w:bottom w:w="0" w:type="dxa"/>
          <w:right w:w="0" w:type="dxa"/>
        </w:tblCellMar>
        <w:tblLook w:val="01E0"/>
      </w:tblPr>
      <w:tblGrid>
        <w:gridCol w:w="3454"/>
        <w:gridCol w:w="3250"/>
        <w:gridCol w:w="3151"/>
      </w:tblGrid>
      <w:tr>
        <w:trPr>
          <w:trHeight w:val="360" w:hRule="exact"/>
        </w:trPr>
        <w:tc>
          <w:tcPr>
            <w:tcW w:w="3454" w:type="dxa"/>
            <w:tcBorders>
              <w:top w:val="single" w:sz="8" w:space="0" w:color="000000"/>
              <w:left w:val="single" w:sz="4" w:space="0" w:color="000000"/>
              <w:bottom w:val="single" w:sz="8" w:space="0" w:color="000000"/>
              <w:right w:val="single" w:sz="8" w:space="0" w:color="000000"/>
            </w:tcBorders>
            <w:shd w:val="clear" w:color="auto" w:fill="DADADA"/>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spacing w:val="55"/>
                <w:sz w:val="21"/>
                <w:szCs w:val="21"/>
              </w:rPr>
              <w:t> </w:t>
            </w:r>
            <w:r>
              <w:rPr>
                <w:rFonts w:ascii="宋体" w:hAnsi="宋体" w:cs="宋体" w:eastAsia="宋体" w:hint="default"/>
                <w:sz w:val="21"/>
                <w:szCs w:val="21"/>
              </w:rPr>
              <w:t>业</w:t>
            </w:r>
          </w:p>
        </w:tc>
        <w:tc>
          <w:tcPr>
            <w:tcW w:w="3250"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员工人数</w:t>
            </w:r>
          </w:p>
        </w:tc>
        <w:tc>
          <w:tcPr>
            <w:tcW w:w="3151" w:type="dxa"/>
            <w:tcBorders>
              <w:top w:val="single" w:sz="8" w:space="0" w:color="000000"/>
              <w:left w:val="single" w:sz="8" w:space="0" w:color="000000"/>
              <w:bottom w:val="single" w:sz="8" w:space="0" w:color="000000"/>
              <w:right w:val="single" w:sz="4" w:space="0" w:color="000000"/>
            </w:tcBorders>
            <w:shd w:val="clear" w:color="auto" w:fill="DADADA"/>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60"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688</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68.73%</w:t>
            </w:r>
          </w:p>
        </w:tc>
      </w:tr>
      <w:tr>
        <w:trPr>
          <w:trHeight w:val="360"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业务人员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142</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14.19%</w:t>
            </w:r>
          </w:p>
        </w:tc>
      </w:tr>
      <w:tr>
        <w:trPr>
          <w:trHeight w:val="360"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51</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5.09%</w:t>
            </w:r>
          </w:p>
        </w:tc>
      </w:tr>
      <w:tr>
        <w:trPr>
          <w:trHeight w:val="360"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120</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11.99%</w:t>
            </w:r>
          </w:p>
        </w:tc>
      </w:tr>
      <w:tr>
        <w:trPr>
          <w:trHeight w:val="293"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总计</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1001</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pgSz w:w="11910" w:h="16840"/>
          <w:pgMar w:header="850" w:footer="979" w:top="1200" w:bottom="1160" w:left="920" w:right="900"/>
        </w:sectPr>
      </w:pPr>
    </w:p>
    <w:p>
      <w:pPr>
        <w:spacing w:line="240" w:lineRule="auto" w:before="10"/>
        <w:rPr>
          <w:rFonts w:ascii="宋体" w:hAnsi="宋体" w:cs="宋体" w:eastAsia="宋体" w:hint="default"/>
          <w:b/>
          <w:bCs/>
          <w:sz w:val="3"/>
          <w:szCs w:val="3"/>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50" w:footer="979" w:top="1200" w:bottom="1160" w:left="920" w:right="900"/>
        </w:sectPr>
      </w:pPr>
    </w:p>
    <w:p>
      <w:pPr>
        <w:spacing w:line="240" w:lineRule="auto" w:before="4"/>
        <w:rPr>
          <w:rFonts w:ascii="宋体" w:hAnsi="宋体" w:cs="宋体" w:eastAsia="宋体" w:hint="default"/>
          <w:b/>
          <w:bCs/>
          <w:sz w:val="32"/>
          <w:szCs w:val="32"/>
        </w:rPr>
      </w:pPr>
    </w:p>
    <w:p>
      <w:pPr>
        <w:spacing w:before="0"/>
        <w:ind w:left="0" w:right="0" w:firstLine="0"/>
        <w:jc w:val="right"/>
        <w:rPr>
          <w:rFonts w:ascii="宋体" w:hAnsi="宋体" w:cs="宋体" w:eastAsia="宋体" w:hint="default"/>
          <w:sz w:val="32"/>
          <w:szCs w:val="32"/>
        </w:rPr>
      </w:pPr>
      <w:r>
        <w:rPr>
          <w:rFonts w:ascii="宋体"/>
          <w:sz w:val="32"/>
        </w:rPr>
        <w:t>5%</w:t>
      </w:r>
    </w:p>
    <w:p>
      <w:pPr>
        <w:spacing w:before="131"/>
        <w:ind w:left="1464" w:right="0" w:firstLine="0"/>
        <w:jc w:val="left"/>
        <w:rPr>
          <w:rFonts w:ascii="宋体" w:hAnsi="宋体" w:cs="宋体" w:eastAsia="宋体" w:hint="default"/>
          <w:sz w:val="32"/>
          <w:szCs w:val="32"/>
        </w:rPr>
      </w:pPr>
      <w:r>
        <w:rPr/>
        <w:pict>
          <v:group style="position:absolute;margin-left:104.182007pt;margin-top:14.147568pt;width:11.45pt;height:11.45pt;mso-position-horizontal-relative:page;mso-position-vertical-relative:paragraph;z-index:1480" coordorigin="2084,283" coordsize="229,229">
            <v:group style="position:absolute;left:2093;top:293;width:210;height:210" coordorigin="2093,293" coordsize="210,210">
              <v:shape style="position:absolute;left:2093;top:293;width:210;height:210" coordorigin="2093,293" coordsize="210,210" path="m2093,293l2303,293,2303,502,2093,502,2093,293xe" filled="true" fillcolor="#993366" stroked="false">
                <v:path arrowok="t"/>
                <v:fill type="solid"/>
              </v:shape>
            </v:group>
            <v:group style="position:absolute;left:2093;top:293;width:210;height:210" coordorigin="2093,293" coordsize="210,210">
              <v:shape style="position:absolute;left:2093;top:293;width:210;height:210" coordorigin="2093,293" coordsize="210,210" path="m2093,293l2303,293,2303,502,2093,502,2093,293xe" filled="false" stroked="true" strokeweight=".961791pt" strokecolor="#000000">
                <v:path arrowok="t"/>
              </v:shape>
            </v:group>
            <w10:wrap type="none"/>
          </v:group>
        </w:pict>
      </w:r>
      <w:r>
        <w:rPr>
          <w:rFonts w:ascii="宋体"/>
          <w:sz w:val="32"/>
        </w:rPr>
        <w:t>14%</w:t>
      </w:r>
    </w:p>
    <w:p>
      <w:pPr>
        <w:spacing w:before="163"/>
        <w:ind w:left="537" w:right="0" w:firstLine="0"/>
        <w:jc w:val="left"/>
        <w:rPr>
          <w:rFonts w:ascii="宋体" w:hAnsi="宋体" w:cs="宋体" w:eastAsia="宋体" w:hint="default"/>
          <w:sz w:val="32"/>
          <w:szCs w:val="32"/>
        </w:rPr>
      </w:pPr>
      <w:r>
        <w:rPr/>
        <w:br w:type="column"/>
      </w:r>
      <w:r>
        <w:rPr>
          <w:rFonts w:ascii="宋体"/>
          <w:sz w:val="32"/>
        </w:rPr>
        <w:t>12%</w:t>
      </w:r>
    </w:p>
    <w:p>
      <w:pPr>
        <w:spacing w:after="0"/>
        <w:jc w:val="left"/>
        <w:rPr>
          <w:rFonts w:ascii="宋体" w:hAnsi="宋体" w:cs="宋体" w:eastAsia="宋体" w:hint="default"/>
          <w:sz w:val="32"/>
          <w:szCs w:val="32"/>
        </w:rPr>
        <w:sectPr>
          <w:type w:val="continuous"/>
          <w:pgSz w:w="11910" w:h="16840"/>
          <w:pgMar w:top="1200" w:bottom="1380" w:left="920" w:right="900"/>
          <w:cols w:num="2" w:equalWidth="0">
            <w:col w:w="2490" w:space="40"/>
            <w:col w:w="7560"/>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p>
      <w:pPr>
        <w:spacing w:line="249" w:lineRule="exact"/>
        <w:ind w:left="7889"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12.55pt;height:12.5pt;mso-position-horizontal-relative:char;mso-position-vertical-relative:line" coordorigin="0,0" coordsize="251,250">
            <v:group style="position:absolute;left:10;top:10;width:231;height:231" coordorigin="10,10" coordsize="231,231">
              <v:shape style="position:absolute;left:10;top:10;width:231;height:231" coordorigin="10,10" coordsize="231,231" path="m10,10l241,10,241,240,10,240,10,10xe" filled="true" fillcolor="#ffffcc" stroked="false">
                <v:path arrowok="t"/>
                <v:fill type="solid"/>
              </v:shape>
            </v:group>
            <v:group style="position:absolute;left:10;top:10;width:231;height:231" coordorigin="10,10" coordsize="231,231">
              <v:shape style="position:absolute;left:10;top:10;width:231;height:231" coordorigin="10,10" coordsize="231,231" path="m10,10l241,10,241,240,10,240,10,10xe" filled="false" stroked="true" strokeweight=".961791pt" strokecolor="#000000">
                <v:path arrowok="t"/>
              </v:shape>
            </v:group>
          </v:group>
        </w:pict>
      </w:r>
      <w:r>
        <w:rPr>
          <w:rFonts w:ascii="宋体" w:hAnsi="宋体" w:cs="宋体" w:eastAsia="宋体" w:hint="default"/>
          <w:position w:val="-4"/>
          <w:sz w:val="20"/>
          <w:szCs w:val="20"/>
        </w:rPr>
      </w:r>
    </w:p>
    <w:p>
      <w:pPr>
        <w:spacing w:line="240" w:lineRule="auto" w:before="3"/>
        <w:rPr>
          <w:rFonts w:ascii="宋体" w:hAnsi="宋体" w:cs="宋体" w:eastAsia="宋体" w:hint="default"/>
          <w:sz w:val="12"/>
          <w:szCs w:val="12"/>
        </w:rPr>
      </w:pPr>
    </w:p>
    <w:p>
      <w:pPr>
        <w:spacing w:before="1"/>
        <w:ind w:left="0" w:right="2485" w:firstLine="0"/>
        <w:jc w:val="right"/>
        <w:rPr>
          <w:rFonts w:ascii="宋体" w:hAnsi="宋体" w:cs="宋体" w:eastAsia="宋体" w:hint="default"/>
          <w:sz w:val="32"/>
          <w:szCs w:val="32"/>
        </w:rPr>
      </w:pPr>
      <w:r>
        <w:rPr/>
        <w:pict>
          <v:group style="position:absolute;margin-left:435.566925pt;margin-top:-75.381416pt;width:96.15pt;height:95.65pt;mso-position-horizontal-relative:page;mso-position-vertical-relative:paragraph;z-index:-772960" coordorigin="8711,-1508" coordsize="1923,1913">
            <v:group style="position:absolute;left:8820;top:-1356;width:231;height:231" coordorigin="8820,-1356" coordsize="231,231">
              <v:shape style="position:absolute;left:8820;top:-1356;width:231;height:231" coordorigin="8820,-1356" coordsize="231,231" path="m8820,-1356l9051,-1356,9051,-1126,8820,-1126,8820,-1356xe" filled="true" fillcolor="#9999ff" stroked="false">
                <v:path arrowok="t"/>
                <v:fill type="solid"/>
              </v:shape>
            </v:group>
            <v:group style="position:absolute;left:8820;top:-1356;width:231;height:231" coordorigin="8820,-1356" coordsize="231,231">
              <v:shape style="position:absolute;left:8820;top:-1356;width:231;height:231" coordorigin="8820,-1356" coordsize="231,231" path="m8820,-1356l9051,-1356,9051,-1126,8820,-1126,8820,-1356xe" filled="false" stroked="true" strokeweight=".961791pt" strokecolor="#000000">
                <v:path arrowok="t"/>
              </v:shape>
              <v:shape style="position:absolute;left:8711;top:-1508;width:1923;height:1913" type="#_x0000_t202" filled="false" stroked="true" strokeweight=".96179pt" strokecolor="#000000">
                <v:textbox inset="0,0,0,0">
                  <w:txbxContent>
                    <w:p>
                      <w:pPr>
                        <w:spacing w:line="478" w:lineRule="exact" w:before="0"/>
                        <w:ind w:left="420" w:right="75" w:firstLine="0"/>
                        <w:jc w:val="both"/>
                        <w:rPr>
                          <w:rFonts w:ascii="宋体" w:hAnsi="宋体" w:cs="宋体" w:eastAsia="宋体" w:hint="default"/>
                          <w:sz w:val="35"/>
                          <w:szCs w:val="35"/>
                        </w:rPr>
                      </w:pPr>
                      <w:r>
                        <w:rPr>
                          <w:rFonts w:ascii="宋体" w:hAnsi="宋体" w:cs="宋体" w:eastAsia="宋体" w:hint="default"/>
                          <w:sz w:val="35"/>
                          <w:szCs w:val="35"/>
                        </w:rPr>
                        <w:t>技术人员</w:t>
                      </w:r>
                      <w:r>
                        <w:rPr>
                          <w:rFonts w:ascii="宋体" w:hAnsi="宋体" w:cs="宋体" w:eastAsia="宋体" w:hint="default"/>
                          <w:spacing w:val="-171"/>
                          <w:sz w:val="35"/>
                          <w:szCs w:val="35"/>
                        </w:rPr>
                        <w:t> </w:t>
                      </w:r>
                      <w:r>
                        <w:rPr>
                          <w:rFonts w:ascii="宋体" w:hAnsi="宋体" w:cs="宋体" w:eastAsia="宋体" w:hint="default"/>
                          <w:sz w:val="35"/>
                          <w:szCs w:val="35"/>
                        </w:rPr>
                        <w:t>业务人员</w:t>
                      </w:r>
                      <w:r>
                        <w:rPr>
                          <w:rFonts w:ascii="宋体" w:hAnsi="宋体" w:cs="宋体" w:eastAsia="宋体" w:hint="default"/>
                          <w:spacing w:val="-171"/>
                          <w:sz w:val="35"/>
                          <w:szCs w:val="35"/>
                        </w:rPr>
                        <w:t> </w:t>
                      </w:r>
                      <w:r>
                        <w:rPr>
                          <w:rFonts w:ascii="宋体" w:hAnsi="宋体" w:cs="宋体" w:eastAsia="宋体" w:hint="default"/>
                          <w:sz w:val="35"/>
                          <w:szCs w:val="35"/>
                        </w:rPr>
                        <w:t>财务人员</w:t>
                      </w:r>
                      <w:r>
                        <w:rPr>
                          <w:rFonts w:ascii="宋体" w:hAnsi="宋体" w:cs="宋体" w:eastAsia="宋体" w:hint="default"/>
                          <w:spacing w:val="-171"/>
                          <w:sz w:val="35"/>
                          <w:szCs w:val="35"/>
                        </w:rPr>
                        <w:t> </w:t>
                      </w:r>
                      <w:r>
                        <w:rPr>
                          <w:rFonts w:ascii="宋体" w:hAnsi="宋体" w:cs="宋体" w:eastAsia="宋体" w:hint="default"/>
                          <w:sz w:val="35"/>
                          <w:szCs w:val="35"/>
                        </w:rPr>
                        <w:t>管理人员</w:t>
                      </w:r>
                    </w:p>
                  </w:txbxContent>
                </v:textbox>
                <w10:wrap type="none"/>
              </v:shape>
            </v:group>
            <w10:wrap type="none"/>
          </v:group>
        </w:pict>
      </w:r>
      <w:r>
        <w:rPr/>
        <w:pict>
          <v:group style="position:absolute;margin-left:440.498871pt;margin-top:-44.379604pt;width:12.55pt;height:12.5pt;mso-position-horizontal-relative:page;mso-position-vertical-relative:paragraph;z-index:1552" coordorigin="8810,-888" coordsize="251,250">
            <v:group style="position:absolute;left:8820;top:-878;width:231;height:231" coordorigin="8820,-878" coordsize="231,231">
              <v:shape style="position:absolute;left:8820;top:-878;width:231;height:231" coordorigin="8820,-878" coordsize="231,231" path="m8820,-878l9051,-878,9051,-647,8820,-647,8820,-878xe" filled="true" fillcolor="#993366" stroked="false">
                <v:path arrowok="t"/>
                <v:fill type="solid"/>
              </v:shape>
            </v:group>
            <v:group style="position:absolute;left:8820;top:-878;width:231;height:231" coordorigin="8820,-878" coordsize="231,231">
              <v:shape style="position:absolute;left:8820;top:-878;width:231;height:231" coordorigin="8820,-878" coordsize="231,231" path="m8820,-878l9051,-878,9051,-647,8820,-647,8820,-878xe" filled="false" stroked="true" strokeweight=".961791pt" strokecolor="#000000">
                <v:path arrowok="t"/>
              </v:shape>
            </v:group>
            <w10:wrap type="none"/>
          </v:group>
        </w:pict>
      </w:r>
      <w:r>
        <w:rPr/>
        <w:pict>
          <v:group style="position:absolute;margin-left:440.498871pt;margin-top:3.445269pt;width:12.55pt;height:12.5pt;mso-position-horizontal-relative:page;mso-position-vertical-relative:paragraph;z-index:1576" coordorigin="8810,69" coordsize="251,250">
            <v:group style="position:absolute;left:8820;top:79;width:231;height:231" coordorigin="8820,79" coordsize="231,231">
              <v:shape style="position:absolute;left:8820;top:79;width:231;height:231" coordorigin="8820,79" coordsize="231,231" path="m8820,79l9051,79,9051,309,8820,309,8820,79xe" filled="true" fillcolor="#ccffff" stroked="false">
                <v:path arrowok="t"/>
                <v:fill type="solid"/>
              </v:shape>
            </v:group>
            <v:group style="position:absolute;left:8820;top:79;width:231;height:231" coordorigin="8820,79" coordsize="231,231">
              <v:shape style="position:absolute;left:8820;top:79;width:231;height:231" coordorigin="8820,79" coordsize="231,231" path="m8820,79l9051,79,9051,309,8820,309,8820,79xe" filled="false" stroked="true" strokeweight=".961791pt" strokecolor="#000000">
                <v:path arrowok="t"/>
              </v:shape>
            </v:group>
            <w10:wrap type="none"/>
          </v:group>
        </w:pict>
      </w:r>
      <w:r>
        <w:rPr>
          <w:rFonts w:ascii="宋体"/>
          <w:sz w:val="32"/>
        </w:rPr>
        <w:t>69%</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36"/>
        <w:ind w:left="649" w:right="5418"/>
        <w:jc w:val="left"/>
        <w:rPr>
          <w:b w:val="0"/>
          <w:bCs w:val="0"/>
        </w:rPr>
      </w:pPr>
      <w:r>
        <w:rPr>
          <w:rFonts w:ascii="Times New Roman" w:hAnsi="Times New Roman" w:cs="Times New Roman" w:eastAsia="Times New Roman" w:hint="default"/>
        </w:rPr>
        <w:t>2</w:t>
      </w:r>
      <w:r>
        <w:rPr/>
        <w:t>、按员工受教育程度划分</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3"/>
          <w:szCs w:val="13"/>
        </w:rPr>
      </w:pPr>
    </w:p>
    <w:tbl>
      <w:tblPr>
        <w:tblW w:w="0" w:type="auto"/>
        <w:jc w:val="left"/>
        <w:tblInd w:w="100" w:type="dxa"/>
        <w:tblLayout w:type="fixed"/>
        <w:tblCellMar>
          <w:top w:w="0" w:type="dxa"/>
          <w:left w:w="0" w:type="dxa"/>
          <w:bottom w:w="0" w:type="dxa"/>
          <w:right w:w="0" w:type="dxa"/>
        </w:tblCellMar>
        <w:tblLook w:val="01E0"/>
      </w:tblPr>
      <w:tblGrid>
        <w:gridCol w:w="3533"/>
        <w:gridCol w:w="3206"/>
        <w:gridCol w:w="3115"/>
      </w:tblGrid>
      <w:tr>
        <w:trPr>
          <w:trHeight w:val="359" w:hRule="exact"/>
        </w:trPr>
        <w:tc>
          <w:tcPr>
            <w:tcW w:w="3533" w:type="dxa"/>
            <w:tcBorders>
              <w:top w:val="single" w:sz="8" w:space="0" w:color="000000"/>
              <w:left w:val="single" w:sz="4" w:space="0" w:color="000000"/>
              <w:bottom w:val="single" w:sz="8" w:space="0" w:color="000000"/>
              <w:right w:val="single" w:sz="8" w:space="0" w:color="000000"/>
            </w:tcBorders>
            <w:shd w:val="clear" w:color="auto" w:fill="DADADA"/>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学</w:t>
            </w:r>
            <w:r>
              <w:rPr>
                <w:rFonts w:ascii="宋体" w:hAnsi="宋体" w:cs="宋体" w:eastAsia="宋体" w:hint="default"/>
                <w:spacing w:val="55"/>
                <w:sz w:val="21"/>
                <w:szCs w:val="21"/>
              </w:rPr>
              <w:t> </w:t>
            </w:r>
            <w:r>
              <w:rPr>
                <w:rFonts w:ascii="宋体" w:hAnsi="宋体" w:cs="宋体" w:eastAsia="宋体" w:hint="default"/>
                <w:sz w:val="21"/>
                <w:szCs w:val="21"/>
              </w:rPr>
              <w:t>历</w:t>
            </w:r>
          </w:p>
        </w:tc>
        <w:tc>
          <w:tcPr>
            <w:tcW w:w="3206"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员工人数</w:t>
            </w:r>
          </w:p>
        </w:tc>
        <w:tc>
          <w:tcPr>
            <w:tcW w:w="3115" w:type="dxa"/>
            <w:tcBorders>
              <w:top w:val="single" w:sz="8" w:space="0" w:color="000000"/>
              <w:left w:val="single" w:sz="8" w:space="0" w:color="000000"/>
              <w:bottom w:val="single" w:sz="8" w:space="0" w:color="000000"/>
              <w:right w:val="single" w:sz="4" w:space="0" w:color="000000"/>
            </w:tcBorders>
            <w:shd w:val="clear" w:color="auto" w:fill="DADADA"/>
          </w:tcPr>
          <w:p>
            <w:pPr>
              <w:pStyle w:val="TableParagraph"/>
              <w:spacing w:line="240" w:lineRule="auto"/>
              <w:ind w:left="643"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60" w:hRule="exact"/>
        </w:trPr>
        <w:tc>
          <w:tcPr>
            <w:tcW w:w="353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
              <w:ind w:left="7" w:right="0"/>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3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523</w:t>
            </w:r>
          </w:p>
        </w:tc>
        <w:tc>
          <w:tcPr>
            <w:tcW w:w="311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52.25%</w:t>
            </w:r>
          </w:p>
        </w:tc>
      </w:tr>
      <w:tr>
        <w:trPr>
          <w:trHeight w:val="360" w:hRule="exact"/>
        </w:trPr>
        <w:tc>
          <w:tcPr>
            <w:tcW w:w="353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3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417</w:t>
            </w:r>
          </w:p>
        </w:tc>
        <w:tc>
          <w:tcPr>
            <w:tcW w:w="311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41.66%</w:t>
            </w:r>
          </w:p>
        </w:tc>
      </w:tr>
      <w:tr>
        <w:trPr>
          <w:trHeight w:val="360" w:hRule="exact"/>
        </w:trPr>
        <w:tc>
          <w:tcPr>
            <w:tcW w:w="353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
              <w:ind w:left="7" w:right="0"/>
              <w:jc w:val="center"/>
              <w:rPr>
                <w:rFonts w:ascii="宋体" w:hAnsi="宋体" w:cs="宋体" w:eastAsia="宋体" w:hint="default"/>
                <w:sz w:val="21"/>
                <w:szCs w:val="21"/>
              </w:rPr>
            </w:pPr>
            <w:r>
              <w:rPr>
                <w:rFonts w:ascii="宋体" w:hAnsi="宋体" w:cs="宋体" w:eastAsia="宋体" w:hint="default"/>
                <w:sz w:val="21"/>
                <w:szCs w:val="21"/>
              </w:rPr>
              <w:t>专科及以下</w:t>
            </w:r>
          </w:p>
        </w:tc>
        <w:tc>
          <w:tcPr>
            <w:tcW w:w="3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61</w:t>
            </w:r>
          </w:p>
        </w:tc>
        <w:tc>
          <w:tcPr>
            <w:tcW w:w="311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6.09%</w:t>
            </w:r>
          </w:p>
        </w:tc>
      </w:tr>
      <w:tr>
        <w:trPr>
          <w:trHeight w:val="362" w:hRule="exact"/>
        </w:trPr>
        <w:tc>
          <w:tcPr>
            <w:tcW w:w="353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总计</w:t>
            </w:r>
          </w:p>
        </w:tc>
        <w:tc>
          <w:tcPr>
            <w:tcW w:w="3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1001</w:t>
            </w:r>
          </w:p>
        </w:tc>
        <w:tc>
          <w:tcPr>
            <w:tcW w:w="311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5"/>
        <w:ind w:left="720" w:right="3570" w:firstLine="0"/>
        <w:jc w:val="center"/>
        <w:rPr>
          <w:rFonts w:ascii="宋体" w:hAnsi="宋体" w:cs="宋体" w:eastAsia="宋体" w:hint="default"/>
          <w:sz w:val="32"/>
          <w:szCs w:val="32"/>
        </w:rPr>
      </w:pPr>
      <w:r>
        <w:rPr/>
        <w:pict>
          <v:group style="position:absolute;margin-left:397.273468pt;margin-top:103.004715pt;width:11.45pt;height:11.45pt;mso-position-horizontal-relative:page;mso-position-vertical-relative:paragraph;z-index:1624" coordorigin="7945,2060" coordsize="229,229">
            <v:group style="position:absolute;left:7955;top:2070;width:210;height:210" coordorigin="7955,2070" coordsize="210,210">
              <v:shape style="position:absolute;left:7955;top:2070;width:210;height:210" coordorigin="7955,2070" coordsize="210,210" path="m7955,2070l8164,2070,8164,2279,7955,2279,7955,2070xe" filled="true" fillcolor="#9999ff" stroked="false">
                <v:path arrowok="t"/>
                <v:fill type="solid"/>
              </v:shape>
            </v:group>
            <v:group style="position:absolute;left:7955;top:2070;width:210;height:210" coordorigin="7955,2070" coordsize="210,210">
              <v:shape style="position:absolute;left:7955;top:2070;width:210;height:210" coordorigin="7955,2070" coordsize="210,210" path="m7955,2070l8164,2070,8164,2279,7955,2279,7955,2070xe" filled="false" stroked="true" strokeweight=".961669pt" strokecolor="#000000">
                <v:path arrowok="t"/>
              </v:shape>
            </v:group>
            <w10:wrap type="none"/>
          </v:group>
        </w:pict>
      </w:r>
      <w:r>
        <w:rPr/>
        <w:pict>
          <v:group style="position:absolute;margin-left:203.759354pt;margin-top:15.897632pt;width:11.45pt;height:11.45pt;mso-position-horizontal-relative:page;mso-position-vertical-relative:paragraph;z-index:1672" coordorigin="4075,318" coordsize="229,229">
            <v:group style="position:absolute;left:4085;top:328;width:210;height:210" coordorigin="4085,328" coordsize="210,210">
              <v:shape style="position:absolute;left:4085;top:328;width:210;height:210" coordorigin="4085,328" coordsize="210,210" path="m4085,328l4294,328,4294,537,4085,537,4085,328xe" filled="true" fillcolor="#ffffcc" stroked="false">
                <v:path arrowok="t"/>
                <v:fill type="solid"/>
              </v:shape>
            </v:group>
            <v:group style="position:absolute;left:4085;top:328;width:210;height:210" coordorigin="4085,328" coordsize="210,210">
              <v:shape style="position:absolute;left:4085;top:328;width:210;height:210" coordorigin="4085,328" coordsize="210,210" path="m4085,328l4294,328,4294,537,4085,537,4085,328xe" filled="false" stroked="true" strokeweight=".961669pt" strokecolor="#000000">
                <v:path arrowok="t"/>
              </v:shape>
            </v:group>
            <w10:wrap type="none"/>
          </v:group>
        </w:pict>
      </w:r>
      <w:r>
        <w:rPr/>
        <w:pict>
          <v:shape style="position:absolute;margin-left:430.106873pt;margin-top:25.870134pt;width:103.7pt;height:66pt;mso-position-horizontal-relative:page;mso-position-vertical-relative:paragraph;z-index:-772792" type="#_x0000_t202" filled="false" stroked="true" strokeweight=".961463pt" strokecolor="#000000">
            <v:textbox inset="0,0,0,0">
              <w:txbxContent>
                <w:p>
                  <w:pPr>
                    <w:spacing w:line="393" w:lineRule="exact" w:before="0"/>
                    <w:ind w:left="382" w:right="0" w:firstLine="0"/>
                    <w:jc w:val="left"/>
                    <w:rPr>
                      <w:rFonts w:ascii="宋体" w:hAnsi="宋体" w:cs="宋体" w:eastAsia="宋体" w:hint="default"/>
                      <w:sz w:val="32"/>
                      <w:szCs w:val="32"/>
                    </w:rPr>
                  </w:pPr>
                  <w:r>
                    <w:rPr>
                      <w:rFonts w:ascii="宋体" w:hAnsi="宋体" w:cs="宋体" w:eastAsia="宋体" w:hint="default"/>
                      <w:sz w:val="32"/>
                      <w:szCs w:val="32"/>
                    </w:rPr>
                    <w:t>本科及以上</w:t>
                  </w:r>
                </w:p>
                <w:p>
                  <w:pPr>
                    <w:spacing w:line="252" w:lineRule="auto" w:before="21"/>
                    <w:ind w:left="382" w:right="69" w:firstLine="0"/>
                    <w:jc w:val="left"/>
                    <w:rPr>
                      <w:rFonts w:ascii="宋体" w:hAnsi="宋体" w:cs="宋体" w:eastAsia="宋体" w:hint="default"/>
                      <w:sz w:val="32"/>
                      <w:szCs w:val="32"/>
                    </w:rPr>
                  </w:pPr>
                  <w:r>
                    <w:rPr>
                      <w:rFonts w:ascii="宋体" w:hAnsi="宋体" w:cs="宋体" w:eastAsia="宋体" w:hint="default"/>
                      <w:sz w:val="32"/>
                      <w:szCs w:val="32"/>
                    </w:rPr>
                    <w:t>专科</w:t>
                  </w:r>
                  <w:r>
                    <w:rPr>
                      <w:rFonts w:ascii="宋体" w:hAnsi="宋体" w:cs="宋体" w:eastAsia="宋体" w:hint="default"/>
                      <w:w w:val="99"/>
                      <w:sz w:val="32"/>
                      <w:szCs w:val="32"/>
                    </w:rPr>
                    <w:t> </w:t>
                  </w:r>
                  <w:r>
                    <w:rPr>
                      <w:rFonts w:ascii="宋体" w:hAnsi="宋体" w:cs="宋体" w:eastAsia="宋体" w:hint="default"/>
                      <w:sz w:val="32"/>
                      <w:szCs w:val="32"/>
                    </w:rPr>
                    <w:t>专科及以下</w:t>
                  </w:r>
                </w:p>
              </w:txbxContent>
            </v:textbox>
            <w10:wrap type="none"/>
          </v:shape>
        </w:pict>
      </w:r>
      <w:r>
        <w:rPr>
          <w:rFonts w:ascii="宋体"/>
          <w:sz w:val="32"/>
        </w:rPr>
        <w:t>6%</w:t>
      </w:r>
    </w:p>
    <w:p>
      <w:pPr>
        <w:spacing w:line="240" w:lineRule="auto" w:before="11"/>
        <w:rPr>
          <w:rFonts w:ascii="宋体" w:hAnsi="宋体" w:cs="宋体" w:eastAsia="宋体" w:hint="default"/>
          <w:sz w:val="4"/>
          <w:szCs w:val="4"/>
        </w:rPr>
      </w:pPr>
    </w:p>
    <w:p>
      <w:pPr>
        <w:spacing w:line="228" w:lineRule="exact"/>
        <w:ind w:left="7773"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11.45pt;height:11.45pt;mso-position-horizontal-relative:char;mso-position-vertical-relative:line" coordorigin="0,0" coordsize="229,229">
            <v:group style="position:absolute;left:10;top:10;width:210;height:210" coordorigin="10,10" coordsize="210,210">
              <v:shape style="position:absolute;left:10;top:10;width:210;height:210" coordorigin="10,10" coordsize="210,210" path="m10,10l219,10,219,219,10,219,10,10xe" filled="true" fillcolor="#9999ff" stroked="false">
                <v:path arrowok="t"/>
                <v:fill type="solid"/>
              </v:shape>
            </v:group>
            <v:group style="position:absolute;left:10;top:10;width:210;height:210" coordorigin="10,10" coordsize="210,210">
              <v:shape style="position:absolute;left:10;top:10;width:210;height:210" coordorigin="10,10" coordsize="210,210" path="m10,10l219,10,219,219,10,219,10,10xe" filled="false" stroked="true" strokeweight=".961669pt" strokecolor="#000000">
                <v:path arrowok="t"/>
              </v:shape>
            </v:group>
          </v:group>
        </w:pict>
      </w:r>
      <w:r>
        <w:rPr>
          <w:rFonts w:ascii="宋体" w:hAnsi="宋体" w:cs="宋体" w:eastAsia="宋体" w:hint="default"/>
          <w:position w:val="-4"/>
          <w:sz w:val="20"/>
          <w:szCs w:val="20"/>
        </w:rPr>
      </w:r>
    </w:p>
    <w:p>
      <w:pPr>
        <w:spacing w:line="240" w:lineRule="auto" w:before="2"/>
        <w:rPr>
          <w:rFonts w:ascii="宋体" w:hAnsi="宋体" w:cs="宋体" w:eastAsia="宋体" w:hint="default"/>
          <w:sz w:val="16"/>
          <w:szCs w:val="16"/>
        </w:rPr>
      </w:pPr>
    </w:p>
    <w:p>
      <w:pPr>
        <w:spacing w:line="228" w:lineRule="exact"/>
        <w:ind w:left="7773"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11.45pt;height:11.45pt;mso-position-horizontal-relative:char;mso-position-vertical-relative:line" coordorigin="0,0" coordsize="229,229">
            <v:group style="position:absolute;left:10;top:10;width:210;height:210" coordorigin="10,10" coordsize="210,210">
              <v:shape style="position:absolute;left:10;top:10;width:210;height:210" coordorigin="10,10" coordsize="210,210" path="m10,10l219,10,219,219,10,219,10,10xe" filled="true" fillcolor="#993366" stroked="false">
                <v:path arrowok="t"/>
                <v:fill type="solid"/>
              </v:shape>
            </v:group>
            <v:group style="position:absolute;left:10;top:10;width:210;height:210" coordorigin="10,10" coordsize="210,210">
              <v:shape style="position:absolute;left:10;top:10;width:210;height:210" coordorigin="10,10" coordsize="210,210" path="m10,10l219,10,219,219,10,219,10,10xe" filled="false" stroked="true" strokeweight=".961669pt" strokecolor="#000000">
                <v:path arrowok="t"/>
              </v:shape>
            </v:group>
          </v:group>
        </w:pict>
      </w:r>
      <w:r>
        <w:rPr>
          <w:rFonts w:ascii="宋体" w:hAnsi="宋体" w:cs="宋体" w:eastAsia="宋体" w:hint="default"/>
          <w:position w:val="-4"/>
          <w:sz w:val="20"/>
          <w:szCs w:val="20"/>
        </w:rPr>
      </w:r>
    </w:p>
    <w:p>
      <w:pPr>
        <w:spacing w:line="240" w:lineRule="auto" w:before="2"/>
        <w:rPr>
          <w:rFonts w:ascii="宋体" w:hAnsi="宋体" w:cs="宋体" w:eastAsia="宋体" w:hint="default"/>
          <w:sz w:val="16"/>
          <w:szCs w:val="16"/>
        </w:rPr>
      </w:pPr>
    </w:p>
    <w:p>
      <w:pPr>
        <w:spacing w:line="228" w:lineRule="exact"/>
        <w:ind w:left="7773"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11.45pt;height:11.45pt;mso-position-horizontal-relative:char;mso-position-vertical-relative:line" coordorigin="0,0" coordsize="229,229">
            <v:group style="position:absolute;left:10;top:10;width:210;height:210" coordorigin="10,10" coordsize="210,210">
              <v:shape style="position:absolute;left:10;top:10;width:210;height:210" coordorigin="10,10" coordsize="210,210" path="m10,10l219,10,219,219,10,219,10,10xe" filled="true" fillcolor="#ffffcc" stroked="false">
                <v:path arrowok="t"/>
                <v:fill type="solid"/>
              </v:shape>
            </v:group>
            <v:group style="position:absolute;left:10;top:10;width:210;height:210" coordorigin="10,10" coordsize="210,210">
              <v:shape style="position:absolute;left:10;top:10;width:210;height:210" coordorigin="10,10" coordsize="210,210" path="m10,10l219,10,219,219,10,219,10,10xe" filled="false" stroked="true" strokeweight=".961669pt" strokecolor="#000000">
                <v:path arrowok="t"/>
              </v:shape>
            </v:group>
          </v:group>
        </w:pict>
      </w:r>
      <w:r>
        <w:rPr>
          <w:rFonts w:ascii="宋体" w:hAnsi="宋体" w:cs="宋体" w:eastAsia="宋体" w:hint="default"/>
          <w:position w:val="-4"/>
          <w:sz w:val="20"/>
          <w:szCs w:val="20"/>
        </w:rPr>
      </w:r>
    </w:p>
    <w:p>
      <w:pPr>
        <w:spacing w:line="240" w:lineRule="auto" w:before="8"/>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200" w:bottom="1380" w:left="920" w:right="900"/>
        </w:sectPr>
      </w:pPr>
    </w:p>
    <w:p>
      <w:pPr>
        <w:spacing w:before="51"/>
        <w:ind w:left="930" w:right="0" w:firstLine="0"/>
        <w:jc w:val="left"/>
        <w:rPr>
          <w:rFonts w:ascii="宋体" w:hAnsi="宋体" w:cs="宋体" w:eastAsia="宋体" w:hint="default"/>
          <w:sz w:val="32"/>
          <w:szCs w:val="32"/>
        </w:rPr>
      </w:pPr>
      <w:r>
        <w:rPr/>
        <w:pict>
          <v:shape style="position:absolute;margin-left:123.298973pt;margin-top:-62.496391pt;width:267.359025pt;height:106.691389pt;mso-position-horizontal-relative:page;mso-position-vertical-relative:paragraph;z-index:1600" type="#_x0000_t75" stroked="false">
            <v:imagedata r:id="rId14" o:title=""/>
          </v:shape>
        </w:pict>
      </w:r>
      <w:r>
        <w:rPr/>
        <w:pict>
          <v:group style="position:absolute;margin-left:78.079140pt;margin-top:10.193097pt;width:10.85pt;height:11.45pt;mso-position-horizontal-relative:page;mso-position-vertical-relative:paragraph;z-index:1648" coordorigin="1562,204" coordsize="217,229">
            <v:group style="position:absolute;left:1571;top:213;width:198;height:210" coordorigin="1571,213" coordsize="198,210">
              <v:shape style="position:absolute;left:1571;top:213;width:198;height:210" coordorigin="1571,213" coordsize="198,210" path="m1571,213l1768,213,1768,423,1571,423,1571,213xe" filled="true" fillcolor="#993366" stroked="false">
                <v:path arrowok="t"/>
                <v:fill type="solid"/>
              </v:shape>
            </v:group>
            <v:group style="position:absolute;left:1571;top:213;width:198;height:210" coordorigin="1571,213" coordsize="198,210">
              <v:shape style="position:absolute;left:1571;top:213;width:198;height:210" coordorigin="1571,213" coordsize="198,210" path="m1571,213l1768,213,1768,423,1571,423e" filled="false" stroked="true" strokeweight=".961698pt" strokecolor="#000000">
                <v:path arrowok="t"/>
              </v:shape>
            </v:group>
            <w10:wrap type="none"/>
          </v:group>
        </w:pict>
      </w:r>
      <w:r>
        <w:rPr>
          <w:rFonts w:ascii="宋体"/>
          <w:sz w:val="32"/>
        </w:rPr>
        <w:t>42%</w:t>
      </w:r>
    </w:p>
    <w:p>
      <w:pPr>
        <w:spacing w:before="1"/>
        <w:ind w:left="393" w:right="0" w:firstLine="0"/>
        <w:jc w:val="left"/>
        <w:rPr>
          <w:rFonts w:ascii="宋体" w:hAnsi="宋体" w:cs="宋体" w:eastAsia="宋体" w:hint="default"/>
          <w:sz w:val="32"/>
          <w:szCs w:val="32"/>
        </w:rPr>
      </w:pPr>
      <w:r>
        <w:rPr/>
        <w:br w:type="column"/>
      </w:r>
      <w:r>
        <w:rPr>
          <w:rFonts w:ascii="宋体"/>
          <w:sz w:val="32"/>
        </w:rPr>
        <w:t>52%</w:t>
      </w:r>
    </w:p>
    <w:p>
      <w:pPr>
        <w:spacing w:after="0"/>
        <w:jc w:val="left"/>
        <w:rPr>
          <w:rFonts w:ascii="宋体" w:hAnsi="宋体" w:cs="宋体" w:eastAsia="宋体" w:hint="default"/>
          <w:sz w:val="32"/>
          <w:szCs w:val="32"/>
        </w:rPr>
        <w:sectPr>
          <w:type w:val="continuous"/>
          <w:pgSz w:w="11910" w:h="16840"/>
          <w:pgMar w:top="1200" w:bottom="1380" w:left="920" w:right="900"/>
          <w:cols w:num="2" w:equalWidth="0">
            <w:col w:w="6894" w:space="40"/>
            <w:col w:w="3156"/>
          </w:cols>
        </w:sectPr>
      </w:pPr>
    </w:p>
    <w:p>
      <w:pPr>
        <w:spacing w:line="240" w:lineRule="auto" w:before="0"/>
        <w:rPr>
          <w:rFonts w:ascii="宋体" w:hAnsi="宋体" w:cs="宋体" w:eastAsia="宋体" w:hint="default"/>
          <w:sz w:val="20"/>
          <w:szCs w:val="20"/>
        </w:rPr>
      </w:pPr>
      <w:r>
        <w:rPr/>
        <w:pict>
          <v:group style="position:absolute;margin-left:139.305222pt;margin-top:132.111725pt;width:261.4pt;height:114.9pt;mso-position-horizontal-relative:page;mso-position-vertical-relative:page;z-index:-773032" coordorigin="2786,2642" coordsize="5228,2298">
            <v:shape style="position:absolute;left:3010;top:2943;width:5004;height:1997" type="#_x0000_t75" stroked="false">
              <v:imagedata r:id="rId15" o:title=""/>
            </v:shape>
            <v:group style="position:absolute;left:2796;top:2911;width:210;height:210" coordorigin="2796,2911" coordsize="210,210">
              <v:shape style="position:absolute;left:2796;top:2911;width:210;height:210" coordorigin="2796,2911" coordsize="210,210" path="m2796,2911l3005,2911,3005,3120,2796,3120,2796,2911xe" filled="true" fillcolor="#ffffcc" stroked="false">
                <v:path arrowok="t"/>
                <v:fill type="solid"/>
              </v:shape>
            </v:group>
            <v:group style="position:absolute;left:2796;top:2911;width:210;height:210" coordorigin="2796,2911" coordsize="210,210">
              <v:shape style="position:absolute;left:2796;top:2911;width:210;height:210" coordorigin="2796,2911" coordsize="210,210" path="m2796,2911l3005,2911,3005,3120,2796,3120,2796,2911xe" filled="false" stroked="true" strokeweight=".961791pt" strokecolor="#000000">
                <v:path arrowok="t"/>
              </v:shape>
            </v:group>
            <v:group style="position:absolute;left:3695;top:2652;width:210;height:210" coordorigin="3695,2652" coordsize="210,210">
              <v:shape style="position:absolute;left:3695;top:2652;width:210;height:210" coordorigin="3695,2652" coordsize="210,210" path="m3695,2652l3905,2652,3905,2861,3695,2861,3695,2652xe" filled="true" fillcolor="#ccffff" stroked="false">
                <v:path arrowok="t"/>
                <v:fill type="solid"/>
              </v:shape>
            </v:group>
            <v:group style="position:absolute;left:3695;top:2652;width:210;height:210" coordorigin="3695,2652" coordsize="210,210">
              <v:shape style="position:absolute;left:3695;top:2652;width:210;height:210" coordorigin="3695,2652" coordsize="210,210" path="m3695,2652l3905,2652,3905,2861,3695,2861,3695,2652xe" filled="false" stroked="true" strokeweight=".961791pt" strokecolor="#000000">
                <v:path arrowok="t"/>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before="36"/>
        <w:ind w:left="625" w:right="0"/>
        <w:jc w:val="left"/>
        <w:rPr>
          <w:b w:val="0"/>
          <w:bCs w:val="0"/>
        </w:rPr>
      </w:pPr>
      <w:r>
        <w:rPr>
          <w:rFonts w:ascii="Times New Roman" w:hAnsi="Times New Roman" w:cs="Times New Roman" w:eastAsia="Times New Roman" w:hint="default"/>
        </w:rPr>
        <w:t>3</w:t>
      </w:r>
      <w:r>
        <w:rPr/>
        <w:t>、截至</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48"/>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51"/>
        </w:rPr>
        <w:t> </w:t>
      </w:r>
      <w:r>
        <w:rPr/>
        <w:t>日，本公司没有需承担费用的离退休职工。</w:t>
      </w:r>
      <w:r>
        <w:rPr>
          <w:b w:val="0"/>
          <w:bCs w:val="0"/>
        </w:rPr>
      </w:r>
    </w:p>
    <w:p>
      <w:pPr>
        <w:spacing w:after="0" w:line="240" w:lineRule="auto"/>
        <w:jc w:val="left"/>
        <w:sectPr>
          <w:type w:val="continuous"/>
          <w:pgSz w:w="11910" w:h="16840"/>
          <w:pgMar w:top="1200" w:bottom="1380" w:left="920" w:right="900"/>
        </w:sectPr>
      </w:pPr>
    </w:p>
    <w:p>
      <w:pPr>
        <w:pStyle w:val="Heading1"/>
        <w:spacing w:line="240" w:lineRule="auto" w:before="15"/>
        <w:ind w:left="3758" w:right="3701"/>
        <w:jc w:val="center"/>
        <w:rPr>
          <w:b w:val="0"/>
          <w:bCs w:val="0"/>
        </w:rPr>
      </w:pPr>
      <w:r>
        <w:rPr/>
        <w:pict>
          <v:group style="position:absolute;margin-left:55.200001pt;margin-top:2.821592pt;width:484.8pt;height:.1pt;mso-position-horizontal-relative:page;mso-position-vertical-relative:paragraph;z-index:-772768" coordorigin="1104,56" coordsize="9696,2">
            <v:shape style="position:absolute;left:1104;top:56;width:9696;height:2" coordorigin="1104,56" coordsize="9696,0" path="m1104,56l10800,56e" filled="false" stroked="true" strokeweight=".72pt" strokecolor="#000000">
              <v:path arrowok="t"/>
            </v:shape>
            <w10:wrap type="none"/>
          </v:group>
        </w:pict>
      </w:r>
      <w:bookmarkStart w:name="第五节 公司治理" w:id="9"/>
      <w:bookmarkEnd w:id="9"/>
      <w:r>
        <w:rPr>
          <w:b w:val="0"/>
          <w:bCs w:val="0"/>
        </w:rPr>
      </w:r>
      <w:bookmarkStart w:name="_bookmark4" w:id="10"/>
      <w:bookmarkEnd w:id="10"/>
      <w:r>
        <w:rPr>
          <w:b w:val="0"/>
          <w:bCs w:val="0"/>
        </w:rPr>
      </w:r>
      <w:r>
        <w:rPr/>
        <w:t>第五节</w:t>
      </w:r>
      <w:r>
        <w:rPr>
          <w:spacing w:val="-3"/>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spacing w:before="0"/>
        <w:ind w:left="632" w:right="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b/>
          <w:bCs/>
          <w:sz w:val="21"/>
          <w:szCs w:val="21"/>
        </w:rPr>
        <w:t>公司治理情况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pStyle w:val="BodyText"/>
        <w:spacing w:line="357" w:lineRule="auto" w:before="152"/>
        <w:ind w:left="213" w:right="147" w:firstLine="419"/>
        <w:jc w:val="both"/>
      </w:pPr>
      <w:r>
        <w:rPr>
          <w:spacing w:val="-16"/>
          <w:w w:val="100"/>
        </w:rPr>
        <w:t>报告期内，公司严格按照《公司法》、《证券法》、《上市公司治理准则》、《深圳证券交易所股票上市规</w:t>
      </w:r>
      <w:r>
        <w:rPr>
          <w:w w:val="100"/>
        </w:rPr>
        <w:t> </w:t>
      </w:r>
      <w:r>
        <w:rPr>
          <w:spacing w:val="-7"/>
          <w:w w:val="100"/>
        </w:rPr>
        <w:t>则》、《深圳证券交易所中小企业板块上市公司特别规定》、《企业内部控制规范》等法律法规的要求，不</w:t>
      </w:r>
      <w:r>
        <w:rPr>
          <w:spacing w:val="-68"/>
          <w:w w:val="100"/>
        </w:rPr>
        <w:t> </w:t>
      </w:r>
      <w:r>
        <w:rPr>
          <w:spacing w:val="-68"/>
          <w:w w:val="100"/>
        </w:rPr>
      </w:r>
      <w:r>
        <w:rPr/>
        <w:t>断完善公司法人治理结构。</w:t>
      </w:r>
    </w:p>
    <w:p>
      <w:pPr>
        <w:pStyle w:val="BodyText"/>
        <w:spacing w:line="357" w:lineRule="auto" w:before="30"/>
        <w:ind w:left="212" w:right="150" w:firstLine="420"/>
        <w:jc w:val="both"/>
      </w:pPr>
      <w:r>
        <w:rPr>
          <w:spacing w:val="-7"/>
          <w:w w:val="100"/>
        </w:rPr>
        <w:t>报告期内，公司完善了已有内控制度的执行环节，制定了《规范与关联方资金往来管理制度》、《对外</w:t>
      </w:r>
      <w:r>
        <w:rPr>
          <w:spacing w:val="-3"/>
          <w:w w:val="100"/>
        </w:rPr>
        <w:t> </w:t>
      </w:r>
      <w:r>
        <w:rPr>
          <w:spacing w:val="-2"/>
          <w:w w:val="100"/>
        </w:rPr>
        <w:t>投资管理制度》、《子公司管理制度》，完成了《公司内部控制规则落实情况自查表及整改计划》，修订</w:t>
      </w:r>
      <w:r>
        <w:rPr>
          <w:spacing w:val="-94"/>
          <w:w w:val="100"/>
        </w:rPr>
        <w:t> </w:t>
      </w:r>
      <w:r>
        <w:rPr>
          <w:spacing w:val="-94"/>
          <w:w w:val="100"/>
        </w:rPr>
      </w:r>
      <w:r>
        <w:rPr>
          <w:spacing w:val="-2"/>
        </w:rPr>
        <w:t>了《内幕信息知情人登记管理制度》，加大了公司内控规则的落实力度，细化了内幕信息知情人的内部登</w:t>
      </w:r>
      <w:r>
        <w:rPr>
          <w:spacing w:val="-48"/>
        </w:rPr>
        <w:t> </w:t>
      </w:r>
      <w:r>
        <w:rPr>
          <w:spacing w:val="-48"/>
        </w:rPr>
      </w:r>
      <w:r>
        <w:rPr/>
        <w:t>记流程，进一步完善了内部控制体系。</w:t>
      </w:r>
    </w:p>
    <w:p>
      <w:pPr>
        <w:pStyle w:val="Heading4"/>
        <w:spacing w:line="240" w:lineRule="auto" w:before="30"/>
        <w:ind w:left="635" w:right="0"/>
        <w:jc w:val="left"/>
        <w:rPr>
          <w:b w:val="0"/>
          <w:bCs w:val="0"/>
        </w:rPr>
      </w:pPr>
      <w:r>
        <w:rPr/>
        <w:t>公司建立的各项制度的名称及公开信息披露情况如下表：</w:t>
      </w:r>
      <w:r>
        <w:rPr>
          <w:b w:val="0"/>
          <w:bCs w:val="0"/>
        </w:rPr>
      </w:r>
    </w:p>
    <w:p>
      <w:pPr>
        <w:spacing w:line="240" w:lineRule="auto" w:before="10"/>
        <w:rPr>
          <w:rFonts w:ascii="宋体" w:hAnsi="宋体" w:cs="宋体" w:eastAsia="宋体"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708"/>
        <w:gridCol w:w="3960"/>
        <w:gridCol w:w="1560"/>
        <w:gridCol w:w="1560"/>
        <w:gridCol w:w="1560"/>
      </w:tblGrid>
      <w:tr>
        <w:trPr>
          <w:trHeight w:val="42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8" w:right="0"/>
              <w:jc w:val="left"/>
              <w:rPr>
                <w:rFonts w:ascii="宋体" w:hAnsi="宋体" w:cs="宋体" w:eastAsia="宋体" w:hint="default"/>
                <w:sz w:val="21"/>
                <w:szCs w:val="21"/>
              </w:rPr>
            </w:pPr>
            <w:r>
              <w:rPr>
                <w:rFonts w:ascii="宋体" w:hAnsi="宋体" w:cs="宋体" w:eastAsia="宋体" w:hint="default"/>
                <w:sz w:val="21"/>
                <w:szCs w:val="21"/>
              </w:rPr>
              <w:t>公司已建立制度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信息披露时间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信息披露载体</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2010-10-29</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355" w:lineRule="auto"/>
              <w:ind w:left="143" w:right="141"/>
              <w:jc w:val="center"/>
              <w:rPr>
                <w:rFonts w:ascii="宋体" w:hAnsi="宋体" w:cs="宋体" w:eastAsia="宋体" w:hint="default"/>
                <w:sz w:val="21"/>
                <w:szCs w:val="21"/>
              </w:rPr>
            </w:pPr>
            <w:r>
              <w:rPr>
                <w:rFonts w:ascii="宋体" w:hAnsi="宋体" w:cs="宋体" w:eastAsia="宋体" w:hint="default"/>
                <w:spacing w:val="-1"/>
                <w:sz w:val="21"/>
                <w:szCs w:val="21"/>
              </w:rPr>
              <w:t>中国证券报、</w:t>
            </w:r>
            <w:r>
              <w:rPr>
                <w:rFonts w:ascii="宋体" w:hAnsi="宋体" w:cs="宋体" w:eastAsia="宋体" w:hint="default"/>
                <w:w w:val="100"/>
                <w:sz w:val="21"/>
                <w:szCs w:val="21"/>
              </w:rPr>
              <w:t> </w:t>
            </w:r>
            <w:r>
              <w:rPr>
                <w:rFonts w:ascii="宋体" w:hAnsi="宋体" w:cs="宋体" w:eastAsia="宋体" w:hint="default"/>
                <w:spacing w:val="-1"/>
                <w:sz w:val="21"/>
                <w:szCs w:val="21"/>
              </w:rPr>
              <w:t>证券时报、巨</w:t>
            </w:r>
            <w:r>
              <w:rPr>
                <w:rFonts w:ascii="宋体" w:hAnsi="宋体" w:cs="宋体" w:eastAsia="宋体" w:hint="default"/>
                <w:w w:val="100"/>
                <w:sz w:val="21"/>
                <w:szCs w:val="21"/>
              </w:rPr>
              <w:t> </w:t>
            </w:r>
            <w:r>
              <w:rPr>
                <w:rFonts w:ascii="宋体" w:hAnsi="宋体" w:cs="宋体" w:eastAsia="宋体" w:hint="default"/>
                <w:sz w:val="21"/>
                <w:szCs w:val="21"/>
              </w:rPr>
              <w:t>潮资讯网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最新修订</w:t>
            </w:r>
          </w:p>
        </w:tc>
      </w:tr>
      <w:tr>
        <w:trPr>
          <w:trHeight w:val="4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2</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2008-01-29</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最新修订</w:t>
            </w:r>
          </w:p>
        </w:tc>
      </w:tr>
      <w:tr>
        <w:trPr>
          <w:trHeight w:val="42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3</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董事会提名委员会工作细则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4</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董事会审计委员会工作细则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董事会薪酬委员会工作细则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6</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独立董事工作制度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7</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董事会秘书工作细则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累积投票制实施细则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9</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对外担保制度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募集资金管理制度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12</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关联交易决策制度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13</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信息披露管理制度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2007-11-2</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14</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审计委员会对年度财务报告审议工作规</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w w:val="100"/>
                <w:sz w:val="21"/>
                <w:szCs w:val="21"/>
              </w:rPr>
              <w:t>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2008-01-29</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15</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内部审计制度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2008-01-29</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16</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2008-01-29</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17</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董事、监事和高级管理人员所持本公司股</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份及其变动管理办法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2008-07-09</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18</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重大信息及敏感信息内部管理制度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2008-11-26</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19</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总裁工作细则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2009-02-26</w:t>
            </w:r>
          </w:p>
        </w:tc>
        <w:tc>
          <w:tcPr>
            <w:tcW w:w="1560"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979" w:top="1200" w:bottom="1160" w:left="920" w:right="980"/>
        </w:sectPr>
      </w:pPr>
    </w:p>
    <w:p>
      <w:pPr>
        <w:spacing w:line="240" w:lineRule="auto" w:before="5"/>
        <w:rPr>
          <w:rFonts w:ascii="宋体" w:hAnsi="宋体" w:cs="宋体" w:eastAsia="宋体" w:hint="default"/>
          <w:b/>
          <w:bCs/>
          <w:sz w:val="3"/>
          <w:szCs w:val="3"/>
        </w:rPr>
      </w:pPr>
    </w:p>
    <w:tbl>
      <w:tblPr>
        <w:tblW w:w="0" w:type="auto"/>
        <w:jc w:val="left"/>
        <w:tblInd w:w="100" w:type="dxa"/>
        <w:tblLayout w:type="fixed"/>
        <w:tblCellMar>
          <w:top w:w="0" w:type="dxa"/>
          <w:left w:w="0" w:type="dxa"/>
          <w:bottom w:w="0" w:type="dxa"/>
          <w:right w:w="0" w:type="dxa"/>
        </w:tblCellMar>
        <w:tblLook w:val="01E0"/>
      </w:tblPr>
      <w:tblGrid>
        <w:gridCol w:w="708"/>
        <w:gridCol w:w="3960"/>
        <w:gridCol w:w="1560"/>
        <w:gridCol w:w="1560"/>
        <w:gridCol w:w="1560"/>
        <w:gridCol w:w="427"/>
      </w:tblGrid>
      <w:tr>
        <w:trPr>
          <w:trHeight w:val="430" w:hRule="exact"/>
        </w:trPr>
        <w:tc>
          <w:tcPr>
            <w:tcW w:w="708"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20</w:t>
            </w:r>
          </w:p>
        </w:tc>
        <w:tc>
          <w:tcPr>
            <w:tcW w:w="3960"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社会责任制度</w:t>
            </w:r>
          </w:p>
        </w:tc>
        <w:tc>
          <w:tcPr>
            <w:tcW w:w="1560"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2009-02-26</w:t>
            </w:r>
          </w:p>
        </w:tc>
        <w:tc>
          <w:tcPr>
            <w:tcW w:w="1560" w:type="dxa"/>
            <w:vMerge w:val="restart"/>
            <w:tcBorders>
              <w:top w:val="single" w:sz="10" w:space="0" w:color="000000"/>
              <w:left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427" w:type="dxa"/>
            <w:vMerge w:val="restart"/>
            <w:tcBorders>
              <w:top w:val="single" w:sz="6" w:space="0" w:color="000000"/>
              <w:left w:val="single" w:sz="4" w:space="0" w:color="000000"/>
              <w:right w:val="nil" w:sz="6" w:space="0" w:color="auto"/>
            </w:tcBorders>
          </w:tcPr>
          <w:p>
            <w:pPr/>
          </w:p>
        </w:tc>
      </w:tr>
      <w:tr>
        <w:trPr>
          <w:trHeight w:val="42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21</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证券投资管理制度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2009-08-18</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7" w:type="dxa"/>
            <w:vMerge/>
            <w:tcBorders>
              <w:left w:val="single" w:sz="4" w:space="0" w:color="000000"/>
              <w:right w:val="nil" w:sz="6" w:space="0" w:color="auto"/>
            </w:tcBorders>
          </w:tcPr>
          <w:p>
            <w:pPr/>
          </w:p>
        </w:tc>
      </w:tr>
      <w:tr>
        <w:trPr>
          <w:trHeight w:val="4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22</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2010-04-15</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7" w:type="dxa"/>
            <w:vMerge/>
            <w:tcBorders>
              <w:left w:val="single" w:sz="4" w:space="0" w:color="000000"/>
              <w:right w:val="nil" w:sz="6" w:space="0" w:color="auto"/>
            </w:tcBorders>
          </w:tcPr>
          <w:p>
            <w:pPr/>
          </w:p>
        </w:tc>
      </w:tr>
      <w:tr>
        <w:trPr>
          <w:trHeight w:val="42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23</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对外投资管理制度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2011-03-09</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7" w:type="dxa"/>
            <w:vMerge/>
            <w:tcBorders>
              <w:left w:val="single" w:sz="4" w:space="0" w:color="000000"/>
              <w:right w:val="nil" w:sz="6" w:space="0" w:color="auto"/>
            </w:tcBorders>
          </w:tcPr>
          <w:p>
            <w:pPr/>
          </w:p>
        </w:tc>
      </w:tr>
      <w:tr>
        <w:trPr>
          <w:trHeight w:val="4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24</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规范与关联方资金往来的管理制度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2011-03-09</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7" w:type="dxa"/>
            <w:vMerge/>
            <w:tcBorders>
              <w:left w:val="single" w:sz="4" w:space="0" w:color="000000"/>
              <w:right w:val="nil" w:sz="6" w:space="0" w:color="auto"/>
            </w:tcBorders>
          </w:tcPr>
          <w:p>
            <w:pPr/>
          </w:p>
        </w:tc>
      </w:tr>
      <w:tr>
        <w:trPr>
          <w:trHeight w:val="4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25</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子公司管理制度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2011-06-18</w:t>
            </w:r>
          </w:p>
        </w:tc>
        <w:tc>
          <w:tcPr>
            <w:tcW w:w="1560"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7" w:type="dxa"/>
            <w:vMerge/>
            <w:tcBorders>
              <w:left w:val="single" w:sz="4" w:space="0" w:color="000000"/>
              <w:right w:val="nil" w:sz="6" w:space="0" w:color="auto"/>
            </w:tcBorders>
          </w:tcPr>
          <w:p>
            <w:pPr/>
          </w:p>
        </w:tc>
      </w:tr>
      <w:tr>
        <w:trPr>
          <w:trHeight w:val="42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26</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内幕信息知情人登记管理制度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2011-12-28</w:t>
            </w:r>
          </w:p>
        </w:tc>
        <w:tc>
          <w:tcPr>
            <w:tcW w:w="1560"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最新修订</w:t>
            </w:r>
          </w:p>
        </w:tc>
        <w:tc>
          <w:tcPr>
            <w:tcW w:w="427" w:type="dxa"/>
            <w:vMerge/>
            <w:tcBorders>
              <w:left w:val="single" w:sz="4" w:space="0" w:color="000000"/>
              <w:bottom w:val="nil" w:sz="6" w:space="0" w:color="auto"/>
              <w:right w:val="nil" w:sz="6" w:space="0" w:color="auto"/>
            </w:tcBorders>
          </w:tcPr>
          <w:p>
            <w:pPr/>
          </w:p>
        </w:tc>
      </w:tr>
    </w:tbl>
    <w:p>
      <w:pPr>
        <w:spacing w:line="240" w:lineRule="auto" w:before="4"/>
        <w:rPr>
          <w:rFonts w:ascii="宋体" w:hAnsi="宋体" w:cs="宋体" w:eastAsia="宋体" w:hint="default"/>
          <w:b/>
          <w:bCs/>
          <w:sz w:val="22"/>
          <w:szCs w:val="22"/>
        </w:rPr>
      </w:pPr>
    </w:p>
    <w:p>
      <w:pPr>
        <w:pStyle w:val="BodyText"/>
        <w:spacing w:line="345" w:lineRule="auto" w:before="36"/>
        <w:ind w:left="212" w:right="127" w:firstLine="420"/>
        <w:jc w:val="both"/>
      </w:pPr>
      <w:r>
        <w:rPr>
          <w:spacing w:val="-2"/>
        </w:rPr>
        <w:t>根据深圳证券交易所《关于开展</w:t>
      </w:r>
      <w:r>
        <w:rPr>
          <w:rFonts w:ascii="Times New Roman" w:hAnsi="Times New Roman" w:cs="Times New Roman" w:eastAsia="Times New Roman" w:hint="default"/>
          <w:spacing w:val="-2"/>
        </w:rPr>
        <w:t>“</w:t>
      </w:r>
      <w:r>
        <w:rPr>
          <w:spacing w:val="-2"/>
        </w:rPr>
        <w:t>加强中小企业板上市公司内控规则落实</w:t>
      </w:r>
      <w:r>
        <w:rPr>
          <w:rFonts w:ascii="Times New Roman" w:hAnsi="Times New Roman" w:cs="Times New Roman" w:eastAsia="Times New Roman" w:hint="default"/>
          <w:spacing w:val="-2"/>
        </w:rPr>
        <w:t>”</w:t>
      </w:r>
      <w:r>
        <w:rPr>
          <w:spacing w:val="-2"/>
        </w:rPr>
        <w:t>专项活动的通知》的文件要</w:t>
      </w:r>
      <w:r>
        <w:rPr>
          <w:w w:val="100"/>
        </w:rPr>
        <w:t> </w:t>
      </w:r>
      <w:r>
        <w:rPr>
          <w:spacing w:val="-2"/>
        </w:rPr>
        <w:t>求，公司开展了内控规则落实专项活动，根据自查表的相关内容，进行了认真的自查，并形成整改方案并</w:t>
      </w:r>
      <w:r>
        <w:rPr>
          <w:spacing w:val="-50"/>
        </w:rPr>
        <w:t> </w:t>
      </w:r>
      <w:r>
        <w:rPr>
          <w:spacing w:val="-50"/>
        </w:rPr>
      </w:r>
      <w:r>
        <w:rPr/>
        <w:t>在规定时间内完成整改工作。根据公司第四届董事会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2"/>
        </w:rPr>
        <w:t> </w:t>
      </w:r>
      <w:r>
        <w:rPr/>
        <w:t>年第六次临时会议通过的《内部控制规则落实</w:t>
      </w:r>
    </w:p>
    <w:p>
      <w:pPr>
        <w:pStyle w:val="BodyText"/>
        <w:spacing w:line="240" w:lineRule="auto" w:before="15"/>
        <w:ind w:left="212" w:right="0"/>
        <w:jc w:val="both"/>
      </w:pPr>
      <w:r>
        <w:rPr>
          <w:w w:val="100"/>
        </w:rPr>
        <w:t>情况</w:t>
      </w:r>
      <w:r>
        <w:rPr>
          <w:spacing w:val="-3"/>
          <w:w w:val="100"/>
        </w:rPr>
        <w:t>自</w:t>
      </w:r>
      <w:r>
        <w:rPr>
          <w:w w:val="100"/>
        </w:rPr>
        <w:t>查</w:t>
      </w:r>
      <w:r>
        <w:rPr>
          <w:spacing w:val="-3"/>
          <w:w w:val="100"/>
        </w:rPr>
        <w:t>表</w:t>
      </w:r>
      <w:r>
        <w:rPr>
          <w:w w:val="100"/>
        </w:rPr>
        <w:t>及</w:t>
      </w:r>
      <w:r>
        <w:rPr>
          <w:spacing w:val="-3"/>
          <w:w w:val="100"/>
        </w:rPr>
        <w:t>整</w:t>
      </w:r>
      <w:r>
        <w:rPr>
          <w:w w:val="100"/>
        </w:rPr>
        <w:t>改</w:t>
      </w:r>
      <w:r>
        <w:rPr>
          <w:spacing w:val="-3"/>
          <w:w w:val="100"/>
        </w:rPr>
        <w:t>计</w:t>
      </w:r>
      <w:r>
        <w:rPr>
          <w:w w:val="100"/>
        </w:rPr>
        <w:t>划</w:t>
      </w:r>
      <w:r>
        <w:rPr>
          <w:spacing w:val="-108"/>
          <w:w w:val="100"/>
        </w:rPr>
        <w:t>》</w:t>
      </w:r>
      <w:r>
        <w:rPr>
          <w:spacing w:val="-3"/>
          <w:w w:val="100"/>
        </w:rPr>
        <w:t>，</w:t>
      </w:r>
      <w:r>
        <w:rPr>
          <w:w w:val="100"/>
        </w:rPr>
        <w:t>具体</w:t>
      </w:r>
      <w:r>
        <w:rPr>
          <w:spacing w:val="-3"/>
          <w:w w:val="100"/>
        </w:rPr>
        <w:t>整</w:t>
      </w:r>
      <w:r>
        <w:rPr>
          <w:w w:val="100"/>
        </w:rPr>
        <w:t>改</w:t>
      </w:r>
      <w:r>
        <w:rPr>
          <w:spacing w:val="-3"/>
          <w:w w:val="100"/>
        </w:rPr>
        <w:t>事</w:t>
      </w:r>
      <w:r>
        <w:rPr>
          <w:w w:val="100"/>
        </w:rPr>
        <w:t>项</w:t>
      </w:r>
      <w:r>
        <w:rPr>
          <w:spacing w:val="-3"/>
          <w:w w:val="100"/>
        </w:rPr>
        <w:t>为</w:t>
      </w:r>
      <w:r>
        <w:rPr>
          <w:w w:val="100"/>
        </w:rPr>
        <w:t>：</w:t>
      </w:r>
      <w:r>
        <w:rPr>
          <w:spacing w:val="-3"/>
          <w:w w:val="100"/>
        </w:rPr>
        <w:t>上</w:t>
      </w:r>
      <w:r>
        <w:rPr>
          <w:w w:val="100"/>
        </w:rPr>
        <w:t>市后</w:t>
      </w:r>
      <w:r>
        <w:rPr>
          <w:spacing w:val="-15"/>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w w:val="100"/>
        </w:rPr>
        <w:t>个</w:t>
      </w:r>
      <w:r>
        <w:rPr>
          <w:spacing w:val="-3"/>
          <w:w w:val="100"/>
        </w:rPr>
        <w:t>月</w:t>
      </w:r>
      <w:r>
        <w:rPr>
          <w:w w:val="100"/>
        </w:rPr>
        <w:t>内</w:t>
      </w:r>
      <w:r>
        <w:rPr>
          <w:spacing w:val="-3"/>
          <w:w w:val="100"/>
        </w:rPr>
        <w:t>未</w:t>
      </w:r>
      <w:r>
        <w:rPr>
          <w:w w:val="100"/>
        </w:rPr>
        <w:t>与</w:t>
      </w:r>
      <w:r>
        <w:rPr>
          <w:spacing w:val="-3"/>
          <w:w w:val="100"/>
        </w:rPr>
        <w:t>具</w:t>
      </w:r>
      <w:r>
        <w:rPr>
          <w:w w:val="100"/>
        </w:rPr>
        <w:t>有</w:t>
      </w:r>
      <w:r>
        <w:rPr>
          <w:spacing w:val="-3"/>
          <w:w w:val="100"/>
        </w:rPr>
        <w:t>从</w:t>
      </w:r>
      <w:r>
        <w:rPr>
          <w:w w:val="100"/>
        </w:rPr>
        <w:t>事</w:t>
      </w:r>
      <w:r>
        <w:rPr>
          <w:spacing w:val="-3"/>
          <w:w w:val="100"/>
        </w:rPr>
        <w:t>代</w:t>
      </w:r>
      <w:r>
        <w:rPr>
          <w:w w:val="100"/>
        </w:rPr>
        <w:t>办股</w:t>
      </w:r>
      <w:r>
        <w:rPr>
          <w:spacing w:val="-3"/>
          <w:w w:val="100"/>
        </w:rPr>
        <w:t>份</w:t>
      </w:r>
      <w:r>
        <w:rPr>
          <w:w w:val="100"/>
        </w:rPr>
        <w:t>转</w:t>
      </w:r>
      <w:r>
        <w:rPr>
          <w:spacing w:val="-3"/>
          <w:w w:val="100"/>
        </w:rPr>
        <w:t>让</w:t>
      </w:r>
      <w:r>
        <w:rPr>
          <w:w w:val="100"/>
        </w:rPr>
        <w:t>券</w:t>
      </w:r>
      <w:r>
        <w:rPr>
          <w:spacing w:val="-3"/>
          <w:w w:val="100"/>
        </w:rPr>
        <w:t>商</w:t>
      </w:r>
      <w:r>
        <w:rPr>
          <w:w w:val="100"/>
        </w:rPr>
        <w:t>业</w:t>
      </w:r>
      <w:r>
        <w:rPr>
          <w:spacing w:val="-3"/>
          <w:w w:val="100"/>
        </w:rPr>
        <w:t>务</w:t>
      </w:r>
      <w:r>
        <w:rPr>
          <w:w w:val="100"/>
        </w:rPr>
        <w:t>资</w:t>
      </w:r>
      <w:r>
        <w:rPr>
          <w:spacing w:val="-3"/>
          <w:w w:val="100"/>
        </w:rPr>
        <w:t>格的</w:t>
      </w:r>
      <w:r>
        <w:rPr>
          <w:w w:val="100"/>
        </w:rPr>
      </w:r>
    </w:p>
    <w:p>
      <w:pPr>
        <w:pStyle w:val="BodyText"/>
        <w:spacing w:line="345" w:lineRule="auto" w:before="119"/>
        <w:ind w:left="212" w:right="132"/>
        <w:jc w:val="both"/>
      </w:pPr>
      <w:r>
        <w:rPr>
          <w:w w:val="100"/>
        </w:rPr>
        <w:t>证券</w:t>
      </w:r>
      <w:r>
        <w:rPr>
          <w:spacing w:val="-3"/>
          <w:w w:val="100"/>
        </w:rPr>
        <w:t>公</w:t>
      </w:r>
      <w:r>
        <w:rPr>
          <w:w w:val="100"/>
        </w:rPr>
        <w:t>司</w:t>
      </w:r>
      <w:r>
        <w:rPr>
          <w:spacing w:val="-3"/>
          <w:w w:val="100"/>
        </w:rPr>
        <w:t>签</w:t>
      </w:r>
      <w:r>
        <w:rPr>
          <w:w w:val="100"/>
        </w:rPr>
        <w:t>署</w:t>
      </w:r>
      <w:r>
        <w:rPr>
          <w:spacing w:val="-3"/>
          <w:w w:val="100"/>
        </w:rPr>
        <w:t>《</w:t>
      </w:r>
      <w:r>
        <w:rPr>
          <w:w w:val="100"/>
        </w:rPr>
        <w:t>委</w:t>
      </w:r>
      <w:r>
        <w:rPr>
          <w:spacing w:val="-3"/>
          <w:w w:val="100"/>
        </w:rPr>
        <w:t>托</w:t>
      </w:r>
      <w:r>
        <w:rPr>
          <w:w w:val="100"/>
        </w:rPr>
        <w:t>代</w:t>
      </w:r>
      <w:r>
        <w:rPr>
          <w:spacing w:val="-3"/>
          <w:w w:val="100"/>
        </w:rPr>
        <w:t>办</w:t>
      </w:r>
      <w:r>
        <w:rPr>
          <w:w w:val="100"/>
        </w:rPr>
        <w:t>股份</w:t>
      </w:r>
      <w:r>
        <w:rPr>
          <w:spacing w:val="-3"/>
          <w:w w:val="100"/>
        </w:rPr>
        <w:t>转</w:t>
      </w:r>
      <w:r>
        <w:rPr>
          <w:w w:val="100"/>
        </w:rPr>
        <w:t>让</w:t>
      </w:r>
      <w:r>
        <w:rPr>
          <w:spacing w:val="-3"/>
          <w:w w:val="100"/>
        </w:rPr>
        <w:t>协</w:t>
      </w:r>
      <w:r>
        <w:rPr>
          <w:w w:val="100"/>
        </w:rPr>
        <w:t>议</w:t>
      </w:r>
      <w:r>
        <w:rPr>
          <w:spacing w:val="-108"/>
          <w:w w:val="100"/>
        </w:rPr>
        <w:t>》</w:t>
      </w:r>
      <w:r>
        <w:rPr>
          <w:w w:val="100"/>
        </w:rPr>
        <w:t>；</w:t>
      </w:r>
      <w:r>
        <w:rPr>
          <w:spacing w:val="-3"/>
          <w:w w:val="100"/>
        </w:rPr>
        <w:t>整</w:t>
      </w:r>
      <w:r>
        <w:rPr>
          <w:w w:val="100"/>
        </w:rPr>
        <w:t>改</w:t>
      </w:r>
      <w:r>
        <w:rPr>
          <w:spacing w:val="-3"/>
          <w:w w:val="100"/>
        </w:rPr>
        <w:t>措施</w:t>
      </w:r>
      <w:r>
        <w:rPr>
          <w:w w:val="100"/>
        </w:rPr>
        <w:t>为：</w:t>
      </w:r>
      <w:r>
        <w:rPr>
          <w:spacing w:val="-3"/>
          <w:w w:val="100"/>
        </w:rPr>
        <w:t>公</w:t>
      </w:r>
      <w:r>
        <w:rPr>
          <w:w w:val="100"/>
        </w:rPr>
        <w:t>司</w:t>
      </w:r>
      <w:r>
        <w:rPr>
          <w:spacing w:val="-4"/>
          <w:w w:val="100"/>
        </w:rPr>
        <w:t>将</w:t>
      </w:r>
      <w:r>
        <w:rPr>
          <w:w w:val="100"/>
        </w:rPr>
        <w:t>于</w:t>
      </w:r>
      <w:r>
        <w:rPr>
          <w:spacing w:val="-41"/>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12"/>
        </w:rPr>
        <w:t> </w:t>
      </w:r>
      <w:r>
        <w:rPr>
          <w:w w:val="100"/>
        </w:rPr>
        <w:t>年</w:t>
      </w:r>
      <w:r>
        <w:rPr>
          <w:spacing w:val="-38"/>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12"/>
        </w:rPr>
        <w:t> </w:t>
      </w:r>
      <w:r>
        <w:rPr>
          <w:w w:val="100"/>
        </w:rPr>
        <w:t>月</w:t>
      </w:r>
      <w:r>
        <w:rPr>
          <w:spacing w:val="-38"/>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0</w:t>
      </w:r>
      <w:r>
        <w:rPr>
          <w:rFonts w:ascii="Times New Roman" w:hAnsi="Times New Roman" w:cs="Times New Roman" w:eastAsia="Times New Roman" w:hint="default"/>
          <w:spacing w:val="14"/>
        </w:rPr>
        <w:t> </w:t>
      </w:r>
      <w:r>
        <w:rPr>
          <w:spacing w:val="-3"/>
          <w:w w:val="100"/>
        </w:rPr>
        <w:t>日</w:t>
      </w:r>
      <w:r>
        <w:rPr>
          <w:w w:val="100"/>
        </w:rPr>
        <w:t>与</w:t>
      </w:r>
      <w:r>
        <w:rPr>
          <w:spacing w:val="-3"/>
          <w:w w:val="100"/>
        </w:rPr>
        <w:t>具</w:t>
      </w:r>
      <w:r>
        <w:rPr>
          <w:w w:val="100"/>
        </w:rPr>
        <w:t>有</w:t>
      </w:r>
      <w:r>
        <w:rPr>
          <w:spacing w:val="-3"/>
          <w:w w:val="100"/>
        </w:rPr>
        <w:t>从</w:t>
      </w:r>
      <w:r>
        <w:rPr>
          <w:w w:val="100"/>
        </w:rPr>
        <w:t>事</w:t>
      </w:r>
      <w:r>
        <w:rPr>
          <w:spacing w:val="-3"/>
          <w:w w:val="100"/>
        </w:rPr>
        <w:t>代</w:t>
      </w:r>
      <w:r>
        <w:rPr>
          <w:w w:val="100"/>
        </w:rPr>
        <w:t>办</w:t>
      </w:r>
      <w:r>
        <w:rPr>
          <w:spacing w:val="-3"/>
          <w:w w:val="100"/>
        </w:rPr>
        <w:t>股份</w:t>
      </w:r>
      <w:r>
        <w:rPr>
          <w:spacing w:val="-3"/>
          <w:w w:val="100"/>
        </w:rPr>
        <w:t> </w:t>
      </w:r>
      <w:r>
        <w:rPr>
          <w:spacing w:val="2"/>
          <w:w w:val="100"/>
        </w:rPr>
        <w:t>转</w:t>
      </w:r>
      <w:r>
        <w:rPr>
          <w:w w:val="100"/>
        </w:rPr>
        <w:t>让券商</w:t>
      </w:r>
      <w:r>
        <w:rPr>
          <w:spacing w:val="2"/>
          <w:w w:val="100"/>
        </w:rPr>
        <w:t>业</w:t>
      </w:r>
      <w:r>
        <w:rPr>
          <w:w w:val="100"/>
        </w:rPr>
        <w:t>务资格</w:t>
      </w:r>
      <w:r>
        <w:rPr>
          <w:spacing w:val="2"/>
          <w:w w:val="100"/>
        </w:rPr>
        <w:t>的</w:t>
      </w:r>
      <w:r>
        <w:rPr>
          <w:w w:val="100"/>
        </w:rPr>
        <w:t>证券</w:t>
      </w:r>
      <w:r>
        <w:rPr>
          <w:spacing w:val="2"/>
          <w:w w:val="100"/>
        </w:rPr>
        <w:t>公</w:t>
      </w:r>
      <w:r>
        <w:rPr>
          <w:w w:val="100"/>
        </w:rPr>
        <w:t>司签署</w:t>
      </w:r>
      <w:r>
        <w:rPr>
          <w:spacing w:val="2"/>
          <w:w w:val="100"/>
        </w:rPr>
        <w:t>《</w:t>
      </w:r>
      <w:r>
        <w:rPr>
          <w:w w:val="100"/>
        </w:rPr>
        <w:t>委托代</w:t>
      </w:r>
      <w:r>
        <w:rPr>
          <w:spacing w:val="2"/>
          <w:w w:val="100"/>
        </w:rPr>
        <w:t>办</w:t>
      </w:r>
      <w:r>
        <w:rPr>
          <w:w w:val="100"/>
        </w:rPr>
        <w:t>股份</w:t>
      </w:r>
      <w:r>
        <w:rPr>
          <w:spacing w:val="2"/>
          <w:w w:val="100"/>
        </w:rPr>
        <w:t>转</w:t>
      </w:r>
      <w:r>
        <w:rPr>
          <w:w w:val="100"/>
        </w:rPr>
        <w:t>让协</w:t>
      </w:r>
      <w:r>
        <w:rPr>
          <w:spacing w:val="2"/>
          <w:w w:val="100"/>
        </w:rPr>
        <w:t>议</w:t>
      </w:r>
      <w:r>
        <w:rPr>
          <w:spacing w:val="-106"/>
          <w:w w:val="100"/>
        </w:rPr>
        <w:t>》</w:t>
      </w:r>
      <w:r>
        <w:rPr>
          <w:w w:val="100"/>
        </w:rPr>
        <w:t>。截</w:t>
      </w:r>
      <w:r>
        <w:rPr>
          <w:spacing w:val="2"/>
          <w:w w:val="100"/>
        </w:rPr>
        <w:t>止</w:t>
      </w:r>
      <w:r>
        <w:rPr>
          <w:w w:val="100"/>
        </w:rPr>
        <w:t>本报</w:t>
      </w:r>
      <w:r>
        <w:rPr>
          <w:spacing w:val="2"/>
          <w:w w:val="100"/>
        </w:rPr>
        <w:t>告</w:t>
      </w:r>
      <w:r>
        <w:rPr>
          <w:w w:val="100"/>
        </w:rPr>
        <w:t>公</w:t>
      </w:r>
      <w:r>
        <w:rPr>
          <w:spacing w:val="2"/>
          <w:w w:val="100"/>
        </w:rPr>
        <w:t>布</w:t>
      </w:r>
      <w:r>
        <w:rPr>
          <w:w w:val="100"/>
        </w:rPr>
        <w:t>日，公</w:t>
      </w:r>
      <w:r>
        <w:rPr>
          <w:spacing w:val="2"/>
          <w:w w:val="100"/>
        </w:rPr>
        <w:t>司</w:t>
      </w:r>
      <w:r>
        <w:rPr>
          <w:w w:val="100"/>
        </w:rPr>
        <w:t>已按规</w:t>
      </w:r>
      <w:r>
        <w:rPr>
          <w:spacing w:val="2"/>
          <w:w w:val="100"/>
        </w:rPr>
        <w:t>定</w:t>
      </w:r>
      <w:r>
        <w:rPr>
          <w:w w:val="100"/>
        </w:rPr>
        <w:t>与国信</w:t>
      </w:r>
      <w:r>
        <w:rPr>
          <w:w w:val="100"/>
        </w:rPr>
        <w:t> 证券</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3"/>
          <w:w w:val="100"/>
        </w:rPr>
        <w:t>完</w:t>
      </w:r>
      <w:r>
        <w:rPr>
          <w:w w:val="100"/>
        </w:rPr>
        <w:t>成</w:t>
      </w:r>
      <w:r>
        <w:rPr>
          <w:spacing w:val="-3"/>
          <w:w w:val="100"/>
        </w:rPr>
        <w:t>签</w:t>
      </w:r>
      <w:r>
        <w:rPr>
          <w:w w:val="100"/>
        </w:rPr>
        <w:t>署《</w:t>
      </w:r>
      <w:r>
        <w:rPr>
          <w:spacing w:val="-3"/>
          <w:w w:val="100"/>
        </w:rPr>
        <w:t>委</w:t>
      </w:r>
      <w:r>
        <w:rPr>
          <w:w w:val="100"/>
        </w:rPr>
        <w:t>托</w:t>
      </w:r>
      <w:r>
        <w:rPr>
          <w:spacing w:val="-3"/>
          <w:w w:val="100"/>
        </w:rPr>
        <w:t>代</w:t>
      </w:r>
      <w:r>
        <w:rPr>
          <w:w w:val="100"/>
        </w:rPr>
        <w:t>办</w:t>
      </w:r>
      <w:r>
        <w:rPr>
          <w:spacing w:val="-3"/>
          <w:w w:val="100"/>
        </w:rPr>
        <w:t>股</w:t>
      </w:r>
      <w:r>
        <w:rPr>
          <w:w w:val="100"/>
        </w:rPr>
        <w:t>份</w:t>
      </w:r>
      <w:r>
        <w:rPr>
          <w:spacing w:val="-3"/>
          <w:w w:val="100"/>
        </w:rPr>
        <w:t>转</w:t>
      </w:r>
      <w:r>
        <w:rPr>
          <w:w w:val="100"/>
        </w:rPr>
        <w:t>让</w:t>
      </w:r>
      <w:r>
        <w:rPr>
          <w:spacing w:val="-3"/>
          <w:w w:val="100"/>
        </w:rPr>
        <w:t>协</w:t>
      </w:r>
      <w:r>
        <w:rPr>
          <w:w w:val="100"/>
        </w:rPr>
        <w:t>议</w:t>
      </w:r>
      <w:r>
        <w:rPr>
          <w:spacing w:val="-106"/>
          <w:w w:val="100"/>
        </w:rPr>
        <w:t>》</w:t>
      </w:r>
      <w:r>
        <w:rPr>
          <w:w w:val="100"/>
        </w:rPr>
        <w:t>。</w:t>
      </w:r>
    </w:p>
    <w:p>
      <w:pPr>
        <w:pStyle w:val="BodyText"/>
        <w:spacing w:line="355" w:lineRule="auto" w:before="41"/>
        <w:ind w:left="212" w:right="127" w:firstLine="420"/>
        <w:jc w:val="both"/>
      </w:pPr>
      <w:r>
        <w:rPr>
          <w:spacing w:val="-2"/>
        </w:rPr>
        <w:t>截至报告期末，本公司治理实际情况基本符合中国证监会发布的有关上市公司治理的规范性文件的要</w:t>
      </w:r>
      <w:r>
        <w:rPr>
          <w:w w:val="100"/>
        </w:rPr>
        <w:t> </w:t>
      </w:r>
      <w:r>
        <w:rPr/>
        <w:t>求。</w:t>
      </w:r>
    </w:p>
    <w:p>
      <w:pPr>
        <w:spacing w:line="355" w:lineRule="auto" w:before="34"/>
        <w:ind w:left="632" w:right="20" w:firstLine="2"/>
        <w:jc w:val="left"/>
        <w:rPr>
          <w:rFonts w:ascii="宋体" w:hAnsi="宋体" w:cs="宋体" w:eastAsia="宋体" w:hint="default"/>
          <w:sz w:val="21"/>
          <w:szCs w:val="21"/>
        </w:rPr>
      </w:pPr>
      <w:r>
        <w:rPr>
          <w:rFonts w:ascii="宋体" w:hAnsi="宋体" w:cs="宋体" w:eastAsia="宋体" w:hint="default"/>
          <w:b/>
          <w:bCs/>
          <w:sz w:val="21"/>
          <w:szCs w:val="21"/>
        </w:rPr>
        <w:t>（一）关于股东与股东大会：</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本公司严格按照《公司法》、《上市公司股东大会规则》、《公司章程》和《股东大会议事规则》等</w:t>
      </w:r>
      <w:r>
        <w:rPr>
          <w:rFonts w:ascii="宋体" w:hAnsi="宋体" w:cs="宋体" w:eastAsia="宋体" w:hint="default"/>
          <w:sz w:val="21"/>
          <w:szCs w:val="21"/>
        </w:rPr>
      </w:r>
    </w:p>
    <w:p>
      <w:pPr>
        <w:pStyle w:val="BodyText"/>
        <w:spacing w:line="355" w:lineRule="auto" w:before="32"/>
        <w:ind w:left="212" w:right="108"/>
        <w:jc w:val="both"/>
      </w:pPr>
      <w:r>
        <w:rPr>
          <w:spacing w:val="-2"/>
        </w:rPr>
        <w:t>法律、法规及制度的要求，召集、召开股东大会，并在股东大会召开期间，安排股东与管理层交流时间，</w:t>
      </w:r>
      <w:r>
        <w:rPr>
          <w:spacing w:val="-25"/>
        </w:rPr>
        <w:t> </w:t>
      </w:r>
      <w:r>
        <w:rPr>
          <w:spacing w:val="-25"/>
        </w:rPr>
      </w:r>
      <w:r>
        <w:rPr/>
        <w:t>能够确保所有股东享有平等地位，充分行使自己的权利。</w:t>
      </w:r>
    </w:p>
    <w:p>
      <w:pPr>
        <w:spacing w:line="355" w:lineRule="auto" w:before="34"/>
        <w:ind w:left="632" w:right="20" w:firstLine="2"/>
        <w:jc w:val="left"/>
        <w:rPr>
          <w:rFonts w:ascii="宋体" w:hAnsi="宋体" w:cs="宋体" w:eastAsia="宋体" w:hint="default"/>
          <w:sz w:val="21"/>
          <w:szCs w:val="21"/>
        </w:rPr>
      </w:pPr>
      <w:r>
        <w:rPr>
          <w:rFonts w:ascii="宋体" w:hAnsi="宋体" w:cs="宋体" w:eastAsia="宋体" w:hint="default"/>
          <w:b/>
          <w:bCs/>
          <w:sz w:val="21"/>
          <w:szCs w:val="21"/>
        </w:rPr>
        <w:t>（二）关于控股股东与上市公司的关系：</w:t>
      </w:r>
      <w:r>
        <w:rPr>
          <w:rFonts w:ascii="宋体" w:hAnsi="宋体" w:cs="宋体" w:eastAsia="宋体" w:hint="default"/>
          <w:b/>
          <w:bCs/>
          <w:w w:val="100"/>
          <w:sz w:val="21"/>
          <w:szCs w:val="21"/>
        </w:rPr>
        <w:t> </w:t>
      </w:r>
      <w:r>
        <w:rPr>
          <w:rFonts w:ascii="宋体" w:hAnsi="宋体" w:cs="宋体" w:eastAsia="宋体" w:hint="default"/>
          <w:spacing w:val="-2"/>
          <w:sz w:val="21"/>
          <w:szCs w:val="21"/>
        </w:rPr>
        <w:t>公司拥有独立的业务和经营自主能力，在业务、人员、资产、机构、财务上独立于控股股东，公司董</w:t>
      </w:r>
    </w:p>
    <w:p>
      <w:pPr>
        <w:pStyle w:val="BodyText"/>
        <w:spacing w:line="355" w:lineRule="auto" w:before="32"/>
        <w:ind w:left="212" w:right="130"/>
        <w:jc w:val="both"/>
      </w:pPr>
      <w:r>
        <w:rPr>
          <w:spacing w:val="-2"/>
        </w:rPr>
        <w:t>事会、监事会和内部机构独立运作。本公司控股股东依法行使其权利并承担相应义务，没有超越股东大会</w:t>
      </w:r>
      <w:r>
        <w:rPr>
          <w:spacing w:val="-48"/>
        </w:rPr>
        <w:t> </w:t>
      </w:r>
      <w:r>
        <w:rPr>
          <w:spacing w:val="-48"/>
        </w:rPr>
      </w:r>
      <w:r>
        <w:rPr/>
        <w:t>授权范围行使职权，直接或间接干预本公司的决策和生产经营活动。</w:t>
      </w:r>
    </w:p>
    <w:p>
      <w:pPr>
        <w:spacing w:line="357" w:lineRule="auto" w:before="32"/>
        <w:ind w:left="632" w:right="20" w:firstLine="2"/>
        <w:jc w:val="left"/>
        <w:rPr>
          <w:rFonts w:ascii="宋体" w:hAnsi="宋体" w:cs="宋体" w:eastAsia="宋体" w:hint="default"/>
          <w:sz w:val="21"/>
          <w:szCs w:val="21"/>
        </w:rPr>
      </w:pPr>
      <w:r>
        <w:rPr>
          <w:rFonts w:ascii="宋体" w:hAnsi="宋体" w:cs="宋体" w:eastAsia="宋体" w:hint="default"/>
          <w:b/>
          <w:bCs/>
          <w:sz w:val="21"/>
          <w:szCs w:val="21"/>
        </w:rPr>
        <w:t>（三）关于董事与董事会：</w:t>
      </w:r>
      <w:r>
        <w:rPr>
          <w:rFonts w:ascii="宋体" w:hAnsi="宋体" w:cs="宋体" w:eastAsia="宋体" w:hint="default"/>
          <w:b/>
          <w:bCs/>
          <w:w w:val="100"/>
          <w:sz w:val="21"/>
          <w:szCs w:val="21"/>
        </w:rPr>
        <w:t> </w:t>
      </w:r>
      <w:r>
        <w:rPr>
          <w:rFonts w:ascii="宋体" w:hAnsi="宋体" w:cs="宋体" w:eastAsia="宋体" w:hint="default"/>
          <w:spacing w:val="-3"/>
          <w:sz w:val="21"/>
          <w:szCs w:val="21"/>
        </w:rPr>
        <w:t>公司董事会严格按照《公司法》和《公司章程》和《董事会议事规则》等法律法规开展工作，董事选</w:t>
      </w:r>
      <w:r>
        <w:rPr>
          <w:rFonts w:ascii="宋体" w:hAnsi="宋体" w:cs="宋体" w:eastAsia="宋体" w:hint="default"/>
          <w:sz w:val="21"/>
          <w:szCs w:val="21"/>
        </w:rPr>
      </w:r>
    </w:p>
    <w:p>
      <w:pPr>
        <w:pStyle w:val="BodyText"/>
        <w:spacing w:line="352" w:lineRule="auto" w:before="30"/>
        <w:ind w:left="212" w:right="108"/>
        <w:jc w:val="both"/>
      </w:pPr>
      <w:r>
        <w:rPr/>
        <w:t>聘程序符合相关法律法规的要求，公司目前董事会成员</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3"/>
        </w:rPr>
        <w:t>人，其中独立董事</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人，董事会的人数及人员构</w:t>
      </w:r>
      <w:r>
        <w:rPr>
          <w:w w:val="100"/>
        </w:rPr>
        <w:t> </w:t>
      </w:r>
      <w:r>
        <w:rPr>
          <w:spacing w:val="-2"/>
        </w:rPr>
        <w:t>成符合要求。全体董事认真出席公司董事会、股东大会会议并审议相关议案，积极参加有关培训，熟悉有</w:t>
      </w:r>
      <w:r>
        <w:rPr>
          <w:spacing w:val="-49"/>
        </w:rPr>
        <w:t> </w:t>
      </w:r>
      <w:r>
        <w:rPr>
          <w:spacing w:val="-49"/>
        </w:rPr>
      </w:r>
      <w:r>
        <w:rPr>
          <w:spacing w:val="-2"/>
        </w:rPr>
        <w:t>关法律、法规，并按照相关规定依法履行董事职责。独立董事按照《公司章程》等法律、法规独立履行职</w:t>
      </w:r>
      <w:r>
        <w:rPr>
          <w:spacing w:val="-46"/>
        </w:rPr>
        <w:t> </w:t>
      </w:r>
      <w:r>
        <w:rPr>
          <w:spacing w:val="-46"/>
        </w:rPr>
      </w:r>
      <w:r>
        <w:rPr>
          <w:spacing w:val="-2"/>
        </w:rPr>
        <w:t>责，对本公司重大投资、高级管理人员的任免、股权激励计划等事项发表自己的独立意见，保证了公司的</w:t>
      </w:r>
      <w:r>
        <w:rPr>
          <w:spacing w:val="-48"/>
        </w:rPr>
        <w:t> </w:t>
      </w:r>
      <w:r>
        <w:rPr>
          <w:spacing w:val="-48"/>
        </w:rPr>
      </w:r>
      <w:r>
        <w:rPr>
          <w:spacing w:val="-2"/>
        </w:rPr>
        <w:t>规范运作。董事会下设提名、薪酬与审计三个专业委员会，各专业委员会根据相应的工作细则通过召开会</w:t>
      </w:r>
      <w:r>
        <w:rPr>
          <w:spacing w:val="-46"/>
        </w:rPr>
        <w:t> </w:t>
      </w:r>
      <w:r>
        <w:rPr>
          <w:spacing w:val="-46"/>
        </w:rPr>
      </w:r>
      <w:r>
        <w:rPr>
          <w:spacing w:val="-2"/>
        </w:rPr>
        <w:t>议、实地考察、面谈等方式履行职责，对公司高管聘任、股权激励计划等事项提出意见并作出相关决议。</w:t>
      </w:r>
    </w:p>
    <w:p>
      <w:pPr>
        <w:spacing w:line="355" w:lineRule="auto" w:before="34"/>
        <w:ind w:left="632" w:right="20" w:firstLine="14"/>
        <w:jc w:val="left"/>
        <w:rPr>
          <w:rFonts w:ascii="宋体" w:hAnsi="宋体" w:cs="宋体" w:eastAsia="宋体" w:hint="default"/>
          <w:sz w:val="21"/>
          <w:szCs w:val="21"/>
        </w:rPr>
      </w:pPr>
      <w:r>
        <w:rPr>
          <w:rFonts w:ascii="宋体" w:hAnsi="宋体" w:cs="宋体" w:eastAsia="宋体" w:hint="default"/>
          <w:b/>
          <w:bCs/>
          <w:sz w:val="21"/>
          <w:szCs w:val="21"/>
        </w:rPr>
        <w:t>（四）关于监事和监事会：</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本公司监事会严格按照《公司法》、《公司章程》和《监事会议事规则》的有关规定开展工作，监事的</w:t>
      </w:r>
    </w:p>
    <w:p>
      <w:pPr>
        <w:spacing w:after="0" w:line="355" w:lineRule="auto"/>
        <w:jc w:val="left"/>
        <w:rPr>
          <w:rFonts w:ascii="宋体" w:hAnsi="宋体" w:cs="宋体" w:eastAsia="宋体" w:hint="default"/>
          <w:sz w:val="21"/>
          <w:szCs w:val="21"/>
        </w:rPr>
        <w:sectPr>
          <w:pgSz w:w="11910" w:h="16840"/>
          <w:pgMar w:header="850" w:footer="979" w:top="1200" w:bottom="1160" w:left="920" w:right="1000"/>
        </w:sectPr>
      </w:pPr>
    </w:p>
    <w:p>
      <w:pPr>
        <w:pStyle w:val="BodyText"/>
        <w:spacing w:line="355" w:lineRule="auto" w:before="30"/>
        <w:ind w:left="153" w:right="207" w:hanging="1"/>
        <w:jc w:val="both"/>
      </w:pPr>
      <w:r>
        <w:rPr/>
        <w:pict>
          <v:group style="position:absolute;margin-left:55.200001pt;margin-top:2.843687pt;width:484.8pt;height:.1pt;mso-position-horizontal-relative:page;mso-position-vertical-relative:paragraph;z-index:-772744" coordorigin="1104,57" coordsize="9696,2">
            <v:shape style="position:absolute;left:1104;top:57;width:9696;height:2" coordorigin="1104,57" coordsize="9696,0" path="m1104,57l10800,57e" filled="false" stroked="true" strokeweight=".72pt" strokecolor="#000000">
              <v:path arrowok="t"/>
            </v:shape>
            <w10:wrap type="none"/>
          </v:group>
        </w:pict>
      </w:r>
      <w:r>
        <w:rPr>
          <w:spacing w:val="-2"/>
        </w:rPr>
        <w:t>推荐、选举和产生程序符合相关法律、法规的要求，监事会的人数及构成符合要求。报告期内，公司监事</w:t>
      </w:r>
      <w:r>
        <w:rPr>
          <w:spacing w:val="-43"/>
        </w:rPr>
        <w:t> </w:t>
      </w:r>
      <w:r>
        <w:rPr>
          <w:spacing w:val="-43"/>
        </w:rPr>
      </w:r>
      <w:r>
        <w:rPr>
          <w:spacing w:val="-2"/>
        </w:rPr>
        <w:t>会认真履行职责，对公司重大事项、财务状况以及董事、总裁和其他高级管理人员行使职权的合规性进行</w:t>
      </w:r>
      <w:r>
        <w:rPr>
          <w:spacing w:val="-46"/>
        </w:rPr>
        <w:t> </w:t>
      </w:r>
      <w:r>
        <w:rPr>
          <w:spacing w:val="-46"/>
        </w:rPr>
      </w:r>
      <w:r>
        <w:rPr/>
        <w:t>监督，维护公司及股东的合法权益。</w:t>
      </w:r>
    </w:p>
    <w:p>
      <w:pPr>
        <w:spacing w:line="355" w:lineRule="auto" w:before="34"/>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（五）关于信息披露与透明度：</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报告期内，公司严格按照《信息披露管理办法》、《重大信息及敏感信息内部管理制度》、修订后的</w:t>
      </w:r>
    </w:p>
    <w:p>
      <w:pPr>
        <w:pStyle w:val="BodyText"/>
        <w:spacing w:line="357" w:lineRule="auto" w:before="32"/>
        <w:ind w:right="0" w:hanging="1"/>
        <w:jc w:val="left"/>
      </w:pPr>
      <w:r>
        <w:rPr>
          <w:spacing w:val="-2"/>
        </w:rPr>
        <w:t>《内幕信息知情人登记管理制度》履行信息披露义务，及时报送公司重大事项及定期报告的内幕信息知情</w:t>
      </w:r>
      <w:r>
        <w:rPr>
          <w:spacing w:val="-46"/>
        </w:rPr>
        <w:t> </w:t>
      </w:r>
      <w:r>
        <w:rPr>
          <w:spacing w:val="-46"/>
        </w:rPr>
      </w:r>
      <w:r>
        <w:rPr>
          <w:spacing w:val="-7"/>
          <w:w w:val="100"/>
        </w:rPr>
        <w:t>人，指定《证券时报》、《中国证券报》及巨潮资讯网作为本公司信息披露的报纸和网站，真实、准确、完</w:t>
      </w:r>
      <w:r>
        <w:rPr>
          <w:spacing w:val="-73"/>
          <w:w w:val="100"/>
        </w:rPr>
        <w:t> </w:t>
      </w:r>
      <w:r>
        <w:rPr>
          <w:spacing w:val="-73"/>
          <w:w w:val="100"/>
        </w:rPr>
      </w:r>
      <w:r>
        <w:rPr>
          <w:spacing w:val="-5"/>
        </w:rPr>
        <w:t>整、及时的披露有关信息，确保所有投资者公平获取公司信息。本公司指定董事会秘书负责信息披露工作，</w:t>
      </w:r>
      <w:r>
        <w:rPr>
          <w:spacing w:val="-6"/>
        </w:rPr>
        <w:t> </w:t>
      </w:r>
      <w:r>
        <w:rPr>
          <w:spacing w:val="-6"/>
        </w:rPr>
      </w:r>
      <w:r>
        <w:rPr/>
        <w:t>证券事务代表协助董事会秘书开展工作。</w:t>
      </w:r>
    </w:p>
    <w:p>
      <w:pPr>
        <w:spacing w:line="355" w:lineRule="auto" w:before="30"/>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（六）关于相关利益者：</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本公司能够充分尊重和维护相关利益者的合法权益，实现社会、股东、员工、客户等各方利益的协调</w:t>
      </w:r>
      <w:r>
        <w:rPr>
          <w:rFonts w:ascii="宋体" w:hAnsi="宋体" w:cs="宋体" w:eastAsia="宋体" w:hint="default"/>
          <w:sz w:val="21"/>
          <w:szCs w:val="21"/>
        </w:rPr>
      </w:r>
    </w:p>
    <w:p>
      <w:pPr>
        <w:pStyle w:val="BodyText"/>
        <w:spacing w:line="240" w:lineRule="auto" w:before="32"/>
        <w:ind w:right="0"/>
        <w:jc w:val="both"/>
      </w:pPr>
      <w:r>
        <w:rPr/>
        <w:t>平衡，共同推动公司持续、健康的发展。</w:t>
      </w:r>
    </w:p>
    <w:p>
      <w:pPr>
        <w:spacing w:line="355" w:lineRule="auto" w:before="135"/>
        <w:ind w:left="572" w:right="205" w:firstLine="2"/>
        <w:jc w:val="left"/>
        <w:rPr>
          <w:rFonts w:ascii="宋体" w:hAnsi="宋体" w:cs="宋体" w:eastAsia="宋体" w:hint="default"/>
          <w:sz w:val="21"/>
          <w:szCs w:val="21"/>
        </w:rPr>
      </w:pPr>
      <w:r>
        <w:rPr>
          <w:rFonts w:ascii="宋体" w:hAnsi="宋体" w:cs="宋体" w:eastAsia="宋体" w:hint="default"/>
          <w:b/>
          <w:bCs/>
          <w:sz w:val="21"/>
          <w:szCs w:val="21"/>
        </w:rPr>
        <w:t>（七）绩效评价与激励约束机制：</w:t>
      </w:r>
      <w:r>
        <w:rPr>
          <w:rFonts w:ascii="宋体" w:hAnsi="宋体" w:cs="宋体" w:eastAsia="宋体" w:hint="default"/>
          <w:b/>
          <w:bCs/>
          <w:w w:val="100"/>
          <w:sz w:val="21"/>
          <w:szCs w:val="21"/>
        </w:rPr>
        <w:t> </w:t>
      </w:r>
      <w:r>
        <w:rPr>
          <w:rFonts w:ascii="宋体" w:hAnsi="宋体" w:cs="宋体" w:eastAsia="宋体" w:hint="default"/>
          <w:sz w:val="21"/>
          <w:szCs w:val="21"/>
        </w:rPr>
        <w:t>报告期内，公司股票期权激励计划第一个行权期行权条件满足，公司股权激励计划授予的 </w:t>
      </w:r>
      <w:r>
        <w:rPr>
          <w:rFonts w:ascii="Times New Roman" w:hAnsi="Times New Roman" w:cs="Times New Roman" w:eastAsia="Times New Roman" w:hint="default"/>
          <w:sz w:val="21"/>
          <w:szCs w:val="21"/>
        </w:rPr>
        <w:t>81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名激励</w:t>
      </w:r>
    </w:p>
    <w:p>
      <w:pPr>
        <w:pStyle w:val="BodyText"/>
        <w:spacing w:line="240" w:lineRule="auto" w:before="5"/>
        <w:ind w:right="0"/>
        <w:jc w:val="both"/>
      </w:pPr>
      <w:r>
        <w:rPr/>
        <w:t>对象在第一个行权期即自授权日起</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个月后的首个交易日起至授权日起</w:t>
      </w:r>
      <w:r>
        <w:rPr>
          <w:spacing w:val="-61"/>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个月内的最后一个交易日当日</w:t>
      </w:r>
    </w:p>
    <w:p>
      <w:pPr>
        <w:pStyle w:val="BodyText"/>
        <w:spacing w:line="336" w:lineRule="auto" w:before="117"/>
        <w:ind w:left="153" w:right="209" w:hanging="1"/>
        <w:jc w:val="both"/>
      </w:pPr>
      <w:r>
        <w:rPr>
          <w:spacing w:val="-5"/>
        </w:rPr>
        <w:t>止（</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3"/>
        </w:rPr>
        <w:t>日止）可行权共</w:t>
      </w:r>
      <w:r>
        <w:rPr>
          <w:spacing w:val="-48"/>
        </w:rPr>
        <w:t> </w:t>
      </w:r>
      <w:r>
        <w:rPr>
          <w:rFonts w:ascii="Times New Roman" w:hAnsi="Times New Roman" w:cs="Times New Roman" w:eastAsia="Times New Roman" w:hint="default"/>
          <w:spacing w:val="-3"/>
        </w:rPr>
        <w:t>687</w:t>
      </w:r>
      <w:r>
        <w:rPr>
          <w:spacing w:val="-3"/>
        </w:rPr>
        <w:t>，</w:t>
      </w:r>
      <w:r>
        <w:rPr>
          <w:rFonts w:ascii="Times New Roman" w:hAnsi="Times New Roman" w:cs="Times New Roman" w:eastAsia="Times New Roman" w:hint="default"/>
          <w:spacing w:val="-3"/>
        </w:rPr>
        <w:t>685</w:t>
      </w:r>
      <w:r>
        <w:rPr>
          <w:rFonts w:ascii="Times New Roman" w:hAnsi="Times New Roman" w:cs="Times New Roman" w:eastAsia="Times New Roman" w:hint="default"/>
          <w:spacing w:val="5"/>
        </w:rPr>
        <w:t> </w:t>
      </w:r>
      <w:r>
        <w:rPr>
          <w:spacing w:val="-4"/>
        </w:rPr>
        <w:t>份股票期权。截至本报告公布日，没有</w:t>
      </w:r>
      <w:r>
        <w:rPr>
          <w:spacing w:val="-103"/>
        </w:rPr>
        <w:t> </w:t>
      </w:r>
      <w:r>
        <w:rPr>
          <w:spacing w:val="-103"/>
        </w:rPr>
      </w:r>
      <w:r>
        <w:rPr/>
        <w:t>激励对象行权。</w:t>
      </w:r>
    </w:p>
    <w:p>
      <w:pPr>
        <w:pStyle w:val="BodyText"/>
        <w:spacing w:line="355" w:lineRule="auto" w:before="51"/>
        <w:ind w:left="154" w:right="0" w:firstLine="419"/>
        <w:jc w:val="left"/>
      </w:pPr>
      <w:r>
        <w:rPr>
          <w:spacing w:val="-2"/>
        </w:rPr>
        <w:t>报告期末，公司董事会薪酬委员会根据公司实际经营指标完成情况以及高级管理人员的工作业绩，对</w:t>
      </w:r>
      <w:r>
        <w:rPr>
          <w:w w:val="100"/>
        </w:rPr>
        <w:t> </w:t>
      </w:r>
      <w:r>
        <w:rPr/>
        <w:t>高级管理人员进行年度绩效考核，并监督薪酬制度执行情况。</w:t>
      </w:r>
    </w:p>
    <w:p>
      <w:pPr>
        <w:spacing w:line="550" w:lineRule="atLeast" w:before="35"/>
        <w:ind w:left="572" w:right="0" w:hanging="8"/>
        <w:jc w:val="left"/>
        <w:rPr>
          <w:rFonts w:ascii="宋体" w:hAnsi="宋体" w:cs="宋体" w:eastAsia="宋体" w:hint="default"/>
          <w:sz w:val="21"/>
          <w:szCs w:val="21"/>
        </w:rPr>
      </w:pPr>
      <w:r>
        <w:rPr>
          <w:rFonts w:ascii="宋体" w:hAnsi="宋体" w:cs="宋体" w:eastAsia="宋体" w:hint="default"/>
          <w:b/>
          <w:bCs/>
          <w:sz w:val="21"/>
          <w:szCs w:val="21"/>
        </w:rPr>
        <w:t>二、董事长、独立董事及其它董事履行职责情况</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2"/>
          <w:sz w:val="21"/>
          <w:szCs w:val="21"/>
        </w:rPr>
        <w:t>报告期内，本公司全体董事严格按照有关法律、法规和《公司章程》的要求，认真勤勉地履行职责，</w:t>
      </w:r>
    </w:p>
    <w:p>
      <w:pPr>
        <w:pStyle w:val="BodyText"/>
        <w:spacing w:line="355" w:lineRule="auto" w:before="133"/>
        <w:ind w:left="153" w:right="209" w:hanging="1"/>
        <w:jc w:val="both"/>
      </w:pPr>
      <w:r>
        <w:rPr>
          <w:spacing w:val="-2"/>
        </w:rPr>
        <w:t>恪尽职守，廉洁自律，按时参加董事会和股东大会会议，认真各项议案进行审议，依据自己的专业知识和</w:t>
      </w:r>
      <w:r>
        <w:rPr>
          <w:spacing w:val="-48"/>
        </w:rPr>
        <w:t> </w:t>
      </w:r>
      <w:r>
        <w:rPr>
          <w:spacing w:val="-48"/>
        </w:rPr>
      </w:r>
      <w:r>
        <w:rPr/>
        <w:t>能力作出独立、客观、公正的判断，切实维护了本公司和中小股东的利益。</w:t>
      </w:r>
    </w:p>
    <w:p>
      <w:pPr>
        <w:spacing w:line="355" w:lineRule="auto" w:before="34"/>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（一）公司董事长及其他董事履职情况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本公司董事长严格按照法律法规和《公司章程》的要求，依法行使权利，履行职责：全力加强董事会</w:t>
      </w:r>
    </w:p>
    <w:p>
      <w:pPr>
        <w:pStyle w:val="BodyText"/>
        <w:spacing w:line="357" w:lineRule="auto" w:before="32"/>
        <w:ind w:right="206"/>
        <w:jc w:val="both"/>
      </w:pPr>
      <w:r>
        <w:rPr>
          <w:spacing w:val="-2"/>
        </w:rPr>
        <w:t>建设，积极推动公司治理工作和内部控制建设，督促执行股东大会和董事会的各项决议，确保董事会依法</w:t>
      </w:r>
      <w:r>
        <w:rPr>
          <w:spacing w:val="-44"/>
        </w:rPr>
        <w:t> </w:t>
      </w:r>
      <w:r>
        <w:rPr>
          <w:spacing w:val="-44"/>
        </w:rPr>
      </w:r>
      <w:r>
        <w:rPr>
          <w:spacing w:val="-2"/>
        </w:rPr>
        <w:t>正常运作；董事长领导董事会制定公司发展战略，指导管理层执行经营策略；报告期内，董事长充分保证</w:t>
      </w:r>
      <w:r>
        <w:rPr>
          <w:spacing w:val="-49"/>
        </w:rPr>
        <w:t> </w:t>
      </w:r>
      <w:r>
        <w:rPr>
          <w:spacing w:val="-49"/>
        </w:rPr>
      </w:r>
      <w:r>
        <w:rPr>
          <w:spacing w:val="-2"/>
        </w:rPr>
        <w:t>了独立董事和董事会秘书的知情权，及时将董事会工作运行情况通报所有董事，为其履行职责创造良好的</w:t>
      </w:r>
      <w:r>
        <w:rPr>
          <w:spacing w:val="-43"/>
        </w:rPr>
        <w:t> </w:t>
      </w:r>
      <w:r>
        <w:rPr>
          <w:spacing w:val="-43"/>
        </w:rPr>
      </w:r>
      <w:r>
        <w:rPr>
          <w:spacing w:val="-2"/>
        </w:rPr>
        <w:t>工作条件；同时，董事长积极参加监管机构组织的培训，并督促其他董事、高级管理人员积极参加相关培</w:t>
      </w:r>
      <w:r>
        <w:rPr>
          <w:spacing w:val="-46"/>
        </w:rPr>
        <w:t> </w:t>
      </w:r>
      <w:r>
        <w:rPr>
          <w:spacing w:val="-46"/>
        </w:rPr>
      </w:r>
      <w:r>
        <w:rPr/>
        <w:t>训，认真学习相关法律法规。</w:t>
      </w:r>
    </w:p>
    <w:p>
      <w:pPr>
        <w:pStyle w:val="BodyText"/>
        <w:spacing w:line="240" w:lineRule="auto" w:before="30"/>
        <w:ind w:left="573" w:right="0"/>
        <w:jc w:val="left"/>
      </w:pPr>
      <w:r>
        <w:rPr/>
        <w:t>报告期内董事出席董事会会议情况：</w:t>
      </w:r>
    </w:p>
    <w:p>
      <w:pPr>
        <w:spacing w:line="240" w:lineRule="auto" w:before="10"/>
        <w:rPr>
          <w:rFonts w:ascii="宋体" w:hAnsi="宋体" w:cs="宋体" w:eastAsia="宋体" w:hint="default"/>
          <w:sz w:val="12"/>
          <w:szCs w:val="12"/>
        </w:rPr>
      </w:pPr>
    </w:p>
    <w:tbl>
      <w:tblPr>
        <w:tblW w:w="0" w:type="auto"/>
        <w:jc w:val="left"/>
        <w:tblInd w:w="227" w:type="dxa"/>
        <w:tblLayout w:type="fixed"/>
        <w:tblCellMar>
          <w:top w:w="0" w:type="dxa"/>
          <w:left w:w="0" w:type="dxa"/>
          <w:bottom w:w="0" w:type="dxa"/>
          <w:right w:w="0" w:type="dxa"/>
        </w:tblCellMar>
        <w:tblLook w:val="01E0"/>
      </w:tblPr>
      <w:tblGrid>
        <w:gridCol w:w="1121"/>
        <w:gridCol w:w="2760"/>
        <w:gridCol w:w="840"/>
        <w:gridCol w:w="960"/>
        <w:gridCol w:w="960"/>
        <w:gridCol w:w="1039"/>
        <w:gridCol w:w="1800"/>
      </w:tblGrid>
      <w:tr>
        <w:trPr>
          <w:trHeight w:val="554" w:hRule="exact"/>
        </w:trPr>
        <w:tc>
          <w:tcPr>
            <w:tcW w:w="112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2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8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应出席</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9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03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8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是否连续两次未亲</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自出席会议</w:t>
            </w:r>
          </w:p>
        </w:tc>
      </w:tr>
      <w:tr>
        <w:trPr>
          <w:trHeight w:val="283"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李仲初</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第四届董事会董事长</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郑大立</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第四届董事会董事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pgSz w:w="11910" w:h="16840"/>
          <w:pgMar w:header="850" w:footer="979" w:top="1200" w:bottom="1160" w:left="980" w:right="920"/>
        </w:sectPr>
      </w:pPr>
    </w:p>
    <w:p>
      <w:pPr>
        <w:spacing w:line="240" w:lineRule="auto" w:before="5"/>
        <w:rPr>
          <w:rFonts w:ascii="宋体" w:hAnsi="宋体" w:cs="宋体" w:eastAsia="宋体" w:hint="default"/>
          <w:sz w:val="3"/>
          <w:szCs w:val="3"/>
        </w:rPr>
      </w:pPr>
    </w:p>
    <w:tbl>
      <w:tblPr>
        <w:tblW w:w="0" w:type="auto"/>
        <w:jc w:val="left"/>
        <w:tblInd w:w="187" w:type="dxa"/>
        <w:tblLayout w:type="fixed"/>
        <w:tblCellMar>
          <w:top w:w="0" w:type="dxa"/>
          <w:left w:w="0" w:type="dxa"/>
          <w:bottom w:w="0" w:type="dxa"/>
          <w:right w:w="0" w:type="dxa"/>
        </w:tblCellMar>
        <w:tblLook w:val="01E0"/>
      </w:tblPr>
      <w:tblGrid>
        <w:gridCol w:w="1121"/>
        <w:gridCol w:w="2760"/>
        <w:gridCol w:w="840"/>
        <w:gridCol w:w="960"/>
        <w:gridCol w:w="960"/>
        <w:gridCol w:w="1039"/>
        <w:gridCol w:w="1800"/>
      </w:tblGrid>
      <w:tr>
        <w:trPr>
          <w:trHeight w:val="295" w:hRule="exact"/>
        </w:trPr>
        <w:tc>
          <w:tcPr>
            <w:tcW w:w="1121"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40" w:right="0"/>
              <w:jc w:val="left"/>
              <w:rPr>
                <w:rFonts w:ascii="宋体" w:hAnsi="宋体" w:cs="宋体" w:eastAsia="宋体" w:hint="default"/>
                <w:sz w:val="21"/>
                <w:szCs w:val="21"/>
              </w:rPr>
            </w:pPr>
            <w:r>
              <w:rPr>
                <w:rFonts w:ascii="宋体" w:hAnsi="宋体" w:cs="宋体" w:eastAsia="宋体" w:hint="default"/>
                <w:sz w:val="21"/>
                <w:szCs w:val="21"/>
              </w:rPr>
              <w:t>赖德源</w:t>
            </w:r>
          </w:p>
        </w:tc>
        <w:tc>
          <w:tcPr>
            <w:tcW w:w="2760"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z w:val="21"/>
                <w:szCs w:val="21"/>
              </w:rPr>
              <w:t>第四届董事会董事</w:t>
            </w:r>
          </w:p>
        </w:tc>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10</w:t>
            </w:r>
          </w:p>
        </w:tc>
        <w:tc>
          <w:tcPr>
            <w:tcW w:w="9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10</w:t>
            </w:r>
          </w:p>
        </w:tc>
        <w:tc>
          <w:tcPr>
            <w:tcW w:w="9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0</w:t>
            </w:r>
          </w:p>
        </w:tc>
        <w:tc>
          <w:tcPr>
            <w:tcW w:w="103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800"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4"/>
        <w:rPr>
          <w:rFonts w:ascii="宋体" w:hAnsi="宋体" w:cs="宋体" w:eastAsia="宋体" w:hint="default"/>
          <w:sz w:val="22"/>
          <w:szCs w:val="22"/>
        </w:rPr>
      </w:pPr>
    </w:p>
    <w:p>
      <w:pPr>
        <w:spacing w:line="355" w:lineRule="auto" w:before="36"/>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（二）公司独立董事郭田勇、刘剑锋、阎丽明履职情况</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公司独立董事能够严格按照《公司章程》、《独立董事工作制度》等的规定，本着对公司、投资者负责</w:t>
      </w:r>
    </w:p>
    <w:p>
      <w:pPr>
        <w:pStyle w:val="BodyText"/>
        <w:spacing w:line="357" w:lineRule="auto" w:before="32"/>
        <w:ind w:left="112" w:right="188"/>
        <w:jc w:val="both"/>
      </w:pPr>
      <w:r>
        <w:rPr>
          <w:spacing w:val="-2"/>
        </w:rPr>
        <w:t>的态度，勤勉尽责，积极出席股东大会、董事会以及董事会专业委员会的相关会议，深入公司进行现场调</w:t>
      </w:r>
      <w:r>
        <w:rPr>
          <w:spacing w:val="-47"/>
        </w:rPr>
        <w:t> </w:t>
      </w:r>
      <w:r>
        <w:rPr>
          <w:spacing w:val="-47"/>
        </w:rPr>
      </w:r>
      <w:r>
        <w:rPr>
          <w:spacing w:val="-2"/>
        </w:rPr>
        <w:t>查，了解经营管理状况和内控制度的建设情况，关注外部环境变化对公司造成的影响，为公司未来经营和</w:t>
      </w:r>
      <w:r>
        <w:rPr>
          <w:spacing w:val="-44"/>
        </w:rPr>
        <w:t> </w:t>
      </w:r>
      <w:r>
        <w:rPr>
          <w:spacing w:val="-44"/>
        </w:rPr>
      </w:r>
      <w:r>
        <w:rPr>
          <w:spacing w:val="-7"/>
          <w:w w:val="100"/>
        </w:rPr>
        <w:t>发展提出合理化的意见和建议，对《关于聘任王敏敏为公司副总裁的独立意见》、《公司股票期权激励计划</w:t>
      </w:r>
      <w:r>
        <w:rPr>
          <w:spacing w:val="-75"/>
          <w:w w:val="100"/>
        </w:rPr>
        <w:t> </w:t>
      </w:r>
      <w:r>
        <w:rPr>
          <w:spacing w:val="-75"/>
          <w:w w:val="100"/>
        </w:rPr>
      </w:r>
      <w:r>
        <w:rPr>
          <w:spacing w:val="-11"/>
          <w:w w:val="100"/>
        </w:rPr>
        <w:t>已授予的股票期权第一个行权期可行权事项》、《聘任公司副总裁兼董事会秘书的独立意见》、《对外担保、</w:t>
      </w:r>
      <w:r>
        <w:rPr>
          <w:spacing w:val="-68"/>
          <w:w w:val="100"/>
        </w:rPr>
        <w:t> </w:t>
      </w:r>
      <w:r>
        <w:rPr>
          <w:spacing w:val="-68"/>
          <w:w w:val="100"/>
        </w:rPr>
      </w:r>
      <w:r>
        <w:rPr/>
        <w:t>关联方资金占用情况出具的专项说明和独立意见》等相关事项发表了独立意见。</w:t>
      </w:r>
    </w:p>
    <w:p>
      <w:pPr>
        <w:pStyle w:val="BodyText"/>
        <w:spacing w:line="240" w:lineRule="auto" w:before="30"/>
        <w:ind w:left="532" w:right="0"/>
        <w:jc w:val="left"/>
      </w:pPr>
      <w:r>
        <w:rPr/>
        <w:t>报告期内，本公司独立董事未对公司董事会审议的各项议案及其相关事项提出异议。</w:t>
      </w:r>
    </w:p>
    <w:p>
      <w:pPr>
        <w:pStyle w:val="Heading4"/>
        <w:spacing w:line="240" w:lineRule="auto" w:before="133"/>
        <w:ind w:left="592" w:right="0"/>
        <w:jc w:val="left"/>
        <w:rPr>
          <w:b w:val="0"/>
          <w:bCs w:val="0"/>
        </w:rPr>
      </w:pPr>
      <w:r>
        <w:rPr>
          <w:rFonts w:ascii="Times New Roman" w:hAnsi="Times New Roman" w:cs="Times New Roman" w:eastAsia="Times New Roman" w:hint="default"/>
        </w:rPr>
        <w:t>1</w:t>
      </w:r>
      <w:r>
        <w:rPr/>
        <w:t>、出席会议情况</w:t>
      </w:r>
      <w:r>
        <w:rPr>
          <w:b w:val="0"/>
          <w:bCs w:val="0"/>
        </w:rPr>
      </w:r>
    </w:p>
    <w:p>
      <w:pPr>
        <w:pStyle w:val="BodyText"/>
        <w:spacing w:line="336" w:lineRule="auto" w:before="119"/>
        <w:ind w:left="112" w:right="209" w:firstLine="420"/>
        <w:jc w:val="both"/>
      </w:pPr>
      <w:r>
        <w:rPr/>
        <w:t>公司三位独立董事于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日经公司</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年第二次临时股东大会选举担任公司第四届董事</w:t>
      </w:r>
      <w:r>
        <w:rPr>
          <w:w w:val="100"/>
        </w:rPr>
        <w:t> </w:t>
      </w:r>
      <w:r>
        <w:rPr>
          <w:spacing w:val="-4"/>
        </w:rPr>
        <w:t>会独立董事。担任公司独立董事以后，</w:t>
      </w:r>
      <w:r>
        <w:rPr>
          <w:rFonts w:ascii="Times New Roman" w:hAnsi="Times New Roman" w:cs="Times New Roman" w:eastAsia="Times New Roman" w:hint="default"/>
          <w:spacing w:val="-4"/>
        </w:rPr>
        <w:t>2011 </w:t>
      </w:r>
      <w:r>
        <w:rPr>
          <w:spacing w:val="-3"/>
        </w:rPr>
        <w:t>年本人认真参加了公司第四届董事会第二、三次会议以及第四</w:t>
      </w:r>
      <w:r>
        <w:rPr>
          <w:spacing w:val="-72"/>
        </w:rPr>
        <w:t> </w:t>
      </w:r>
      <w:r>
        <w:rPr>
          <w:spacing w:val="-72"/>
        </w:rPr>
      </w:r>
      <w:r>
        <w:rPr/>
        <w:t>届董事会</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年第一次至第八次临时会议，共计</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次董事会会议，认真履行了相应的职责。</w:t>
      </w:r>
    </w:p>
    <w:p>
      <w:pPr>
        <w:spacing w:line="338" w:lineRule="auto" w:before="24"/>
        <w:ind w:left="532" w:right="0" w:firstLine="5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、发表独立意见的情况</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根据《关于上市公司建立独立董事制度的指导意见》、《深圳证券交易所中小企业板块上市公司董事行</w:t>
      </w:r>
      <w:r>
        <w:rPr>
          <w:rFonts w:ascii="宋体" w:hAnsi="宋体" w:cs="宋体" w:eastAsia="宋体" w:hint="default"/>
          <w:w w:val="100"/>
          <w:sz w:val="21"/>
          <w:szCs w:val="21"/>
        </w:rPr>
      </w:r>
    </w:p>
    <w:p>
      <w:pPr>
        <w:pStyle w:val="BodyText"/>
        <w:spacing w:line="355" w:lineRule="auto" w:before="47"/>
        <w:ind w:left="112" w:right="206"/>
        <w:jc w:val="both"/>
      </w:pPr>
      <w:r>
        <w:rPr>
          <w:spacing w:val="-7"/>
          <w:w w:val="100"/>
        </w:rPr>
        <w:t>为指引》、《公司章程》等相关规章制度的有关规定，公司三位独立董事对《关于聘任王敏敏为公司副总裁</w:t>
      </w:r>
      <w:r>
        <w:rPr>
          <w:spacing w:val="-74"/>
          <w:w w:val="100"/>
        </w:rPr>
        <w:t> </w:t>
      </w:r>
      <w:r>
        <w:rPr>
          <w:spacing w:val="-74"/>
          <w:w w:val="100"/>
        </w:rPr>
      </w:r>
      <w:r>
        <w:rPr>
          <w:spacing w:val="-11"/>
          <w:w w:val="100"/>
        </w:rPr>
        <w:t>的独立意见》、《公司股票期权激励计划已授予的股票期权第一个行权期可行权事项》、《聘任公司副总裁兼</w:t>
      </w:r>
      <w:r>
        <w:rPr>
          <w:spacing w:val="-86"/>
          <w:w w:val="100"/>
        </w:rPr>
        <w:t> </w:t>
      </w:r>
      <w:r>
        <w:rPr>
          <w:spacing w:val="-86"/>
          <w:w w:val="100"/>
        </w:rPr>
      </w:r>
      <w:r>
        <w:rPr>
          <w:spacing w:val="-7"/>
          <w:w w:val="100"/>
        </w:rPr>
        <w:t>董事会秘书的独立意见》、《对外担保、关联方资金占用情况出具的专项说明和独立意见》等事项发表独立</w:t>
      </w:r>
      <w:r>
        <w:rPr>
          <w:spacing w:val="-73"/>
          <w:w w:val="100"/>
        </w:rPr>
        <w:t> </w:t>
      </w:r>
      <w:r>
        <w:rPr>
          <w:spacing w:val="-73"/>
          <w:w w:val="100"/>
        </w:rPr>
      </w:r>
      <w:r>
        <w:rPr/>
        <w:t>意见，保证了公司的规范运作。具体情况如下表所示：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tbl>
      <w:tblPr>
        <w:tblW w:w="0" w:type="auto"/>
        <w:jc w:val="left"/>
        <w:tblInd w:w="252" w:type="dxa"/>
        <w:tblLayout w:type="fixed"/>
        <w:tblCellMar>
          <w:top w:w="0" w:type="dxa"/>
          <w:left w:w="0" w:type="dxa"/>
          <w:bottom w:w="0" w:type="dxa"/>
          <w:right w:w="0" w:type="dxa"/>
        </w:tblCellMar>
        <w:tblLook w:val="01E0"/>
      </w:tblPr>
      <w:tblGrid>
        <w:gridCol w:w="1428"/>
        <w:gridCol w:w="1800"/>
        <w:gridCol w:w="4440"/>
        <w:gridCol w:w="1680"/>
      </w:tblGrid>
      <w:tr>
        <w:trPr>
          <w:trHeight w:val="413" w:hRule="exact"/>
        </w:trPr>
        <w:tc>
          <w:tcPr>
            <w:tcW w:w="14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会议日期</w:t>
            </w:r>
          </w:p>
        </w:tc>
        <w:tc>
          <w:tcPr>
            <w:tcW w:w="18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会议名称</w:t>
            </w:r>
          </w:p>
        </w:tc>
        <w:tc>
          <w:tcPr>
            <w:tcW w:w="4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事项</w:t>
            </w:r>
          </w:p>
        </w:tc>
        <w:tc>
          <w:tcPr>
            <w:tcW w:w="16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独立意见类型</w:t>
            </w:r>
          </w:p>
        </w:tc>
      </w:tr>
      <w:tr>
        <w:trPr>
          <w:trHeight w:val="55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8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第四届董事会第</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一次临时会议</w:t>
            </w:r>
          </w:p>
        </w:tc>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关于聘任副总裁的独立意见</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同意</w:t>
            </w:r>
          </w:p>
        </w:tc>
      </w:tr>
      <w:tr>
        <w:trPr>
          <w:trHeight w:val="828"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8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7"/>
                <w:sz w:val="21"/>
                <w:szCs w:val="21"/>
              </w:rPr>
              <w:t> </w:t>
            </w:r>
            <w:r>
              <w:rPr>
                <w:rFonts w:ascii="宋体" w:hAnsi="宋体" w:cs="宋体" w:eastAsia="宋体" w:hint="default"/>
                <w:spacing w:val="21"/>
                <w:sz w:val="21"/>
                <w:szCs w:val="21"/>
              </w:rPr>
              <w:t>四届</w:t>
            </w:r>
            <w:r>
              <w:rPr>
                <w:rFonts w:ascii="宋体" w:hAnsi="宋体" w:cs="宋体" w:eastAsia="宋体" w:hint="default"/>
                <w:spacing w:val="-60"/>
                <w:sz w:val="21"/>
                <w:szCs w:val="21"/>
              </w:rPr>
              <w:t> </w:t>
            </w:r>
            <w:r>
              <w:rPr>
                <w:rFonts w:ascii="宋体" w:hAnsi="宋体" w:cs="宋体" w:eastAsia="宋体" w:hint="default"/>
                <w:sz w:val="21"/>
                <w:szCs w:val="21"/>
              </w:rPr>
              <w:t>董</w:t>
            </w:r>
            <w:r>
              <w:rPr>
                <w:rFonts w:ascii="宋体" w:hAnsi="宋体" w:cs="宋体" w:eastAsia="宋体" w:hint="default"/>
                <w:spacing w:val="-57"/>
                <w:sz w:val="21"/>
                <w:szCs w:val="21"/>
              </w:rPr>
              <w:t> </w:t>
            </w:r>
            <w:r>
              <w:rPr>
                <w:rFonts w:ascii="宋体" w:hAnsi="宋体" w:cs="宋体" w:eastAsia="宋体" w:hint="default"/>
                <w:spacing w:val="21"/>
                <w:sz w:val="21"/>
                <w:szCs w:val="21"/>
              </w:rPr>
              <w:t>事会</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2" w:lineRule="exact" w:before="27"/>
              <w:ind w:left="105" w:right="194"/>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pacing w:val="20"/>
                <w:sz w:val="21"/>
                <w:szCs w:val="21"/>
              </w:rPr>
              <w:t>年第四</w:t>
            </w:r>
            <w:r>
              <w:rPr>
                <w:rFonts w:ascii="宋体" w:hAnsi="宋体" w:cs="宋体" w:eastAsia="宋体" w:hint="default"/>
                <w:spacing w:val="-45"/>
                <w:sz w:val="21"/>
                <w:szCs w:val="21"/>
              </w:rPr>
              <w:t> </w:t>
            </w:r>
            <w:r>
              <w:rPr>
                <w:rFonts w:ascii="宋体" w:hAnsi="宋体" w:cs="宋体" w:eastAsia="宋体" w:hint="default"/>
                <w:sz w:val="21"/>
                <w:szCs w:val="21"/>
              </w:rPr>
              <w:t>次</w:t>
            </w:r>
            <w:r>
              <w:rPr>
                <w:rFonts w:ascii="宋体" w:hAnsi="宋体" w:cs="宋体" w:eastAsia="宋体" w:hint="default"/>
                <w:w w:val="100"/>
                <w:sz w:val="21"/>
                <w:szCs w:val="21"/>
              </w:rPr>
              <w:t> </w:t>
            </w:r>
            <w:r>
              <w:rPr>
                <w:rFonts w:ascii="宋体" w:hAnsi="宋体" w:cs="宋体" w:eastAsia="宋体" w:hint="default"/>
                <w:sz w:val="21"/>
                <w:szCs w:val="21"/>
              </w:rPr>
              <w:t>临时会议</w:t>
            </w:r>
          </w:p>
        </w:tc>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关于公司股票期权激励计划已授予的股票期</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权第一个行权期可行权事项的独立意见</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同意</w:t>
            </w:r>
          </w:p>
        </w:tc>
      </w:tr>
      <w:tr>
        <w:trPr>
          <w:trHeight w:val="82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8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7"/>
                <w:sz w:val="21"/>
                <w:szCs w:val="21"/>
              </w:rPr>
              <w:t> </w:t>
            </w:r>
            <w:r>
              <w:rPr>
                <w:rFonts w:ascii="宋体" w:hAnsi="宋体" w:cs="宋体" w:eastAsia="宋体" w:hint="default"/>
                <w:spacing w:val="21"/>
                <w:sz w:val="21"/>
                <w:szCs w:val="21"/>
              </w:rPr>
              <w:t>四届</w:t>
            </w:r>
            <w:r>
              <w:rPr>
                <w:rFonts w:ascii="宋体" w:hAnsi="宋体" w:cs="宋体" w:eastAsia="宋体" w:hint="default"/>
                <w:spacing w:val="-60"/>
                <w:sz w:val="21"/>
                <w:szCs w:val="21"/>
              </w:rPr>
              <w:t> </w:t>
            </w:r>
            <w:r>
              <w:rPr>
                <w:rFonts w:ascii="宋体" w:hAnsi="宋体" w:cs="宋体" w:eastAsia="宋体" w:hint="default"/>
                <w:sz w:val="21"/>
                <w:szCs w:val="21"/>
              </w:rPr>
              <w:t>董</w:t>
            </w:r>
            <w:r>
              <w:rPr>
                <w:rFonts w:ascii="宋体" w:hAnsi="宋体" w:cs="宋体" w:eastAsia="宋体" w:hint="default"/>
                <w:spacing w:val="-57"/>
                <w:sz w:val="21"/>
                <w:szCs w:val="21"/>
              </w:rPr>
              <w:t> </w:t>
            </w:r>
            <w:r>
              <w:rPr>
                <w:rFonts w:ascii="宋体" w:hAnsi="宋体" w:cs="宋体" w:eastAsia="宋体" w:hint="default"/>
                <w:spacing w:val="21"/>
                <w:sz w:val="21"/>
                <w:szCs w:val="21"/>
              </w:rPr>
              <w:t>事会</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before="24"/>
              <w:ind w:left="105" w:right="194"/>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pacing w:val="20"/>
                <w:sz w:val="21"/>
                <w:szCs w:val="21"/>
              </w:rPr>
              <w:t>年第五</w:t>
            </w:r>
            <w:r>
              <w:rPr>
                <w:rFonts w:ascii="宋体" w:hAnsi="宋体" w:cs="宋体" w:eastAsia="宋体" w:hint="default"/>
                <w:spacing w:val="-45"/>
                <w:sz w:val="21"/>
                <w:szCs w:val="21"/>
              </w:rPr>
              <w:t> </w:t>
            </w:r>
            <w:r>
              <w:rPr>
                <w:rFonts w:ascii="宋体" w:hAnsi="宋体" w:cs="宋体" w:eastAsia="宋体" w:hint="default"/>
                <w:sz w:val="21"/>
                <w:szCs w:val="21"/>
              </w:rPr>
              <w:t>次</w:t>
            </w:r>
            <w:r>
              <w:rPr>
                <w:rFonts w:ascii="宋体" w:hAnsi="宋体" w:cs="宋体" w:eastAsia="宋体" w:hint="default"/>
                <w:w w:val="100"/>
                <w:sz w:val="21"/>
                <w:szCs w:val="21"/>
              </w:rPr>
              <w:t> </w:t>
            </w:r>
            <w:r>
              <w:rPr>
                <w:rFonts w:ascii="宋体" w:hAnsi="宋体" w:cs="宋体" w:eastAsia="宋体" w:hint="default"/>
                <w:sz w:val="21"/>
                <w:szCs w:val="21"/>
              </w:rPr>
              <w:t>临时会议</w:t>
            </w:r>
          </w:p>
        </w:tc>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关于聘任公司副总裁兼董事会秘书的独立意</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见</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同意</w:t>
            </w:r>
          </w:p>
        </w:tc>
      </w:tr>
      <w:tr>
        <w:trPr>
          <w:trHeight w:val="55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8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第四届董事会第</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三次会议</w:t>
            </w:r>
          </w:p>
        </w:tc>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关于对外担保、关联方资金占用情况出具的专</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项说明和独立意见</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同意</w:t>
            </w:r>
          </w:p>
        </w:tc>
      </w:tr>
    </w:tbl>
    <w:p>
      <w:pPr>
        <w:spacing w:line="240" w:lineRule="auto" w:before="4"/>
        <w:rPr>
          <w:rFonts w:ascii="宋体" w:hAnsi="宋体" w:cs="宋体" w:eastAsia="宋体" w:hint="default"/>
          <w:sz w:val="22"/>
          <w:szCs w:val="22"/>
        </w:rPr>
      </w:pPr>
    </w:p>
    <w:p>
      <w:pPr>
        <w:pStyle w:val="BodyText"/>
        <w:spacing w:line="350" w:lineRule="auto" w:before="36"/>
        <w:ind w:left="112" w:right="0" w:firstLine="420"/>
        <w:jc w:val="left"/>
      </w:pPr>
      <w:r>
        <w:rPr>
          <w:spacing w:val="-2"/>
          <w:w w:val="100"/>
        </w:rPr>
        <w:t>关于第四届董事会</w:t>
      </w:r>
      <w:r>
        <w:rPr>
          <w:spacing w:val="-47"/>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3"/>
          <w:w w:val="100"/>
        </w:rPr>
        <w:t> </w:t>
      </w:r>
      <w:r>
        <w:rPr>
          <w:spacing w:val="-5"/>
          <w:w w:val="100"/>
        </w:rPr>
        <w:t>年第一次临时会议审议通过的《关于聘任王敏敏女士为公司副总裁的议案》，</w:t>
      </w:r>
      <w:r>
        <w:rPr>
          <w:w w:val="100"/>
        </w:rPr>
        <w:t> </w:t>
      </w:r>
      <w:r>
        <w:rPr>
          <w:spacing w:val="-1"/>
        </w:rPr>
        <w:t>发表独立意见如下：</w:t>
      </w:r>
      <w:r>
        <w:rPr>
          <w:spacing w:val="41"/>
        </w:rPr>
        <w:t> </w:t>
      </w:r>
      <w:r>
        <w:rPr>
          <w:spacing w:val="-2"/>
        </w:rPr>
        <w:t>经查阅相关履历资料，王敏敏女士符合《公司法》等法律法规及本公司《公司章程》</w:t>
      </w:r>
      <w:r>
        <w:rPr>
          <w:spacing w:val="-95"/>
        </w:rPr>
        <w:t> </w:t>
      </w:r>
      <w:r>
        <w:rPr>
          <w:spacing w:val="-95"/>
        </w:rPr>
      </w:r>
      <w:r>
        <w:rPr>
          <w:spacing w:val="-2"/>
        </w:rPr>
        <w:t>关于上市公司高级管理人员任职资格的规定，并具备履行相应职责的专业知识和业务能力，本次聘任的提</w:t>
      </w:r>
      <w:r>
        <w:rPr>
          <w:spacing w:val="-42"/>
        </w:rPr>
        <w:t> </w:t>
      </w:r>
      <w:r>
        <w:rPr>
          <w:spacing w:val="-42"/>
        </w:rPr>
      </w:r>
      <w:r>
        <w:rPr/>
        <w:t>名、审议、表决等相关程序合法合规。</w:t>
      </w:r>
    </w:p>
    <w:p>
      <w:pPr>
        <w:pStyle w:val="BodyText"/>
        <w:spacing w:line="338" w:lineRule="auto" w:before="36"/>
        <w:ind w:left="112" w:right="205" w:firstLine="419"/>
        <w:jc w:val="left"/>
      </w:pPr>
      <w:r>
        <w:rPr/>
        <w:t>关于第四届董事会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8"/>
        </w:rPr>
        <w:t> </w:t>
      </w:r>
      <w:r>
        <w:rPr/>
        <w:t>年第五次临时会议审议通过的《关于聘任罗芳女士为公司副总裁兼董事会秘</w:t>
      </w:r>
      <w:r>
        <w:rPr>
          <w:w w:val="100"/>
        </w:rPr>
        <w:t> </w:t>
      </w:r>
      <w:r>
        <w:rPr>
          <w:spacing w:val="-9"/>
          <w:w w:val="100"/>
        </w:rPr>
        <w:t>书的议案》，发表独立意见如下：</w:t>
      </w:r>
    </w:p>
    <w:p>
      <w:pPr>
        <w:spacing w:after="0" w:line="338" w:lineRule="auto"/>
        <w:jc w:val="left"/>
        <w:sectPr>
          <w:pgSz w:w="11910" w:h="16840"/>
          <w:pgMar w:header="850" w:footer="979" w:top="1200" w:bottom="1160" w:left="1020" w:right="920"/>
        </w:sectPr>
      </w:pPr>
    </w:p>
    <w:p>
      <w:pPr>
        <w:pStyle w:val="BodyText"/>
        <w:spacing w:line="345" w:lineRule="auto" w:before="30"/>
        <w:ind w:right="0" w:firstLine="420"/>
        <w:jc w:val="left"/>
      </w:pPr>
      <w:r>
        <w:rPr/>
        <w:pict>
          <v:group style="position:absolute;margin-left:55.200001pt;margin-top:2.843687pt;width:484.8pt;height:.1pt;mso-position-horizontal-relative:page;mso-position-vertical-relative:paragraph;z-index:-772720" coordorigin="1104,57" coordsize="9696,2">
            <v:shape style="position:absolute;left:1104;top:57;width:9696;height:2" coordorigin="1104,57" coordsize="9696,0" path="m1104,57l10800,57e" filled="false" stroked="true" strokeweight=".72pt" strokecolor="#000000">
              <v:path arrowok="t"/>
            </v:shape>
            <w10:wrap type="none"/>
          </v:group>
        </w:pict>
      </w:r>
      <w:r>
        <w:rPr>
          <w:spacing w:val="-7"/>
          <w:w w:val="100"/>
        </w:rPr>
        <w:t>（</w:t>
      </w:r>
      <w:r>
        <w:rPr>
          <w:rFonts w:ascii="Times New Roman" w:hAnsi="Times New Roman" w:cs="Times New Roman" w:eastAsia="Times New Roman" w:hint="default"/>
          <w:spacing w:val="-7"/>
          <w:w w:val="100"/>
        </w:rPr>
        <w:t>1</w:t>
      </w:r>
      <w:r>
        <w:rPr>
          <w:spacing w:val="-7"/>
          <w:w w:val="100"/>
        </w:rPr>
        <w:t>）经审查罗芳女士的个人简历等相关资料，未发现有《公司法》、《深圳证券交易所股票上市规则》</w:t>
      </w:r>
      <w:r>
        <w:rPr>
          <w:w w:val="100"/>
        </w:rPr>
        <w:t> </w:t>
      </w:r>
      <w:r>
        <w:rPr>
          <w:spacing w:val="-2"/>
        </w:rPr>
        <w:t>中规定不能担任董事会秘书、高级管理人员的情况，未受过中国证监会及其他有关部门的处罚和证券交易</w:t>
      </w:r>
      <w:r>
        <w:rPr>
          <w:spacing w:val="-44"/>
        </w:rPr>
        <w:t> </w:t>
      </w:r>
      <w:r>
        <w:rPr>
          <w:spacing w:val="-44"/>
        </w:rPr>
      </w:r>
      <w:r>
        <w:rPr/>
        <w:t>所的惩戒，其具备了行使职权的任职条件和职业素质。</w:t>
      </w:r>
    </w:p>
    <w:p>
      <w:pPr>
        <w:pStyle w:val="BodyText"/>
        <w:spacing w:line="240" w:lineRule="auto" w:before="43"/>
        <w:ind w:left="572" w:right="0"/>
        <w:jc w:val="left"/>
      </w:pPr>
      <w:r>
        <w:rPr/>
        <w:t>（</w:t>
      </w:r>
      <w:r>
        <w:rPr>
          <w:rFonts w:ascii="Times New Roman" w:hAnsi="Times New Roman" w:cs="Times New Roman" w:eastAsia="Times New Roman" w:hint="default"/>
        </w:rPr>
        <w:t>2</w:t>
      </w:r>
      <w:r>
        <w:rPr/>
        <w:t>）同意聘任罗芳女士为公司副总裁兼董事会秘书。本次聘任的提名、审议、表决等相关程序符合</w:t>
      </w:r>
    </w:p>
    <w:p>
      <w:pPr>
        <w:pStyle w:val="BodyText"/>
        <w:spacing w:line="240" w:lineRule="auto" w:before="117"/>
        <w:ind w:right="0"/>
        <w:jc w:val="left"/>
      </w:pPr>
      <w:r>
        <w:rPr>
          <w:w w:val="100"/>
        </w:rPr>
        <w:t>《公</w:t>
      </w:r>
      <w:r>
        <w:rPr>
          <w:spacing w:val="-3"/>
          <w:w w:val="100"/>
        </w:rPr>
        <w:t>司</w:t>
      </w:r>
      <w:r>
        <w:rPr>
          <w:w w:val="100"/>
        </w:rPr>
        <w:t>法</w:t>
      </w:r>
      <w:r>
        <w:rPr>
          <w:spacing w:val="-106"/>
          <w:w w:val="100"/>
        </w:rPr>
        <w:t>》</w:t>
      </w:r>
      <w:r>
        <w:rPr>
          <w:spacing w:val="-108"/>
          <w:w w:val="100"/>
        </w:rPr>
        <w:t>、</w:t>
      </w:r>
      <w:r>
        <w:rPr>
          <w:w w:val="100"/>
        </w:rPr>
        <w:t>《</w:t>
      </w:r>
      <w:r>
        <w:rPr>
          <w:spacing w:val="-3"/>
          <w:w w:val="100"/>
        </w:rPr>
        <w:t>公</w:t>
      </w:r>
      <w:r>
        <w:rPr>
          <w:w w:val="100"/>
        </w:rPr>
        <w:t>司</w:t>
      </w:r>
      <w:r>
        <w:rPr>
          <w:spacing w:val="-3"/>
          <w:w w:val="100"/>
        </w:rPr>
        <w:t>章</w:t>
      </w:r>
      <w:r>
        <w:rPr>
          <w:w w:val="100"/>
        </w:rPr>
        <w:t>程</w:t>
      </w:r>
      <w:r>
        <w:rPr>
          <w:spacing w:val="-3"/>
          <w:w w:val="100"/>
        </w:rPr>
        <w:t>》</w:t>
      </w:r>
      <w:r>
        <w:rPr>
          <w:w w:val="100"/>
        </w:rPr>
        <w:t>的规</w:t>
      </w:r>
      <w:r>
        <w:rPr>
          <w:spacing w:val="-3"/>
          <w:w w:val="100"/>
        </w:rPr>
        <w:t>定</w:t>
      </w:r>
      <w:r>
        <w:rPr>
          <w:w w:val="100"/>
        </w:rPr>
        <w:t>。</w:t>
      </w:r>
    </w:p>
    <w:p>
      <w:pPr>
        <w:pStyle w:val="BodyText"/>
        <w:spacing w:line="336" w:lineRule="auto" w:before="133"/>
        <w:ind w:right="207" w:firstLine="419"/>
        <w:jc w:val="both"/>
      </w:pPr>
      <w:r>
        <w:rPr/>
        <w:t>关于第四届董事会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8"/>
        </w:rPr>
        <w:t> </w:t>
      </w:r>
      <w:r>
        <w:rPr/>
        <w:t>年第四次临时会议审议通过的《关于公司股票期权激励计划已授予的股票期</w:t>
      </w:r>
      <w:r>
        <w:rPr>
          <w:w w:val="100"/>
        </w:rPr>
        <w:t> </w:t>
      </w:r>
      <w:r>
        <w:rPr/>
        <w:t>权第一个行权期可行权的议案》发表独立意见如下：</w:t>
      </w:r>
    </w:p>
    <w:p>
      <w:pPr>
        <w:pStyle w:val="BodyText"/>
        <w:spacing w:line="343" w:lineRule="auto" w:before="49"/>
        <w:ind w:right="185" w:firstLine="420"/>
        <w:jc w:val="both"/>
      </w:pPr>
      <w:r>
        <w:rPr/>
        <w:t>（</w:t>
      </w:r>
      <w:r>
        <w:rPr>
          <w:rFonts w:ascii="Times New Roman" w:hAnsi="Times New Roman" w:cs="Times New Roman" w:eastAsia="Times New Roman" w:hint="default"/>
        </w:rPr>
        <w:t>1</w:t>
      </w:r>
      <w:r>
        <w:rPr/>
        <w:t>）经核查，董事会关于股票期权激励计划的股票期权数量、激励对象以及行权价格调整的决定，</w:t>
      </w:r>
      <w:r>
        <w:rPr>
          <w:w w:val="100"/>
        </w:rPr>
        <w:t> </w:t>
      </w:r>
      <w:r>
        <w:rPr>
          <w:spacing w:val="-10"/>
          <w:w w:val="100"/>
        </w:rPr>
        <w:t>符合《上市公司股权激励管理办法（试行）》（以下简称</w:t>
      </w:r>
      <w:r>
        <w:rPr>
          <w:rFonts w:ascii="Times New Roman" w:hAnsi="Times New Roman" w:cs="Times New Roman" w:eastAsia="Times New Roman" w:hint="default"/>
          <w:spacing w:val="-10"/>
          <w:w w:val="100"/>
        </w:rPr>
        <w:t>“</w:t>
      </w:r>
      <w:r>
        <w:rPr>
          <w:spacing w:val="-10"/>
          <w:w w:val="100"/>
        </w:rPr>
        <w:t>《管理办法》</w:t>
      </w:r>
      <w:r>
        <w:rPr>
          <w:rFonts w:ascii="Times New Roman" w:hAnsi="Times New Roman" w:cs="Times New Roman" w:eastAsia="Times New Roman" w:hint="default"/>
          <w:spacing w:val="-10"/>
          <w:w w:val="100"/>
        </w:rPr>
        <w:t>”</w:t>
      </w:r>
      <w:r>
        <w:rPr>
          <w:spacing w:val="-10"/>
          <w:w w:val="100"/>
        </w:rPr>
        <w:t>）、《股权激励有关事项备忘录</w:t>
      </w:r>
      <w:r>
        <w:rPr>
          <w:w w:val="100"/>
        </w:rPr>
        <w:t> </w:t>
      </w:r>
      <w:r>
        <w:rPr>
          <w:rFonts w:ascii="Times New Roman" w:hAnsi="Times New Roman" w:cs="Times New Roman" w:eastAsia="Times New Roman" w:hint="default"/>
          <w:spacing w:val="-2"/>
          <w:w w:val="100"/>
        </w:rPr>
        <w:t>1-3</w:t>
      </w:r>
      <w:r>
        <w:rPr>
          <w:rFonts w:ascii="Times New Roman" w:hAnsi="Times New Roman" w:cs="Times New Roman" w:eastAsia="Times New Roman" w:hint="default"/>
          <w:spacing w:val="-29"/>
          <w:w w:val="100"/>
        </w:rPr>
        <w:t> </w:t>
      </w:r>
      <w:r>
        <w:rPr>
          <w:rFonts w:ascii="Times New Roman" w:hAnsi="Times New Roman" w:cs="Times New Roman" w:eastAsia="Times New Roman" w:hint="default"/>
          <w:spacing w:val="-29"/>
          <w:w w:val="100"/>
        </w:rPr>
      </w:r>
      <w:r>
        <w:rPr>
          <w:spacing w:val="-2"/>
        </w:rPr>
        <w:t>号》等法律法规的规定，符合《股票期权激励计划（草案）修订案》的要求，并履行了必要的审核程序，</w:t>
      </w:r>
      <w:r>
        <w:rPr>
          <w:spacing w:val="-21"/>
        </w:rPr>
        <w:t> </w:t>
      </w:r>
      <w:r>
        <w:rPr>
          <w:spacing w:val="-21"/>
        </w:rPr>
      </w:r>
      <w:r>
        <w:rPr/>
        <w:t>同意公司对《股票期权激励计划》股票期权数量、激励对象及行权价格进行相应的调整。</w:t>
      </w:r>
    </w:p>
    <w:p>
      <w:pPr>
        <w:pStyle w:val="BodyText"/>
        <w:spacing w:line="338" w:lineRule="auto" w:before="43"/>
        <w:ind w:right="212" w:firstLine="420"/>
        <w:jc w:val="both"/>
      </w:pPr>
      <w:r>
        <w:rPr>
          <w:spacing w:val="-5"/>
          <w:w w:val="100"/>
        </w:rPr>
        <w:t>（</w:t>
      </w:r>
      <w:r>
        <w:rPr>
          <w:rFonts w:ascii="Times New Roman" w:hAnsi="Times New Roman" w:cs="Times New Roman" w:eastAsia="Times New Roman" w:hint="default"/>
          <w:spacing w:val="-5"/>
          <w:w w:val="100"/>
        </w:rPr>
        <w:t>2</w:t>
      </w:r>
      <w:r>
        <w:rPr>
          <w:spacing w:val="-5"/>
          <w:w w:val="100"/>
        </w:rPr>
        <w:t>）公司符合《管理办法》、《备忘录》等法律法规规定的实施股权激励计划的情形，公司具备实施</w:t>
      </w:r>
      <w:r>
        <w:rPr>
          <w:w w:val="100"/>
        </w:rPr>
        <w:t> </w:t>
      </w:r>
      <w:r>
        <w:rPr/>
        <w:t>股权激励计划的主体资格，未发生《股权激励计划（草案）修订案》中规定的不得行权的情形。</w:t>
      </w:r>
    </w:p>
    <w:p>
      <w:pPr>
        <w:pStyle w:val="BodyText"/>
        <w:spacing w:line="336" w:lineRule="auto" w:before="47"/>
        <w:ind w:right="214" w:firstLine="420"/>
        <w:jc w:val="both"/>
      </w:pPr>
      <w:r>
        <w:rPr/>
        <w:t>（</w:t>
      </w:r>
      <w:r>
        <w:rPr>
          <w:rFonts w:ascii="Times New Roman" w:hAnsi="Times New Roman" w:cs="Times New Roman" w:eastAsia="Times New Roman" w:hint="default"/>
        </w:rPr>
        <w:t>3</w:t>
      </w:r>
      <w:r>
        <w:rPr/>
        <w:t>）经核查，本次可行权的激励对象已满足《股票期权激励计划》规定的行权条件，其作为公司股</w:t>
      </w:r>
      <w:r>
        <w:rPr>
          <w:w w:val="100"/>
        </w:rPr>
        <w:t> </w:t>
      </w:r>
      <w:r>
        <w:rPr/>
        <w:t>票期权激励计划授予的第一次行权的激励对象主体资格合法、有效；</w:t>
      </w:r>
    </w:p>
    <w:p>
      <w:pPr>
        <w:pStyle w:val="BodyText"/>
        <w:spacing w:line="336" w:lineRule="auto" w:before="49"/>
        <w:ind w:right="214" w:firstLine="420"/>
        <w:jc w:val="both"/>
      </w:pPr>
      <w:r>
        <w:rPr/>
        <w:t>（</w:t>
      </w:r>
      <w:r>
        <w:rPr>
          <w:rFonts w:ascii="Times New Roman" w:hAnsi="Times New Roman" w:cs="Times New Roman" w:eastAsia="Times New Roman" w:hint="default"/>
        </w:rPr>
        <w:t>4</w:t>
      </w:r>
      <w:r>
        <w:rPr/>
        <w:t>）公司股票期权激励计划的对各激励对象股票期权的行权安排（包括行权日期、行权条件、行权</w:t>
      </w:r>
      <w:r>
        <w:rPr>
          <w:w w:val="100"/>
        </w:rPr>
        <w:t> </w:t>
      </w:r>
      <w:r>
        <w:rPr/>
        <w:t>价格等事项）未违反有关法律、法规的规定，未侵犯公司及全体股东的利益。</w:t>
      </w:r>
    </w:p>
    <w:p>
      <w:pPr>
        <w:pStyle w:val="BodyText"/>
        <w:spacing w:line="336" w:lineRule="auto" w:before="51"/>
        <w:ind w:right="214" w:firstLine="420"/>
        <w:jc w:val="both"/>
      </w:pPr>
      <w:r>
        <w:rPr/>
        <w:t>（</w:t>
      </w:r>
      <w:r>
        <w:rPr>
          <w:rFonts w:ascii="Times New Roman" w:hAnsi="Times New Roman" w:cs="Times New Roman" w:eastAsia="Times New Roman" w:hint="default"/>
        </w:rPr>
        <w:t>5</w:t>
      </w:r>
      <w:r>
        <w:rPr/>
        <w:t>）公司承诺不向本次行权的激励对象提供贷款、贷款担保或任何其他财务资助的计划或安排，本</w:t>
      </w:r>
      <w:r>
        <w:rPr>
          <w:w w:val="100"/>
        </w:rPr>
        <w:t> </w:t>
      </w:r>
      <w:r>
        <w:rPr/>
        <w:t>次行权没有损害公司及全体股东利益的情形；</w:t>
      </w:r>
    </w:p>
    <w:p>
      <w:pPr>
        <w:pStyle w:val="BodyText"/>
        <w:spacing w:line="336" w:lineRule="auto" w:before="49"/>
        <w:ind w:right="214" w:firstLine="420"/>
        <w:jc w:val="both"/>
      </w:pPr>
      <w:r>
        <w:rPr/>
        <w:t>（</w:t>
      </w:r>
      <w:r>
        <w:rPr>
          <w:rFonts w:ascii="Times New Roman" w:hAnsi="Times New Roman" w:cs="Times New Roman" w:eastAsia="Times New Roman" w:hint="default"/>
        </w:rPr>
        <w:t>6</w:t>
      </w:r>
      <w:r>
        <w:rPr/>
        <w:t>）本次行权有利于加强公司与激励对象之间的紧密联系，强化共同持续发展的理念，激励长期价</w:t>
      </w:r>
      <w:r>
        <w:rPr>
          <w:w w:val="100"/>
        </w:rPr>
        <w:t> </w:t>
      </w:r>
      <w:r>
        <w:rPr/>
        <w:t>值的创造，有利于促进公司的长期稳定发展。</w:t>
      </w:r>
    </w:p>
    <w:p>
      <w:pPr>
        <w:pStyle w:val="BodyText"/>
        <w:spacing w:line="343" w:lineRule="auto" w:before="49"/>
        <w:ind w:right="210" w:firstLine="420"/>
        <w:jc w:val="both"/>
      </w:pPr>
      <w:r>
        <w:rPr>
          <w:spacing w:val="-2"/>
          <w:w w:val="100"/>
        </w:rPr>
        <w:t>根据中国证监会《关于规范上市公司与关联方资金往来及上市公司对外担保若干问题的通知》（证监</w:t>
      </w:r>
      <w:r>
        <w:rPr>
          <w:w w:val="100"/>
        </w:rPr>
        <w:t> </w:t>
      </w:r>
      <w:r>
        <w:rPr>
          <w:spacing w:val="-1"/>
          <w:w w:val="100"/>
        </w:rPr>
        <w:t>发</w:t>
      </w:r>
      <w:r>
        <w:rPr>
          <w:rFonts w:ascii="Times New Roman" w:hAnsi="Times New Roman" w:cs="Times New Roman" w:eastAsia="Times New Roman" w:hint="default"/>
          <w:spacing w:val="-1"/>
          <w:w w:val="100"/>
        </w:rPr>
        <w:t>[2003]56</w:t>
      </w:r>
      <w:r>
        <w:rPr>
          <w:rFonts w:ascii="Times New Roman" w:hAnsi="Times New Roman" w:cs="Times New Roman" w:eastAsia="Times New Roman" w:hint="default"/>
          <w:w w:val="100"/>
        </w:rPr>
        <w:t> </w:t>
      </w:r>
      <w:r>
        <w:rPr>
          <w:spacing w:val="-5"/>
          <w:w w:val="100"/>
        </w:rPr>
        <w:t>号）和《关于规范上市公司对外担保行为的通知》（证监发</w:t>
      </w:r>
      <w:r>
        <w:rPr>
          <w:rFonts w:ascii="Times New Roman" w:hAnsi="Times New Roman" w:cs="Times New Roman" w:eastAsia="Times New Roman" w:hint="default"/>
          <w:spacing w:val="-5"/>
          <w:w w:val="100"/>
        </w:rPr>
        <w:t>[2005]120</w:t>
      </w:r>
      <w:r>
        <w:rPr>
          <w:rFonts w:ascii="Times New Roman" w:hAnsi="Times New Roman" w:cs="Times New Roman" w:eastAsia="Times New Roman" w:hint="default"/>
          <w:spacing w:val="8"/>
          <w:w w:val="100"/>
        </w:rPr>
        <w:t> </w:t>
      </w:r>
      <w:r>
        <w:rPr>
          <w:spacing w:val="-4"/>
          <w:w w:val="100"/>
        </w:rPr>
        <w:t>号）的规定，作为公司的</w:t>
      </w:r>
      <w:r>
        <w:rPr>
          <w:spacing w:val="-3"/>
          <w:w w:val="100"/>
        </w:rPr>
        <w:t> </w:t>
      </w:r>
      <w:r>
        <w:rPr/>
        <w:t>独立董事，本着实事求是的态度，对公司截止</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日的对外担保、关联方资金占用情况进行了</w:t>
      </w:r>
      <w:r>
        <w:rPr>
          <w:w w:val="100"/>
        </w:rPr>
        <w:t> </w:t>
      </w:r>
      <w:r>
        <w:rPr/>
        <w:t>认真的核查，发表如下专项说明和独立意见：</w:t>
      </w:r>
    </w:p>
    <w:p>
      <w:pPr>
        <w:pStyle w:val="BodyText"/>
        <w:spacing w:line="338" w:lineRule="auto" w:before="43"/>
        <w:ind w:right="210" w:firstLine="419"/>
        <w:jc w:val="both"/>
      </w:pPr>
      <w:r>
        <w:rPr/>
        <w:t>（</w:t>
      </w:r>
      <w:r>
        <w:rPr>
          <w:rFonts w:ascii="Times New Roman" w:hAnsi="Times New Roman" w:cs="Times New Roman" w:eastAsia="Times New Roman" w:hint="default"/>
        </w:rPr>
        <w:t>1</w:t>
      </w:r>
      <w:r>
        <w:rPr/>
        <w:t>）报告期内，公司不存在为控股股东及本公司持股</w:t>
      </w:r>
      <w:r>
        <w:rPr>
          <w:spacing w:val="4"/>
        </w:rPr>
        <w:t> </w:t>
      </w:r>
      <w:r>
        <w:rPr>
          <w:rFonts w:ascii="Times New Roman" w:hAnsi="Times New Roman" w:cs="Times New Roman" w:eastAsia="Times New Roman" w:hint="default"/>
        </w:rPr>
        <w:t>50%</w:t>
      </w:r>
      <w:r>
        <w:rPr/>
        <w:t>以下的其他关联方、任何非法人单位或个</w:t>
      </w:r>
      <w:r>
        <w:rPr>
          <w:w w:val="100"/>
        </w:rPr>
        <w:t> </w:t>
      </w:r>
      <w:r>
        <w:rPr/>
        <w:t>人提供担保的情况，也无任何形式的对外担保事项，公司累计和当期对外担保金额为零。</w:t>
      </w:r>
    </w:p>
    <w:p>
      <w:pPr>
        <w:pStyle w:val="BodyText"/>
        <w:spacing w:line="240" w:lineRule="auto" w:before="47"/>
        <w:ind w:left="572" w:right="0"/>
        <w:jc w:val="left"/>
      </w:pPr>
      <w:r>
        <w:rPr/>
        <w:t>（</w:t>
      </w:r>
      <w:r>
        <w:rPr>
          <w:rFonts w:ascii="Times New Roman" w:hAnsi="Times New Roman" w:cs="Times New Roman" w:eastAsia="Times New Roman" w:hint="default"/>
        </w:rPr>
        <w:t>2</w:t>
      </w:r>
      <w:r>
        <w:rPr/>
        <w:t>）报告期内，公司不存在控股股东及其他关联方非正常占用公司资金的情况。</w:t>
      </w:r>
    </w:p>
    <w:p>
      <w:pPr>
        <w:pStyle w:val="Heading4"/>
        <w:spacing w:line="240" w:lineRule="auto" w:before="117"/>
        <w:ind w:left="632" w:right="0"/>
        <w:jc w:val="left"/>
        <w:rPr>
          <w:b w:val="0"/>
          <w:bCs w:val="0"/>
        </w:rPr>
      </w:pPr>
      <w:r>
        <w:rPr>
          <w:rFonts w:ascii="Times New Roman" w:hAnsi="Times New Roman" w:cs="Times New Roman" w:eastAsia="Times New Roman" w:hint="default"/>
        </w:rPr>
        <w:t>3</w:t>
      </w:r>
      <w:r>
        <w:rPr/>
        <w:t>、保护投资者权益方面所做的其他工作</w:t>
      </w:r>
      <w:r>
        <w:rPr>
          <w:b w:val="0"/>
          <w:bCs w:val="0"/>
        </w:rPr>
      </w:r>
    </w:p>
    <w:p>
      <w:pPr>
        <w:pStyle w:val="BodyText"/>
        <w:spacing w:line="336" w:lineRule="auto" w:before="116"/>
        <w:ind w:right="211" w:firstLine="420"/>
        <w:jc w:val="both"/>
      </w:pPr>
      <w:r>
        <w:rPr>
          <w:spacing w:val="-5"/>
          <w:w w:val="100"/>
        </w:rPr>
        <w:t>（</w:t>
      </w:r>
      <w:r>
        <w:rPr>
          <w:rFonts w:ascii="Times New Roman" w:hAnsi="Times New Roman" w:cs="Times New Roman" w:eastAsia="Times New Roman" w:hint="default"/>
          <w:spacing w:val="-5"/>
          <w:w w:val="100"/>
        </w:rPr>
        <w:t>1</w:t>
      </w:r>
      <w:r>
        <w:rPr>
          <w:spacing w:val="-5"/>
          <w:w w:val="100"/>
        </w:rPr>
        <w:t>）公司信息披露情况。公司严格按照《深圳证券交易所股票上市规则》、《中小企业板块上市公司</w:t>
      </w:r>
      <w:r>
        <w:rPr>
          <w:w w:val="100"/>
        </w:rPr>
        <w:t> </w:t>
      </w:r>
      <w:r>
        <w:rPr/>
        <w:t>特别规定》等法律、法规的有关规定，保证</w:t>
      </w:r>
      <w:r>
        <w:rPr>
          <w:spacing w:val="-53"/>
        </w:rPr>
        <w:t> </w:t>
      </w:r>
      <w:r>
        <w:rPr>
          <w:rFonts w:ascii="Times New Roman" w:hAnsi="Times New Roman" w:cs="Times New Roman" w:eastAsia="Times New Roman" w:hint="default"/>
          <w:spacing w:val="-3"/>
        </w:rPr>
        <w:t>2011 </w:t>
      </w:r>
      <w:r>
        <w:rPr/>
        <w:t>年度公司信息披露的真实、准确、及时、完整。</w:t>
      </w:r>
    </w:p>
    <w:p>
      <w:pPr>
        <w:pStyle w:val="BodyText"/>
        <w:spacing w:line="336" w:lineRule="auto" w:before="26"/>
        <w:ind w:left="572" w:right="0" w:hanging="1"/>
        <w:jc w:val="left"/>
      </w:pPr>
      <w:r>
        <w:rPr/>
        <w:t>（</w:t>
      </w:r>
      <w:r>
        <w:rPr>
          <w:rFonts w:ascii="Times New Roman" w:hAnsi="Times New Roman" w:cs="Times New Roman" w:eastAsia="Times New Roman" w:hint="default"/>
        </w:rPr>
        <w:t>2</w:t>
      </w:r>
      <w:r>
        <w:rPr/>
        <w:t>）对公司治理结构及经营管理的调查。</w:t>
      </w:r>
      <w:r>
        <w:rPr>
          <w:w w:val="100"/>
        </w:rPr>
        <w:t> </w:t>
      </w:r>
      <w:r>
        <w:rPr>
          <w:spacing w:val="-2"/>
        </w:rPr>
        <w:t>三位独立董事有效地履行了独立董事的职责，认真审核每次需董事会审议的各个议案，在此基础上，</w:t>
      </w:r>
    </w:p>
    <w:p>
      <w:pPr>
        <w:pStyle w:val="BodyText"/>
        <w:spacing w:line="240" w:lineRule="auto" w:before="49"/>
        <w:ind w:right="0"/>
        <w:jc w:val="left"/>
      </w:pPr>
      <w:r>
        <w:rPr>
          <w:spacing w:val="-4"/>
        </w:rPr>
        <w:t>独立、客观、审慎地行使表决权。</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月至</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月三位独董多次来到公司，向公司董事、监事</w:t>
      </w:r>
    </w:p>
    <w:p>
      <w:pPr>
        <w:pStyle w:val="BodyText"/>
        <w:spacing w:line="240" w:lineRule="auto" w:before="117"/>
        <w:ind w:right="0"/>
        <w:jc w:val="left"/>
      </w:pPr>
      <w:r>
        <w:rPr/>
        <w:t>及高级管理人员及时了解公司生产经营和财务状况，与公司管理层保持密切沟通，听取管理层对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6"/>
        </w:rPr>
        <w:t> </w:t>
      </w:r>
      <w:r>
        <w:rPr/>
        <w:t>年</w:t>
      </w:r>
    </w:p>
    <w:p>
      <w:pPr>
        <w:spacing w:after="0" w:line="240" w:lineRule="auto"/>
        <w:jc w:val="left"/>
        <w:sectPr>
          <w:footerReference w:type="default" r:id="rId16"/>
          <w:pgSz w:w="11910" w:h="16840"/>
          <w:pgMar w:footer="979" w:header="850" w:top="1200" w:bottom="1160" w:left="980" w:right="920"/>
          <w:pgNumType w:start="22"/>
        </w:sectPr>
      </w:pPr>
    </w:p>
    <w:p>
      <w:pPr>
        <w:pStyle w:val="BodyText"/>
        <w:spacing w:line="345" w:lineRule="auto" w:before="30"/>
        <w:ind w:right="147"/>
        <w:jc w:val="both"/>
      </w:pPr>
      <w:r>
        <w:rPr/>
        <w:pict>
          <v:group style="position:absolute;margin-left:55.200001pt;margin-top:2.843687pt;width:484.8pt;height:.1pt;mso-position-horizontal-relative:page;mso-position-vertical-relative:paragraph;z-index:-772696" coordorigin="1104,57" coordsize="9696,2">
            <v:shape style="position:absolute;left:1104;top:57;width:9696;height:2" coordorigin="1104,57" coordsize="9696,0" path="m1104,57l10800,57e" filled="false" stroked="true" strokeweight=".72pt" strokecolor="#000000">
              <v:path arrowok="t"/>
            </v:shape>
            <w10:wrap type="none"/>
          </v:group>
        </w:pict>
      </w:r>
      <w:r>
        <w:rPr/>
        <w:t>工作的汇报情况，并对公司复兴路阳光大厦办公室的财务部、子公司 </w:t>
      </w:r>
      <w:r>
        <w:rPr>
          <w:rFonts w:ascii="Times New Roman" w:hAnsi="Times New Roman" w:cs="Times New Roman" w:eastAsia="Times New Roman" w:hint="default"/>
        </w:rPr>
        <w:t>Infrasys</w:t>
      </w:r>
      <w:r>
        <w:rPr>
          <w:rFonts w:ascii="Times New Roman" w:hAnsi="Times New Roman" w:cs="Times New Roman" w:eastAsia="Times New Roman" w:hint="default"/>
          <w:spacing w:val="-25"/>
        </w:rPr>
        <w:t> </w:t>
      </w:r>
      <w:r>
        <w:rPr/>
        <w:t>财务部、采购部、教育部等</w:t>
      </w:r>
      <w:r>
        <w:rPr>
          <w:w w:val="100"/>
        </w:rPr>
        <w:t> </w:t>
      </w:r>
      <w:r>
        <w:rPr>
          <w:spacing w:val="-2"/>
        </w:rPr>
        <w:t>部门进行了现场考察，关注董事会决议执行情况、财务管理、募集资金使用、关联交易、股权激励和业务</w:t>
      </w:r>
      <w:r>
        <w:rPr>
          <w:spacing w:val="-43"/>
        </w:rPr>
        <w:t> </w:t>
      </w:r>
      <w:r>
        <w:rPr>
          <w:spacing w:val="-43"/>
        </w:rPr>
      </w:r>
      <w:r>
        <w:rPr/>
        <w:t>发展等相关事项；关注外部环境及市场变化对公司的影响，关注传媒、网络有关公司的报道。</w:t>
      </w:r>
    </w:p>
    <w:p>
      <w:pPr>
        <w:pStyle w:val="Heading4"/>
        <w:spacing w:line="240" w:lineRule="auto" w:before="43"/>
        <w:ind w:left="632" w:right="3480"/>
        <w:jc w:val="left"/>
        <w:rPr>
          <w:b w:val="0"/>
          <w:bCs w:val="0"/>
        </w:rPr>
      </w:pPr>
      <w:r>
        <w:rPr>
          <w:rFonts w:ascii="Times New Roman" w:hAnsi="Times New Roman" w:cs="Times New Roman" w:eastAsia="Times New Roman" w:hint="default"/>
        </w:rPr>
        <w:t>4</w:t>
      </w:r>
      <w:r>
        <w:rPr/>
        <w:t>、其他工作情况</w:t>
      </w:r>
      <w:r>
        <w:rPr>
          <w:b w:val="0"/>
          <w:bCs w:val="0"/>
        </w:rPr>
      </w:r>
    </w:p>
    <w:p>
      <w:pPr>
        <w:pStyle w:val="BodyText"/>
        <w:spacing w:line="240" w:lineRule="auto" w:before="117"/>
        <w:ind w:left="572" w:right="3480"/>
        <w:jc w:val="left"/>
      </w:pPr>
      <w:r>
        <w:rPr/>
        <w:t>（</w:t>
      </w:r>
      <w:r>
        <w:rPr>
          <w:rFonts w:ascii="Times New Roman" w:hAnsi="Times New Roman" w:cs="Times New Roman" w:eastAsia="Times New Roman" w:hint="default"/>
        </w:rPr>
        <w:t>1</w:t>
      </w:r>
      <w:r>
        <w:rPr/>
        <w:t>）无提议召开董事会的情况；</w:t>
      </w:r>
    </w:p>
    <w:p>
      <w:pPr>
        <w:pStyle w:val="BodyText"/>
        <w:spacing w:line="240" w:lineRule="auto" w:before="117"/>
        <w:ind w:left="572" w:right="3480"/>
        <w:jc w:val="left"/>
      </w:pPr>
      <w:r>
        <w:rPr/>
        <w:t>（</w:t>
      </w:r>
      <w:r>
        <w:rPr>
          <w:rFonts w:ascii="Times New Roman" w:hAnsi="Times New Roman" w:cs="Times New Roman" w:eastAsia="Times New Roman" w:hint="default"/>
        </w:rPr>
        <w:t>2</w:t>
      </w:r>
      <w:r>
        <w:rPr/>
        <w:t>）无提议聘用或解聘会计师事务所的情况；</w:t>
      </w:r>
    </w:p>
    <w:p>
      <w:pPr>
        <w:pStyle w:val="BodyText"/>
        <w:spacing w:line="240" w:lineRule="auto" w:before="117"/>
        <w:ind w:left="572" w:right="3480"/>
        <w:jc w:val="left"/>
      </w:pPr>
      <w:r>
        <w:rPr/>
        <w:t>（</w:t>
      </w:r>
      <w:r>
        <w:rPr>
          <w:rFonts w:ascii="Times New Roman" w:hAnsi="Times New Roman" w:cs="Times New Roman" w:eastAsia="Times New Roman" w:hint="default"/>
        </w:rPr>
        <w:t>3</w:t>
      </w:r>
      <w:r>
        <w:rPr/>
        <w:t>）无独立聘请外部审计机构和咨询机构等。</w:t>
      </w:r>
    </w:p>
    <w:p>
      <w:pPr>
        <w:spacing w:line="550" w:lineRule="atLeast" w:before="120"/>
        <w:ind w:left="572" w:right="0" w:hanging="8"/>
        <w:jc w:val="left"/>
        <w:rPr>
          <w:rFonts w:ascii="宋体" w:hAnsi="宋体" w:cs="宋体" w:eastAsia="宋体" w:hint="default"/>
          <w:sz w:val="21"/>
          <w:szCs w:val="21"/>
        </w:rPr>
      </w:pPr>
      <w:r>
        <w:rPr>
          <w:rFonts w:ascii="宋体" w:hAnsi="宋体" w:cs="宋体" w:eastAsia="宋体" w:hint="default"/>
          <w:b/>
          <w:bCs/>
          <w:sz w:val="21"/>
          <w:szCs w:val="21"/>
        </w:rPr>
        <w:t>三、公司与控股股东在业务、人员、资产、机构、财务等方面的独立情况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公司与控股股东在业务、人员、资产、机构、财务等方面完全分开，具有独立完整的业务及自主经营</w:t>
      </w:r>
    </w:p>
    <w:p>
      <w:pPr>
        <w:pStyle w:val="BodyText"/>
        <w:spacing w:line="240" w:lineRule="auto" w:before="135"/>
        <w:ind w:right="0"/>
        <w:jc w:val="both"/>
      </w:pPr>
      <w:r>
        <w:rPr/>
        <w:t>能力。</w:t>
      </w:r>
    </w:p>
    <w:p>
      <w:pPr>
        <w:pStyle w:val="BodyText"/>
        <w:spacing w:line="355" w:lineRule="auto" w:before="133"/>
        <w:ind w:left="572" w:right="0"/>
        <w:jc w:val="left"/>
      </w:pPr>
      <w:r>
        <w:rPr>
          <w:rFonts w:ascii="宋体" w:hAnsi="宋体" w:cs="宋体" w:eastAsia="宋体" w:hint="default"/>
          <w:b/>
          <w:bCs/>
        </w:rPr>
        <w:t>（一）</w:t>
      </w:r>
      <w:r>
        <w:rPr>
          <w:rFonts w:ascii="宋体" w:hAnsi="宋体" w:cs="宋体" w:eastAsia="宋体" w:hint="default"/>
          <w:b/>
          <w:bCs/>
          <w:spacing w:val="-20"/>
        </w:rPr>
        <w:t> </w:t>
      </w:r>
      <w:r>
        <w:rPr>
          <w:rFonts w:ascii="宋体" w:hAnsi="宋体" w:cs="宋体" w:eastAsia="宋体" w:hint="default"/>
          <w:b/>
          <w:bCs/>
        </w:rPr>
        <w:t>业务独立</w:t>
      </w:r>
      <w:r>
        <w:rPr>
          <w:rFonts w:ascii="宋体" w:hAnsi="宋体" w:cs="宋体" w:eastAsia="宋体" w:hint="default"/>
          <w:b/>
          <w:bCs/>
          <w:spacing w:val="-104"/>
        </w:rPr>
        <w:t> </w:t>
      </w:r>
      <w:r>
        <w:rPr>
          <w:rFonts w:ascii="宋体" w:hAnsi="宋体" w:cs="宋体" w:eastAsia="宋体" w:hint="default"/>
          <w:b/>
          <w:bCs/>
          <w:spacing w:val="-104"/>
        </w:rPr>
      </w:r>
      <w:r>
        <w:rPr>
          <w:spacing w:val="-2"/>
        </w:rPr>
        <w:t>本公司主要从事酒店行业信息管理系统软件的开发销售、系统集成、技术支持与服务业务，具有独立</w:t>
      </w:r>
    </w:p>
    <w:p>
      <w:pPr>
        <w:pStyle w:val="BodyText"/>
        <w:spacing w:line="357" w:lineRule="auto" w:before="32"/>
        <w:ind w:right="149"/>
        <w:jc w:val="both"/>
      </w:pPr>
      <w:r>
        <w:rPr/>
        <w:t>完整的业务体系，包括完整的开发、销售及售后服务体系</w:t>
      </w:r>
      <w:r>
        <w:rPr>
          <w:spacing w:val="72"/>
        </w:rPr>
        <w:t> </w:t>
      </w:r>
      <w:r>
        <w:rPr/>
        <w:t>，是目前国内最主要的酒店信息管理系统全面</w:t>
      </w:r>
      <w:r>
        <w:rPr>
          <w:spacing w:val="-97"/>
        </w:rPr>
        <w:t> </w:t>
      </w:r>
      <w:r>
        <w:rPr>
          <w:spacing w:val="-97"/>
        </w:rPr>
      </w:r>
      <w:r>
        <w:rPr>
          <w:spacing w:val="-2"/>
        </w:rPr>
        <w:t>解决方案提供商之一。公司业务独立于控股股东，拥有独立完整的经营系统，独立开展业务，不依赖于股</w:t>
      </w:r>
      <w:r>
        <w:rPr>
          <w:spacing w:val="-47"/>
        </w:rPr>
        <w:t> </w:t>
      </w:r>
      <w:r>
        <w:rPr>
          <w:spacing w:val="-47"/>
        </w:rPr>
      </w:r>
      <w:r>
        <w:rPr/>
        <w:t>东或其他任何关联方。</w:t>
      </w:r>
    </w:p>
    <w:p>
      <w:pPr>
        <w:spacing w:line="355" w:lineRule="auto" w:before="30"/>
        <w:ind w:left="572" w:right="348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20"/>
          <w:sz w:val="21"/>
          <w:szCs w:val="21"/>
        </w:rPr>
        <w:t> </w:t>
      </w:r>
      <w:r>
        <w:rPr>
          <w:rFonts w:ascii="宋体" w:hAnsi="宋体" w:cs="宋体" w:eastAsia="宋体" w:hint="default"/>
          <w:b/>
          <w:bCs/>
          <w:sz w:val="21"/>
          <w:szCs w:val="21"/>
        </w:rPr>
        <w:t>人员独立</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本公司人员、劳动、人事及工资管理完全独立。</w:t>
      </w:r>
      <w:r>
        <w:rPr>
          <w:rFonts w:ascii="宋体" w:hAnsi="宋体" w:cs="宋体" w:eastAsia="宋体" w:hint="default"/>
          <w:sz w:val="21"/>
          <w:szCs w:val="21"/>
        </w:rPr>
      </w:r>
    </w:p>
    <w:p>
      <w:pPr>
        <w:pStyle w:val="BodyText"/>
        <w:spacing w:line="357" w:lineRule="auto" w:before="32"/>
        <w:ind w:left="153" w:right="146" w:firstLine="419"/>
        <w:jc w:val="both"/>
      </w:pPr>
      <w:r>
        <w:rPr>
          <w:spacing w:val="-12"/>
          <w:w w:val="100"/>
        </w:rPr>
        <w:t>本公司拥有独立、完整的人力资源管理体系，设立有人力资源部，根据《中华人民共和国劳动法》、《公</w:t>
      </w:r>
      <w:r>
        <w:rPr>
          <w:spacing w:val="-3"/>
          <w:w w:val="100"/>
        </w:rPr>
        <w:t> </w:t>
      </w:r>
      <w:r>
        <w:rPr>
          <w:spacing w:val="-2"/>
        </w:rPr>
        <w:t>司法》及国家有关政策的规定，制定了独立的劳动人事管理制度，并实行全员劳动合同制，由本公司与员</w:t>
      </w:r>
      <w:r>
        <w:rPr>
          <w:spacing w:val="-50"/>
        </w:rPr>
        <w:t> </w:t>
      </w:r>
      <w:r>
        <w:rPr>
          <w:spacing w:val="-50"/>
        </w:rPr>
      </w:r>
      <w:r>
        <w:rPr>
          <w:spacing w:val="-2"/>
        </w:rPr>
        <w:t>工独立签订劳动合同，做到人员管理制度化和规范化；本公司在员工的社会保障、工薪报酬等方面实行独</w:t>
      </w:r>
      <w:r>
        <w:rPr>
          <w:spacing w:val="-44"/>
        </w:rPr>
        <w:t> </w:t>
      </w:r>
      <w:r>
        <w:rPr>
          <w:spacing w:val="-44"/>
        </w:rPr>
      </w:r>
      <w:r>
        <w:rPr/>
        <w:t>立管理。</w:t>
      </w:r>
    </w:p>
    <w:p>
      <w:pPr>
        <w:pStyle w:val="BodyText"/>
        <w:spacing w:line="355" w:lineRule="auto" w:before="30"/>
        <w:ind w:left="572" w:right="0"/>
        <w:jc w:val="left"/>
      </w:pPr>
      <w:r>
        <w:rPr>
          <w:rFonts w:ascii="宋体" w:hAnsi="宋体" w:cs="宋体" w:eastAsia="宋体" w:hint="default"/>
          <w:b/>
          <w:bCs/>
        </w:rPr>
        <w:t>（三）</w:t>
      </w:r>
      <w:r>
        <w:rPr>
          <w:rFonts w:ascii="宋体" w:hAnsi="宋体" w:cs="宋体" w:eastAsia="宋体" w:hint="default"/>
          <w:b/>
          <w:bCs/>
          <w:spacing w:val="-20"/>
        </w:rPr>
        <w:t> </w:t>
      </w:r>
      <w:r>
        <w:rPr>
          <w:rFonts w:ascii="宋体" w:hAnsi="宋体" w:cs="宋体" w:eastAsia="宋体" w:hint="default"/>
          <w:b/>
          <w:bCs/>
        </w:rPr>
        <w:t>资产独立</w:t>
      </w:r>
      <w:r>
        <w:rPr>
          <w:rFonts w:ascii="宋体" w:hAnsi="宋体" w:cs="宋体" w:eastAsia="宋体" w:hint="default"/>
          <w:b/>
          <w:bCs/>
          <w:spacing w:val="-104"/>
        </w:rPr>
        <w:t> </w:t>
      </w:r>
      <w:r>
        <w:rPr>
          <w:rFonts w:ascii="宋体" w:hAnsi="宋体" w:cs="宋体" w:eastAsia="宋体" w:hint="default"/>
          <w:b/>
          <w:bCs/>
          <w:spacing w:val="-104"/>
        </w:rPr>
      </w:r>
      <w:r>
        <w:rPr>
          <w:spacing w:val="-2"/>
        </w:rPr>
        <w:t>本公司以整体变更的方式设立，设立时各发起人投入本公司的资产已经武汉众环会计师事务所有限责</w:t>
      </w:r>
    </w:p>
    <w:p>
      <w:pPr>
        <w:pStyle w:val="BodyText"/>
        <w:spacing w:line="336" w:lineRule="auto" w:before="34"/>
        <w:ind w:left="572" w:right="0" w:hanging="420"/>
        <w:jc w:val="left"/>
      </w:pPr>
      <w:r>
        <w:rPr/>
        <w:t>任公司出具的武众会内（</w:t>
      </w:r>
      <w:r>
        <w:rPr>
          <w:rFonts w:ascii="Times New Roman" w:hAnsi="Times New Roman" w:cs="Times New Roman" w:eastAsia="Times New Roman" w:hint="default"/>
        </w:rPr>
        <w:t>2001</w:t>
      </w:r>
      <w:r>
        <w:rPr/>
        <w:t>）</w:t>
      </w:r>
      <w:r>
        <w:rPr>
          <w:rFonts w:ascii="Times New Roman" w:hAnsi="Times New Roman" w:cs="Times New Roman" w:eastAsia="Times New Roman" w:hint="default"/>
        </w:rPr>
        <w:t>049</w:t>
      </w:r>
      <w:r>
        <w:rPr>
          <w:rFonts w:ascii="Times New Roman" w:hAnsi="Times New Roman" w:cs="Times New Roman" w:eastAsia="Times New Roman" w:hint="default"/>
          <w:spacing w:val="-3"/>
        </w:rPr>
        <w:t> </w:t>
      </w:r>
      <w:r>
        <w:rPr/>
        <w:t>号《验资报告》验证。</w:t>
      </w:r>
      <w:r>
        <w:rPr>
          <w:w w:val="100"/>
        </w:rPr>
        <w:t> </w:t>
      </w:r>
      <w:r>
        <w:rPr>
          <w:spacing w:val="-2"/>
        </w:rPr>
        <w:t>本公司和控股股东产权关系明晰，资产完整并由本公司实际控制和使用，本公司拥有独立的经营系统</w:t>
      </w:r>
    </w:p>
    <w:p>
      <w:pPr>
        <w:pStyle w:val="BodyText"/>
        <w:spacing w:line="355" w:lineRule="auto" w:before="49"/>
        <w:ind w:right="147"/>
        <w:jc w:val="both"/>
      </w:pPr>
      <w:r>
        <w:rPr>
          <w:spacing w:val="-2"/>
        </w:rPr>
        <w:t>和配套设施以及专有技术、计算机著作权等资产，拥有独立的经营场所，对全部资产拥有完全的控制支配</w:t>
      </w:r>
      <w:r>
        <w:rPr>
          <w:spacing w:val="-44"/>
        </w:rPr>
        <w:t> </w:t>
      </w:r>
      <w:r>
        <w:rPr>
          <w:spacing w:val="-44"/>
        </w:rPr>
      </w:r>
      <w:r>
        <w:rPr>
          <w:spacing w:val="-2"/>
        </w:rPr>
        <w:t>权。本公司资产独立于控股股东和其他发起人，不存在其资产、资金被控股股东占用而损害公司利益的情</w:t>
      </w:r>
      <w:r>
        <w:rPr>
          <w:spacing w:val="-47"/>
        </w:rPr>
        <w:t> </w:t>
      </w:r>
      <w:r>
        <w:rPr>
          <w:spacing w:val="-47"/>
        </w:rPr>
      </w:r>
      <w:r>
        <w:rPr/>
        <w:t>况。</w:t>
      </w:r>
    </w:p>
    <w:p>
      <w:pPr>
        <w:pStyle w:val="BodyText"/>
        <w:spacing w:line="355" w:lineRule="auto" w:before="34"/>
        <w:ind w:left="572" w:right="0"/>
        <w:jc w:val="left"/>
      </w:pPr>
      <w:r>
        <w:rPr>
          <w:rFonts w:ascii="宋体" w:hAnsi="宋体" w:cs="宋体" w:eastAsia="宋体" w:hint="default"/>
          <w:b/>
          <w:bCs/>
        </w:rPr>
        <w:t>（四）</w:t>
      </w:r>
      <w:r>
        <w:rPr>
          <w:rFonts w:ascii="宋体" w:hAnsi="宋体" w:cs="宋体" w:eastAsia="宋体" w:hint="default"/>
          <w:b/>
          <w:bCs/>
          <w:spacing w:val="-20"/>
        </w:rPr>
        <w:t> </w:t>
      </w:r>
      <w:r>
        <w:rPr>
          <w:rFonts w:ascii="宋体" w:hAnsi="宋体" w:cs="宋体" w:eastAsia="宋体" w:hint="default"/>
          <w:b/>
          <w:bCs/>
        </w:rPr>
        <w:t>机构独立</w:t>
      </w:r>
      <w:r>
        <w:rPr>
          <w:rFonts w:ascii="宋体" w:hAnsi="宋体" w:cs="宋体" w:eastAsia="宋体" w:hint="default"/>
          <w:b/>
          <w:bCs/>
          <w:spacing w:val="-104"/>
        </w:rPr>
        <w:t> </w:t>
      </w:r>
      <w:r>
        <w:rPr>
          <w:rFonts w:ascii="宋体" w:hAnsi="宋体" w:cs="宋体" w:eastAsia="宋体" w:hint="default"/>
          <w:b/>
          <w:bCs/>
          <w:spacing w:val="-104"/>
        </w:rPr>
      </w:r>
      <w:r>
        <w:rPr>
          <w:spacing w:val="-7"/>
          <w:w w:val="100"/>
        </w:rPr>
        <w:t>本公司根据《公司法》、《证券法》及《公司章程》的规定，建立健全了股东大会、董事会、监事会及</w:t>
      </w:r>
      <w:r>
        <w:rPr>
          <w:w w:val="100"/>
        </w:rPr>
      </w:r>
    </w:p>
    <w:p>
      <w:pPr>
        <w:pStyle w:val="BodyText"/>
        <w:spacing w:line="355" w:lineRule="auto" w:before="32"/>
        <w:ind w:right="150"/>
        <w:jc w:val="both"/>
      </w:pPr>
      <w:r>
        <w:rPr>
          <w:spacing w:val="-2"/>
        </w:rPr>
        <w:t>管理层的运作体系，并制定了相应的议事规则和工作细则。本公司设立了健全的组织机构体系，拥有独立</w:t>
      </w:r>
      <w:r>
        <w:rPr>
          <w:spacing w:val="-46"/>
        </w:rPr>
        <w:t> </w:t>
      </w:r>
      <w:r>
        <w:rPr>
          <w:spacing w:val="-46"/>
        </w:rPr>
      </w:r>
      <w:r>
        <w:rPr>
          <w:spacing w:val="-2"/>
        </w:rPr>
        <w:t>于控股股东的经营场所和经营机构，不存在与控股股东混合经营、合署办公的情形。本公司各业务部门及</w:t>
      </w:r>
      <w:r>
        <w:rPr>
          <w:spacing w:val="-48"/>
        </w:rPr>
        <w:t> </w:t>
      </w:r>
      <w:r>
        <w:rPr>
          <w:spacing w:val="-48"/>
        </w:rPr>
      </w:r>
      <w:r>
        <w:rPr/>
        <w:t>办事机构的设置方案不存在受控股股东及其他任何单位或个人干预的情形。</w:t>
      </w:r>
    </w:p>
    <w:p>
      <w:pPr>
        <w:pStyle w:val="Heading4"/>
        <w:spacing w:line="240" w:lineRule="auto" w:before="34"/>
        <w:ind w:left="572" w:right="3480"/>
        <w:jc w:val="left"/>
        <w:rPr>
          <w:b w:val="0"/>
          <w:bCs w:val="0"/>
        </w:rPr>
      </w:pPr>
      <w:r>
        <w:rPr/>
        <w:t>（五）</w:t>
      </w:r>
      <w:r>
        <w:rPr>
          <w:spacing w:val="-18"/>
        </w:rPr>
        <w:t> </w:t>
      </w:r>
      <w:r>
        <w:rPr/>
        <w:t>财务独立</w:t>
      </w:r>
      <w:r>
        <w:rPr>
          <w:b w:val="0"/>
          <w:bCs w:val="0"/>
        </w:rPr>
      </w:r>
    </w:p>
    <w:p>
      <w:pPr>
        <w:spacing w:after="0" w:line="240" w:lineRule="auto"/>
        <w:jc w:val="left"/>
        <w:sectPr>
          <w:pgSz w:w="11910" w:h="16840"/>
          <w:pgMar w:header="850" w:footer="979" w:top="1200" w:bottom="1160" w:left="980" w:right="980"/>
        </w:sectPr>
      </w:pPr>
    </w:p>
    <w:p>
      <w:pPr>
        <w:pStyle w:val="BodyText"/>
        <w:spacing w:line="355" w:lineRule="auto" w:before="30"/>
        <w:ind w:right="147" w:firstLine="420"/>
        <w:jc w:val="both"/>
      </w:pPr>
      <w:r>
        <w:rPr/>
        <w:pict>
          <v:group style="position:absolute;margin-left:55.200001pt;margin-top:2.843687pt;width:484.8pt;height:.1pt;mso-position-horizontal-relative:page;mso-position-vertical-relative:paragraph;z-index:-772672" coordorigin="1104,57" coordsize="9696,2">
            <v:shape style="position:absolute;left:1104;top:57;width:9696;height:2" coordorigin="1104,57" coordsize="9696,0" path="m1104,57l10800,57e" filled="false" stroked="true" strokeweight=".72pt" strokecolor="#000000">
              <v:path arrowok="t"/>
            </v:shape>
            <w10:wrap type="none"/>
          </v:group>
        </w:pict>
      </w:r>
      <w:r>
        <w:rPr>
          <w:spacing w:val="-2"/>
        </w:rPr>
        <w:t>本公司设有独立的财务部门，建立了独立的会计核算体系和财务管理制度，并实施严格的内部审计制</w:t>
      </w:r>
      <w:r>
        <w:rPr>
          <w:w w:val="100"/>
        </w:rPr>
        <w:t> </w:t>
      </w:r>
      <w:r>
        <w:rPr>
          <w:spacing w:val="-2"/>
        </w:rPr>
        <w:t>度，不存在本公司股东或其他关联方干预本公司资金使用的情况；本公司拥有独立的银行账户，独立进行</w:t>
      </w:r>
      <w:r>
        <w:rPr>
          <w:spacing w:val="-46"/>
        </w:rPr>
        <w:t> </w:t>
      </w:r>
      <w:r>
        <w:rPr>
          <w:spacing w:val="-46"/>
        </w:rPr>
      </w:r>
      <w:r>
        <w:rPr/>
        <w:t>纳税申报并履行纳税义务，本公司股东及其他关联方没有非正常占用本公司资金、资产和其他资源。</w:t>
      </w:r>
    </w:p>
    <w:p>
      <w:pPr>
        <w:spacing w:line="688" w:lineRule="exact" w:before="8"/>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四、高级管理人员的考评及激励机制</w:t>
      </w:r>
      <w:r>
        <w:rPr>
          <w:rFonts w:ascii="宋体" w:hAnsi="宋体" w:cs="宋体" w:eastAsia="宋体" w:hint="default"/>
          <w:b/>
          <w:bCs/>
          <w:w w:val="100"/>
          <w:sz w:val="21"/>
          <w:szCs w:val="21"/>
        </w:rPr>
        <w:t> </w:t>
      </w:r>
      <w:r>
        <w:rPr>
          <w:rFonts w:ascii="宋体" w:hAnsi="宋体" w:cs="宋体" w:eastAsia="宋体" w:hint="default"/>
          <w:spacing w:val="-2"/>
          <w:sz w:val="21"/>
          <w:szCs w:val="21"/>
        </w:rPr>
        <w:t>公司重视对高级管理人员的绩效考评工作，不断完善高级管理人员的考评和激励机制。公司对高级管</w:t>
      </w:r>
    </w:p>
    <w:p>
      <w:pPr>
        <w:pStyle w:val="BodyText"/>
        <w:spacing w:line="357" w:lineRule="auto" w:before="25"/>
        <w:ind w:right="0"/>
        <w:jc w:val="left"/>
      </w:pPr>
      <w:r>
        <w:rPr>
          <w:spacing w:val="-2"/>
        </w:rPr>
        <w:t>理人员实行年薪制，高级管理人员的年薪与公司经营业绩以及个人工作绩效挂钩，由公司董事会薪酬委员</w:t>
      </w:r>
      <w:r>
        <w:rPr>
          <w:spacing w:val="-42"/>
        </w:rPr>
        <w:t> </w:t>
      </w:r>
      <w:r>
        <w:rPr>
          <w:spacing w:val="-42"/>
        </w:rPr>
      </w:r>
      <w:r>
        <w:rPr/>
        <w:t>会对高级管理人员进行考评。考评结果作为高管人员年薪核定的主要依据，由董事会最终审议通</w:t>
      </w:r>
      <w:bookmarkStart w:name="_bookmark5" w:id="11"/>
      <w:bookmarkEnd w:id="11"/>
      <w:r>
        <w:rPr/>
        <w:t>过。</w:t>
      </w:r>
    </w:p>
    <w:p>
      <w:pPr>
        <w:spacing w:after="0" w:line="357" w:lineRule="auto"/>
        <w:jc w:val="left"/>
        <w:sectPr>
          <w:pgSz w:w="11910" w:h="16840"/>
          <w:pgMar w:header="850" w:footer="979" w:top="1200" w:bottom="1160" w:left="980" w:right="980"/>
        </w:sectPr>
      </w:pPr>
    </w:p>
    <w:p>
      <w:pPr>
        <w:spacing w:line="240" w:lineRule="auto" w:before="10"/>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spacing w:before="14"/>
        <w:ind w:left="1416" w:right="1416" w:firstLine="0"/>
        <w:jc w:val="center"/>
        <w:rPr>
          <w:rFonts w:ascii="宋体" w:hAnsi="宋体" w:cs="宋体" w:eastAsia="宋体" w:hint="default"/>
          <w:sz w:val="28"/>
          <w:szCs w:val="28"/>
        </w:rPr>
      </w:pPr>
      <w:bookmarkStart w:name="第六节 内部控制" w:id="12"/>
      <w:bookmarkEnd w:id="12"/>
      <w:r>
        <w:rPr/>
      </w:r>
      <w:r>
        <w:rPr>
          <w:rFonts w:ascii="宋体" w:hAnsi="宋体" w:cs="宋体" w:eastAsia="宋体" w:hint="default"/>
          <w:b/>
          <w:bCs/>
          <w:sz w:val="28"/>
          <w:szCs w:val="28"/>
        </w:rPr>
        <w:t>第六节</w:t>
      </w:r>
      <w:r>
        <w:rPr>
          <w:rFonts w:ascii="宋体" w:hAnsi="宋体" w:cs="宋体" w:eastAsia="宋体" w:hint="default"/>
          <w:b/>
          <w:bCs/>
          <w:spacing w:val="-3"/>
          <w:sz w:val="28"/>
          <w:szCs w:val="28"/>
        </w:rPr>
        <w:t> </w:t>
      </w:r>
      <w:r>
        <w:rPr>
          <w:rFonts w:ascii="宋体" w:hAnsi="宋体" w:cs="宋体" w:eastAsia="宋体" w:hint="default"/>
          <w:b/>
          <w:bCs/>
          <w:sz w:val="28"/>
          <w:szCs w:val="28"/>
        </w:rPr>
        <w:t>内部控制</w:t>
      </w:r>
      <w:r>
        <w:rPr>
          <w:rFonts w:ascii="宋体" w:hAnsi="宋体" w:cs="宋体" w:eastAsia="宋体" w:hint="default"/>
          <w:sz w:val="28"/>
          <w:szCs w:val="28"/>
        </w:rPr>
      </w:r>
    </w:p>
    <w:p>
      <w:pPr>
        <w:spacing w:line="240" w:lineRule="auto" w:before="11"/>
        <w:rPr>
          <w:rFonts w:ascii="宋体" w:hAnsi="宋体" w:cs="宋体" w:eastAsia="宋体" w:hint="default"/>
          <w:b/>
          <w:bCs/>
          <w:sz w:val="35"/>
          <w:szCs w:val="35"/>
        </w:rPr>
      </w:pPr>
    </w:p>
    <w:p>
      <w:pPr>
        <w:pStyle w:val="Heading4"/>
        <w:spacing w:line="240" w:lineRule="auto"/>
        <w:ind w:left="575" w:right="3480"/>
        <w:jc w:val="left"/>
        <w:rPr>
          <w:b w:val="0"/>
          <w:bCs w:val="0"/>
        </w:rPr>
      </w:pPr>
      <w:r>
        <w:rPr/>
        <w:t>一、公司内部控制制度的建立和健全情况</w:t>
      </w:r>
      <w:r>
        <w:rPr>
          <w:b w:val="0"/>
          <w:bCs w:val="0"/>
        </w:rPr>
      </w:r>
    </w:p>
    <w:p>
      <w:pPr>
        <w:spacing w:line="240" w:lineRule="auto" w:before="0"/>
        <w:rPr>
          <w:rFonts w:ascii="宋体" w:hAnsi="宋体" w:cs="宋体" w:eastAsia="宋体" w:hint="default"/>
          <w:b/>
          <w:bCs/>
          <w:sz w:val="20"/>
          <w:szCs w:val="20"/>
        </w:rPr>
      </w:pPr>
    </w:p>
    <w:p>
      <w:pPr>
        <w:spacing w:line="355" w:lineRule="auto" w:before="154"/>
        <w:ind w:left="572" w:right="0" w:hanging="8"/>
        <w:jc w:val="left"/>
        <w:rPr>
          <w:rFonts w:ascii="宋体" w:hAnsi="宋体" w:cs="宋体" w:eastAsia="宋体" w:hint="default"/>
          <w:sz w:val="21"/>
          <w:szCs w:val="21"/>
        </w:rPr>
      </w:pPr>
      <w:r>
        <w:rPr>
          <w:rFonts w:ascii="宋体" w:hAnsi="宋体" w:cs="宋体" w:eastAsia="宋体" w:hint="default"/>
          <w:b/>
          <w:bCs/>
          <w:sz w:val="21"/>
          <w:szCs w:val="21"/>
        </w:rPr>
        <w:t>（一）公司内部控制的组织架构</w:t>
      </w:r>
      <w:r>
        <w:rPr>
          <w:rFonts w:ascii="宋体" w:hAnsi="宋体" w:cs="宋体" w:eastAsia="宋体" w:hint="default"/>
          <w:b/>
          <w:bCs/>
          <w:w w:val="100"/>
          <w:sz w:val="21"/>
          <w:szCs w:val="21"/>
        </w:rPr>
        <w:t> </w:t>
      </w:r>
      <w:r>
        <w:rPr>
          <w:rFonts w:ascii="宋体" w:hAnsi="宋体" w:cs="宋体" w:eastAsia="宋体" w:hint="default"/>
          <w:spacing w:val="-2"/>
          <w:sz w:val="21"/>
          <w:szCs w:val="21"/>
        </w:rPr>
        <w:t>公司严格按照《公司法》、《证券法》、《企业内部控制基本规范》等有关制度的规定、参照财政部</w:t>
      </w:r>
    </w:p>
    <w:p>
      <w:pPr>
        <w:pStyle w:val="BodyText"/>
        <w:spacing w:line="355" w:lineRule="auto" w:before="34"/>
        <w:ind w:right="147"/>
        <w:jc w:val="both"/>
      </w:pPr>
      <w:r>
        <w:rPr>
          <w:spacing w:val="-2"/>
          <w:w w:val="100"/>
        </w:rPr>
        <w:t>会同证监会、审计署、国资委、银监会、保监会等部委制定的《企业内部控制配套指引》，进一步完善和</w:t>
      </w:r>
      <w:r>
        <w:rPr>
          <w:spacing w:val="-94"/>
          <w:w w:val="100"/>
        </w:rPr>
        <w:t> </w:t>
      </w:r>
      <w:r>
        <w:rPr>
          <w:spacing w:val="-94"/>
          <w:w w:val="100"/>
        </w:rPr>
      </w:r>
      <w:r>
        <w:rPr>
          <w:spacing w:val="-2"/>
        </w:rPr>
        <w:t>细化了公司内部治理结构，确保公司股东大会、董事会、监事会、管理层的规范有效运作，维护了广大投</w:t>
      </w:r>
      <w:r>
        <w:rPr>
          <w:spacing w:val="-43"/>
        </w:rPr>
        <w:t> </w:t>
      </w:r>
      <w:r>
        <w:rPr>
          <w:spacing w:val="-43"/>
        </w:rPr>
      </w:r>
      <w:r>
        <w:rPr/>
        <w:t>资者的利益。目前，公司内部控制的组织架构为：</w:t>
      </w:r>
    </w:p>
    <w:p>
      <w:pPr>
        <w:pStyle w:val="BodyText"/>
        <w:spacing w:line="336" w:lineRule="auto" w:before="32"/>
        <w:ind w:left="572" w:right="0"/>
        <w:jc w:val="left"/>
      </w:pPr>
      <w:r>
        <w:rPr>
          <w:rFonts w:ascii="Times New Roman" w:hAnsi="Times New Roman" w:cs="Times New Roman" w:eastAsia="Times New Roman" w:hint="default"/>
        </w:rPr>
        <w:t>1</w:t>
      </w:r>
      <w:r>
        <w:rPr/>
        <w:t>、股东大会</w:t>
      </w:r>
      <w:r>
        <w:rPr>
          <w:spacing w:val="-3"/>
          <w:w w:val="100"/>
        </w:rPr>
        <w:t> </w:t>
      </w:r>
      <w:r>
        <w:rPr>
          <w:spacing w:val="-2"/>
        </w:rPr>
        <w:t>股东大会是公司的最高权力机构，对《公司法》和《公司章程》规定的公司年度财务预决算方案、重</w:t>
      </w:r>
    </w:p>
    <w:p>
      <w:pPr>
        <w:pStyle w:val="BodyText"/>
        <w:spacing w:line="240" w:lineRule="auto" w:before="51"/>
        <w:ind w:right="0"/>
        <w:jc w:val="both"/>
      </w:pPr>
      <w:r>
        <w:rPr/>
        <w:t>大担保事项、股权激励计划等重大事项进行审议。</w:t>
      </w:r>
    </w:p>
    <w:p>
      <w:pPr>
        <w:pStyle w:val="BodyText"/>
        <w:spacing w:line="336" w:lineRule="auto" w:before="133"/>
        <w:ind w:left="572" w:right="0"/>
        <w:jc w:val="left"/>
      </w:pPr>
      <w:r>
        <w:rPr>
          <w:rFonts w:ascii="Times New Roman" w:hAnsi="Times New Roman" w:cs="Times New Roman" w:eastAsia="Times New Roman" w:hint="default"/>
        </w:rPr>
        <w:t>2</w:t>
      </w:r>
      <w:r>
        <w:rPr/>
        <w:t>、董事会</w:t>
      </w:r>
      <w:r>
        <w:rPr>
          <w:spacing w:val="-103"/>
        </w:rPr>
        <w:t> </w:t>
      </w:r>
      <w:r>
        <w:rPr>
          <w:spacing w:val="-103"/>
        </w:rPr>
      </w:r>
      <w:r>
        <w:rPr>
          <w:spacing w:val="-2"/>
        </w:rPr>
        <w:t>董事会是公司的决策机构，对股东大会负责，执行股东大会的决议，并向股东大会报告工作。公司董</w:t>
      </w:r>
    </w:p>
    <w:p>
      <w:pPr>
        <w:pStyle w:val="BodyText"/>
        <w:spacing w:line="357" w:lineRule="auto" w:before="49"/>
        <w:ind w:right="125"/>
        <w:jc w:val="both"/>
      </w:pPr>
      <w:r>
        <w:rPr>
          <w:spacing w:val="-2"/>
        </w:rPr>
        <w:t>事会下设提名委员会、审计委员会、薪酬委员会三个专业委员会，为促使董事会及其委员会有效地行使职</w:t>
      </w:r>
      <w:r>
        <w:rPr>
          <w:spacing w:val="-48"/>
        </w:rPr>
        <w:t> </w:t>
      </w:r>
      <w:r>
        <w:rPr>
          <w:spacing w:val="-48"/>
        </w:rPr>
      </w:r>
      <w:r>
        <w:rPr>
          <w:spacing w:val="-2"/>
        </w:rPr>
        <w:t>责，公司制定有《董事会议事规则》、《董事会提名委员会工作细则》、《董事会审计委员会工作细则》</w:t>
      </w:r>
      <w:r>
        <w:rPr>
          <w:spacing w:val="-21"/>
        </w:rPr>
        <w:t> </w:t>
      </w:r>
      <w:r>
        <w:rPr>
          <w:spacing w:val="-21"/>
        </w:rPr>
      </w:r>
      <w:r>
        <w:rPr/>
        <w:t>以及《董事会薪酬委员会工作细则》。</w:t>
      </w:r>
    </w:p>
    <w:p>
      <w:pPr>
        <w:pStyle w:val="BodyText"/>
        <w:spacing w:line="336" w:lineRule="auto" w:before="30"/>
        <w:ind w:left="572" w:right="0"/>
        <w:jc w:val="left"/>
      </w:pPr>
      <w:r>
        <w:rPr>
          <w:rFonts w:ascii="Times New Roman" w:hAnsi="Times New Roman" w:cs="Times New Roman" w:eastAsia="Times New Roman" w:hint="default"/>
        </w:rPr>
        <w:t>3</w:t>
      </w:r>
      <w:r>
        <w:rPr/>
        <w:t>、监事会</w:t>
      </w:r>
      <w:r>
        <w:rPr>
          <w:spacing w:val="-103"/>
        </w:rPr>
        <w:t> </w:t>
      </w:r>
      <w:r>
        <w:rPr>
          <w:spacing w:val="-103"/>
        </w:rPr>
      </w:r>
      <w:r>
        <w:rPr>
          <w:spacing w:val="-2"/>
        </w:rPr>
        <w:t>监事是公司的监督机构，根据《公司法》以及《公司章程》的规定，对董事、全体高级管理人员的行</w:t>
      </w:r>
      <w:r>
        <w:rPr/>
      </w:r>
    </w:p>
    <w:p>
      <w:pPr>
        <w:pStyle w:val="BodyText"/>
        <w:spacing w:line="240" w:lineRule="auto" w:before="49"/>
        <w:ind w:right="0"/>
        <w:jc w:val="both"/>
      </w:pPr>
      <w:r>
        <w:rPr/>
        <w:t>为、公司内部控制制度执行情况及公司的财务状况进行监督及检查。</w:t>
      </w:r>
    </w:p>
    <w:p>
      <w:pPr>
        <w:pStyle w:val="BodyText"/>
        <w:spacing w:line="336" w:lineRule="auto" w:before="135"/>
        <w:ind w:left="572" w:right="0"/>
        <w:jc w:val="left"/>
      </w:pPr>
      <w:r>
        <w:rPr>
          <w:rFonts w:ascii="Times New Roman" w:hAnsi="Times New Roman" w:cs="Times New Roman" w:eastAsia="Times New Roman" w:hint="default"/>
        </w:rPr>
        <w:t>4</w:t>
      </w:r>
      <w:r>
        <w:rPr/>
        <w:t>、管理层</w:t>
      </w:r>
      <w:r>
        <w:rPr>
          <w:spacing w:val="-103"/>
        </w:rPr>
        <w:t> </w:t>
      </w:r>
      <w:r>
        <w:rPr>
          <w:spacing w:val="-103"/>
        </w:rPr>
      </w:r>
      <w:r>
        <w:rPr>
          <w:spacing w:val="-2"/>
        </w:rPr>
        <w:t>管理层负责公司的具体经营管理工作，组织实施股东大会、董事会的决议，并向董事会报告工作，负</w:t>
      </w:r>
    </w:p>
    <w:p>
      <w:pPr>
        <w:pStyle w:val="BodyText"/>
        <w:spacing w:line="240" w:lineRule="auto" w:before="49"/>
        <w:ind w:right="0"/>
        <w:jc w:val="both"/>
      </w:pPr>
      <w:r>
        <w:rPr/>
        <w:t>责内部控制制度的具体制定和有效执行。</w:t>
      </w:r>
    </w:p>
    <w:p>
      <w:pPr>
        <w:pStyle w:val="Heading4"/>
        <w:spacing w:line="240" w:lineRule="auto" w:before="133"/>
        <w:ind w:right="0"/>
        <w:jc w:val="left"/>
        <w:rPr>
          <w:b w:val="0"/>
          <w:bCs w:val="0"/>
        </w:rPr>
      </w:pPr>
      <w:r>
        <w:rPr/>
        <w:t>（二）公司内审机构的设立、人员配备及开展内控工作的主要情况</w:t>
      </w:r>
      <w:r>
        <w:rPr>
          <w:b w:val="0"/>
          <w:bCs w:val="0"/>
        </w:rPr>
      </w:r>
    </w:p>
    <w:p>
      <w:pPr>
        <w:pStyle w:val="BodyText"/>
        <w:spacing w:line="348" w:lineRule="auto" w:before="133"/>
        <w:ind w:right="149" w:firstLine="420"/>
        <w:jc w:val="both"/>
      </w:pPr>
      <w:r>
        <w:rPr/>
        <w:t>（</w:t>
      </w:r>
      <w:r>
        <w:rPr>
          <w:rFonts w:ascii="Times New Roman" w:hAnsi="Times New Roman" w:cs="Times New Roman" w:eastAsia="Times New Roman" w:hint="default"/>
        </w:rPr>
        <w:t>1</w:t>
      </w:r>
      <w:r>
        <w:rPr/>
        <w:t>）根据中小企业板上市公司的相关要求，公司设立了内部审计机构，配备了一位负责人，经审计</w:t>
      </w:r>
      <w:r>
        <w:rPr>
          <w:w w:val="100"/>
        </w:rPr>
        <w:t> </w:t>
      </w:r>
      <w:r>
        <w:rPr>
          <w:spacing w:val="-2"/>
        </w:rPr>
        <w:t>部负责人提名、审计委员会审核同意后，聘任了两名专职审计人员，作为董事会审计委员会的日常工作机</w:t>
      </w:r>
      <w:r>
        <w:rPr>
          <w:spacing w:val="-48"/>
        </w:rPr>
        <w:t> </w:t>
      </w:r>
      <w:r>
        <w:rPr>
          <w:spacing w:val="-48"/>
        </w:rPr>
      </w:r>
      <w:r>
        <w:rPr/>
        <w:t>构，完成公司《内部审计制度》规定的和审计委员会安排的工作。</w:t>
      </w:r>
    </w:p>
    <w:p>
      <w:pPr>
        <w:pStyle w:val="BodyText"/>
        <w:spacing w:line="336" w:lineRule="auto" w:before="38"/>
        <w:ind w:right="154" w:firstLine="420"/>
        <w:jc w:val="both"/>
      </w:pPr>
      <w:r>
        <w:rPr/>
        <w:t>（</w:t>
      </w:r>
      <w:r>
        <w:rPr>
          <w:rFonts w:ascii="Times New Roman" w:hAnsi="Times New Roman" w:cs="Times New Roman" w:eastAsia="Times New Roman" w:hint="default"/>
        </w:rPr>
        <w:t>2</w:t>
      </w:r>
      <w:r>
        <w:rPr/>
        <w:t>）公司审计部负责人由董事会审计委员会提名，董事会聘任。结合公司实际情况，内部审计人员</w:t>
      </w:r>
      <w:r>
        <w:rPr>
          <w:w w:val="100"/>
        </w:rPr>
        <w:t> </w:t>
      </w:r>
      <w:r>
        <w:rPr/>
        <w:t>配备了熟悉公司业务、具备会计专业知识等人员，保证内部审计工作的有效运行。</w:t>
      </w:r>
    </w:p>
    <w:p>
      <w:pPr>
        <w:pStyle w:val="BodyText"/>
        <w:spacing w:line="345" w:lineRule="auto" w:before="51"/>
        <w:ind w:right="147" w:firstLine="420"/>
        <w:jc w:val="both"/>
      </w:pPr>
      <w:r>
        <w:rPr/>
        <w:t>（</w:t>
      </w:r>
      <w:r>
        <w:rPr>
          <w:rFonts w:ascii="Times New Roman" w:hAnsi="Times New Roman" w:cs="Times New Roman" w:eastAsia="Times New Roman" w:hint="default"/>
        </w:rPr>
        <w:t>3</w:t>
      </w:r>
      <w:r>
        <w:rPr/>
        <w:t>）公司审计部在董事会审计委员会的领导下，负责公司经营活动、财务报告、重大项目、内部控</w:t>
      </w:r>
      <w:r>
        <w:rPr>
          <w:w w:val="100"/>
        </w:rPr>
        <w:t> </w:t>
      </w:r>
      <w:r>
        <w:rPr>
          <w:spacing w:val="-2"/>
        </w:rPr>
        <w:t>制制度执行情况等事项进行审计和检查，并对公司业绩快报等发表内部审计意见，以有效监控公司整体运</w:t>
      </w:r>
      <w:r>
        <w:rPr>
          <w:spacing w:val="-42"/>
        </w:rPr>
        <w:t> </w:t>
      </w:r>
      <w:r>
        <w:rPr>
          <w:spacing w:val="-42"/>
        </w:rPr>
      </w:r>
      <w:r>
        <w:rPr/>
        <w:t>营风险。</w:t>
      </w:r>
    </w:p>
    <w:p>
      <w:pPr>
        <w:pStyle w:val="BodyText"/>
        <w:spacing w:line="240" w:lineRule="auto" w:before="41"/>
        <w:ind w:left="572" w:right="3480"/>
        <w:jc w:val="left"/>
      </w:pPr>
      <w:r>
        <w:rPr/>
        <w:t>公司内部审计制度的建立和执行情况如下：</w:t>
      </w:r>
    </w:p>
    <w:p>
      <w:pPr>
        <w:spacing w:after="0" w:line="240" w:lineRule="auto"/>
        <w:jc w:val="left"/>
        <w:sectPr>
          <w:pgSz w:w="11910" w:h="16840"/>
          <w:pgMar w:header="850" w:footer="979" w:top="1200" w:bottom="1160" w:left="980" w:right="980"/>
        </w:sectPr>
      </w:pPr>
    </w:p>
    <w:tbl>
      <w:tblPr>
        <w:tblW w:w="0" w:type="auto"/>
        <w:jc w:val="left"/>
        <w:tblInd w:w="118" w:type="dxa"/>
        <w:tblLayout w:type="fixed"/>
        <w:tblCellMar>
          <w:top w:w="0" w:type="dxa"/>
          <w:left w:w="0" w:type="dxa"/>
          <w:bottom w:w="0" w:type="dxa"/>
          <w:right w:w="0" w:type="dxa"/>
        </w:tblCellMar>
        <w:tblLook w:val="01E0"/>
      </w:tblPr>
      <w:tblGrid>
        <w:gridCol w:w="6727"/>
        <w:gridCol w:w="1594"/>
        <w:gridCol w:w="1334"/>
      </w:tblGrid>
      <w:tr>
        <w:trPr>
          <w:trHeight w:val="634" w:hRule="exact"/>
        </w:trPr>
        <w:tc>
          <w:tcPr>
            <w:tcW w:w="67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sz w:val="21"/>
                <w:szCs w:val="21"/>
              </w:rPr>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b/>
                <w:bCs/>
                <w:sz w:val="21"/>
                <w:szCs w:val="21"/>
              </w:rPr>
              <w:t>是</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不适用</w:t>
            </w:r>
            <w:r>
              <w:rPr>
                <w:rFonts w:ascii="宋体" w:hAnsi="宋体" w:cs="宋体" w:eastAsia="宋体" w:hint="default"/>
                <w:sz w:val="21"/>
                <w:szCs w:val="21"/>
              </w:rPr>
            </w:r>
          </w:p>
        </w:tc>
        <w:tc>
          <w:tcPr>
            <w:tcW w:w="13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8"/>
              <w:ind w:left="4"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3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b/>
                <w:bCs/>
                <w:sz w:val="21"/>
                <w:szCs w:val="21"/>
              </w:rPr>
              <w:t>一、内部审计制度的建立情况以及内审工作指引落实情况</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73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105" w:right="93"/>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．公司是否在股票上市后六个月内建立内部审计制度，内部审计制度是</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否经公司董事会审议通过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73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5" w:right="93"/>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．公司董事会是否设立审计委员会，公司在股票上市后六个月内是否设</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立独立于财务部门的内部审计部门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73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5" w:right="93" w:hanging="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）审计委员会成员是否全部由董事组成，独立董事占半数以上并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担任召集人，且至少有一名独立董事为会计专业人士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73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5" w:right="97"/>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）内部审计部门是否配置三名以上（含三名）专职人员从事内部审计</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工作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）内部审计部门负责人是否专职，由审计委员会提名，董事会任免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b/>
                <w:bCs/>
                <w:sz w:val="21"/>
                <w:szCs w:val="21"/>
              </w:rPr>
              <w:t>二、年度内部控制自我评价报告披露相关情况</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7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．公司是否根据相关规定出具年度内部控制自我评价报告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73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5" w:right="-10"/>
              <w:jc w:val="left"/>
              <w:rPr>
                <w:rFonts w:ascii="宋体" w:hAnsi="宋体" w:cs="宋体" w:eastAsia="宋体" w:hint="default"/>
                <w:sz w:val="21"/>
                <w:szCs w:val="21"/>
              </w:rPr>
            </w:pPr>
            <w:r>
              <w:rPr>
                <w:rFonts w:ascii="Times New Roman" w:hAnsi="Times New Roman" w:cs="Times New Roman" w:eastAsia="Times New Roman" w:hint="default"/>
                <w:spacing w:val="-8"/>
                <w:w w:val="100"/>
                <w:sz w:val="21"/>
                <w:szCs w:val="21"/>
              </w:rPr>
              <w:t>2</w:t>
            </w:r>
            <w:r>
              <w:rPr>
                <w:rFonts w:ascii="宋体" w:hAnsi="宋体" w:cs="宋体" w:eastAsia="宋体" w:hint="default"/>
                <w:spacing w:val="-8"/>
                <w:w w:val="100"/>
                <w:sz w:val="21"/>
                <w:szCs w:val="21"/>
              </w:rPr>
              <w:t>．内部控制自我评价报告结论是否为内部控制有效（如为内部控制无效，</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请说明内部控制存在的重大缺陷）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．本年度是否聘请会计师事务所对内部控制有效性出具鉴证报告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109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2"/>
              <w:ind w:left="105" w:right="-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．会计师事务所对公司内部控制有效性是否出具无保留结论鉴证报告。</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如出具非无保留结论鉴证报告，公司董事会、监事会是否针对鉴证结论</w:t>
            </w:r>
            <w:r>
              <w:rPr>
                <w:rFonts w:ascii="宋体" w:hAnsi="宋体" w:cs="宋体" w:eastAsia="宋体" w:hint="default"/>
                <w:w w:val="100"/>
                <w:sz w:val="21"/>
                <w:szCs w:val="21"/>
              </w:rPr>
              <w:t> </w:t>
            </w:r>
            <w:r>
              <w:rPr>
                <w:rFonts w:ascii="宋体" w:hAnsi="宋体" w:cs="宋体" w:eastAsia="宋体" w:hint="default"/>
                <w:sz w:val="21"/>
                <w:szCs w:val="21"/>
              </w:rPr>
              <w:t>涉及事项做出专项说明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．独立董事、监事会是否出具明确同意意见（如为异议意见，请说明）</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．保荐机构和保荐代表人是否出具明确同意的核查意见（如适用）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72" w:hRule="exact"/>
        </w:trPr>
        <w:tc>
          <w:tcPr>
            <w:tcW w:w="9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21"/>
                <w:szCs w:val="21"/>
              </w:rPr>
            </w:pPr>
            <w:r>
              <w:rPr>
                <w:rFonts w:ascii="宋体" w:hAnsi="宋体" w:cs="宋体" w:eastAsia="宋体" w:hint="default"/>
                <w:b/>
                <w:bCs/>
                <w:sz w:val="21"/>
                <w:szCs w:val="21"/>
              </w:rPr>
              <w:t>三、审计委员会和内部审计部门本年度的主要工作内容与工作成效</w:t>
            </w:r>
            <w:r>
              <w:rPr>
                <w:rFonts w:ascii="宋体" w:hAnsi="宋体" w:cs="宋体" w:eastAsia="宋体" w:hint="default"/>
                <w:sz w:val="21"/>
                <w:szCs w:val="21"/>
              </w:rPr>
            </w:r>
          </w:p>
        </w:tc>
      </w:tr>
      <w:tr>
        <w:trPr>
          <w:trHeight w:val="3610" w:hRule="exact"/>
        </w:trPr>
        <w:tc>
          <w:tcPr>
            <w:tcW w:w="9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5" w:right="199"/>
              <w:jc w:val="left"/>
              <w:rPr>
                <w:rFonts w:ascii="宋体" w:hAnsi="宋体" w:cs="宋体" w:eastAsia="宋体" w:hint="default"/>
                <w:sz w:val="21"/>
                <w:szCs w:val="21"/>
              </w:rPr>
            </w:pPr>
            <w:r>
              <w:rPr>
                <w:rFonts w:ascii="宋体" w:hAnsi="宋体" w:cs="宋体" w:eastAsia="宋体" w:hint="default"/>
                <w:spacing w:val="-2"/>
                <w:sz w:val="21"/>
                <w:szCs w:val="21"/>
              </w:rPr>
              <w:t>审计委员会本年度主要工作内容及工作成效参见第七节第六部分中的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董事会审计委员会履职情况汇总</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报告</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40" w:lineRule="auto" w:before="13"/>
              <w:ind w:left="105"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26"/>
                <w:sz w:val="21"/>
                <w:szCs w:val="21"/>
              </w:rPr>
              <w:t> </w:t>
            </w:r>
            <w:r>
              <w:rPr>
                <w:rFonts w:ascii="宋体" w:hAnsi="宋体" w:cs="宋体" w:eastAsia="宋体" w:hint="default"/>
                <w:spacing w:val="-2"/>
                <w:sz w:val="21"/>
                <w:szCs w:val="21"/>
              </w:rPr>
              <w:t>年度，内部审计部门主要工作内容为：</w:t>
            </w:r>
            <w:r>
              <w:rPr>
                <w:rFonts w:ascii="宋体" w:hAnsi="宋体" w:cs="宋体" w:eastAsia="宋体" w:hint="default"/>
                <w:sz w:val="21"/>
                <w:szCs w:val="21"/>
              </w:rPr>
            </w:r>
          </w:p>
          <w:p>
            <w:pPr>
              <w:pStyle w:val="TableParagraph"/>
              <w:spacing w:line="240" w:lineRule="auto" w:before="69"/>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年第四季度、年度及</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年前三个季度公司的财务状况进行审计</w:t>
            </w:r>
          </w:p>
          <w:p>
            <w:pPr>
              <w:pStyle w:val="TableParagraph"/>
              <w:spacing w:line="240" w:lineRule="auto" w:before="69"/>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年第四季度、年度及</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年前三个季度公司的募集资金的存放和使用进行审计</w:t>
            </w:r>
          </w:p>
          <w:p>
            <w:pPr>
              <w:pStyle w:val="TableParagraph"/>
              <w:spacing w:line="240" w:lineRule="auto" w:before="69"/>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评价各部门经费管理控制规章制度建立和执行情况</w:t>
            </w:r>
            <w:r>
              <w:rPr>
                <w:rFonts w:ascii="Times New Roman" w:hAnsi="Times New Roman" w:cs="Times New Roman" w:eastAsia="Times New Roman" w:hint="default"/>
                <w:sz w:val="21"/>
                <w:szCs w:val="21"/>
              </w:rPr>
              <w:t>,</w:t>
            </w:r>
            <w:r>
              <w:rPr>
                <w:rFonts w:ascii="宋体" w:hAnsi="宋体" w:cs="宋体" w:eastAsia="宋体" w:hint="default"/>
                <w:sz w:val="21"/>
                <w:szCs w:val="21"/>
              </w:rPr>
              <w:t>了解固定资产购置、管理、使用等方面的情况</w:t>
            </w:r>
          </w:p>
          <w:p>
            <w:pPr>
              <w:pStyle w:val="TableParagraph"/>
              <w:spacing w:line="240" w:lineRule="auto" w:before="69"/>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检查公司是否有对外担保、关联交易情形，并是否履行了相关制度</w:t>
            </w:r>
          </w:p>
          <w:p>
            <w:pPr>
              <w:pStyle w:val="TableParagraph"/>
              <w:spacing w:line="240" w:lineRule="auto" w:before="69"/>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．配合审计委员会以及外部审计机构的工作</w:t>
            </w:r>
          </w:p>
          <w:p>
            <w:pPr>
              <w:pStyle w:val="TableParagraph"/>
              <w:spacing w:line="297" w:lineRule="auto" w:before="69"/>
              <w:ind w:left="106" w:right="94"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pacing w:val="-3"/>
                <w:sz w:val="21"/>
                <w:szCs w:val="21"/>
              </w:rPr>
              <w:t>年度内审部各项工作的开展加强了公司财务管理工作，起到了改进财务管理和流程的作用，有力地</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协助董事会审计委员会完成了各项工作。</w:t>
            </w:r>
          </w:p>
        </w:tc>
      </w:tr>
      <w:tr>
        <w:trPr>
          <w:trHeight w:val="370" w:hRule="exact"/>
        </w:trPr>
        <w:tc>
          <w:tcPr>
            <w:tcW w:w="9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b/>
                <w:bCs/>
                <w:sz w:val="21"/>
                <w:szCs w:val="21"/>
              </w:rPr>
              <w:t>四、公司认为需要说明的其他情况（如有）</w:t>
            </w:r>
            <w:r>
              <w:rPr>
                <w:rFonts w:ascii="宋体" w:hAnsi="宋体" w:cs="宋体" w:eastAsia="宋体" w:hint="default"/>
                <w:sz w:val="21"/>
                <w:szCs w:val="21"/>
              </w:rPr>
            </w:r>
          </w:p>
        </w:tc>
      </w:tr>
      <w:tr>
        <w:trPr>
          <w:trHeight w:val="370" w:hRule="exact"/>
        </w:trPr>
        <w:tc>
          <w:tcPr>
            <w:tcW w:w="9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57" w:lineRule="auto"/>
        <w:ind w:left="552" w:right="20" w:hanging="8"/>
        <w:jc w:val="left"/>
      </w:pPr>
      <w:r>
        <w:rPr>
          <w:rFonts w:ascii="宋体" w:hAnsi="宋体" w:cs="宋体" w:eastAsia="宋体" w:hint="default"/>
          <w:b/>
          <w:bCs/>
        </w:rPr>
        <w:t>（三）重点控制活动</w:t>
      </w:r>
      <w:r>
        <w:rPr>
          <w:rFonts w:ascii="宋体" w:hAnsi="宋体" w:cs="宋体" w:eastAsia="宋体" w:hint="default"/>
          <w:b/>
          <w:bCs/>
          <w:spacing w:val="-103"/>
        </w:rPr>
        <w:t> </w:t>
      </w:r>
      <w:r>
        <w:rPr>
          <w:spacing w:val="-5"/>
        </w:rPr>
        <w:t>公司内部控制制度包括生产经营控制、财务管理控制、信息披露控制等多个方面，涵盖募集资金使用、</w:t>
      </w:r>
    </w:p>
    <w:p>
      <w:pPr>
        <w:pStyle w:val="BodyText"/>
        <w:spacing w:line="240" w:lineRule="auto" w:before="30"/>
        <w:ind w:left="132" w:right="20"/>
        <w:jc w:val="left"/>
      </w:pPr>
      <w:r>
        <w:rPr/>
        <w:t>关联交易、重大投资、对外担保、投资者关系管理、财务报告、信息披露等相关制度，通过对各项业务制</w:t>
      </w:r>
    </w:p>
    <w:p>
      <w:pPr>
        <w:spacing w:after="0" w:line="240" w:lineRule="auto"/>
        <w:jc w:val="left"/>
        <w:sectPr>
          <w:pgSz w:w="11910" w:h="16840"/>
          <w:pgMar w:header="850" w:footer="979" w:top="1260" w:bottom="1160" w:left="1000" w:right="920"/>
        </w:sectPr>
      </w:pPr>
    </w:p>
    <w:p>
      <w:pPr>
        <w:pStyle w:val="BodyText"/>
        <w:spacing w:line="345" w:lineRule="auto" w:before="30"/>
        <w:ind w:left="572" w:right="205" w:hanging="420"/>
        <w:jc w:val="left"/>
      </w:pPr>
      <w:r>
        <w:rPr/>
        <w:pict>
          <v:group style="position:absolute;margin-left:55.200001pt;margin-top:2.843687pt;width:484.8pt;height:.1pt;mso-position-horizontal-relative:page;mso-position-vertical-relative:paragraph;z-index:-772624" coordorigin="1104,57" coordsize="9696,2">
            <v:shape style="position:absolute;left:1104;top:57;width:9696;height:2" coordorigin="1104,57" coordsize="9696,0" path="m1104,57l10800,57e" filled="false" stroked="true" strokeweight=".72pt" strokecolor="#000000">
              <v:path arrowok="t"/>
            </v:shape>
            <w10:wrap type="none"/>
          </v:group>
        </w:pict>
      </w:r>
      <w:r>
        <w:rPr/>
        <w:t>定了详细的内部控制制度外，对经济业务的处理均有明确的授权和审批程序。</w:t>
      </w:r>
      <w:r>
        <w:rPr>
          <w:w w:val="100"/>
        </w:rPr>
        <w:t> </w:t>
      </w:r>
      <w:r>
        <w:rPr>
          <w:rFonts w:ascii="Times New Roman" w:hAnsi="Times New Roman" w:cs="Times New Roman" w:eastAsia="Times New Roman" w:hint="default"/>
          <w:b/>
          <w:bCs/>
        </w:rPr>
        <w:t>1</w:t>
      </w:r>
      <w:r>
        <w:rPr>
          <w:rFonts w:ascii="宋体" w:hAnsi="宋体" w:cs="宋体" w:eastAsia="宋体" w:hint="default"/>
          <w:b/>
          <w:bCs/>
        </w:rPr>
        <w:t>、对控股子公司的内部控制</w:t>
      </w:r>
      <w:r>
        <w:rPr>
          <w:rFonts w:ascii="宋体" w:hAnsi="宋体" w:cs="宋体" w:eastAsia="宋体" w:hint="default"/>
          <w:b/>
          <w:bCs/>
          <w:w w:val="100"/>
        </w:rPr>
        <w:t> </w:t>
      </w:r>
      <w:r>
        <w:rPr>
          <w:spacing w:val="-2"/>
        </w:rPr>
        <w:t>为加强对子公司的管理，公司向子公司委派或推荐董事、监事、财务负责人及主要高级管理人员，总</w:t>
      </w:r>
    </w:p>
    <w:p>
      <w:pPr>
        <w:pStyle w:val="BodyText"/>
        <w:spacing w:line="352" w:lineRule="auto" w:before="43"/>
        <w:ind w:right="206"/>
        <w:jc w:val="both"/>
      </w:pPr>
      <w:r>
        <w:rPr>
          <w:spacing w:val="-2"/>
        </w:rPr>
        <w:t>部职能部门对相应子公司的对口部门进行专业指导及监督，从公司治理、日常经营及财务管理等各方面对</w:t>
      </w:r>
      <w:r>
        <w:rPr>
          <w:spacing w:val="-43"/>
        </w:rPr>
        <w:t> </w:t>
      </w:r>
      <w:r>
        <w:rPr>
          <w:spacing w:val="-43"/>
        </w:rPr>
      </w:r>
      <w:r>
        <w:rPr/>
        <w:t>控股子公司实施了有效的管理。</w:t>
      </w:r>
      <w:r>
        <w:rPr>
          <w:rFonts w:ascii="Times New Roman" w:hAnsi="Times New Roman" w:cs="Times New Roman" w:eastAsia="Times New Roman" w:hint="default"/>
        </w:rPr>
        <w:t>2011 </w:t>
      </w:r>
      <w:r>
        <w:rPr>
          <w:spacing w:val="-4"/>
        </w:rPr>
        <w:t>年，公司制定了《子公司管理制度》，以确保子公司业务归入母公司</w:t>
      </w:r>
      <w:r>
        <w:rPr>
          <w:spacing w:val="-69"/>
        </w:rPr>
        <w:t> </w:t>
      </w:r>
      <w:r>
        <w:rPr>
          <w:spacing w:val="-69"/>
        </w:rPr>
      </w:r>
      <w:r>
        <w:rPr>
          <w:spacing w:val="-2"/>
        </w:rPr>
        <w:t>长期发展的规划范畴，符合母公司的战略推进方向，服务于母公司长远发展目标；确保子公司业务发生的</w:t>
      </w:r>
      <w:r>
        <w:rPr>
          <w:spacing w:val="-48"/>
        </w:rPr>
        <w:t> </w:t>
      </w:r>
      <w:r>
        <w:rPr>
          <w:spacing w:val="-48"/>
        </w:rPr>
      </w:r>
      <w:r>
        <w:rPr>
          <w:spacing w:val="-2"/>
        </w:rPr>
        <w:t>合理性和整体盈利有效性，确保子公司的财务状况受到母公司直接监控；确保子公司的经营和财务信息及</w:t>
      </w:r>
      <w:r>
        <w:rPr>
          <w:spacing w:val="-44"/>
        </w:rPr>
        <w:t> </w:t>
      </w:r>
      <w:r>
        <w:rPr>
          <w:spacing w:val="-44"/>
        </w:rPr>
      </w:r>
      <w:r>
        <w:rPr>
          <w:spacing w:val="-2"/>
        </w:rPr>
        <w:t>时全面反馈，重大经营决策和财务决策经由母公司高级管理层和权力机构的审批，有效控制子公司的经营</w:t>
      </w:r>
      <w:r>
        <w:rPr>
          <w:spacing w:val="-43"/>
        </w:rPr>
        <w:t> </w:t>
      </w:r>
      <w:r>
        <w:rPr>
          <w:spacing w:val="-43"/>
        </w:rPr>
      </w:r>
      <w:r>
        <w:rPr/>
        <w:t>风险。</w:t>
      </w:r>
    </w:p>
    <w:p>
      <w:pPr>
        <w:spacing w:line="331" w:lineRule="auto" w:before="34"/>
        <w:ind w:left="572" w:right="0" w:firstLine="2"/>
        <w:jc w:val="left"/>
        <w:rPr>
          <w:rFonts w:ascii="宋体" w:hAnsi="宋体" w:cs="宋体" w:eastAsia="宋体" w:hint="default"/>
          <w:sz w:val="23"/>
          <w:szCs w:val="23"/>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、关联交易的内部控制</w:t>
      </w:r>
      <w:r>
        <w:rPr>
          <w:rFonts w:ascii="宋体" w:hAnsi="宋体" w:cs="宋体" w:eastAsia="宋体" w:hint="default"/>
          <w:b/>
          <w:bCs/>
          <w:w w:val="100"/>
          <w:sz w:val="21"/>
          <w:szCs w:val="21"/>
        </w:rPr>
        <w:t> </w:t>
      </w:r>
      <w:r>
        <w:rPr>
          <w:rFonts w:ascii="宋体" w:hAnsi="宋体" w:cs="宋体" w:eastAsia="宋体" w:hint="default"/>
          <w:sz w:val="21"/>
          <w:szCs w:val="21"/>
        </w:rPr>
        <w:t>报告期内，公司制定了《规范与关联方资金往来管理制度》，</w:t>
      </w:r>
      <w:r>
        <w:rPr>
          <w:rFonts w:ascii="宋体" w:hAnsi="宋体" w:cs="宋体" w:eastAsia="宋体" w:hint="default"/>
          <w:sz w:val="23"/>
          <w:szCs w:val="23"/>
        </w:rPr>
        <w:t>以保护公司、股东和其他利益相关</w:t>
      </w:r>
    </w:p>
    <w:p>
      <w:pPr>
        <w:pStyle w:val="Heading3"/>
        <w:spacing w:line="355" w:lineRule="auto"/>
        <w:ind w:right="0"/>
        <w:jc w:val="left"/>
      </w:pPr>
      <w:r>
        <w:rPr/>
        <w:t>人的合法权益，建立防范公司关联方占用公司资金的长效机制。该项制度确立了防范资金占用原</w:t>
      </w:r>
      <w:r>
        <w:rPr>
          <w:w w:val="100"/>
        </w:rPr>
        <w:t> </w:t>
      </w:r>
      <w:r>
        <w:rPr>
          <w:spacing w:val="-4"/>
        </w:rPr>
        <w:t>则和与公司关联方资金往来规范，资金往来支付程序，审计管理及建档管理，违规的责任与处理。</w:t>
      </w:r>
    </w:p>
    <w:p>
      <w:pPr>
        <w:pStyle w:val="BodyText"/>
        <w:spacing w:line="338" w:lineRule="auto" w:before="41"/>
        <w:ind w:right="204" w:firstLine="420"/>
        <w:jc w:val="left"/>
      </w:pPr>
      <w:r>
        <w:rPr/>
        <w:t>报告期内，公司未发生关联交易事项，公司独立董事对公司 </w:t>
      </w:r>
      <w:r>
        <w:rPr>
          <w:rFonts w:ascii="Times New Roman" w:hAnsi="Times New Roman" w:cs="Times New Roman" w:eastAsia="Times New Roman" w:hint="default"/>
        </w:rPr>
        <w:t>2011</w:t>
      </w:r>
      <w:r>
        <w:rPr>
          <w:rFonts w:ascii="Times New Roman" w:hAnsi="Times New Roman" w:cs="Times New Roman" w:eastAsia="Times New Roman" w:hint="default"/>
          <w:spacing w:val="22"/>
        </w:rPr>
        <w:t> </w:t>
      </w:r>
      <w:r>
        <w:rPr/>
        <w:t>年度关联交易情况出具了专项说明</w:t>
      </w:r>
      <w:r>
        <w:rPr>
          <w:w w:val="100"/>
        </w:rPr>
        <w:t> </w:t>
      </w:r>
      <w:r>
        <w:rPr/>
        <w:t>和独立意见。</w:t>
      </w:r>
    </w:p>
    <w:p>
      <w:pPr>
        <w:spacing w:line="336" w:lineRule="auto" w:before="47"/>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、对外担保的内部控制</w:t>
      </w:r>
      <w:r>
        <w:rPr>
          <w:rFonts w:ascii="宋体" w:hAnsi="宋体" w:cs="宋体" w:eastAsia="宋体" w:hint="default"/>
          <w:b/>
          <w:bCs/>
          <w:w w:val="100"/>
          <w:sz w:val="21"/>
          <w:szCs w:val="21"/>
        </w:rPr>
        <w:t> </w:t>
      </w:r>
      <w:r>
        <w:rPr>
          <w:rFonts w:ascii="宋体" w:hAnsi="宋体" w:cs="宋体" w:eastAsia="宋体" w:hint="default"/>
          <w:spacing w:val="-2"/>
          <w:sz w:val="21"/>
          <w:szCs w:val="21"/>
        </w:rPr>
        <w:t>公司制订了《对外担保制度》，对公司对外担保的程序、对象、风险规定进行了详细的规定。报告期</w:t>
      </w:r>
    </w:p>
    <w:p>
      <w:pPr>
        <w:pStyle w:val="BodyText"/>
        <w:spacing w:line="348" w:lineRule="auto" w:before="49"/>
        <w:ind w:left="572" w:right="0" w:hanging="421"/>
        <w:jc w:val="left"/>
      </w:pPr>
      <w:r>
        <w:rPr/>
        <w:t>内，公司未发生对外担保事项，公司独立董事对此出具了专项说明和独立意见。</w:t>
      </w:r>
      <w:r>
        <w:rPr>
          <w:w w:val="100"/>
        </w:rPr>
        <w:t> </w:t>
      </w:r>
      <w:r>
        <w:rPr>
          <w:rFonts w:ascii="Times New Roman" w:hAnsi="Times New Roman" w:cs="Times New Roman" w:eastAsia="Times New Roman" w:hint="default"/>
          <w:b/>
          <w:bCs/>
        </w:rPr>
        <w:t>4</w:t>
      </w:r>
      <w:r>
        <w:rPr>
          <w:rFonts w:ascii="宋体" w:hAnsi="宋体" w:cs="宋体" w:eastAsia="宋体" w:hint="default"/>
          <w:b/>
          <w:bCs/>
        </w:rPr>
        <w:t>、募集资金使用的内部控制</w:t>
      </w:r>
      <w:r>
        <w:rPr>
          <w:rFonts w:ascii="宋体" w:hAnsi="宋体" w:cs="宋体" w:eastAsia="宋体" w:hint="default"/>
          <w:b/>
          <w:bCs/>
          <w:w w:val="100"/>
        </w:rPr>
        <w:t> </w:t>
      </w:r>
      <w:r>
        <w:rPr>
          <w:spacing w:val="-2"/>
        </w:rPr>
        <w:t>公司制订了《募集资金管理制度》，对募集资金存放、使用、项目变更、报告、监督等内容作了明确</w:t>
      </w:r>
    </w:p>
    <w:p>
      <w:pPr>
        <w:pStyle w:val="BodyText"/>
        <w:spacing w:line="355" w:lineRule="auto" w:before="38"/>
        <w:ind w:right="206"/>
        <w:jc w:val="both"/>
      </w:pPr>
      <w:r>
        <w:rPr>
          <w:spacing w:val="-2"/>
        </w:rPr>
        <w:t>的规定，公司募集资金使用严格履行了有关法律法规和公司制度规定的程序。报告期内，公司未发生募集</w:t>
      </w:r>
      <w:r>
        <w:rPr>
          <w:spacing w:val="-43"/>
        </w:rPr>
        <w:t> </w:t>
      </w:r>
      <w:r>
        <w:rPr>
          <w:spacing w:val="-43"/>
        </w:rPr>
      </w:r>
      <w:r>
        <w:rPr/>
        <w:t>资金项目变更的情况。</w:t>
      </w:r>
    </w:p>
    <w:p>
      <w:pPr>
        <w:spacing w:line="333" w:lineRule="auto" w:before="32"/>
        <w:ind w:left="572" w:right="0" w:hanging="1"/>
        <w:jc w:val="left"/>
        <w:rPr>
          <w:rFonts w:ascii="宋体" w:hAnsi="宋体" w:cs="宋体" w:eastAsia="宋体" w:hint="default"/>
          <w:sz w:val="23"/>
          <w:szCs w:val="23"/>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、重大投资的内部控制</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报告期内，公司制定了《对外投资管理制度》，</w:t>
      </w:r>
      <w:r>
        <w:rPr>
          <w:rFonts w:ascii="宋体" w:hAnsi="宋体" w:cs="宋体" w:eastAsia="宋体" w:hint="default"/>
          <w:spacing w:val="-2"/>
          <w:sz w:val="23"/>
          <w:szCs w:val="23"/>
        </w:rPr>
        <w:t>确立了公司对外投资的原则、组织管理机构、的</w:t>
      </w:r>
    </w:p>
    <w:p>
      <w:pPr>
        <w:spacing w:line="360" w:lineRule="auto" w:before="55"/>
        <w:ind w:left="152" w:right="107" w:firstLine="0"/>
        <w:jc w:val="both"/>
        <w:rPr>
          <w:rFonts w:ascii="宋体" w:hAnsi="宋体" w:cs="宋体" w:eastAsia="宋体" w:hint="default"/>
          <w:sz w:val="21"/>
          <w:szCs w:val="21"/>
        </w:rPr>
      </w:pPr>
      <w:r>
        <w:rPr>
          <w:rFonts w:ascii="宋体" w:hAnsi="宋体" w:cs="宋体" w:eastAsia="宋体" w:hint="default"/>
          <w:spacing w:val="-6"/>
          <w:sz w:val="23"/>
          <w:szCs w:val="23"/>
        </w:rPr>
        <w:t>审批权限、决策管理程序、终止及转让、财务管理、重大事项报告及信息披露，</w:t>
      </w:r>
      <w:r>
        <w:rPr>
          <w:rFonts w:ascii="宋体" w:hAnsi="宋体" w:cs="宋体" w:eastAsia="宋体" w:hint="default"/>
          <w:spacing w:val="-6"/>
          <w:sz w:val="21"/>
          <w:szCs w:val="21"/>
        </w:rPr>
        <w:t>从而规范投资行为，</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降低投资风险，提高投资收益。</w:t>
      </w:r>
    </w:p>
    <w:p>
      <w:pPr>
        <w:pStyle w:val="BodyText"/>
        <w:spacing w:line="355" w:lineRule="auto" w:before="30"/>
        <w:ind w:right="0" w:firstLine="420"/>
        <w:jc w:val="left"/>
      </w:pPr>
      <w:r>
        <w:rPr>
          <w:spacing w:val="-2"/>
        </w:rPr>
        <w:t>公司所有重大投资均履行了相关审批程序，符合《公司章程》等相关规定，并按照规定履行信息披露</w:t>
      </w:r>
      <w:r>
        <w:rPr>
          <w:w w:val="100"/>
        </w:rPr>
        <w:t> </w:t>
      </w:r>
      <w:r>
        <w:rPr>
          <w:spacing w:val="-5"/>
        </w:rPr>
        <w:t>义务。</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spacing w:val="-4"/>
        </w:rPr>
        <w:t>日，经公司第四届董事会</w:t>
      </w:r>
      <w:r>
        <w:rPr>
          <w:spacing w:val="-4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spacing w:val="-3"/>
        </w:rPr>
        <w:t>年第二次临时会议审议通过，公司以自有资金向北海</w:t>
      </w:r>
    </w:p>
    <w:p>
      <w:pPr>
        <w:pStyle w:val="BodyText"/>
        <w:spacing w:line="240" w:lineRule="auto" w:before="5"/>
        <w:ind w:right="0"/>
        <w:jc w:val="left"/>
      </w:pPr>
      <w:r>
        <w:rPr/>
        <w:t>石基增资</w:t>
      </w:r>
      <w:r>
        <w:rPr>
          <w:spacing w:val="-45"/>
        </w:rPr>
        <w:t> </w:t>
      </w:r>
      <w:r>
        <w:rPr>
          <w:rFonts w:ascii="Times New Roman" w:hAnsi="Times New Roman" w:cs="Times New Roman" w:eastAsia="Times New Roman" w:hint="default"/>
        </w:rPr>
        <w:t>10,334</w:t>
      </w:r>
      <w:r>
        <w:rPr>
          <w:rFonts w:ascii="Times New Roman" w:hAnsi="Times New Roman" w:cs="Times New Roman" w:eastAsia="Times New Roman" w:hint="default"/>
          <w:spacing w:val="8"/>
        </w:rPr>
        <w:t> </w:t>
      </w:r>
      <w:r>
        <w:rPr>
          <w:spacing w:val="-6"/>
        </w:rPr>
        <w:t>万元，本次增资完成后，北海石基注册资本变更为</w:t>
      </w:r>
      <w:r>
        <w:rPr>
          <w:spacing w:val="-46"/>
        </w:rPr>
        <w:t> </w:t>
      </w:r>
      <w:r>
        <w:rPr>
          <w:rFonts w:ascii="Times New Roman" w:hAnsi="Times New Roman" w:cs="Times New Roman" w:eastAsia="Times New Roman" w:hint="default"/>
        </w:rPr>
        <w:t>11,000</w:t>
      </w:r>
      <w:r>
        <w:rPr>
          <w:rFonts w:ascii="Times New Roman" w:hAnsi="Times New Roman" w:cs="Times New Roman" w:eastAsia="Times New Roman" w:hint="default"/>
          <w:spacing w:val="5"/>
        </w:rPr>
        <w:t> </w:t>
      </w:r>
      <w:r>
        <w:rPr>
          <w:spacing w:val="-8"/>
        </w:rPr>
        <w:t>万元，公司持有其</w:t>
      </w:r>
      <w:r>
        <w:rPr>
          <w:spacing w:val="-45"/>
        </w:rPr>
        <w:t> </w:t>
      </w:r>
      <w:r>
        <w:rPr>
          <w:rFonts w:ascii="Times New Roman" w:hAnsi="Times New Roman" w:cs="Times New Roman" w:eastAsia="Times New Roman" w:hint="default"/>
        </w:rPr>
        <w:t>100%</w:t>
      </w:r>
      <w:r>
        <w:rPr/>
        <w:t>的股权。</w:t>
      </w:r>
    </w:p>
    <w:p>
      <w:pPr>
        <w:pStyle w:val="BodyText"/>
        <w:spacing w:line="338" w:lineRule="auto" w:before="117"/>
        <w:ind w:right="207" w:hanging="1"/>
        <w:jc w:val="both"/>
      </w:pPr>
      <w:r>
        <w:rPr>
          <w:rFonts w:ascii="Times New Roman" w:hAnsi="Times New Roman" w:cs="Times New Roman" w:eastAsia="Times New Roman" w:hint="default"/>
          <w:w w:val="100"/>
        </w:rPr>
        <w:t>2011</w:t>
      </w:r>
      <w:r>
        <w:rPr>
          <w:rFonts w:ascii="Times New Roman" w:hAnsi="Times New Roman" w:cs="Times New Roman" w:eastAsia="Times New Roman" w:hint="default"/>
          <w:spacing w:val="2"/>
          <w:w w:val="100"/>
        </w:rPr>
        <w:t> </w:t>
      </w:r>
      <w:r>
        <w:rPr>
          <w:w w:val="100"/>
        </w:rPr>
        <w:t>年</w:t>
      </w:r>
      <w:r>
        <w:rPr>
          <w:spacing w:val="-48"/>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 </w:t>
      </w:r>
      <w:r>
        <w:rPr>
          <w:spacing w:val="-10"/>
          <w:w w:val="100"/>
        </w:rPr>
        <w:t>月，公司通过增持杭州西软科技有限公司（以下简称</w:t>
      </w:r>
      <w:r>
        <w:rPr>
          <w:rFonts w:ascii="Times New Roman" w:hAnsi="Times New Roman" w:cs="Times New Roman" w:eastAsia="Times New Roman" w:hint="default"/>
          <w:spacing w:val="-10"/>
          <w:w w:val="100"/>
        </w:rPr>
        <w:t>“</w:t>
      </w:r>
      <w:r>
        <w:rPr>
          <w:spacing w:val="-10"/>
          <w:w w:val="100"/>
        </w:rPr>
        <w:t>西软科技</w:t>
      </w:r>
      <w:r>
        <w:rPr>
          <w:rFonts w:ascii="Times New Roman" w:hAnsi="Times New Roman" w:cs="Times New Roman" w:eastAsia="Times New Roman" w:hint="default"/>
          <w:spacing w:val="-10"/>
          <w:w w:val="100"/>
        </w:rPr>
        <w:t>”</w:t>
      </w:r>
      <w:r>
        <w:rPr>
          <w:spacing w:val="-10"/>
          <w:w w:val="100"/>
        </w:rPr>
        <w:t>）</w:t>
      </w:r>
      <w:r>
        <w:rPr>
          <w:rFonts w:ascii="Times New Roman" w:hAnsi="Times New Roman" w:cs="Times New Roman" w:eastAsia="Times New Roman" w:hint="default"/>
          <w:spacing w:val="-10"/>
          <w:w w:val="100"/>
        </w:rPr>
        <w:t>18%</w:t>
      </w:r>
      <w:r>
        <w:rPr>
          <w:spacing w:val="-10"/>
          <w:w w:val="100"/>
        </w:rPr>
        <w:t>的股权，取得西软科技</w:t>
      </w:r>
      <w:r>
        <w:rPr>
          <w:spacing w:val="-51"/>
          <w:w w:val="100"/>
        </w:rPr>
        <w:t> </w:t>
      </w:r>
      <w:r>
        <w:rPr>
          <w:rFonts w:ascii="Times New Roman" w:hAnsi="Times New Roman" w:cs="Times New Roman" w:eastAsia="Times New Roman" w:hint="default"/>
          <w:spacing w:val="-1"/>
          <w:w w:val="100"/>
        </w:rPr>
        <w:t>100%</w:t>
      </w:r>
      <w:r>
        <w:rPr>
          <w:rFonts w:ascii="Times New Roman" w:hAnsi="Times New Roman" w:cs="Times New Roman" w:eastAsia="Times New Roman" w:hint="default"/>
          <w:spacing w:val="-50"/>
          <w:w w:val="100"/>
        </w:rPr>
        <w:t> </w:t>
      </w:r>
      <w:r>
        <w:rPr>
          <w:rFonts w:ascii="Times New Roman" w:hAnsi="Times New Roman" w:cs="Times New Roman" w:eastAsia="Times New Roman" w:hint="default"/>
          <w:spacing w:val="-50"/>
          <w:w w:val="100"/>
        </w:rPr>
      </w:r>
      <w:r>
        <w:rPr/>
        <w:t>的股权。</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月，公司收购上海正品贵德有限公司</w:t>
      </w:r>
      <w:r>
        <w:rPr>
          <w:spacing w:val="-52"/>
        </w:rPr>
        <w:t> </w:t>
      </w:r>
      <w:r>
        <w:rPr>
          <w:rFonts w:ascii="Times New Roman" w:hAnsi="Times New Roman" w:cs="Times New Roman" w:eastAsia="Times New Roman" w:hint="default"/>
        </w:rPr>
        <w:t>70%</w:t>
      </w:r>
      <w:r>
        <w:rPr/>
        <w:t>股权。以上重大投资事项均经董事会审议通</w:t>
      </w:r>
      <w:r>
        <w:rPr>
          <w:w w:val="100"/>
        </w:rPr>
        <w:t> </w:t>
      </w:r>
      <w:r>
        <w:rPr/>
        <w:t>过后实施，并及时披露了相关信息。</w:t>
      </w:r>
    </w:p>
    <w:p>
      <w:pPr>
        <w:spacing w:line="336" w:lineRule="auto" w:before="47"/>
        <w:ind w:left="57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、信息披露的内部控制</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报告期内，公司严格按照《信息披露管理制度》和《重大信息及敏感信息内部管理制度》的要求开展</w:t>
      </w:r>
    </w:p>
    <w:p>
      <w:pPr>
        <w:pStyle w:val="BodyText"/>
        <w:spacing w:line="240" w:lineRule="auto" w:before="49"/>
        <w:ind w:right="0"/>
        <w:jc w:val="left"/>
      </w:pPr>
      <w:r>
        <w:rPr>
          <w:spacing w:val="-2"/>
        </w:rPr>
        <w:t>信息披露及投资者关系管理工作。公司按照证监会公告</w:t>
      </w:r>
      <w:r>
        <w:rPr>
          <w:rFonts w:ascii="Times New Roman" w:hAnsi="Times New Roman" w:cs="Times New Roman" w:eastAsia="Times New Roman" w:hint="default"/>
          <w:spacing w:val="-2"/>
        </w:rPr>
        <w:t>[2011]30</w:t>
      </w:r>
      <w:r>
        <w:rPr>
          <w:rFonts w:ascii="Times New Roman" w:hAnsi="Times New Roman" w:cs="Times New Roman" w:eastAsia="Times New Roman" w:hint="default"/>
        </w:rPr>
        <w:t> </w:t>
      </w:r>
      <w:r>
        <w:rPr>
          <w:rFonts w:ascii="Times New Roman" w:hAnsi="Times New Roman" w:cs="Times New Roman" w:eastAsia="Times New Roman" w:hint="default"/>
          <w:spacing w:val="33"/>
        </w:rPr>
        <w:t> </w:t>
      </w:r>
      <w:r>
        <w:rPr>
          <w:spacing w:val="-2"/>
        </w:rPr>
        <w:t>号《关于上市公司建立内幕信息知情人登</w:t>
      </w:r>
    </w:p>
    <w:p>
      <w:pPr>
        <w:spacing w:after="0" w:line="240" w:lineRule="auto"/>
        <w:jc w:val="left"/>
        <w:sectPr>
          <w:footerReference w:type="default" r:id="rId17"/>
          <w:pgSz w:w="11910" w:h="16840"/>
          <w:pgMar w:footer="979" w:header="850" w:top="1200" w:bottom="1160" w:left="980" w:right="920"/>
          <w:pgNumType w:start="27"/>
        </w:sectPr>
      </w:pPr>
    </w:p>
    <w:p>
      <w:pPr>
        <w:pStyle w:val="BodyText"/>
        <w:spacing w:line="355" w:lineRule="auto" w:before="30"/>
        <w:ind w:right="207"/>
        <w:jc w:val="both"/>
      </w:pPr>
      <w:r>
        <w:rPr/>
        <w:pict>
          <v:group style="position:absolute;margin-left:55.200001pt;margin-top:2.843687pt;width:484.8pt;height:.1pt;mso-position-horizontal-relative:page;mso-position-vertical-relative:paragraph;z-index:-772600" coordorigin="1104,57" coordsize="9696,2">
            <v:shape style="position:absolute;left:1104;top:57;width:9696;height:2" coordorigin="1104,57" coordsize="9696,0" path="m1104,57l10800,57e" filled="false" stroked="true" strokeweight=".72pt" strokecolor="#000000">
              <v:path arrowok="t"/>
            </v:shape>
            <w10:wrap type="none"/>
          </v:group>
        </w:pict>
      </w:r>
      <w:r>
        <w:rPr>
          <w:spacing w:val="-2"/>
        </w:rPr>
        <w:t>记管理制度的规定》的要求，修订了《内幕信息知情人登记管理制度》，并严格按照制度执行内幕信息知</w:t>
      </w:r>
      <w:r>
        <w:rPr>
          <w:spacing w:val="-43"/>
        </w:rPr>
        <w:t> </w:t>
      </w:r>
      <w:r>
        <w:rPr>
          <w:spacing w:val="-43"/>
        </w:rPr>
      </w:r>
      <w:r>
        <w:rPr/>
        <w:t>情人的登记和报备程序。</w:t>
      </w:r>
    </w:p>
    <w:p>
      <w:pPr>
        <w:pStyle w:val="BodyText"/>
        <w:spacing w:line="357" w:lineRule="auto" w:before="32"/>
        <w:ind w:right="212" w:firstLine="420"/>
        <w:jc w:val="both"/>
      </w:pPr>
      <w:r>
        <w:rPr>
          <w:spacing w:val="2"/>
        </w:rPr>
        <w:t>公司在日常信息披露和接待投资者调研的工作中，严格遵守各项法规和公司信息披露相关制度的规</w:t>
      </w:r>
      <w:r>
        <w:rPr>
          <w:w w:val="100"/>
        </w:rPr>
        <w:t> </w:t>
      </w:r>
      <w:r>
        <w:rPr/>
        <w:t>定，确保向所有投资者公平、及时、准确、完整地披露信息。</w:t>
      </w:r>
    </w:p>
    <w:p>
      <w:pPr>
        <w:pStyle w:val="Heading4"/>
        <w:spacing w:line="240" w:lineRule="auto" w:before="30"/>
        <w:ind w:left="572" w:right="0"/>
        <w:jc w:val="left"/>
        <w:rPr>
          <w:b w:val="0"/>
          <w:bCs w:val="0"/>
        </w:rPr>
      </w:pPr>
      <w:r>
        <w:rPr>
          <w:rFonts w:ascii="Times New Roman" w:hAnsi="Times New Roman" w:cs="Times New Roman" w:eastAsia="Times New Roman" w:hint="default"/>
        </w:rPr>
        <w:t>7</w:t>
      </w:r>
      <w:r>
        <w:rPr/>
        <w:t>、严格按要求开展内控规则落实专项活动</w:t>
      </w:r>
      <w:r>
        <w:rPr>
          <w:b w:val="0"/>
          <w:bCs w:val="0"/>
        </w:rPr>
      </w:r>
    </w:p>
    <w:p>
      <w:pPr>
        <w:pStyle w:val="BodyText"/>
        <w:spacing w:line="350" w:lineRule="auto" w:before="117"/>
        <w:ind w:left="153" w:right="206" w:firstLine="419"/>
        <w:jc w:val="both"/>
      </w:pP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3"/>
        </w:rPr>
        <w:t>月，根据深圳证券交易所《关于开展</w:t>
      </w:r>
      <w:r>
        <w:rPr>
          <w:rFonts w:ascii="Times New Roman" w:hAnsi="Times New Roman" w:cs="Times New Roman" w:eastAsia="Times New Roman" w:hint="default"/>
          <w:spacing w:val="-3"/>
        </w:rPr>
        <w:t>“</w:t>
      </w:r>
      <w:r>
        <w:rPr>
          <w:spacing w:val="-3"/>
        </w:rPr>
        <w:t>加强中小企业板上市公司内控规则落实</w:t>
      </w:r>
      <w:r>
        <w:rPr>
          <w:rFonts w:ascii="Times New Roman" w:hAnsi="Times New Roman" w:cs="Times New Roman" w:eastAsia="Times New Roman" w:hint="default"/>
          <w:spacing w:val="-3"/>
        </w:rPr>
        <w:t>”</w:t>
      </w:r>
      <w:r>
        <w:rPr>
          <w:spacing w:val="-3"/>
        </w:rPr>
        <w:t>专项活动的通</w:t>
      </w:r>
      <w:r>
        <w:rPr>
          <w:w w:val="100"/>
        </w:rPr>
        <w:t> </w:t>
      </w:r>
      <w:r>
        <w:rPr>
          <w:spacing w:val="-2"/>
        </w:rPr>
        <w:t>知》的文件要求，公司开展了内控规则落实专项活动，根据自查表的相关内容，进行了认真的自查，对公</w:t>
      </w:r>
      <w:r>
        <w:rPr>
          <w:spacing w:val="-43"/>
        </w:rPr>
        <w:t> </w:t>
      </w:r>
      <w:r>
        <w:rPr>
          <w:spacing w:val="-43"/>
        </w:rPr>
      </w:r>
      <w:r>
        <w:rPr>
          <w:spacing w:val="-2"/>
        </w:rPr>
        <w:t>司现有内控规则进行了系统梳理，形成整改方案后，在规定时间内完成了与具有从事代办股份转让券商业</w:t>
      </w:r>
      <w:r>
        <w:rPr>
          <w:spacing w:val="-44"/>
        </w:rPr>
        <w:t> </w:t>
      </w:r>
      <w:r>
        <w:rPr>
          <w:spacing w:val="-44"/>
        </w:rPr>
      </w:r>
      <w:r>
        <w:rPr/>
        <w:t>务资格的国信证券股份有限公司签署《委托代办股份转让协议》的整改工作。</w:t>
      </w:r>
    </w:p>
    <w:p>
      <w:pPr>
        <w:spacing w:line="688" w:lineRule="exact" w:before="9"/>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二、公司内部控制存在的不足及整改计划</w:t>
      </w:r>
      <w:r>
        <w:rPr>
          <w:rFonts w:ascii="宋体" w:hAnsi="宋体" w:cs="宋体" w:eastAsia="宋体" w:hint="default"/>
          <w:b/>
          <w:bCs/>
          <w:w w:val="100"/>
          <w:sz w:val="21"/>
          <w:szCs w:val="21"/>
        </w:rPr>
        <w:t> </w:t>
      </w:r>
      <w:r>
        <w:rPr>
          <w:rFonts w:ascii="宋体" w:hAnsi="宋体" w:cs="宋体" w:eastAsia="宋体" w:hint="default"/>
          <w:spacing w:val="-2"/>
          <w:sz w:val="21"/>
          <w:szCs w:val="21"/>
        </w:rPr>
        <w:t>内部控制的改进是一项长期而持续的系统工程，随着公司内外部经营环境和监管环境的变化需要不断</w:t>
      </w:r>
    </w:p>
    <w:p>
      <w:pPr>
        <w:pStyle w:val="BodyText"/>
        <w:spacing w:line="336" w:lineRule="auto" w:before="27"/>
        <w:ind w:right="209"/>
        <w:jc w:val="both"/>
      </w:pPr>
      <w:r>
        <w:rPr>
          <w:spacing w:val="-2"/>
          <w:w w:val="100"/>
        </w:rPr>
        <w:t>总结、完善、创新。</w:t>
      </w:r>
      <w:r>
        <w:rPr>
          <w:rFonts w:ascii="Times New Roman" w:hAnsi="Times New Roman" w:cs="Times New Roman" w:eastAsia="Times New Roman" w:hint="default"/>
          <w:spacing w:val="-2"/>
          <w:w w:val="100"/>
        </w:rPr>
        <w:t>2012</w:t>
      </w:r>
      <w:r>
        <w:rPr>
          <w:rFonts w:ascii="Times New Roman" w:hAnsi="Times New Roman" w:cs="Times New Roman" w:eastAsia="Times New Roman" w:hint="default"/>
          <w:w w:val="100"/>
        </w:rPr>
        <w:t> </w:t>
      </w:r>
      <w:r>
        <w:rPr>
          <w:spacing w:val="-5"/>
          <w:w w:val="100"/>
        </w:rPr>
        <w:t>年，公司将开始执行《企业内部控制配套指引》，根据该指引的规定，本公司需</w:t>
      </w:r>
      <w:r>
        <w:rPr>
          <w:spacing w:val="-99"/>
          <w:w w:val="100"/>
        </w:rPr>
        <w:t> </w:t>
      </w:r>
      <w:r>
        <w:rPr>
          <w:spacing w:val="-99"/>
          <w:w w:val="100"/>
        </w:rPr>
      </w:r>
      <w:r>
        <w:rPr/>
        <w:t>要进一步完善内部控制体系，同时加强内部控制体系的执行力度。</w:t>
      </w:r>
    </w:p>
    <w:p>
      <w:pPr>
        <w:spacing w:line="355" w:lineRule="auto" w:before="49"/>
        <w:ind w:left="572" w:right="103" w:hanging="1"/>
        <w:jc w:val="left"/>
        <w:rPr>
          <w:rFonts w:ascii="宋体" w:hAnsi="宋体" w:cs="宋体" w:eastAsia="宋体" w:hint="default"/>
          <w:sz w:val="21"/>
          <w:szCs w:val="21"/>
        </w:rPr>
      </w:pPr>
      <w:r>
        <w:rPr>
          <w:rFonts w:ascii="宋体" w:hAnsi="宋体" w:cs="宋体" w:eastAsia="宋体" w:hint="default"/>
          <w:b/>
          <w:bCs/>
          <w:w w:val="100"/>
          <w:sz w:val="21"/>
          <w:szCs w:val="21"/>
        </w:rPr>
        <w:t>（一）参照《企业</w:t>
      </w:r>
      <w:r>
        <w:rPr>
          <w:rFonts w:ascii="宋体" w:hAnsi="宋体" w:cs="宋体" w:eastAsia="宋体" w:hint="default"/>
          <w:b/>
          <w:bCs/>
          <w:spacing w:val="-3"/>
          <w:w w:val="100"/>
          <w:sz w:val="21"/>
          <w:szCs w:val="21"/>
        </w:rPr>
        <w:t>内</w:t>
      </w:r>
      <w:r>
        <w:rPr>
          <w:rFonts w:ascii="宋体" w:hAnsi="宋体" w:cs="宋体" w:eastAsia="宋体" w:hint="default"/>
          <w:b/>
          <w:bCs/>
          <w:w w:val="100"/>
          <w:sz w:val="21"/>
          <w:szCs w:val="21"/>
        </w:rPr>
        <w:t>部</w:t>
      </w:r>
      <w:r>
        <w:rPr>
          <w:rFonts w:ascii="宋体" w:hAnsi="宋体" w:cs="宋体" w:eastAsia="宋体" w:hint="default"/>
          <w:b/>
          <w:bCs/>
          <w:spacing w:val="-3"/>
          <w:w w:val="100"/>
          <w:sz w:val="21"/>
          <w:szCs w:val="21"/>
        </w:rPr>
        <w:t>控</w:t>
      </w:r>
      <w:r>
        <w:rPr>
          <w:rFonts w:ascii="宋体" w:hAnsi="宋体" w:cs="宋体" w:eastAsia="宋体" w:hint="default"/>
          <w:b/>
          <w:bCs/>
          <w:w w:val="100"/>
          <w:sz w:val="21"/>
          <w:szCs w:val="21"/>
        </w:rPr>
        <w:t>制配套指引</w:t>
      </w:r>
      <w:r>
        <w:rPr>
          <w:rFonts w:ascii="宋体" w:hAnsi="宋体" w:cs="宋体" w:eastAsia="宋体" w:hint="default"/>
          <w:b/>
          <w:bCs/>
          <w:spacing w:val="-106"/>
          <w:w w:val="100"/>
          <w:sz w:val="21"/>
          <w:szCs w:val="21"/>
        </w:rPr>
        <w:t>》</w:t>
      </w:r>
      <w:r>
        <w:rPr>
          <w:rFonts w:ascii="宋体" w:hAnsi="宋体" w:cs="宋体" w:eastAsia="宋体" w:hint="default"/>
          <w:b/>
          <w:bCs/>
          <w:spacing w:val="-1"/>
          <w:w w:val="100"/>
          <w:sz w:val="21"/>
          <w:szCs w:val="21"/>
        </w:rPr>
        <w:t>，</w:t>
      </w:r>
      <w:r>
        <w:rPr>
          <w:rFonts w:ascii="宋体" w:hAnsi="宋体" w:cs="宋体" w:eastAsia="宋体" w:hint="default"/>
          <w:b/>
          <w:bCs/>
          <w:w w:val="100"/>
          <w:sz w:val="21"/>
          <w:szCs w:val="21"/>
        </w:rPr>
        <w:t>内部</w:t>
      </w:r>
      <w:r>
        <w:rPr>
          <w:rFonts w:ascii="宋体" w:hAnsi="宋体" w:cs="宋体" w:eastAsia="宋体" w:hint="default"/>
          <w:b/>
          <w:bCs/>
          <w:spacing w:val="-3"/>
          <w:w w:val="100"/>
          <w:sz w:val="21"/>
          <w:szCs w:val="21"/>
        </w:rPr>
        <w:t>控</w:t>
      </w:r>
      <w:r>
        <w:rPr>
          <w:rFonts w:ascii="宋体" w:hAnsi="宋体" w:cs="宋体" w:eastAsia="宋体" w:hint="default"/>
          <w:b/>
          <w:bCs/>
          <w:w w:val="100"/>
          <w:sz w:val="21"/>
          <w:szCs w:val="21"/>
        </w:rPr>
        <w:t>制</w:t>
      </w:r>
      <w:r>
        <w:rPr>
          <w:rFonts w:ascii="宋体" w:hAnsi="宋体" w:cs="宋体" w:eastAsia="宋体" w:hint="default"/>
          <w:b/>
          <w:bCs/>
          <w:spacing w:val="-3"/>
          <w:w w:val="100"/>
          <w:sz w:val="21"/>
          <w:szCs w:val="21"/>
        </w:rPr>
        <w:t>体</w:t>
      </w:r>
      <w:r>
        <w:rPr>
          <w:rFonts w:ascii="宋体" w:hAnsi="宋体" w:cs="宋体" w:eastAsia="宋体" w:hint="default"/>
          <w:b/>
          <w:bCs/>
          <w:w w:val="100"/>
          <w:sz w:val="21"/>
          <w:szCs w:val="21"/>
        </w:rPr>
        <w:t>系有待进一步完善</w:t>
      </w:r>
      <w:r>
        <w:rPr>
          <w:rFonts w:ascii="宋体" w:hAnsi="宋体" w:cs="宋体" w:eastAsia="宋体" w:hint="default"/>
          <w:b/>
          <w:bCs/>
          <w:w w:val="100"/>
          <w:sz w:val="21"/>
          <w:szCs w:val="21"/>
        </w:rPr>
        <w:t> </w:t>
      </w:r>
      <w:r>
        <w:rPr>
          <w:rFonts w:ascii="宋体" w:hAnsi="宋体" w:cs="宋体" w:eastAsia="宋体" w:hint="default"/>
          <w:w w:val="100"/>
          <w:sz w:val="21"/>
          <w:szCs w:val="21"/>
        </w:rPr>
        <w:t>公司</w:t>
      </w:r>
      <w:r>
        <w:rPr>
          <w:rFonts w:ascii="宋体" w:hAnsi="宋体" w:cs="宋体" w:eastAsia="宋体" w:hint="default"/>
          <w:spacing w:val="-3"/>
          <w:w w:val="100"/>
          <w:sz w:val="21"/>
          <w:szCs w:val="21"/>
        </w:rPr>
        <w:t>的</w:t>
      </w:r>
      <w:r>
        <w:rPr>
          <w:rFonts w:ascii="宋体" w:hAnsi="宋体" w:cs="宋体" w:eastAsia="宋体" w:hint="default"/>
          <w:w w:val="100"/>
          <w:sz w:val="21"/>
          <w:szCs w:val="21"/>
        </w:rPr>
        <w:t>内</w:t>
      </w:r>
      <w:r>
        <w:rPr>
          <w:rFonts w:ascii="宋体" w:hAnsi="宋体" w:cs="宋体" w:eastAsia="宋体" w:hint="default"/>
          <w:spacing w:val="-3"/>
          <w:w w:val="100"/>
          <w:sz w:val="21"/>
          <w:szCs w:val="21"/>
        </w:rPr>
        <w:t>部</w:t>
      </w: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w w:val="100"/>
          <w:sz w:val="21"/>
          <w:szCs w:val="21"/>
        </w:rPr>
        <w:t>比</w:t>
      </w:r>
      <w:r>
        <w:rPr>
          <w:rFonts w:ascii="宋体" w:hAnsi="宋体" w:cs="宋体" w:eastAsia="宋体" w:hint="default"/>
          <w:spacing w:val="-3"/>
          <w:w w:val="100"/>
          <w:sz w:val="21"/>
          <w:szCs w:val="21"/>
        </w:rPr>
        <w:t>较</w:t>
      </w:r>
      <w:r>
        <w:rPr>
          <w:rFonts w:ascii="宋体" w:hAnsi="宋体" w:cs="宋体" w:eastAsia="宋体" w:hint="default"/>
          <w:w w:val="100"/>
          <w:sz w:val="21"/>
          <w:szCs w:val="21"/>
        </w:rPr>
        <w:t>系</w:t>
      </w:r>
      <w:r>
        <w:rPr>
          <w:rFonts w:ascii="宋体" w:hAnsi="宋体" w:cs="宋体" w:eastAsia="宋体" w:hint="default"/>
          <w:spacing w:val="-3"/>
          <w:w w:val="100"/>
          <w:sz w:val="21"/>
          <w:szCs w:val="21"/>
        </w:rPr>
        <w:t>统</w:t>
      </w:r>
      <w:r>
        <w:rPr>
          <w:rFonts w:ascii="宋体" w:hAnsi="宋体" w:cs="宋体" w:eastAsia="宋体" w:hint="default"/>
          <w:spacing w:val="-46"/>
          <w:w w:val="100"/>
          <w:sz w:val="21"/>
          <w:szCs w:val="21"/>
        </w:rPr>
        <w:t>、</w:t>
      </w:r>
      <w:r>
        <w:rPr>
          <w:rFonts w:ascii="宋体" w:hAnsi="宋体" w:cs="宋体" w:eastAsia="宋体" w:hint="default"/>
          <w:spacing w:val="-3"/>
          <w:w w:val="100"/>
          <w:sz w:val="21"/>
          <w:szCs w:val="21"/>
        </w:rPr>
        <w:t>完整</w:t>
      </w:r>
      <w:r>
        <w:rPr>
          <w:rFonts w:ascii="宋体" w:hAnsi="宋体" w:cs="宋体" w:eastAsia="宋体" w:hint="default"/>
          <w:spacing w:val="-46"/>
          <w:w w:val="100"/>
          <w:sz w:val="21"/>
          <w:szCs w:val="21"/>
        </w:rPr>
        <w:t>、</w:t>
      </w:r>
      <w:r>
        <w:rPr>
          <w:rFonts w:ascii="宋体" w:hAnsi="宋体" w:cs="宋体" w:eastAsia="宋体" w:hint="default"/>
          <w:spacing w:val="-3"/>
          <w:w w:val="100"/>
          <w:sz w:val="21"/>
          <w:szCs w:val="21"/>
        </w:rPr>
        <w:t>合</w:t>
      </w:r>
      <w:r>
        <w:rPr>
          <w:rFonts w:ascii="宋体" w:hAnsi="宋体" w:cs="宋体" w:eastAsia="宋体" w:hint="default"/>
          <w:w w:val="100"/>
          <w:sz w:val="21"/>
          <w:szCs w:val="21"/>
        </w:rPr>
        <w:t>理</w:t>
      </w:r>
      <w:r>
        <w:rPr>
          <w:rFonts w:ascii="宋体" w:hAnsi="宋体" w:cs="宋体" w:eastAsia="宋体" w:hint="default"/>
          <w:spacing w:val="-48"/>
          <w:w w:val="100"/>
          <w:sz w:val="21"/>
          <w:szCs w:val="21"/>
        </w:rPr>
        <w:t>，</w:t>
      </w:r>
      <w:r>
        <w:rPr>
          <w:rFonts w:ascii="宋体" w:hAnsi="宋体" w:cs="宋体" w:eastAsia="宋体" w:hint="default"/>
          <w:w w:val="100"/>
          <w:sz w:val="21"/>
          <w:szCs w:val="21"/>
        </w:rPr>
        <w:t>内</w:t>
      </w:r>
      <w:r>
        <w:rPr>
          <w:rFonts w:ascii="宋体" w:hAnsi="宋体" w:cs="宋体" w:eastAsia="宋体" w:hint="default"/>
          <w:spacing w:val="-3"/>
          <w:w w:val="100"/>
          <w:sz w:val="21"/>
          <w:szCs w:val="21"/>
        </w:rPr>
        <w:t>部控</w:t>
      </w:r>
      <w:r>
        <w:rPr>
          <w:rFonts w:ascii="宋体" w:hAnsi="宋体" w:cs="宋体" w:eastAsia="宋体" w:hint="default"/>
          <w:w w:val="100"/>
          <w:sz w:val="21"/>
          <w:szCs w:val="21"/>
        </w:rPr>
        <w:t>制措</w:t>
      </w:r>
      <w:r>
        <w:rPr>
          <w:rFonts w:ascii="宋体" w:hAnsi="宋体" w:cs="宋体" w:eastAsia="宋体" w:hint="default"/>
          <w:spacing w:val="-3"/>
          <w:w w:val="100"/>
          <w:sz w:val="21"/>
          <w:szCs w:val="21"/>
        </w:rPr>
        <w:t>施</w:t>
      </w:r>
      <w:r>
        <w:rPr>
          <w:rFonts w:ascii="宋体" w:hAnsi="宋体" w:cs="宋体" w:eastAsia="宋体" w:hint="default"/>
          <w:w w:val="100"/>
          <w:sz w:val="21"/>
          <w:szCs w:val="21"/>
        </w:rPr>
        <w:t>落</w:t>
      </w:r>
      <w:r>
        <w:rPr>
          <w:rFonts w:ascii="宋体" w:hAnsi="宋体" w:cs="宋体" w:eastAsia="宋体" w:hint="default"/>
          <w:spacing w:val="-3"/>
          <w:w w:val="100"/>
          <w:sz w:val="21"/>
          <w:szCs w:val="21"/>
        </w:rPr>
        <w:t>实</w:t>
      </w:r>
      <w:r>
        <w:rPr>
          <w:rFonts w:ascii="宋体" w:hAnsi="宋体" w:cs="宋体" w:eastAsia="宋体" w:hint="default"/>
          <w:w w:val="100"/>
          <w:sz w:val="21"/>
          <w:szCs w:val="21"/>
        </w:rPr>
        <w:t>到</w:t>
      </w:r>
      <w:r>
        <w:rPr>
          <w:rFonts w:ascii="宋体" w:hAnsi="宋体" w:cs="宋体" w:eastAsia="宋体" w:hint="default"/>
          <w:spacing w:val="-3"/>
          <w:w w:val="100"/>
          <w:sz w:val="21"/>
          <w:szCs w:val="21"/>
        </w:rPr>
        <w:t>位</w:t>
      </w:r>
      <w:r>
        <w:rPr>
          <w:rFonts w:ascii="宋体" w:hAnsi="宋体" w:cs="宋体" w:eastAsia="宋体" w:hint="default"/>
          <w:spacing w:val="-48"/>
          <w:w w:val="100"/>
          <w:sz w:val="21"/>
          <w:szCs w:val="21"/>
        </w:rPr>
        <w:t>，</w:t>
      </w:r>
      <w:r>
        <w:rPr>
          <w:rFonts w:ascii="宋体" w:hAnsi="宋体" w:cs="宋体" w:eastAsia="宋体" w:hint="default"/>
          <w:w w:val="100"/>
          <w:sz w:val="21"/>
          <w:szCs w:val="21"/>
        </w:rPr>
        <w:t>参</w:t>
      </w:r>
      <w:r>
        <w:rPr>
          <w:rFonts w:ascii="宋体" w:hAnsi="宋体" w:cs="宋体" w:eastAsia="宋体" w:hint="default"/>
          <w:spacing w:val="-50"/>
          <w:w w:val="100"/>
          <w:sz w:val="21"/>
          <w:szCs w:val="21"/>
        </w:rPr>
        <w:t>照</w:t>
      </w:r>
      <w:r>
        <w:rPr>
          <w:rFonts w:ascii="宋体" w:hAnsi="宋体" w:cs="宋体" w:eastAsia="宋体" w:hint="default"/>
          <w:spacing w:val="-3"/>
          <w:w w:val="100"/>
          <w:sz w:val="21"/>
          <w:szCs w:val="21"/>
        </w:rPr>
        <w:t>《企</w:t>
      </w:r>
      <w:r>
        <w:rPr>
          <w:rFonts w:ascii="宋体" w:hAnsi="宋体" w:cs="宋体" w:eastAsia="宋体" w:hint="default"/>
          <w:w w:val="100"/>
          <w:sz w:val="21"/>
          <w:szCs w:val="21"/>
        </w:rPr>
        <w:t>业内</w:t>
      </w:r>
      <w:r>
        <w:rPr>
          <w:rFonts w:ascii="宋体" w:hAnsi="宋体" w:cs="宋体" w:eastAsia="宋体" w:hint="default"/>
          <w:spacing w:val="-3"/>
          <w:w w:val="100"/>
          <w:sz w:val="21"/>
          <w:szCs w:val="21"/>
        </w:rPr>
        <w:t>部</w:t>
      </w: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配</w:t>
      </w:r>
      <w:r>
        <w:rPr>
          <w:rFonts w:ascii="宋体" w:hAnsi="宋体" w:cs="宋体" w:eastAsia="宋体" w:hint="default"/>
          <w:spacing w:val="-3"/>
          <w:w w:val="100"/>
          <w:sz w:val="21"/>
          <w:szCs w:val="21"/>
        </w:rPr>
        <w:t>套</w:t>
      </w:r>
      <w:r>
        <w:rPr>
          <w:rFonts w:ascii="宋体" w:hAnsi="宋体" w:cs="宋体" w:eastAsia="宋体" w:hint="default"/>
          <w:w w:val="100"/>
          <w:sz w:val="21"/>
          <w:szCs w:val="21"/>
        </w:rPr>
        <w:t>指</w:t>
      </w:r>
      <w:r>
        <w:rPr>
          <w:rFonts w:ascii="宋体" w:hAnsi="宋体" w:cs="宋体" w:eastAsia="宋体" w:hint="default"/>
          <w:spacing w:val="-3"/>
          <w:w w:val="100"/>
          <w:sz w:val="21"/>
          <w:szCs w:val="21"/>
        </w:rPr>
        <w:t>引</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BodyText"/>
        <w:spacing w:line="355" w:lineRule="auto" w:before="34"/>
        <w:ind w:right="207"/>
        <w:jc w:val="both"/>
      </w:pPr>
      <w:r>
        <w:rPr>
          <w:spacing w:val="-2"/>
        </w:rPr>
        <w:t>仍应该进一步改进与完善内部控制体系，使内部控制形成计划、实施、检查、改进的良性循环；同时，应</w:t>
      </w:r>
      <w:r>
        <w:rPr>
          <w:spacing w:val="-42"/>
        </w:rPr>
        <w:t> </w:t>
      </w:r>
      <w:r>
        <w:rPr>
          <w:spacing w:val="-42"/>
        </w:rPr>
      </w:r>
      <w:r>
        <w:rPr>
          <w:spacing w:val="-2"/>
        </w:rPr>
        <w:t>提高运用各项规则规范公司行为的能力，根据公司发展需求，不断完善公司各项内控制度，并加强内部控</w:t>
      </w:r>
      <w:r>
        <w:rPr>
          <w:spacing w:val="-48"/>
        </w:rPr>
        <w:t> </w:t>
      </w:r>
      <w:r>
        <w:rPr>
          <w:spacing w:val="-48"/>
        </w:rPr>
      </w:r>
      <w:r>
        <w:rPr/>
        <w:t>制制度执行情况的自我检查，使公司的内部控制制度得以有效的执行和实施，确保公司规范运作。</w:t>
      </w:r>
    </w:p>
    <w:p>
      <w:pPr>
        <w:spacing w:line="355" w:lineRule="auto" w:before="32"/>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（二）内部控制制度的执行力度有待加强</w:t>
      </w:r>
      <w:r>
        <w:rPr>
          <w:rFonts w:ascii="宋体" w:hAnsi="宋体" w:cs="宋体" w:eastAsia="宋体" w:hint="default"/>
          <w:b/>
          <w:bCs/>
          <w:w w:val="100"/>
          <w:sz w:val="21"/>
          <w:szCs w:val="21"/>
        </w:rPr>
        <w:t> </w:t>
      </w:r>
      <w:r>
        <w:rPr>
          <w:rFonts w:ascii="宋体" w:hAnsi="宋体" w:cs="宋体" w:eastAsia="宋体" w:hint="default"/>
          <w:spacing w:val="-2"/>
          <w:sz w:val="21"/>
          <w:szCs w:val="21"/>
        </w:rPr>
        <w:t>每一项内部控制制度从建立到执行需要有一个从熟悉到具体实施方式确定的过程，今后，公司将加强</w:t>
      </w:r>
    </w:p>
    <w:p>
      <w:pPr>
        <w:pStyle w:val="BodyText"/>
        <w:spacing w:line="355" w:lineRule="auto" w:before="34"/>
        <w:ind w:left="572" w:right="0" w:hanging="421"/>
        <w:jc w:val="left"/>
      </w:pPr>
      <w:r>
        <w:rPr>
          <w:spacing w:val="-2"/>
        </w:rPr>
        <w:t>原有内控制度的执行力度和执行效率，确保新制度的学习和有效执行。</w:t>
      </w:r>
      <w:r>
        <w:rPr>
          <w:spacing w:val="-45"/>
        </w:rPr>
        <w:t> </w:t>
      </w:r>
      <w:r>
        <w:rPr>
          <w:spacing w:val="-45"/>
        </w:rPr>
      </w:r>
      <w:r>
        <w:rPr/>
        <w:t>为此，公司将从以下方面不断深化内部控制：</w:t>
      </w:r>
    </w:p>
    <w:p>
      <w:pPr>
        <w:spacing w:line="331" w:lineRule="auto" w:before="32"/>
        <w:ind w:left="572" w:right="0" w:firstLine="0"/>
        <w:jc w:val="left"/>
        <w:rPr>
          <w:rFonts w:ascii="宋体" w:hAnsi="宋体" w:cs="宋体" w:eastAsia="宋体" w:hint="default"/>
          <w:sz w:val="23"/>
          <w:szCs w:val="23"/>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、加强学习与培训</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公司将不断加大公司董事、监事、高级管理人员及员工培训学习的力度，</w:t>
      </w:r>
      <w:r>
        <w:rPr>
          <w:rFonts w:ascii="宋体" w:hAnsi="宋体" w:cs="宋体" w:eastAsia="宋体" w:hint="default"/>
          <w:spacing w:val="-2"/>
          <w:sz w:val="23"/>
          <w:szCs w:val="23"/>
        </w:rPr>
        <w:t>积极参加监管部门组织的</w:t>
      </w:r>
    </w:p>
    <w:p>
      <w:pPr>
        <w:pStyle w:val="Heading3"/>
        <w:spacing w:line="355" w:lineRule="auto"/>
        <w:ind w:right="215"/>
        <w:jc w:val="both"/>
      </w:pPr>
      <w:r>
        <w:rPr>
          <w:spacing w:val="-2"/>
        </w:rPr>
        <w:t>各项法律法规、规章制度的学习，进一步加强公司高管、中层管理人员及员工的对内部控制重要</w:t>
      </w:r>
      <w:r>
        <w:rPr>
          <w:spacing w:val="-63"/>
        </w:rPr>
        <w:t> </w:t>
      </w:r>
      <w:r>
        <w:rPr>
          <w:spacing w:val="-63"/>
        </w:rPr>
      </w:r>
      <w:r>
        <w:rPr/>
        <w:t>性认识，提高风险意识。</w:t>
      </w:r>
    </w:p>
    <w:p>
      <w:pPr>
        <w:spacing w:line="336" w:lineRule="auto" w:before="43"/>
        <w:ind w:left="572" w:right="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、组织内部控制评价工作</w:t>
      </w:r>
      <w:r>
        <w:rPr>
          <w:rFonts w:ascii="宋体" w:hAnsi="宋体" w:cs="宋体" w:eastAsia="宋体" w:hint="default"/>
          <w:b/>
          <w:bCs/>
          <w:w w:val="100"/>
          <w:sz w:val="21"/>
          <w:szCs w:val="21"/>
        </w:rPr>
        <w:t> </w:t>
      </w:r>
      <w:r>
        <w:rPr>
          <w:rFonts w:ascii="宋体" w:hAnsi="宋体" w:cs="宋体" w:eastAsia="宋体" w:hint="default"/>
          <w:spacing w:val="-9"/>
          <w:w w:val="100"/>
          <w:sz w:val="21"/>
          <w:szCs w:val="21"/>
        </w:rPr>
        <w:t>公司将根据《企业内部控制规范》、《企业内部控制评价指引》，结合内部控制设计与运行的实际情况，</w:t>
      </w:r>
    </w:p>
    <w:p>
      <w:pPr>
        <w:pStyle w:val="BodyText"/>
        <w:spacing w:line="355" w:lineRule="auto" w:before="49"/>
        <w:ind w:right="209"/>
        <w:jc w:val="both"/>
      </w:pPr>
      <w:r>
        <w:rPr>
          <w:spacing w:val="-2"/>
        </w:rPr>
        <w:t>制定具体的内部控制评价办法，规定评价的原则、内容和方法等，明确相关机构或岗位的职责权限，落实</w:t>
      </w:r>
      <w:r>
        <w:rPr>
          <w:spacing w:val="-47"/>
        </w:rPr>
        <w:t> </w:t>
      </w:r>
      <w:r>
        <w:rPr>
          <w:spacing w:val="-47"/>
        </w:rPr>
      </w:r>
      <w:r>
        <w:rPr/>
        <w:t>责任制，按照规定的办法、程序和要求，有序开展内部控制评价工作。</w:t>
      </w:r>
    </w:p>
    <w:p>
      <w:pPr>
        <w:spacing w:line="338" w:lineRule="auto" w:before="32"/>
        <w:ind w:left="57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、加强风险评估体系建设</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公司将完善有效的风险控制系统，不断强化风险管理，全面系统地收集相关信息，结合实际情况及时</w:t>
      </w:r>
    </w:p>
    <w:p>
      <w:pPr>
        <w:pStyle w:val="BodyText"/>
        <w:spacing w:line="240" w:lineRule="auto" w:before="47"/>
        <w:ind w:right="0"/>
        <w:jc w:val="both"/>
      </w:pPr>
      <w:r>
        <w:rPr/>
        <w:t>进行了风险评估，保证公司各项经营业务活动的正常有序运行。</w:t>
      </w:r>
    </w:p>
    <w:p>
      <w:pPr>
        <w:spacing w:after="0" w:line="240" w:lineRule="auto"/>
        <w:jc w:val="both"/>
        <w:sectPr>
          <w:pgSz w:w="11910" w:h="16840"/>
          <w:pgMar w:header="850" w:footer="979" w:top="1200" w:bottom="1160" w:left="980" w:right="920"/>
        </w:sectPr>
      </w:pPr>
    </w:p>
    <w:p>
      <w:pPr>
        <w:pStyle w:val="Heading4"/>
        <w:spacing w:line="336" w:lineRule="auto" w:before="30"/>
        <w:ind w:left="152" w:right="261" w:firstLine="420"/>
        <w:jc w:val="both"/>
        <w:rPr>
          <w:b w:val="0"/>
          <w:bCs w:val="0"/>
        </w:rPr>
      </w:pPr>
      <w:r>
        <w:rPr/>
        <w:pict>
          <v:group style="position:absolute;margin-left:55.200001pt;margin-top:2.843687pt;width:484.8pt;height:.1pt;mso-position-horizontal-relative:page;mso-position-vertical-relative:paragraph;z-index:-772576" coordorigin="1104,57" coordsize="9696,2">
            <v:shape style="position:absolute;left:1104;top:57;width:9696;height:2" coordorigin="1104,57" coordsize="9696,0" path="m1104,57l10800,57e" filled="false" stroked="true" strokeweight=".72pt" strokecolor="#000000">
              <v:path arrowok="t"/>
            </v:shape>
            <w10:wrap type="none"/>
          </v:group>
        </w:pict>
      </w:r>
      <w:r>
        <w:rPr>
          <w:rFonts w:ascii="Times New Roman" w:hAnsi="Times New Roman" w:cs="Times New Roman" w:eastAsia="Times New Roman" w:hint="default"/>
          <w:spacing w:val="-1"/>
        </w:rPr>
        <w:t>4</w:t>
      </w:r>
      <w:r>
        <w:rPr>
          <w:spacing w:val="-1"/>
        </w:rPr>
        <w:t>、持续对本公司及控股子公司的内部控制制度执行情况开展检查，保障公司内控制度的全面、有效</w:t>
      </w:r>
      <w:r>
        <w:rPr>
          <w:w w:val="100"/>
        </w:rPr>
        <w:t> </w:t>
      </w:r>
      <w:r>
        <w:rPr/>
        <w:t>的执行</w:t>
      </w:r>
      <w:r>
        <w:rPr>
          <w:b w:val="0"/>
          <w:bCs w:val="0"/>
        </w:rPr>
      </w:r>
    </w:p>
    <w:p>
      <w:pPr>
        <w:pStyle w:val="BodyText"/>
        <w:spacing w:line="357" w:lineRule="auto" w:before="49"/>
        <w:ind w:right="206" w:firstLine="420"/>
        <w:jc w:val="both"/>
      </w:pPr>
      <w:r>
        <w:rPr>
          <w:spacing w:val="-2"/>
        </w:rPr>
        <w:t>进一步完善公司相关内控制度，同时加强对控股子公司的内控体系建设，从公司治理、经营及财务等</w:t>
      </w:r>
      <w:r>
        <w:rPr>
          <w:spacing w:val="-3"/>
          <w:w w:val="100"/>
        </w:rPr>
        <w:t> </w:t>
      </w:r>
      <w:r>
        <w:rPr>
          <w:spacing w:val="-2"/>
        </w:rPr>
        <w:t>方面对控股子公司实施有效的管理，要求子公司按照《公司法》及相关法律法规的规定建立健全各项规章</w:t>
      </w:r>
      <w:r>
        <w:rPr>
          <w:spacing w:val="-44"/>
        </w:rPr>
        <w:t> </w:t>
      </w:r>
      <w:r>
        <w:rPr>
          <w:spacing w:val="-44"/>
        </w:rPr>
      </w:r>
      <w:r>
        <w:rPr>
          <w:spacing w:val="-2"/>
        </w:rPr>
        <w:t>制度，不断完善控股子公司内控体系建设。充分发挥审核委员会的监督职能，定期和不定期地对控股子公</w:t>
      </w:r>
      <w:r>
        <w:rPr>
          <w:spacing w:val="-48"/>
        </w:rPr>
        <w:t> </w:t>
      </w:r>
      <w:r>
        <w:rPr>
          <w:spacing w:val="-48"/>
        </w:rPr>
      </w:r>
      <w:r>
        <w:rPr/>
        <w:t>司各项内控管理进行检查，确保对控股子公司的风险管理到位。</w:t>
      </w:r>
    </w:p>
    <w:p>
      <w:pPr>
        <w:spacing w:line="240" w:lineRule="auto" w:before="8"/>
        <w:rPr>
          <w:rFonts w:ascii="宋体" w:hAnsi="宋体" w:cs="宋体" w:eastAsia="宋体" w:hint="default"/>
          <w:sz w:val="23"/>
          <w:szCs w:val="23"/>
        </w:rPr>
      </w:pPr>
    </w:p>
    <w:p>
      <w:pPr>
        <w:pStyle w:val="Heading4"/>
        <w:spacing w:line="240" w:lineRule="auto"/>
        <w:ind w:left="572" w:right="0"/>
        <w:jc w:val="left"/>
        <w:rPr>
          <w:b w:val="0"/>
          <w:bCs w:val="0"/>
        </w:rPr>
      </w:pPr>
      <w:r>
        <w:rPr>
          <w:rFonts w:ascii="宋体" w:hAnsi="宋体" w:cs="宋体" w:eastAsia="宋体" w:hint="default"/>
          <w:b w:val="0"/>
          <w:bCs w:val="0"/>
        </w:rPr>
        <w:t>三、</w:t>
      </w:r>
      <w:r>
        <w:rPr/>
        <w:t>公司内部控制情况总体评价</w:t>
      </w:r>
      <w:r>
        <w:rPr>
          <w:b w:val="0"/>
          <w:bCs w:val="0"/>
        </w:rPr>
      </w:r>
    </w:p>
    <w:p>
      <w:pPr>
        <w:spacing w:line="240" w:lineRule="auto" w:before="0"/>
        <w:rPr>
          <w:rFonts w:ascii="宋体" w:hAnsi="宋体" w:cs="宋体" w:eastAsia="宋体" w:hint="default"/>
          <w:b/>
          <w:bCs/>
          <w:sz w:val="20"/>
          <w:szCs w:val="20"/>
        </w:rPr>
      </w:pPr>
    </w:p>
    <w:p>
      <w:pPr>
        <w:spacing w:line="355" w:lineRule="auto" w:before="154"/>
        <w:ind w:left="572" w:right="0" w:hanging="8"/>
        <w:jc w:val="left"/>
        <w:rPr>
          <w:rFonts w:ascii="宋体" w:hAnsi="宋体" w:cs="宋体" w:eastAsia="宋体" w:hint="default"/>
          <w:sz w:val="21"/>
          <w:szCs w:val="21"/>
        </w:rPr>
      </w:pPr>
      <w:r>
        <w:rPr>
          <w:rFonts w:ascii="宋体" w:hAnsi="宋体" w:cs="宋体" w:eastAsia="宋体" w:hint="default"/>
          <w:b/>
          <w:bCs/>
          <w:sz w:val="21"/>
          <w:szCs w:val="21"/>
        </w:rPr>
        <w:t>（一）公司董事会对内部控制的自我评价</w:t>
      </w:r>
      <w:r>
        <w:rPr>
          <w:rFonts w:ascii="宋体" w:hAnsi="宋体" w:cs="宋体" w:eastAsia="宋体" w:hint="default"/>
          <w:b/>
          <w:bCs/>
          <w:w w:val="100"/>
          <w:sz w:val="21"/>
          <w:szCs w:val="21"/>
        </w:rPr>
        <w:t> </w:t>
      </w:r>
      <w:r>
        <w:rPr>
          <w:rFonts w:ascii="宋体" w:hAnsi="宋体" w:cs="宋体" w:eastAsia="宋体" w:hint="default"/>
          <w:spacing w:val="-2"/>
          <w:sz w:val="21"/>
          <w:szCs w:val="21"/>
        </w:rPr>
        <w:t>公司董事会对公司内部控制进行了认真的自查和分析，认为：公司具有较为完善的法人治理结构，内</w:t>
      </w:r>
    </w:p>
    <w:p>
      <w:pPr>
        <w:pStyle w:val="BodyText"/>
        <w:spacing w:line="357" w:lineRule="auto" w:before="32"/>
        <w:ind w:right="0"/>
        <w:jc w:val="left"/>
      </w:pPr>
      <w:r>
        <w:rPr>
          <w:spacing w:val="-5"/>
        </w:rPr>
        <w:t>部控制体系较为健全，该体系已囊括公司经营及管理的各个层面和各环节，具有规范性、合法性和有效性， </w:t>
      </w:r>
      <w:r>
        <w:rPr/>
        <w:t>能够较好地预防、发现和纠正公司在经营、管理运作中出现的问题和风险，适应公司管理和发展的需要，</w:t>
      </w:r>
      <w:r>
        <w:rPr>
          <w:w w:val="100"/>
        </w:rPr>
        <w:t> </w:t>
      </w:r>
      <w:r>
        <w:rPr/>
        <w:t>保证公司资产的安全和完整，保证会计信息的准确性、真实性和及时性，公司各项内部控制制度执行情况</w:t>
      </w:r>
      <w:r>
        <w:rPr>
          <w:w w:val="100"/>
        </w:rPr>
        <w:t> </w:t>
      </w:r>
      <w:r>
        <w:rPr/>
        <w:t>良好，公司内部控制是有效的。</w:t>
      </w:r>
    </w:p>
    <w:p>
      <w:pPr>
        <w:pStyle w:val="BodyText"/>
        <w:spacing w:line="336" w:lineRule="auto" w:before="30"/>
        <w:ind w:right="210" w:firstLine="420"/>
        <w:jc w:val="both"/>
      </w:pPr>
      <w:r>
        <w:rPr>
          <w:spacing w:val="-2"/>
          <w:w w:val="100"/>
        </w:rPr>
        <w:t>《董事会关于公司</w:t>
      </w:r>
      <w:r>
        <w:rPr>
          <w:spacing w:val="-41"/>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14"/>
          <w:w w:val="100"/>
        </w:rPr>
        <w:t> </w:t>
      </w:r>
      <w:r>
        <w:rPr>
          <w:spacing w:val="-2"/>
          <w:w w:val="100"/>
        </w:rPr>
        <w:t>年度内部控制自我评价报告》刊登于</w:t>
      </w:r>
      <w:r>
        <w:rPr>
          <w:spacing w:val="-42"/>
          <w:w w:val="100"/>
        </w:rPr>
        <w:t> </w:t>
      </w:r>
      <w:r>
        <w:rPr>
          <w:rFonts w:ascii="Times New Roman" w:hAnsi="Times New Roman" w:cs="Times New Roman" w:eastAsia="Times New Roman" w:hint="default"/>
          <w:spacing w:val="-1"/>
          <w:w w:val="100"/>
        </w:rPr>
        <w:t>2012</w:t>
      </w:r>
      <w:r>
        <w:rPr>
          <w:rFonts w:ascii="Times New Roman" w:hAnsi="Times New Roman" w:cs="Times New Roman" w:eastAsia="Times New Roman" w:hint="default"/>
          <w:spacing w:val="11"/>
          <w:w w:val="100"/>
        </w:rPr>
        <w:t> </w:t>
      </w:r>
      <w:r>
        <w:rPr>
          <w:w w:val="100"/>
        </w:rPr>
        <w:t>年</w:t>
      </w:r>
      <w:r>
        <w:rPr>
          <w:spacing w:val="-39"/>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1"/>
          <w:w w:val="100"/>
        </w:rPr>
        <w:t> </w:t>
      </w:r>
      <w:r>
        <w:rPr>
          <w:w w:val="100"/>
        </w:rPr>
        <w:t>月</w:t>
      </w:r>
      <w:r>
        <w:rPr>
          <w:spacing w:val="-39"/>
          <w:w w:val="100"/>
        </w:rPr>
        <w:t> </w:t>
      </w:r>
      <w:r>
        <w:rPr>
          <w:rFonts w:ascii="Times New Roman" w:hAnsi="Times New Roman" w:cs="Times New Roman" w:eastAsia="Times New Roman" w:hint="default"/>
          <w:spacing w:val="-2"/>
          <w:w w:val="100"/>
        </w:rPr>
        <w:t>19</w:t>
      </w:r>
      <w:r>
        <w:rPr>
          <w:rFonts w:ascii="Times New Roman" w:hAnsi="Times New Roman" w:cs="Times New Roman" w:eastAsia="Times New Roman" w:hint="default"/>
          <w:spacing w:val="11"/>
          <w:w w:val="100"/>
        </w:rPr>
        <w:t> </w:t>
      </w:r>
      <w:r>
        <w:rPr>
          <w:spacing w:val="-21"/>
          <w:w w:val="100"/>
        </w:rPr>
        <w:t>日的《证券时报》、《中</w:t>
      </w:r>
      <w:r>
        <w:rPr>
          <w:spacing w:val="-3"/>
          <w:w w:val="100"/>
        </w:rPr>
        <w:t> </w:t>
      </w:r>
      <w:r>
        <w:rPr/>
        <w:t>国证券报》及巨潮资讯网</w:t>
      </w:r>
      <w:r>
        <w:rPr>
          <w:rFonts w:ascii="Times New Roman" w:hAnsi="Times New Roman" w:cs="Times New Roman" w:eastAsia="Times New Roman" w:hint="default"/>
        </w:rPr>
        <w:t>(www.cninfo.com.cn)</w:t>
      </w:r>
      <w:r>
        <w:rPr/>
        <w:t>。</w:t>
      </w:r>
    </w:p>
    <w:p>
      <w:pPr>
        <w:pStyle w:val="Heading4"/>
        <w:spacing w:line="240" w:lineRule="auto" w:before="26"/>
        <w:ind w:right="0"/>
        <w:jc w:val="left"/>
        <w:rPr>
          <w:b w:val="0"/>
          <w:bCs w:val="0"/>
        </w:rPr>
      </w:pPr>
      <w:r>
        <w:rPr/>
        <w:t>（二）公司监事会对内部控制自我评价的审核意见</w:t>
      </w:r>
      <w:r>
        <w:rPr>
          <w:b w:val="0"/>
          <w:bCs w:val="0"/>
        </w:rPr>
      </w:r>
    </w:p>
    <w:p>
      <w:pPr>
        <w:pStyle w:val="BodyText"/>
        <w:spacing w:line="348" w:lineRule="auto" w:before="133"/>
        <w:ind w:left="153" w:right="206" w:firstLine="419"/>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spacing w:val="-4"/>
        </w:rPr>
        <w:t>日，公司召开了第四届监事会第六次会议，审议通过了《董事会关于</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年度内部控</w:t>
      </w:r>
      <w:r>
        <w:rPr>
          <w:w w:val="100"/>
        </w:rPr>
        <w:t> </w:t>
      </w:r>
      <w:r>
        <w:rPr>
          <w:spacing w:val="-2"/>
          <w:w w:val="100"/>
        </w:rPr>
        <w:t>制自我评价报告》，并发表如下审核意见：公司建立了较为完善的内部控制体系，并能得到有效执行；公</w:t>
      </w:r>
      <w:r>
        <w:rPr>
          <w:spacing w:val="-94"/>
          <w:w w:val="100"/>
        </w:rPr>
        <w:t> </w:t>
      </w:r>
      <w:r>
        <w:rPr>
          <w:spacing w:val="-94"/>
          <w:w w:val="100"/>
        </w:rPr>
      </w:r>
      <w:r>
        <w:rPr>
          <w:spacing w:val="-2"/>
        </w:rPr>
        <w:t>司的内部控制体系符合国家相关法律法规要求以及公司实际需要，对公司经营管理起到了较好的风险防范</w:t>
      </w:r>
      <w:r>
        <w:rPr>
          <w:spacing w:val="-44"/>
        </w:rPr>
        <w:t> </w:t>
      </w:r>
      <w:r>
        <w:rPr>
          <w:spacing w:val="-44"/>
        </w:rPr>
      </w:r>
      <w:r>
        <w:rPr/>
        <w:t>和控制作用。董事会出具的《关于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8"/>
        </w:rPr>
        <w:t> </w:t>
      </w:r>
      <w:r>
        <w:rPr/>
        <w:t>年度内部控制的自我评价报告》真实、客观地反映了公司内部控</w:t>
      </w:r>
      <w:r>
        <w:rPr>
          <w:w w:val="100"/>
        </w:rPr>
        <w:t> </w:t>
      </w:r>
      <w:r>
        <w:rPr/>
        <w:t>制制度的建设及运行情况。</w:t>
      </w:r>
    </w:p>
    <w:p>
      <w:pPr>
        <w:spacing w:line="355" w:lineRule="auto" w:before="38"/>
        <w:ind w:left="572" w:right="0" w:hanging="8"/>
        <w:jc w:val="left"/>
        <w:rPr>
          <w:rFonts w:ascii="宋体" w:hAnsi="宋体" w:cs="宋体" w:eastAsia="宋体" w:hint="default"/>
          <w:sz w:val="21"/>
          <w:szCs w:val="21"/>
        </w:rPr>
      </w:pPr>
      <w:r>
        <w:rPr>
          <w:rFonts w:ascii="宋体" w:hAnsi="宋体" w:cs="宋体" w:eastAsia="宋体" w:hint="default"/>
          <w:b/>
          <w:bCs/>
          <w:sz w:val="21"/>
          <w:szCs w:val="21"/>
        </w:rPr>
        <w:t>（三）公司独立董事对内部控制自我评价的独立意见</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我们根据《独立董事工作制度》、《中小板板上市公司内部审计工作指引》等法律法规，作为北京中长</w:t>
      </w:r>
      <w:r>
        <w:rPr>
          <w:rFonts w:ascii="宋体" w:hAnsi="宋体" w:cs="宋体" w:eastAsia="宋体" w:hint="default"/>
          <w:w w:val="100"/>
          <w:sz w:val="21"/>
          <w:szCs w:val="21"/>
        </w:rPr>
      </w:r>
    </w:p>
    <w:p>
      <w:pPr>
        <w:pStyle w:val="BodyText"/>
        <w:spacing w:line="343" w:lineRule="auto" w:before="32"/>
        <w:ind w:right="206"/>
        <w:jc w:val="both"/>
      </w:pPr>
      <w:r>
        <w:rPr/>
        <w:t>石基信息技术股份有限公司的独立董事，现就《董事会关于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7"/>
        </w:rPr>
        <w:t> </w:t>
      </w:r>
      <w:r>
        <w:rPr/>
        <w:t>年度内部控制自我评价报告》发表意见</w:t>
      </w:r>
      <w:r>
        <w:rPr>
          <w:w w:val="100"/>
        </w:rPr>
        <w:t> </w:t>
      </w:r>
      <w:r>
        <w:rPr>
          <w:spacing w:val="-2"/>
        </w:rPr>
        <w:t>如下：公司的内部控制制度符合我国有关法规和证券监管部门的要求，在所有重大方面保持了与企业业务</w:t>
      </w:r>
      <w:r>
        <w:rPr>
          <w:spacing w:val="-42"/>
        </w:rPr>
        <w:t> </w:t>
      </w:r>
      <w:r>
        <w:rPr>
          <w:spacing w:val="-42"/>
        </w:rPr>
      </w:r>
      <w:r>
        <w:rPr>
          <w:spacing w:val="-3"/>
        </w:rPr>
        <w:t>及管理相关的有效的内部控制。</w:t>
      </w:r>
      <w:r>
        <w:rPr>
          <w:rFonts w:ascii="Times New Roman" w:hAnsi="Times New Roman" w:cs="Times New Roman" w:eastAsia="Times New Roman" w:hint="default"/>
          <w:spacing w:val="-3"/>
        </w:rPr>
        <w:t>2011 </w:t>
      </w:r>
      <w:r>
        <w:rPr>
          <w:spacing w:val="-3"/>
        </w:rPr>
        <w:t>年度，公司内部控制在制度建设和实施环节进行了进一步的完善，并</w:t>
      </w:r>
      <w:r>
        <w:rPr>
          <w:spacing w:val="-93"/>
        </w:rPr>
        <w:t> </w:t>
      </w:r>
      <w:r>
        <w:rPr>
          <w:spacing w:val="-93"/>
        </w:rPr>
      </w:r>
      <w:r>
        <w:rPr/>
        <w:t>得到了有效的实施，内部治理水平得到了一定程度的提升，董事会出具的《关于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7"/>
        </w:rPr>
        <w:t> </w:t>
      </w:r>
      <w:r>
        <w:rPr/>
        <w:t>年度内部控制的自</w:t>
      </w:r>
      <w:r>
        <w:rPr>
          <w:w w:val="100"/>
        </w:rPr>
        <w:t> </w:t>
      </w:r>
      <w:r>
        <w:rPr/>
        <w:t>我评价报告》客观地反映了公司内部控制制度的建设和运行情况。</w:t>
      </w:r>
    </w:p>
    <w:p>
      <w:pPr>
        <w:spacing w:line="357" w:lineRule="auto" w:before="42"/>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（四）会计师事务所的内部控制鉴证报告</w:t>
      </w:r>
      <w:r>
        <w:rPr>
          <w:rFonts w:ascii="宋体" w:hAnsi="宋体" w:cs="宋体" w:eastAsia="宋体" w:hint="default"/>
          <w:b/>
          <w:bCs/>
          <w:w w:val="100"/>
          <w:sz w:val="21"/>
          <w:szCs w:val="21"/>
        </w:rPr>
        <w:t> </w:t>
      </w:r>
      <w:r>
        <w:rPr>
          <w:rFonts w:ascii="宋体" w:hAnsi="宋体" w:cs="宋体" w:eastAsia="宋体" w:hint="default"/>
          <w:spacing w:val="-2"/>
          <w:sz w:val="21"/>
          <w:szCs w:val="21"/>
        </w:rPr>
        <w:t>武汉众环海华会计师事务所有限责任公司（以下简称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众环会计师事务所</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）对公司内部控制的有效性</w:t>
      </w:r>
    </w:p>
    <w:p>
      <w:pPr>
        <w:pStyle w:val="BodyText"/>
        <w:spacing w:line="336" w:lineRule="auto" w:before="3"/>
        <w:ind w:right="210"/>
        <w:jc w:val="both"/>
      </w:pPr>
      <w:r>
        <w:rPr>
          <w:spacing w:val="-4"/>
          <w:w w:val="100"/>
        </w:rPr>
        <w:t>进行了评价，出具了《内部控制鉴证报告》，认为：董事会作出的</w:t>
      </w:r>
      <w:r>
        <w:rPr>
          <w:rFonts w:ascii="Times New Roman" w:hAnsi="Times New Roman" w:cs="Times New Roman" w:eastAsia="Times New Roman" w:hint="default"/>
          <w:spacing w:val="-4"/>
          <w:w w:val="100"/>
        </w:rPr>
        <w:t>“</w:t>
      </w:r>
      <w:r>
        <w:rPr>
          <w:spacing w:val="-4"/>
          <w:w w:val="100"/>
        </w:rPr>
        <w:t>根据《企业内部控制基本规范》以及其</w:t>
      </w:r>
      <w:r>
        <w:rPr>
          <w:spacing w:val="-102"/>
          <w:w w:val="100"/>
        </w:rPr>
        <w:t> </w:t>
      </w:r>
      <w:r>
        <w:rPr>
          <w:spacing w:val="-102"/>
          <w:w w:val="100"/>
        </w:rPr>
      </w:r>
      <w:r>
        <w:rPr/>
        <w:t>他控制标准截至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日止与财务报表相关的内部控制在所有重大方面是有效的</w:t>
      </w:r>
      <w:r>
        <w:rPr>
          <w:rFonts w:ascii="Times New Roman" w:hAnsi="Times New Roman" w:cs="Times New Roman" w:eastAsia="Times New Roman" w:hint="default"/>
        </w:rPr>
        <w:t>”</w:t>
      </w:r>
      <w:r>
        <w:rPr/>
        <w:t>这一认定是公</w:t>
      </w:r>
      <w:r>
        <w:rPr>
          <w:spacing w:val="-3"/>
          <w:w w:val="100"/>
        </w:rPr>
        <w:t> </w:t>
      </w:r>
      <w:r>
        <w:rPr/>
        <w:t>允的。</w:t>
      </w:r>
    </w:p>
    <w:p>
      <w:pPr>
        <w:spacing w:after="0" w:line="336" w:lineRule="auto"/>
        <w:jc w:val="both"/>
        <w:sectPr>
          <w:pgSz w:w="11910" w:h="16840"/>
          <w:pgMar w:header="850" w:footer="979" w:top="1200" w:bottom="1160" w:left="980" w:right="920"/>
        </w:sectPr>
      </w:pPr>
    </w:p>
    <w:p>
      <w:pPr>
        <w:pStyle w:val="BodyText"/>
        <w:spacing w:line="240" w:lineRule="auto" w:before="30"/>
        <w:ind w:left="572" w:right="0"/>
        <w:jc w:val="left"/>
      </w:pPr>
      <w:r>
        <w:rPr/>
        <w:pict>
          <v:group style="position:absolute;margin-left:55.200001pt;margin-top:2.843687pt;width:484.8pt;height:.1pt;mso-position-horizontal-relative:page;mso-position-vertical-relative:paragraph;z-index:-772552" coordorigin="1104,57" coordsize="9696,2">
            <v:shape style="position:absolute;left:1104;top:57;width:9696;height:2" coordorigin="1104,57" coordsize="9696,0" path="m1104,57l10800,57e" filled="false" stroked="true" strokeweight=".72pt" strokecolor="#000000">
              <v:path arrowok="t"/>
            </v:shape>
            <w10:wrap type="none"/>
          </v:group>
        </w:pict>
      </w:r>
      <w:bookmarkStart w:name="_bookmark6" w:id="13"/>
      <w:bookmarkEnd w:id="13"/>
      <w:r>
        <w:rPr/>
      </w:r>
      <w:r>
        <w:rPr/>
        <w:t>武汉众环海华会计师事务所出具的《内部控制鉴证报告》刊登于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15  </w:t>
      </w:r>
      <w:r>
        <w:rPr>
          <w:rFonts w:ascii="Times New Roman" w:hAnsi="Times New Roman" w:cs="Times New Roman" w:eastAsia="Times New Roman" w:hint="default"/>
          <w:spacing w:val="21"/>
        </w:rPr>
        <w:t> </w:t>
      </w:r>
      <w:r>
        <w:rPr/>
        <w:t>日的巨潮资讯网</w:t>
      </w:r>
    </w:p>
    <w:p>
      <w:pPr>
        <w:spacing w:line="566" w:lineRule="auto" w:before="117"/>
        <w:ind w:left="575" w:right="6413" w:hanging="423"/>
        <w:jc w:val="left"/>
        <w:rPr>
          <w:rFonts w:ascii="宋体" w:hAnsi="宋体" w:cs="宋体" w:eastAsia="宋体" w:hint="default"/>
          <w:sz w:val="21"/>
          <w:szCs w:val="21"/>
        </w:rPr>
      </w:pPr>
      <w:r>
        <w:rPr>
          <w:rFonts w:ascii="Times New Roman" w:hAnsi="Times New Roman" w:cs="Times New Roman" w:eastAsia="Times New Roman" w:hint="default"/>
          <w:sz w:val="21"/>
          <w:szCs w:val="21"/>
        </w:rPr>
        <w:t>(www.cninfo.com.cn)</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pacing w:val="-1"/>
          <w:sz w:val="21"/>
          <w:szCs w:val="21"/>
        </w:rPr>
        <w:t>四、财务报告内部控制制定依据</w:t>
      </w:r>
      <w:r>
        <w:rPr>
          <w:rFonts w:ascii="宋体" w:hAnsi="宋体" w:cs="宋体" w:eastAsia="宋体" w:hint="default"/>
          <w:spacing w:val="-1"/>
          <w:sz w:val="21"/>
          <w:szCs w:val="21"/>
        </w:rPr>
      </w:r>
    </w:p>
    <w:p>
      <w:pPr>
        <w:pStyle w:val="BodyText"/>
        <w:spacing w:line="355" w:lineRule="auto" w:before="131"/>
        <w:ind w:right="146" w:firstLine="419"/>
        <w:jc w:val="left"/>
      </w:pPr>
      <w:r>
        <w:rPr>
          <w:spacing w:val="-11"/>
          <w:w w:val="100"/>
        </w:rPr>
        <w:t>公司以《会计法》、《企业会计准则》、《企业内部控制基本规范》以及监管部门的相关规范性文件为依</w:t>
      </w:r>
      <w:r>
        <w:rPr>
          <w:w w:val="100"/>
        </w:rPr>
        <w:t> </w:t>
      </w:r>
      <w:r>
        <w:rPr/>
        <w:t>据，建立了财务报告内部控制，本年度的财务报告内部控制不存在重大缺陷。</w:t>
      </w:r>
    </w:p>
    <w:p>
      <w:pPr>
        <w:spacing w:line="692" w:lineRule="exact" w:before="2"/>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五、年度报告披露重大差错责任追究制度</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公司已严格按照中国证监会、深圳证券交易所等监管部门的要求，建立了《年报信息披露重大差错责</w:t>
      </w:r>
    </w:p>
    <w:p>
      <w:pPr>
        <w:pStyle w:val="BodyText"/>
        <w:spacing w:line="355" w:lineRule="auto" w:before="24"/>
        <w:ind w:right="0"/>
        <w:jc w:val="left"/>
      </w:pPr>
      <w:r>
        <w:rPr>
          <w:spacing w:val="-2"/>
          <w:w w:val="100"/>
        </w:rPr>
        <w:t>任追究制度》，报告期内未发生重大会计差错更正、重大遗漏信息补充以及业绩预告修正等情况，该制度</w:t>
      </w:r>
      <w:r>
        <w:rPr>
          <w:spacing w:val="-94"/>
          <w:w w:val="100"/>
        </w:rPr>
        <w:t> </w:t>
      </w:r>
      <w:r>
        <w:rPr>
          <w:spacing w:val="-94"/>
          <w:w w:val="100"/>
        </w:rPr>
      </w:r>
      <w:r>
        <w:rPr/>
        <w:t>正常执行。</w:t>
      </w:r>
    </w:p>
    <w:p>
      <w:pPr>
        <w:spacing w:after="0" w:line="355" w:lineRule="auto"/>
        <w:jc w:val="left"/>
        <w:sectPr>
          <w:pgSz w:w="11910" w:h="16840"/>
          <w:pgMar w:header="850" w:footer="979" w:top="1200" w:bottom="1160" w:left="980" w:right="980"/>
        </w:sectPr>
      </w:pPr>
    </w:p>
    <w:p>
      <w:pPr>
        <w:spacing w:line="240" w:lineRule="auto" w:before="10"/>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before="14"/>
        <w:ind w:left="1416" w:right="1418" w:firstLine="0"/>
        <w:jc w:val="center"/>
        <w:rPr>
          <w:rFonts w:ascii="宋体" w:hAnsi="宋体" w:cs="宋体" w:eastAsia="宋体" w:hint="default"/>
          <w:sz w:val="28"/>
          <w:szCs w:val="28"/>
        </w:rPr>
      </w:pPr>
      <w:bookmarkStart w:name="第七节 股东大会情况" w:id="14"/>
      <w:bookmarkEnd w:id="14"/>
      <w:r>
        <w:rPr/>
      </w:r>
      <w:r>
        <w:rPr>
          <w:rFonts w:ascii="宋体" w:hAnsi="宋体" w:cs="宋体" w:eastAsia="宋体" w:hint="default"/>
          <w:b/>
          <w:bCs/>
          <w:sz w:val="28"/>
          <w:szCs w:val="28"/>
        </w:rPr>
        <w:t>第七节</w:t>
      </w:r>
      <w:r>
        <w:rPr>
          <w:rFonts w:ascii="宋体" w:hAnsi="宋体" w:cs="宋体" w:eastAsia="宋体" w:hint="default"/>
          <w:b/>
          <w:bCs/>
          <w:spacing w:val="-1"/>
          <w:sz w:val="28"/>
          <w:szCs w:val="28"/>
        </w:rPr>
        <w:t> </w:t>
      </w:r>
      <w:r>
        <w:rPr>
          <w:rFonts w:ascii="宋体" w:hAnsi="宋体" w:cs="宋体" w:eastAsia="宋体" w:hint="default"/>
          <w:b/>
          <w:bCs/>
          <w:sz w:val="28"/>
          <w:szCs w:val="28"/>
        </w:rPr>
        <w:t>股东大会情况</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2"/>
        <w:rPr>
          <w:rFonts w:ascii="宋体" w:hAnsi="宋体" w:cs="宋体" w:eastAsia="宋体" w:hint="default"/>
          <w:b/>
          <w:bCs/>
          <w:sz w:val="37"/>
          <w:szCs w:val="37"/>
        </w:rPr>
      </w:pPr>
    </w:p>
    <w:p>
      <w:pPr>
        <w:pStyle w:val="BodyText"/>
        <w:spacing w:line="336" w:lineRule="auto"/>
        <w:ind w:right="0" w:firstLine="419"/>
        <w:jc w:val="left"/>
      </w:pPr>
      <w:r>
        <w:rPr>
          <w:spacing w:val="-2"/>
        </w:rPr>
        <w:t>报告期内，公司共召开了</w:t>
      </w:r>
      <w:r>
        <w:rPr>
          <w:rFonts w:ascii="Times New Roman" w:hAnsi="Times New Roman" w:cs="Times New Roman" w:eastAsia="Times New Roman" w:hint="default"/>
          <w:spacing w:val="-2"/>
        </w:rPr>
        <w:t>1</w:t>
      </w:r>
      <w:r>
        <w:rPr>
          <w:spacing w:val="-2"/>
        </w:rPr>
        <w:t>次股东大会：</w:t>
      </w:r>
      <w:r>
        <w:rPr>
          <w:rFonts w:ascii="Times New Roman" w:hAnsi="Times New Roman" w:cs="Times New Roman" w:eastAsia="Times New Roman" w:hint="default"/>
          <w:spacing w:val="-2"/>
        </w:rPr>
        <w:t>2010</w:t>
      </w:r>
      <w:r>
        <w:rPr>
          <w:spacing w:val="-2"/>
        </w:rPr>
        <w:t>年年度股东大会。会议的召集程序、召开程序、出席人</w:t>
      </w:r>
      <w:r>
        <w:rPr>
          <w:w w:val="100"/>
        </w:rPr>
        <w:t> </w:t>
      </w:r>
      <w:r>
        <w:rPr/>
        <w:t>员资格以及表决程序符合《公司法》、《上市公司股东大会规则》和《公司章程》的有关规定。</w:t>
      </w:r>
    </w:p>
    <w:p>
      <w:pPr>
        <w:spacing w:line="240" w:lineRule="auto" w:before="0"/>
        <w:rPr>
          <w:rFonts w:ascii="宋体" w:hAnsi="宋体" w:cs="宋体" w:eastAsia="宋体" w:hint="default"/>
          <w:sz w:val="25"/>
          <w:szCs w:val="25"/>
        </w:rPr>
      </w:pPr>
    </w:p>
    <w:p>
      <w:pPr>
        <w:pStyle w:val="Heading4"/>
        <w:spacing w:line="240" w:lineRule="auto"/>
        <w:ind w:left="575" w:right="3480"/>
        <w:jc w:val="left"/>
        <w:rPr>
          <w:b w:val="0"/>
          <w:bCs w:val="0"/>
        </w:rPr>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年年度股东大会</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2" w:right="0"/>
        <w:jc w:val="left"/>
      </w:pPr>
      <w:r>
        <w:rPr>
          <w:rFonts w:ascii="Times New Roman" w:hAnsi="Times New Roman" w:cs="Times New Roman" w:eastAsia="Times New Roman" w:hint="default"/>
        </w:rPr>
        <w:t>2011 </w:t>
      </w:r>
      <w:r>
        <w:rPr/>
        <w:t>年</w:t>
      </w:r>
      <w:r>
        <w:rPr>
          <w:spacing w:val="-50"/>
        </w:rPr>
        <w:t> </w:t>
      </w:r>
      <w:r>
        <w:rPr>
          <w:rFonts w:ascii="Times New Roman" w:hAnsi="Times New Roman" w:cs="Times New Roman" w:eastAsia="Times New Roman" w:hint="default"/>
        </w:rPr>
        <w:t>4 </w:t>
      </w:r>
      <w:r>
        <w:rPr/>
        <w:t>月</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spacing w:val="-6"/>
        </w:rPr>
        <w:t>日，公司召开了</w:t>
      </w:r>
      <w:r>
        <w:rPr>
          <w:spacing w:val="-50"/>
        </w:rPr>
        <w:t> </w:t>
      </w:r>
      <w:r>
        <w:rPr>
          <w:rFonts w:ascii="Times New Roman" w:hAnsi="Times New Roman" w:cs="Times New Roman" w:eastAsia="Times New Roman" w:hint="default"/>
        </w:rPr>
        <w:t>2010 </w:t>
      </w:r>
      <w:r>
        <w:rPr>
          <w:spacing w:val="-3"/>
        </w:rPr>
        <w:t>年年度股东大会。会议在北京市海淀区远大路</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号北京永泰福</w:t>
      </w:r>
    </w:p>
    <w:p>
      <w:pPr>
        <w:pStyle w:val="BodyText"/>
        <w:spacing w:line="240" w:lineRule="auto" w:before="117"/>
        <w:ind w:left="153" w:right="0"/>
        <w:jc w:val="left"/>
        <w:rPr>
          <w:rFonts w:ascii="Times New Roman" w:hAnsi="Times New Roman" w:cs="Times New Roman" w:eastAsia="Times New Roman" w:hint="default"/>
        </w:rPr>
      </w:pPr>
      <w:r>
        <w:rPr/>
        <w:t>朋喜来登酒店二层玫瑰厅举行，出席会议的股东</w:t>
      </w:r>
      <w:r>
        <w:rPr>
          <w:rFonts w:ascii="Times New Roman" w:hAnsi="Times New Roman" w:cs="Times New Roman" w:eastAsia="Times New Roman" w:hint="default"/>
        </w:rPr>
        <w:t>(</w:t>
      </w:r>
      <w:r>
        <w:rPr/>
        <w:t>股东代表</w:t>
      </w:r>
      <w:r>
        <w:rPr>
          <w:rFonts w:ascii="Times New Roman" w:hAnsi="Times New Roman" w:cs="Times New Roman" w:eastAsia="Times New Roman" w:hint="default"/>
        </w:rPr>
        <w:t>)</w:t>
      </w:r>
      <w:r>
        <w:rPr/>
        <w:t>共 </w:t>
      </w:r>
      <w:r>
        <w:rPr>
          <w:rFonts w:ascii="Times New Roman" w:hAnsi="Times New Roman" w:cs="Times New Roman" w:eastAsia="Times New Roman" w:hint="default"/>
        </w:rPr>
        <w:t>6  </w:t>
      </w:r>
      <w:r>
        <w:rPr/>
        <w:t>名，代表有效表决权的股份</w:t>
      </w:r>
      <w:r>
        <w:rPr>
          <w:spacing w:val="-61"/>
        </w:rPr>
        <w:t> </w:t>
      </w:r>
      <w:r>
        <w:rPr>
          <w:rFonts w:ascii="Times New Roman" w:hAnsi="Times New Roman" w:cs="Times New Roman" w:eastAsia="Times New Roman" w:hint="default"/>
        </w:rPr>
        <w:t>141,750,576</w:t>
      </w:r>
    </w:p>
    <w:p>
      <w:pPr>
        <w:pStyle w:val="BodyText"/>
        <w:spacing w:line="345" w:lineRule="auto" w:before="117"/>
        <w:ind w:left="573" w:right="179" w:hanging="421"/>
        <w:jc w:val="left"/>
      </w:pPr>
      <w:r>
        <w:rPr/>
        <w:t>股，占公司股份总数</w:t>
      </w:r>
      <w:r>
        <w:rPr>
          <w:spacing w:val="-53"/>
        </w:rPr>
        <w:t> </w:t>
      </w:r>
      <w:r>
        <w:rPr>
          <w:rFonts w:ascii="Times New Roman" w:hAnsi="Times New Roman" w:cs="Times New Roman" w:eastAsia="Times New Roman" w:hint="default"/>
        </w:rPr>
        <w:t>224,000,000</w:t>
      </w:r>
      <w:r>
        <w:rPr>
          <w:rFonts w:ascii="Times New Roman" w:hAnsi="Times New Roman" w:cs="Times New Roman" w:eastAsia="Times New Roman" w:hint="default"/>
          <w:spacing w:val="-3"/>
        </w:rPr>
        <w:t> </w:t>
      </w:r>
      <w:r>
        <w:rPr/>
        <w:t>的 </w:t>
      </w:r>
      <w:r>
        <w:rPr>
          <w:rFonts w:ascii="Times New Roman" w:hAnsi="Times New Roman" w:cs="Times New Roman" w:eastAsia="Times New Roman" w:hint="default"/>
        </w:rPr>
        <w:t>63.28</w:t>
      </w:r>
      <w:r>
        <w:rPr>
          <w:rFonts w:ascii="Times New Roman" w:hAnsi="Times New Roman" w:cs="Times New Roman" w:eastAsia="Times New Roman" w:hint="default"/>
          <w:spacing w:val="-3"/>
        </w:rPr>
        <w:t> </w:t>
      </w:r>
      <w:r>
        <w:rPr>
          <w:rFonts w:ascii="Times New Roman" w:hAnsi="Times New Roman" w:cs="Times New Roman" w:eastAsia="Times New Roman" w:hint="default"/>
        </w:rPr>
        <w:t>%</w:t>
      </w:r>
      <w:r>
        <w:rPr/>
        <w:t>。</w:t>
      </w:r>
      <w:r>
        <w:rPr>
          <w:w w:val="100"/>
        </w:rPr>
        <w:t> </w:t>
      </w:r>
      <w:r>
        <w:rPr/>
        <w:t>会议由公司董事长李仲初先生主持，以记名投票表决的方式通过如下决议：</w:t>
      </w:r>
      <w:r>
        <w:rPr>
          <w:w w:val="100"/>
        </w:rPr>
        <w:t> </w:t>
      </w:r>
      <w:r>
        <w:rPr>
          <w:spacing w:val="-3"/>
          <w:w w:val="100"/>
        </w:rPr>
        <w:t>审议并一致通过了《</w:t>
      </w:r>
      <w:r>
        <w:rPr>
          <w:rFonts w:ascii="Times New Roman" w:hAnsi="Times New Roman" w:cs="Times New Roman" w:eastAsia="Times New Roman" w:hint="default"/>
          <w:spacing w:val="-3"/>
          <w:w w:val="100"/>
        </w:rPr>
        <w:t>2010</w:t>
      </w:r>
      <w:r>
        <w:rPr>
          <w:rFonts w:ascii="Times New Roman" w:hAnsi="Times New Roman" w:cs="Times New Roman" w:eastAsia="Times New Roman" w:hint="default"/>
          <w:w w:val="100"/>
        </w:rPr>
        <w:t> </w:t>
      </w:r>
      <w:r>
        <w:rPr>
          <w:spacing w:val="-16"/>
          <w:w w:val="100"/>
        </w:rPr>
        <w:t>年度董事会工作报告》、《</w:t>
      </w:r>
      <w:r>
        <w:rPr>
          <w:rFonts w:ascii="Times New Roman" w:hAnsi="Times New Roman" w:cs="Times New Roman" w:eastAsia="Times New Roman" w:hint="default"/>
          <w:spacing w:val="-16"/>
          <w:w w:val="100"/>
        </w:rPr>
        <w:t>2010</w:t>
      </w:r>
      <w:r>
        <w:rPr>
          <w:rFonts w:ascii="Times New Roman" w:hAnsi="Times New Roman" w:cs="Times New Roman" w:eastAsia="Times New Roman" w:hint="default"/>
          <w:w w:val="100"/>
        </w:rPr>
        <w:t> </w:t>
      </w:r>
      <w:r>
        <w:rPr>
          <w:spacing w:val="-17"/>
          <w:w w:val="100"/>
        </w:rPr>
        <w:t>年年度报告及摘要》、《</w:t>
      </w:r>
      <w:r>
        <w:rPr>
          <w:rFonts w:ascii="Times New Roman" w:hAnsi="Times New Roman" w:cs="Times New Roman" w:eastAsia="Times New Roman" w:hint="default"/>
          <w:spacing w:val="-17"/>
          <w:w w:val="100"/>
        </w:rPr>
        <w:t>2010</w:t>
      </w:r>
      <w:r>
        <w:rPr>
          <w:rFonts w:ascii="Times New Roman" w:hAnsi="Times New Roman" w:cs="Times New Roman" w:eastAsia="Times New Roman" w:hint="default"/>
          <w:spacing w:val="4"/>
          <w:w w:val="100"/>
        </w:rPr>
        <w:t> </w:t>
      </w:r>
      <w:r>
        <w:rPr>
          <w:spacing w:val="-2"/>
          <w:w w:val="100"/>
        </w:rPr>
        <w:t>年度监事会工作</w:t>
      </w:r>
      <w:r>
        <w:rPr>
          <w:w w:val="100"/>
        </w:rPr>
      </w:r>
    </w:p>
    <w:p>
      <w:pPr>
        <w:pStyle w:val="BodyText"/>
        <w:spacing w:line="240" w:lineRule="auto" w:before="17"/>
        <w:ind w:left="153" w:right="0"/>
        <w:jc w:val="left"/>
      </w:pPr>
      <w:r>
        <w:rPr>
          <w:w w:val="100"/>
        </w:rPr>
        <w:t>报告</w:t>
      </w:r>
      <w:r>
        <w:rPr>
          <w:spacing w:val="-106"/>
          <w:w w:val="100"/>
        </w:rPr>
        <w:t>》</w:t>
      </w:r>
      <w:r>
        <w:rPr>
          <w:spacing w:val="-113"/>
          <w:w w:val="100"/>
        </w:rPr>
        <w:t>、</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10</w:t>
      </w:r>
      <w:r>
        <w:rPr>
          <w:rFonts w:ascii="Times New Roman" w:hAnsi="Times New Roman" w:cs="Times New Roman" w:eastAsia="Times New Roman" w:hint="default"/>
        </w:rPr>
        <w:t> </w:t>
      </w:r>
      <w:r>
        <w:rPr>
          <w:spacing w:val="-3"/>
          <w:w w:val="100"/>
        </w:rPr>
        <w:t>年</w:t>
      </w:r>
      <w:r>
        <w:rPr>
          <w:w w:val="100"/>
        </w:rPr>
        <w:t>度</w:t>
      </w:r>
      <w:r>
        <w:rPr>
          <w:spacing w:val="-3"/>
          <w:w w:val="100"/>
        </w:rPr>
        <w:t>财</w:t>
      </w:r>
      <w:r>
        <w:rPr>
          <w:w w:val="100"/>
        </w:rPr>
        <w:t>务</w:t>
      </w:r>
      <w:r>
        <w:rPr>
          <w:spacing w:val="-3"/>
          <w:w w:val="100"/>
        </w:rPr>
        <w:t>决</w:t>
      </w:r>
      <w:r>
        <w:rPr>
          <w:w w:val="100"/>
        </w:rPr>
        <w:t>算报</w:t>
      </w:r>
      <w:r>
        <w:rPr>
          <w:spacing w:val="-3"/>
          <w:w w:val="100"/>
        </w:rPr>
        <w:t>告</w:t>
      </w:r>
      <w:r>
        <w:rPr>
          <w:spacing w:val="-106"/>
          <w:w w:val="100"/>
        </w:rPr>
        <w:t>》</w:t>
      </w:r>
      <w:r>
        <w:rPr>
          <w:spacing w:val="-111"/>
          <w:w w:val="100"/>
        </w:rPr>
        <w:t>、</w:t>
      </w:r>
      <w:r>
        <w:rPr>
          <w:spacing w:val="-3"/>
          <w:w w:val="100"/>
        </w:rPr>
        <w:t>《</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3"/>
        </w:rPr>
        <w:t> </w:t>
      </w:r>
      <w:r>
        <w:rPr>
          <w:w w:val="100"/>
        </w:rPr>
        <w:t>年</w:t>
      </w:r>
      <w:r>
        <w:rPr>
          <w:spacing w:val="-3"/>
          <w:w w:val="100"/>
        </w:rPr>
        <w:t>度</w:t>
      </w:r>
      <w:r>
        <w:rPr>
          <w:w w:val="100"/>
        </w:rPr>
        <w:t>利</w:t>
      </w:r>
      <w:r>
        <w:rPr>
          <w:spacing w:val="-3"/>
          <w:w w:val="100"/>
        </w:rPr>
        <w:t>润</w:t>
      </w:r>
      <w:r>
        <w:rPr>
          <w:w w:val="100"/>
        </w:rPr>
        <w:t>分配</w:t>
      </w:r>
      <w:r>
        <w:rPr>
          <w:spacing w:val="-3"/>
          <w:w w:val="100"/>
        </w:rPr>
        <w:t>预</w:t>
      </w:r>
      <w:r>
        <w:rPr>
          <w:w w:val="100"/>
        </w:rPr>
        <w:t>案</w:t>
      </w:r>
      <w:r>
        <w:rPr>
          <w:spacing w:val="-106"/>
          <w:w w:val="100"/>
        </w:rPr>
        <w:t>》</w:t>
      </w:r>
      <w:r>
        <w:rPr>
          <w:spacing w:val="-113"/>
          <w:w w:val="100"/>
        </w:rPr>
        <w:t>、</w:t>
      </w:r>
      <w:r>
        <w:rPr>
          <w:spacing w:val="-1"/>
          <w:w w:val="100"/>
        </w:rPr>
        <w:t>《</w:t>
      </w:r>
      <w:r>
        <w:rPr>
          <w:spacing w:val="-3"/>
          <w:w w:val="100"/>
        </w:rPr>
        <w:t>关</w:t>
      </w:r>
      <w:r>
        <w:rPr>
          <w:w w:val="100"/>
        </w:rPr>
        <w:t>于</w:t>
      </w:r>
      <w:r>
        <w:rPr>
          <w:spacing w:val="-3"/>
          <w:w w:val="100"/>
        </w:rPr>
        <w:t>续</w:t>
      </w:r>
      <w:r>
        <w:rPr>
          <w:w w:val="100"/>
        </w:rPr>
        <w:t>聘</w:t>
      </w:r>
      <w:r>
        <w:rPr>
          <w:spacing w:val="-3"/>
          <w:w w:val="100"/>
        </w:rPr>
        <w:t>武</w:t>
      </w:r>
      <w:r>
        <w:rPr>
          <w:w w:val="100"/>
        </w:rPr>
        <w:t>汉众</w:t>
      </w:r>
      <w:r>
        <w:rPr>
          <w:spacing w:val="-3"/>
          <w:w w:val="100"/>
        </w:rPr>
        <w:t>环</w:t>
      </w:r>
      <w:r>
        <w:rPr>
          <w:w w:val="100"/>
        </w:rPr>
        <w:t>会</w:t>
      </w:r>
      <w:r>
        <w:rPr>
          <w:spacing w:val="-3"/>
          <w:w w:val="100"/>
        </w:rPr>
        <w:t>计</w:t>
      </w:r>
      <w:r>
        <w:rPr>
          <w:w w:val="100"/>
        </w:rPr>
        <w:t>师</w:t>
      </w:r>
      <w:r>
        <w:rPr>
          <w:spacing w:val="-3"/>
          <w:w w:val="100"/>
        </w:rPr>
        <w:t>事</w:t>
      </w:r>
      <w:r>
        <w:rPr>
          <w:w w:val="100"/>
        </w:rPr>
        <w:t>务</w:t>
      </w:r>
      <w:r>
        <w:rPr>
          <w:spacing w:val="-3"/>
          <w:w w:val="100"/>
        </w:rPr>
        <w:t>所有限责</w:t>
      </w:r>
      <w:r>
        <w:rPr>
          <w:w w:val="100"/>
        </w:rPr>
      </w:r>
    </w:p>
    <w:p>
      <w:pPr>
        <w:pStyle w:val="BodyText"/>
        <w:spacing w:line="240" w:lineRule="auto" w:before="117"/>
        <w:ind w:left="153" w:right="0"/>
        <w:jc w:val="left"/>
      </w:pPr>
      <w:r>
        <w:rPr>
          <w:w w:val="100"/>
        </w:rPr>
        <w:t>任公</w:t>
      </w:r>
      <w:r>
        <w:rPr>
          <w:spacing w:val="-3"/>
          <w:w w:val="100"/>
        </w:rPr>
        <w:t>司</w:t>
      </w:r>
      <w:r>
        <w:rPr>
          <w:w w:val="100"/>
        </w:rPr>
        <w:t>担</w:t>
      </w:r>
      <w:r>
        <w:rPr>
          <w:spacing w:val="-3"/>
          <w:w w:val="100"/>
        </w:rPr>
        <w:t>任公</w:t>
      </w:r>
      <w:r>
        <w:rPr>
          <w:w w:val="100"/>
        </w:rPr>
        <w:t>司</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年度</w:t>
      </w:r>
      <w:r>
        <w:rPr>
          <w:w w:val="100"/>
        </w:rPr>
        <w:t>审计</w:t>
      </w:r>
      <w:r>
        <w:rPr>
          <w:spacing w:val="-3"/>
          <w:w w:val="100"/>
        </w:rPr>
        <w:t>机</w:t>
      </w:r>
      <w:r>
        <w:rPr>
          <w:w w:val="100"/>
        </w:rPr>
        <w:t>构</w:t>
      </w:r>
      <w:r>
        <w:rPr>
          <w:spacing w:val="-3"/>
          <w:w w:val="100"/>
        </w:rPr>
        <w:t>的</w:t>
      </w:r>
      <w:r>
        <w:rPr>
          <w:w w:val="100"/>
        </w:rPr>
        <w:t>议</w:t>
      </w:r>
      <w:r>
        <w:rPr>
          <w:spacing w:val="-3"/>
          <w:w w:val="100"/>
        </w:rPr>
        <w:t>案</w:t>
      </w:r>
      <w:r>
        <w:rPr>
          <w:spacing w:val="-107"/>
          <w:w w:val="100"/>
        </w:rPr>
        <w:t>》</w:t>
      </w:r>
      <w:r>
        <w:rPr>
          <w:spacing w:val="-108"/>
          <w:w w:val="100"/>
        </w:rPr>
        <w:t>、</w:t>
      </w:r>
      <w:r>
        <w:rPr>
          <w:spacing w:val="-3"/>
          <w:w w:val="100"/>
        </w:rPr>
        <w:t>《</w:t>
      </w:r>
      <w:r>
        <w:rPr>
          <w:w w:val="100"/>
        </w:rPr>
        <w:t>关</w:t>
      </w:r>
      <w:r>
        <w:rPr>
          <w:spacing w:val="-3"/>
          <w:w w:val="100"/>
        </w:rPr>
        <w:t>于</w:t>
      </w:r>
      <w:r>
        <w:rPr>
          <w:w w:val="100"/>
        </w:rPr>
        <w:t>调整</w:t>
      </w:r>
      <w:r>
        <w:rPr>
          <w:spacing w:val="-3"/>
          <w:w w:val="100"/>
        </w:rPr>
        <w:t>独</w:t>
      </w:r>
      <w:r>
        <w:rPr>
          <w:w w:val="100"/>
        </w:rPr>
        <w:t>立</w:t>
      </w:r>
      <w:r>
        <w:rPr>
          <w:spacing w:val="-3"/>
          <w:w w:val="100"/>
        </w:rPr>
        <w:t>董</w:t>
      </w:r>
      <w:r>
        <w:rPr>
          <w:w w:val="100"/>
        </w:rPr>
        <w:t>事</w:t>
      </w:r>
      <w:r>
        <w:rPr>
          <w:spacing w:val="-3"/>
          <w:w w:val="100"/>
        </w:rPr>
        <w:t>津</w:t>
      </w:r>
      <w:r>
        <w:rPr>
          <w:w w:val="100"/>
        </w:rPr>
        <w:t>贴</w:t>
      </w:r>
      <w:r>
        <w:rPr>
          <w:spacing w:val="-3"/>
          <w:w w:val="100"/>
        </w:rPr>
        <w:t>的</w:t>
      </w:r>
      <w:r>
        <w:rPr>
          <w:w w:val="100"/>
        </w:rPr>
        <w:t>议</w:t>
      </w:r>
      <w:r>
        <w:rPr>
          <w:spacing w:val="-3"/>
          <w:w w:val="100"/>
        </w:rPr>
        <w:t>案》</w:t>
      </w:r>
      <w:r>
        <w:rPr>
          <w:w w:val="100"/>
        </w:rPr>
        <w:t>共</w:t>
      </w:r>
      <w:r>
        <w:rPr>
          <w:spacing w:val="-53"/>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项</w:t>
      </w:r>
      <w:r>
        <w:rPr>
          <w:spacing w:val="-3"/>
          <w:w w:val="100"/>
        </w:rPr>
        <w:t>提</w:t>
      </w:r>
      <w:r>
        <w:rPr>
          <w:w w:val="100"/>
        </w:rPr>
        <w:t>案</w:t>
      </w:r>
      <w:r>
        <w:rPr>
          <w:spacing w:val="-3"/>
          <w:w w:val="100"/>
        </w:rPr>
        <w:t>，会</w:t>
      </w:r>
      <w:r>
        <w:rPr>
          <w:w w:val="100"/>
        </w:rPr>
        <w:t>议</w:t>
      </w:r>
      <w:r>
        <w:rPr>
          <w:spacing w:val="-3"/>
          <w:w w:val="100"/>
        </w:rPr>
        <w:t>决议公</w:t>
      </w:r>
      <w:r>
        <w:rPr>
          <w:w w:val="100"/>
        </w:rPr>
      </w:r>
    </w:p>
    <w:p>
      <w:pPr>
        <w:pStyle w:val="BodyText"/>
        <w:spacing w:line="240" w:lineRule="auto" w:before="117"/>
        <w:ind w:left="153" w:right="0"/>
        <w:jc w:val="left"/>
      </w:pPr>
      <w:r>
        <w:rPr>
          <w:w w:val="100"/>
        </w:rPr>
        <w:t>告刊</w:t>
      </w:r>
      <w:r>
        <w:rPr>
          <w:spacing w:val="-3"/>
          <w:w w:val="100"/>
        </w:rPr>
        <w:t>登</w:t>
      </w:r>
      <w:r>
        <w:rPr>
          <w:w w:val="100"/>
        </w:rPr>
        <w:t>于</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010</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spacing w:val="-3"/>
          <w:w w:val="100"/>
        </w:rPr>
        <w:t>日</w:t>
      </w:r>
      <w:r>
        <w:rPr>
          <w:w w:val="100"/>
        </w:rPr>
        <w:t>的《</w:t>
      </w:r>
      <w:r>
        <w:rPr>
          <w:spacing w:val="-3"/>
          <w:w w:val="100"/>
        </w:rPr>
        <w:t>中</w:t>
      </w:r>
      <w:r>
        <w:rPr>
          <w:w w:val="100"/>
        </w:rPr>
        <w:t>国</w:t>
      </w:r>
      <w:r>
        <w:rPr>
          <w:spacing w:val="-3"/>
          <w:w w:val="100"/>
        </w:rPr>
        <w:t>证</w:t>
      </w:r>
      <w:r>
        <w:rPr>
          <w:w w:val="100"/>
        </w:rPr>
        <w:t>券</w:t>
      </w:r>
      <w:r>
        <w:rPr>
          <w:spacing w:val="-3"/>
          <w:w w:val="100"/>
        </w:rPr>
        <w:t>报</w:t>
      </w:r>
      <w:r>
        <w:rPr>
          <w:spacing w:val="-106"/>
          <w:w w:val="100"/>
        </w:rPr>
        <w:t>》、</w:t>
      </w:r>
      <w:r>
        <w:rPr>
          <w:spacing w:val="-3"/>
          <w:w w:val="100"/>
        </w:rPr>
        <w:t>《</w:t>
      </w:r>
      <w:r>
        <w:rPr>
          <w:w w:val="100"/>
        </w:rPr>
        <w:t>证</w:t>
      </w:r>
      <w:r>
        <w:rPr>
          <w:spacing w:val="-3"/>
          <w:w w:val="100"/>
        </w:rPr>
        <w:t>券</w:t>
      </w:r>
      <w:r>
        <w:rPr>
          <w:w w:val="100"/>
        </w:rPr>
        <w:t>时报</w:t>
      </w:r>
      <w:r>
        <w:rPr>
          <w:spacing w:val="-3"/>
          <w:w w:val="100"/>
        </w:rPr>
        <w:t>》</w:t>
      </w:r>
      <w:r>
        <w:rPr>
          <w:w w:val="100"/>
        </w:rPr>
        <w:t>及</w:t>
      </w:r>
      <w:r>
        <w:rPr>
          <w:spacing w:val="-3"/>
          <w:w w:val="100"/>
        </w:rPr>
        <w:t>巨</w:t>
      </w:r>
      <w:r>
        <w:rPr>
          <w:w w:val="100"/>
        </w:rPr>
        <w:t>潮</w:t>
      </w:r>
      <w:r>
        <w:rPr>
          <w:spacing w:val="-3"/>
          <w:w w:val="100"/>
        </w:rPr>
        <w:t>资</w:t>
      </w:r>
      <w:r>
        <w:rPr>
          <w:w w:val="100"/>
        </w:rPr>
        <w:t>讯网</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ww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1"/>
          <w:w w:val="100"/>
        </w:rPr>
        <w:t>c</w:t>
      </w:r>
      <w:r>
        <w:rPr>
          <w:rFonts w:ascii="Times New Roman" w:hAnsi="Times New Roman" w:cs="Times New Roman" w:eastAsia="Times New Roman" w:hint="default"/>
          <w:w w:val="100"/>
        </w:rPr>
        <w:t>n</w:t>
      </w:r>
      <w:r>
        <w:rPr>
          <w:rFonts w:ascii="Times New Roman" w:hAnsi="Times New Roman" w:cs="Times New Roman" w:eastAsia="Times New Roman" w:hint="default"/>
          <w:spacing w:val="-2"/>
          <w:w w:val="100"/>
        </w:rPr>
        <w:t>i</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w w:val="100"/>
        </w:rPr>
        <w:t>f</w:t>
      </w:r>
      <w:r>
        <w:rPr>
          <w:rFonts w:ascii="Times New Roman" w:hAnsi="Times New Roman" w:cs="Times New Roman" w:eastAsia="Times New Roman" w:hint="default"/>
          <w:w w:val="100"/>
        </w:rPr>
        <w:t>o.</w:t>
      </w:r>
      <w:r>
        <w:rPr>
          <w:rFonts w:ascii="Times New Roman" w:hAnsi="Times New Roman" w:cs="Times New Roman" w:eastAsia="Times New Roman" w:hint="default"/>
          <w:spacing w:val="-1"/>
          <w:w w:val="100"/>
        </w:rPr>
        <w:t>c</w:t>
      </w:r>
      <w:r>
        <w:rPr>
          <w:rFonts w:ascii="Times New Roman" w:hAnsi="Times New Roman" w:cs="Times New Roman" w:eastAsia="Times New Roman" w:hint="default"/>
          <w:w w:val="100"/>
        </w:rPr>
        <w:t>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w:t>
      </w:r>
      <w:r>
        <w:rPr>
          <w:rFonts w:ascii="Times New Roman" w:hAnsi="Times New Roman" w:cs="Times New Roman" w:eastAsia="Times New Roman" w:hint="default"/>
          <w:spacing w:val="-1"/>
          <w:w w:val="100"/>
        </w:rPr>
        <w:t>c</w:t>
      </w:r>
      <w:r>
        <w:rPr>
          <w:rFonts w:ascii="Times New Roman" w:hAnsi="Times New Roman" w:cs="Times New Roman" w:eastAsia="Times New Roman" w:hint="default"/>
          <w:w w:val="100"/>
        </w:rPr>
        <w:t>n</w:t>
      </w:r>
      <w:r>
        <w:rPr>
          <w:rFonts w:ascii="Times New Roman" w:hAnsi="Times New Roman" w:cs="Times New Roman" w:eastAsia="Times New Roman" w:hint="default"/>
          <w:spacing w:val="-2"/>
          <w:w w:val="100"/>
        </w:rPr>
        <w:t>)</w:t>
      </w:r>
      <w:r>
        <w:rPr>
          <w:w w:val="100"/>
        </w:rPr>
        <w:t>上。</w:t>
      </w:r>
    </w:p>
    <w:p>
      <w:pPr>
        <w:spacing w:after="0" w:line="240" w:lineRule="auto"/>
        <w:jc w:val="left"/>
        <w:sectPr>
          <w:pgSz w:w="11910" w:h="16840"/>
          <w:pgMar w:header="850" w:footer="979" w:top="1200" w:bottom="116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14"/>
        <w:ind w:left="3758" w:right="3818" w:firstLine="0"/>
        <w:jc w:val="center"/>
        <w:rPr>
          <w:rFonts w:ascii="宋体" w:hAnsi="宋体" w:cs="宋体" w:eastAsia="宋体" w:hint="default"/>
          <w:sz w:val="28"/>
          <w:szCs w:val="28"/>
        </w:rPr>
      </w:pPr>
      <w:bookmarkStart w:name="第八节 董事会报告" w:id="15"/>
      <w:bookmarkEnd w:id="15"/>
      <w:r>
        <w:rPr/>
      </w:r>
      <w:r>
        <w:rPr>
          <w:rFonts w:ascii="宋体" w:hAnsi="宋体" w:cs="宋体" w:eastAsia="宋体" w:hint="default"/>
          <w:b/>
          <w:bCs/>
          <w:sz w:val="28"/>
          <w:szCs w:val="28"/>
        </w:rPr>
        <w:t>第八节</w:t>
      </w:r>
      <w:r>
        <w:rPr>
          <w:rFonts w:ascii="宋体" w:hAnsi="宋体" w:cs="宋体" w:eastAsia="宋体" w:hint="default"/>
          <w:b/>
          <w:bCs/>
          <w:spacing w:val="-1"/>
          <w:sz w:val="28"/>
          <w:szCs w:val="28"/>
        </w:rPr>
        <w:t> </w:t>
      </w:r>
      <w:r>
        <w:rPr>
          <w:rFonts w:ascii="宋体" w:hAnsi="宋体" w:cs="宋体" w:eastAsia="宋体" w:hint="default"/>
          <w:b/>
          <w:bCs/>
          <w:sz w:val="28"/>
          <w:szCs w:val="28"/>
        </w:rPr>
        <w:t>董事会报告</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pStyle w:val="Heading4"/>
        <w:spacing w:line="240" w:lineRule="auto" w:before="36"/>
        <w:ind w:left="575" w:right="0"/>
        <w:jc w:val="left"/>
        <w:rPr>
          <w:b w:val="0"/>
          <w:bCs w:val="0"/>
        </w:rPr>
      </w:pPr>
      <w:r>
        <w:rPr/>
        <w:t>一、公司经营情况</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52"/>
        <w:ind w:right="0"/>
        <w:jc w:val="left"/>
        <w:rPr>
          <w:b w:val="0"/>
          <w:bCs w:val="0"/>
        </w:rPr>
      </w:pPr>
      <w:r>
        <w:rPr/>
        <w:t>（一）报告期内的公司经营情况回顾</w:t>
      </w:r>
      <w:r>
        <w:rPr>
          <w:b w:val="0"/>
          <w:bCs w:val="0"/>
        </w:rPr>
      </w:r>
    </w:p>
    <w:p>
      <w:pPr>
        <w:spacing w:line="240" w:lineRule="auto" w:before="0"/>
        <w:rPr>
          <w:rFonts w:ascii="宋体" w:hAnsi="宋体" w:cs="宋体" w:eastAsia="宋体" w:hint="default"/>
          <w:b/>
          <w:bCs/>
          <w:sz w:val="20"/>
          <w:szCs w:val="20"/>
        </w:rPr>
      </w:pPr>
    </w:p>
    <w:p>
      <w:pPr>
        <w:pStyle w:val="BodyText"/>
        <w:spacing w:line="336" w:lineRule="auto" w:before="154"/>
        <w:ind w:left="572" w:right="0" w:firstLine="2"/>
        <w:jc w:val="left"/>
      </w:pPr>
      <w:r>
        <w:rPr>
          <w:rFonts w:ascii="Times New Roman" w:hAnsi="Times New Roman" w:cs="Times New Roman" w:eastAsia="Times New Roman" w:hint="default"/>
          <w:b/>
          <w:bCs/>
        </w:rPr>
        <w:t>1</w:t>
      </w:r>
      <w:r>
        <w:rPr>
          <w:rFonts w:ascii="宋体" w:hAnsi="宋体" w:cs="宋体" w:eastAsia="宋体" w:hint="default"/>
          <w:b/>
          <w:bCs/>
        </w:rPr>
        <w:t>、总体经营情况</w:t>
      </w:r>
      <w:r>
        <w:rPr>
          <w:rFonts w:ascii="宋体" w:hAnsi="宋体" w:cs="宋体" w:eastAsia="宋体" w:hint="default"/>
          <w:b/>
          <w:bCs/>
          <w:w w:val="100"/>
        </w:rPr>
        <w:t> </w:t>
      </w:r>
      <w:r>
        <w:rPr>
          <w:spacing w:val="-2"/>
        </w:rPr>
        <w:t>报告期内，中国旅游酒店行业持续增长，新开业高星级酒店数增长迅速，国际酒店集团继续在中国加</w:t>
      </w:r>
      <w:r>
        <w:rPr/>
      </w:r>
    </w:p>
    <w:p>
      <w:pPr>
        <w:pStyle w:val="BodyText"/>
        <w:spacing w:line="357" w:lineRule="auto" w:before="49"/>
        <w:ind w:right="184"/>
        <w:jc w:val="both"/>
      </w:pPr>
      <w:r>
        <w:rPr>
          <w:spacing w:val="-2"/>
        </w:rPr>
        <w:t>速扩张，这些进入中国的国际酒店集团绝大部分采用了公司的全套酒店信息系统产品与服务，公司酒店信</w:t>
      </w:r>
      <w:r>
        <w:rPr>
          <w:spacing w:val="-44"/>
        </w:rPr>
        <w:t> </w:t>
      </w:r>
      <w:r>
        <w:rPr>
          <w:spacing w:val="-44"/>
        </w:rPr>
      </w:r>
      <w:r>
        <w:rPr>
          <w:spacing w:val="-2"/>
        </w:rPr>
        <w:t>息管理系统业务实现了持续稳定地增长，市场占有率进一步提升，行业领先地位进一步得到巩固，公司产</w:t>
      </w:r>
      <w:r>
        <w:rPr>
          <w:spacing w:val="-49"/>
        </w:rPr>
        <w:t> </w:t>
      </w:r>
      <w:r>
        <w:rPr>
          <w:spacing w:val="-49"/>
        </w:rPr>
      </w:r>
      <w:r>
        <w:rPr>
          <w:spacing w:val="-2"/>
        </w:rPr>
        <w:t>品与服务客观上促进了行业标准化的实现，为整个行业所带来的效率提升与成本降低的价值开始显现；报</w:t>
      </w:r>
      <w:r>
        <w:rPr>
          <w:spacing w:val="-45"/>
        </w:rPr>
        <w:t> </w:t>
      </w:r>
      <w:r>
        <w:rPr>
          <w:spacing w:val="-45"/>
        </w:rPr>
      </w:r>
      <w:r>
        <w:rPr>
          <w:spacing w:val="-2"/>
        </w:rPr>
        <w:t>告期内，公司继续按计划投入了基于云计算的新一代酒店信息管理系统的研究开发，统一了研发平台，加</w:t>
      </w:r>
      <w:r>
        <w:rPr>
          <w:spacing w:val="-42"/>
        </w:rPr>
        <w:t> </w:t>
      </w:r>
      <w:r>
        <w:rPr>
          <w:spacing w:val="-42"/>
        </w:rPr>
      </w:r>
      <w:r>
        <w:rPr>
          <w:spacing w:val="-2"/>
        </w:rPr>
        <w:t>速了向西软科技的技术转移，这将使未来的西软产品在兼顾本地需求的同时完全与国际产品兼容；报告期</w:t>
      </w:r>
      <w:r>
        <w:rPr>
          <w:spacing w:val="-45"/>
        </w:rPr>
        <w:t> </w:t>
      </w:r>
      <w:r>
        <w:rPr>
          <w:spacing w:val="-45"/>
        </w:rPr>
      </w:r>
      <w:r>
        <w:rPr>
          <w:spacing w:val="-2"/>
        </w:rPr>
        <w:t>内，公司售后服务体系进一步完善，客户满意度进一步提高；报告期内，公司在线酒店预订平台（畅联）</w:t>
      </w:r>
      <w:r>
        <w:rPr>
          <w:spacing w:val="-21"/>
        </w:rPr>
        <w:t> </w:t>
      </w:r>
      <w:r>
        <w:rPr>
          <w:spacing w:val="-21"/>
        </w:rPr>
      </w:r>
      <w:r>
        <w:rPr/>
        <w:t>业务、餐饮信息系统业务、在线支付系统业务等其他业务均取得了良好的进展。</w:t>
      </w:r>
    </w:p>
    <w:p>
      <w:pPr>
        <w:pStyle w:val="BodyText"/>
        <w:spacing w:line="336" w:lineRule="auto" w:before="30"/>
        <w:ind w:left="153" w:right="206" w:firstLine="434"/>
        <w:jc w:val="left"/>
      </w:pPr>
      <w:r>
        <w:rPr/>
        <w:t>报告期内，公司实现营业收入</w:t>
      </w:r>
      <w:r>
        <w:rPr>
          <w:spacing w:val="-41"/>
        </w:rPr>
        <w:t> </w:t>
      </w:r>
      <w:r>
        <w:rPr>
          <w:rFonts w:ascii="Times New Roman" w:hAnsi="Times New Roman" w:cs="Times New Roman" w:eastAsia="Times New Roman" w:hint="default"/>
        </w:rPr>
        <w:t>72,611.68</w:t>
      </w:r>
      <w:r>
        <w:rPr>
          <w:rFonts w:ascii="Times New Roman" w:hAnsi="Times New Roman" w:cs="Times New Roman" w:eastAsia="Times New Roman" w:hint="default"/>
          <w:spacing w:val="48"/>
        </w:rPr>
        <w:t> </w:t>
      </w:r>
      <w:r>
        <w:rPr/>
        <w:t>万元，同比增长</w:t>
      </w:r>
      <w:r>
        <w:rPr>
          <w:spacing w:val="-41"/>
        </w:rPr>
        <w:t> </w:t>
      </w:r>
      <w:r>
        <w:rPr>
          <w:rFonts w:ascii="Times New Roman" w:hAnsi="Times New Roman" w:cs="Times New Roman" w:eastAsia="Times New Roman" w:hint="default"/>
        </w:rPr>
        <w:t>18.99%</w:t>
      </w:r>
      <w:r>
        <w:rPr/>
        <w:t>；实现利润总额</w:t>
      </w:r>
      <w:r>
        <w:rPr>
          <w:spacing w:val="-41"/>
        </w:rPr>
        <w:t> </w:t>
      </w:r>
      <w:r>
        <w:rPr>
          <w:rFonts w:ascii="Times New Roman" w:hAnsi="Times New Roman" w:cs="Times New Roman" w:eastAsia="Times New Roman" w:hint="default"/>
        </w:rPr>
        <w:t>30,539.56</w:t>
      </w:r>
      <w:r>
        <w:rPr>
          <w:rFonts w:ascii="Times New Roman" w:hAnsi="Times New Roman" w:cs="Times New Roman" w:eastAsia="Times New Roman" w:hint="default"/>
          <w:spacing w:val="10"/>
        </w:rPr>
        <w:t> </w:t>
      </w:r>
      <w:r>
        <w:rPr/>
        <w:t>万元，同</w:t>
      </w:r>
      <w:r>
        <w:rPr>
          <w:w w:val="100"/>
        </w:rPr>
        <w:t> </w:t>
      </w:r>
      <w:r>
        <w:rPr/>
        <w:t>比增长</w:t>
      </w:r>
      <w:r>
        <w:rPr>
          <w:spacing w:val="-56"/>
        </w:rPr>
        <w:t> </w:t>
      </w:r>
      <w:r>
        <w:rPr>
          <w:rFonts w:ascii="Times New Roman" w:hAnsi="Times New Roman" w:cs="Times New Roman" w:eastAsia="Times New Roman" w:hint="default"/>
        </w:rPr>
        <w:t>24.72%</w:t>
      </w:r>
      <w:r>
        <w:rPr/>
        <w:t>；归属于上市公司股东的净利润</w:t>
      </w:r>
      <w:r>
        <w:rPr>
          <w:spacing w:val="-56"/>
        </w:rPr>
        <w:t> </w:t>
      </w:r>
      <w:r>
        <w:rPr>
          <w:rFonts w:ascii="Times New Roman" w:hAnsi="Times New Roman" w:cs="Times New Roman" w:eastAsia="Times New Roman" w:hint="default"/>
        </w:rPr>
        <w:t>26,338.84</w:t>
      </w:r>
      <w:r>
        <w:rPr>
          <w:rFonts w:ascii="Times New Roman" w:hAnsi="Times New Roman" w:cs="Times New Roman" w:eastAsia="Times New Roman" w:hint="default"/>
          <w:spacing w:val="-3"/>
        </w:rPr>
        <w:t> </w:t>
      </w:r>
      <w:r>
        <w:rPr/>
        <w:t>万元，同比增长</w:t>
      </w:r>
      <w:r>
        <w:rPr>
          <w:spacing w:val="-56"/>
        </w:rPr>
        <w:t> </w:t>
      </w:r>
      <w:r>
        <w:rPr>
          <w:rFonts w:ascii="Times New Roman" w:hAnsi="Times New Roman" w:cs="Times New Roman" w:eastAsia="Times New Roman" w:hint="default"/>
        </w:rPr>
        <w:t>23.14%</w:t>
      </w:r>
      <w:r>
        <w:rPr/>
        <w:t>。</w:t>
      </w:r>
    </w:p>
    <w:p>
      <w:pPr>
        <w:pStyle w:val="BodyText"/>
        <w:spacing w:line="355" w:lineRule="auto" w:before="24"/>
        <w:ind w:left="587" w:right="0" w:hanging="14"/>
        <w:jc w:val="left"/>
      </w:pPr>
      <w:r>
        <w:rPr/>
        <w:t>报告期内，公司各项主要业务经营情况如下：</w:t>
      </w:r>
      <w:r>
        <w:rPr>
          <w:w w:val="100"/>
        </w:rPr>
        <w:t> </w:t>
      </w:r>
      <w:r>
        <w:rPr>
          <w:rFonts w:ascii="宋体" w:hAnsi="宋体" w:cs="宋体" w:eastAsia="宋体" w:hint="default"/>
          <w:b/>
          <w:bCs/>
          <w:spacing w:val="-3"/>
        </w:rPr>
        <w:t>酒店信息系统业务方面：</w:t>
      </w:r>
      <w:r>
        <w:rPr>
          <w:spacing w:val="-3"/>
        </w:rPr>
        <w:t>报告期内，公司主要由母公司、全资子公司北京石基、上海石基、北海石基</w:t>
      </w:r>
    </w:p>
    <w:p>
      <w:pPr>
        <w:pStyle w:val="BodyText"/>
        <w:spacing w:line="355" w:lineRule="auto" w:before="34"/>
        <w:ind w:right="207"/>
        <w:jc w:val="both"/>
      </w:pPr>
      <w:r>
        <w:rPr>
          <w:spacing w:val="-2"/>
        </w:rPr>
        <w:t>开展完全国际化经营与管理的高星级酒店的信息系统业务，全资子公司杭州西软科技有限公司开展本地中</w:t>
      </w:r>
      <w:r>
        <w:rPr>
          <w:spacing w:val="-43"/>
        </w:rPr>
        <w:t> </w:t>
      </w:r>
      <w:r>
        <w:rPr>
          <w:spacing w:val="-43"/>
        </w:rPr>
      </w:r>
      <w:r>
        <w:rPr>
          <w:spacing w:val="-2"/>
        </w:rPr>
        <w:t>高档星级酒店信息系统业务，控股子公司北京石基昆仑软件有限公司则专注于酒店会员管理系统，客户关</w:t>
      </w:r>
      <w:r>
        <w:rPr>
          <w:spacing w:val="-44"/>
        </w:rPr>
        <w:t> </w:t>
      </w:r>
      <w:r>
        <w:rPr>
          <w:spacing w:val="-44"/>
        </w:rPr>
      </w:r>
      <w:r>
        <w:rPr/>
        <w:t>系管理系统与中央预订系统业务。</w:t>
      </w:r>
    </w:p>
    <w:p>
      <w:pPr>
        <w:pStyle w:val="BodyText"/>
        <w:spacing w:line="240" w:lineRule="auto" w:before="32"/>
        <w:ind w:left="586" w:right="0"/>
        <w:jc w:val="left"/>
      </w:pPr>
      <w:r>
        <w:rPr/>
        <w:t>报告期内，完成新建国际高星级酒店信息系统项目</w:t>
      </w:r>
      <w:r>
        <w:rPr>
          <w:spacing w:val="-40"/>
        </w:rPr>
        <w:t> </w:t>
      </w:r>
      <w:r>
        <w:rPr>
          <w:rFonts w:ascii="Times New Roman" w:hAnsi="Times New Roman" w:cs="Times New Roman" w:eastAsia="Times New Roman" w:hint="default"/>
        </w:rPr>
        <w:t>156</w:t>
      </w:r>
      <w:r>
        <w:rPr>
          <w:rFonts w:ascii="Times New Roman" w:hAnsi="Times New Roman" w:cs="Times New Roman" w:eastAsia="Times New Roman" w:hint="default"/>
          <w:spacing w:val="16"/>
        </w:rPr>
        <w:t> </w:t>
      </w:r>
      <w:r>
        <w:rPr/>
        <w:t>个，新签技术支持与服务用户</w:t>
      </w:r>
      <w:r>
        <w:rPr>
          <w:spacing w:val="-37"/>
        </w:rPr>
        <w:t> </w:t>
      </w:r>
      <w:r>
        <w:rPr>
          <w:rFonts w:ascii="Times New Roman" w:hAnsi="Times New Roman" w:cs="Times New Roman" w:eastAsia="Times New Roman" w:hint="default"/>
        </w:rPr>
        <w:t>99</w:t>
      </w:r>
      <w:r>
        <w:rPr>
          <w:rFonts w:ascii="Times New Roman" w:hAnsi="Times New Roman" w:cs="Times New Roman" w:eastAsia="Times New Roman" w:hint="default"/>
          <w:spacing w:val="16"/>
        </w:rPr>
        <w:t> </w:t>
      </w:r>
      <w:r>
        <w:rPr/>
        <w:t>个，签订技</w:t>
      </w:r>
    </w:p>
    <w:p>
      <w:pPr>
        <w:pStyle w:val="BodyText"/>
        <w:spacing w:line="240" w:lineRule="auto" w:before="119"/>
        <w:ind w:right="0"/>
        <w:jc w:val="both"/>
      </w:pPr>
      <w:r>
        <w:rPr/>
        <w:t>术支持与服务合同的用户数达到 </w:t>
      </w:r>
      <w:r>
        <w:rPr>
          <w:rFonts w:ascii="Times New Roman" w:hAnsi="Times New Roman" w:cs="Times New Roman" w:eastAsia="Times New Roman" w:hint="default"/>
        </w:rPr>
        <w:t>825</w:t>
      </w:r>
      <w:r>
        <w:rPr>
          <w:rFonts w:ascii="Times New Roman" w:hAnsi="Times New Roman" w:cs="Times New Roman" w:eastAsia="Times New Roman" w:hint="default"/>
          <w:spacing w:val="5"/>
        </w:rPr>
        <w:t> </w:t>
      </w:r>
      <w:r>
        <w:rPr>
          <w:spacing w:val="-3"/>
        </w:rPr>
        <w:t>家。全资子公司杭州西软科技有限公司实现了持续的增长，新增酒店</w:t>
      </w:r>
    </w:p>
    <w:p>
      <w:pPr>
        <w:pStyle w:val="BodyText"/>
        <w:spacing w:line="350" w:lineRule="auto" w:before="117"/>
        <w:ind w:right="0"/>
        <w:jc w:val="left"/>
      </w:pPr>
      <w:r>
        <w:rPr/>
        <w:t>客户</w:t>
      </w:r>
      <w:r>
        <w:rPr>
          <w:spacing w:val="-35"/>
        </w:rPr>
        <w:t> </w:t>
      </w:r>
      <w:r>
        <w:rPr>
          <w:rFonts w:ascii="Times New Roman" w:hAnsi="Times New Roman" w:cs="Times New Roman" w:eastAsia="Times New Roman" w:hint="default"/>
        </w:rPr>
        <w:t>439</w:t>
      </w:r>
      <w:r>
        <w:rPr>
          <w:rFonts w:ascii="Times New Roman" w:hAnsi="Times New Roman" w:cs="Times New Roman" w:eastAsia="Times New Roman" w:hint="default"/>
          <w:spacing w:val="19"/>
        </w:rPr>
        <w:t> </w:t>
      </w:r>
      <w:r>
        <w:rPr/>
        <w:t>家，合计用户数量达到</w:t>
      </w:r>
      <w:r>
        <w:rPr>
          <w:spacing w:val="-34"/>
        </w:rPr>
        <w:t> </w:t>
      </w:r>
      <w:r>
        <w:rPr>
          <w:rFonts w:ascii="Times New Roman" w:hAnsi="Times New Roman" w:cs="Times New Roman" w:eastAsia="Times New Roman" w:hint="default"/>
        </w:rPr>
        <w:t>3800</w:t>
      </w:r>
      <w:r>
        <w:rPr>
          <w:rFonts w:ascii="Times New Roman" w:hAnsi="Times New Roman" w:cs="Times New Roman" w:eastAsia="Times New Roman" w:hint="default"/>
          <w:spacing w:val="17"/>
        </w:rPr>
        <w:t> </w:t>
      </w:r>
      <w:r>
        <w:rPr/>
        <w:t>余家，继续保持市场领先地位。随着母公司向西软进行技术转移的</w:t>
      </w:r>
      <w:r>
        <w:rPr>
          <w:w w:val="100"/>
        </w:rPr>
        <w:t> </w:t>
      </w:r>
      <w:r>
        <w:rPr>
          <w:spacing w:val="-5"/>
        </w:rPr>
        <w:t>加速，西软科技在新产品研发方面也进展顺利，多个软件研发项目已经通过浙江省科技管理部门立项审核，</w:t>
      </w:r>
      <w:r>
        <w:rPr>
          <w:spacing w:val="-6"/>
        </w:rPr>
        <w:t> </w:t>
      </w:r>
      <w:r>
        <w:rPr>
          <w:spacing w:val="-6"/>
        </w:rPr>
      </w:r>
      <w:r>
        <w:rPr/>
        <w:t>同时研发中心与公司旗下多个产品进行了融合与创新，力求为客户提供更为全面专业的信息化解决方案；</w:t>
      </w:r>
      <w:r>
        <w:rPr>
          <w:w w:val="100"/>
        </w:rPr>
        <w:t> </w:t>
      </w:r>
      <w:r>
        <w:rPr/>
        <w:t>截止报告期末，北京石基昆仑软件有限公司酒店用户总数达到</w:t>
      </w:r>
      <w:r>
        <w:rPr>
          <w:spacing w:val="-35"/>
        </w:rPr>
        <w:t> </w:t>
      </w:r>
      <w:r>
        <w:rPr>
          <w:rFonts w:ascii="Times New Roman" w:hAnsi="Times New Roman" w:cs="Times New Roman" w:eastAsia="Times New Roman" w:hint="default"/>
        </w:rPr>
        <w:t>350</w:t>
      </w:r>
      <w:r>
        <w:rPr>
          <w:rFonts w:ascii="Times New Roman" w:hAnsi="Times New Roman" w:cs="Times New Roman" w:eastAsia="Times New Roman" w:hint="default"/>
          <w:spacing w:val="16"/>
        </w:rPr>
        <w:t> </w:t>
      </w:r>
      <w:r>
        <w:rPr/>
        <w:t>家，其中</w:t>
      </w:r>
      <w:r>
        <w:rPr>
          <w:spacing w:val="-3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6"/>
        </w:rPr>
        <w:t> </w:t>
      </w:r>
      <w:r>
        <w:rPr/>
        <w:t>年新增酒店用户数量为</w:t>
      </w:r>
    </w:p>
    <w:p>
      <w:pPr>
        <w:pStyle w:val="BodyText"/>
        <w:spacing w:line="343" w:lineRule="auto" w:before="12"/>
        <w:ind w:left="0" w:right="196"/>
        <w:jc w:val="right"/>
      </w:pPr>
      <w:r>
        <w:rPr>
          <w:rFonts w:ascii="Times New Roman" w:hAnsi="Times New Roman" w:cs="Times New Roman" w:eastAsia="Times New Roman" w:hint="default"/>
        </w:rPr>
        <w:t>110</w:t>
      </w:r>
      <w:r>
        <w:rPr>
          <w:rFonts w:ascii="Times New Roman" w:hAnsi="Times New Roman" w:cs="Times New Roman" w:eastAsia="Times New Roman" w:hint="default"/>
          <w:spacing w:val="23"/>
        </w:rPr>
        <w:t> </w:t>
      </w:r>
      <w:r>
        <w:rPr>
          <w:spacing w:val="-2"/>
        </w:rPr>
        <w:t>家，石基昆仑核心产品酒店中央预订系统（</w:t>
      </w:r>
      <w:r>
        <w:rPr>
          <w:rFonts w:ascii="Times New Roman" w:hAnsi="Times New Roman" w:cs="Times New Roman" w:eastAsia="Times New Roman" w:hint="default"/>
          <w:spacing w:val="-2"/>
        </w:rPr>
        <w:t>CRS</w:t>
      </w:r>
      <w:r>
        <w:rPr>
          <w:spacing w:val="-2"/>
        </w:rPr>
        <w:t>）已经成为国内中高星级酒店集团的主要选择之一。</w:t>
      </w:r>
      <w:r>
        <w:rPr>
          <w:spacing w:val="-3"/>
          <w:w w:val="100"/>
        </w:rPr>
        <w:t> </w:t>
      </w:r>
      <w:r>
        <w:rPr>
          <w:rFonts w:ascii="宋体" w:hAnsi="宋体" w:cs="宋体" w:eastAsia="宋体" w:hint="default"/>
          <w:b/>
          <w:bCs/>
        </w:rPr>
        <w:t>餐饮信息系统（</w:t>
      </w:r>
      <w:r>
        <w:rPr>
          <w:rFonts w:ascii="Times New Roman" w:hAnsi="Times New Roman" w:cs="Times New Roman" w:eastAsia="Times New Roman" w:hint="default"/>
          <w:b/>
          <w:bCs/>
        </w:rPr>
        <w:t>POS</w:t>
      </w:r>
      <w:r>
        <w:rPr>
          <w:rFonts w:ascii="宋体" w:hAnsi="宋体" w:cs="宋体" w:eastAsia="宋体" w:hint="default"/>
          <w:b/>
          <w:bCs/>
        </w:rPr>
        <w:t>）业务方面：</w:t>
      </w:r>
      <w:r>
        <w:rPr/>
        <w:t>报告期内， </w:t>
      </w:r>
      <w:r>
        <w:rPr>
          <w:rFonts w:ascii="Times New Roman" w:hAnsi="Times New Roman" w:cs="Times New Roman" w:eastAsia="Times New Roman" w:hint="default"/>
        </w:rPr>
        <w:t>Infrasys International </w:t>
      </w:r>
      <w:r>
        <w:rPr>
          <w:rFonts w:ascii="Times New Roman" w:hAnsi="Times New Roman" w:cs="Times New Roman" w:eastAsia="Times New Roman" w:hint="default"/>
          <w:spacing w:val="-3"/>
        </w:rPr>
        <w:t>Ltd</w:t>
      </w:r>
      <w:r>
        <w:rPr>
          <w:rFonts w:ascii="Times New Roman" w:hAnsi="Times New Roman" w:cs="Times New Roman" w:eastAsia="Times New Roman" w:hint="default"/>
          <w:spacing w:val="-35"/>
        </w:rPr>
        <w:t> </w:t>
      </w:r>
      <w:r>
        <w:rPr/>
        <w:t>公司继续专注于餐饮信息系统</w:t>
      </w:r>
      <w:r>
        <w:rPr>
          <w:w w:val="100"/>
        </w:rPr>
        <w:t> </w:t>
      </w:r>
      <w:r>
        <w:rPr>
          <w:spacing w:val="-3"/>
        </w:rPr>
        <w:t>管理软件的研发与拓展，进一步向网络化、智能化、集团化的产品方向发展。公司为新一代餐饮企业成功</w:t>
      </w:r>
      <w:r>
        <w:rPr>
          <w:spacing w:val="-45"/>
        </w:rPr>
        <w:t> </w:t>
      </w:r>
      <w:r>
        <w:rPr>
          <w:spacing w:val="-45"/>
        </w:rPr>
      </w:r>
      <w:r>
        <w:rPr>
          <w:spacing w:val="10"/>
        </w:rPr>
        <w:t>打造了一系列网上餐饮管理系统，网上订位管理系统（</w:t>
      </w:r>
      <w:r>
        <w:rPr>
          <w:rFonts w:ascii="Times New Roman" w:hAnsi="Times New Roman" w:cs="Times New Roman" w:eastAsia="Times New Roman" w:hint="default"/>
          <w:spacing w:val="10"/>
        </w:rPr>
        <w:t>GourmateLink</w:t>
      </w:r>
      <w:r>
        <w:rPr>
          <w:spacing w:val="10"/>
        </w:rPr>
        <w:t>）、美食联网通积分管理系统</w:t>
      </w:r>
      <w:r>
        <w:rPr/>
      </w:r>
    </w:p>
    <w:p>
      <w:pPr>
        <w:pStyle w:val="BodyText"/>
        <w:spacing w:line="240" w:lineRule="auto" w:before="17"/>
        <w:ind w:right="0"/>
        <w:jc w:val="both"/>
      </w:pPr>
      <w:r>
        <w:rPr/>
        <w:t>（</w:t>
      </w:r>
      <w:r>
        <w:rPr>
          <w:rFonts w:ascii="Times New Roman" w:hAnsi="Times New Roman" w:cs="Times New Roman" w:eastAsia="Times New Roman" w:hint="default"/>
        </w:rPr>
        <w:t>GourmateLoyalty</w:t>
      </w:r>
      <w:r>
        <w:rPr/>
        <w:t>），并为餐厅提高翻台率餐厅开发了排队等位管理系统（</w:t>
      </w:r>
      <w:r>
        <w:rPr>
          <w:rFonts w:ascii="Times New Roman" w:hAnsi="Times New Roman" w:cs="Times New Roman" w:eastAsia="Times New Roman" w:hint="default"/>
        </w:rPr>
        <w:t>GourmateQueue</w:t>
      </w:r>
      <w:r>
        <w:rPr/>
        <w:t>）、等位预点</w:t>
      </w:r>
    </w:p>
    <w:p>
      <w:pPr>
        <w:spacing w:after="0" w:line="240" w:lineRule="auto"/>
        <w:jc w:val="both"/>
        <w:sectPr>
          <w:pgSz w:w="11910" w:h="16840"/>
          <w:pgMar w:header="850" w:footer="979" w:top="1200" w:bottom="1160" w:left="980" w:right="920"/>
        </w:sectPr>
      </w:pPr>
    </w:p>
    <w:p>
      <w:pPr>
        <w:pStyle w:val="BodyText"/>
        <w:spacing w:line="343" w:lineRule="auto" w:before="30"/>
        <w:ind w:right="206"/>
        <w:jc w:val="both"/>
      </w:pPr>
      <w:r>
        <w:rPr/>
        <w:pict>
          <v:group style="position:absolute;margin-left:55.200001pt;margin-top:2.843687pt;width:484.8pt;height:.1pt;mso-position-horizontal-relative:page;mso-position-vertical-relative:paragraph;z-index:-772504" coordorigin="1104,57" coordsize="9696,2">
            <v:shape style="position:absolute;left:1104;top:57;width:9696;height:2" coordorigin="1104,57" coordsize="9696,0" path="m1104,57l10800,57e" filled="false" stroked="true" strokeweight=".72pt" strokecolor="#000000">
              <v:path arrowok="t"/>
            </v:shape>
            <w10:wrap type="none"/>
          </v:group>
        </w:pict>
      </w:r>
      <w:r>
        <w:rPr>
          <w:spacing w:val="-6"/>
        </w:rPr>
        <w:t>菜系统等全新概念软件。大力推广了基于</w:t>
      </w:r>
      <w:r>
        <w:rPr>
          <w:spacing w:val="-41"/>
        </w:rPr>
        <w:t> </w:t>
      </w:r>
      <w:r>
        <w:rPr>
          <w:rFonts w:ascii="Times New Roman" w:hAnsi="Times New Roman" w:cs="Times New Roman" w:eastAsia="Times New Roman" w:hint="default"/>
        </w:rPr>
        <w:t>iOS</w:t>
      </w:r>
      <w:r>
        <w:rPr>
          <w:rFonts w:ascii="Times New Roman" w:hAnsi="Times New Roman" w:cs="Times New Roman" w:eastAsia="Times New Roman" w:hint="default"/>
          <w:spacing w:val="9"/>
        </w:rPr>
        <w:t> </w:t>
      </w:r>
      <w:r>
        <w:rPr/>
        <w:t>平台的</w:t>
      </w:r>
      <w:r>
        <w:rPr>
          <w:spacing w:val="-41"/>
        </w:rPr>
        <w:t> </w:t>
      </w:r>
      <w:r>
        <w:rPr>
          <w:rFonts w:ascii="Times New Roman" w:hAnsi="Times New Roman" w:cs="Times New Roman" w:eastAsia="Times New Roman" w:hint="default"/>
        </w:rPr>
        <w:t>iPad</w:t>
      </w:r>
      <w:r>
        <w:rPr>
          <w:rFonts w:ascii="Times New Roman" w:hAnsi="Times New Roman" w:cs="Times New Roman" w:eastAsia="Times New Roman" w:hint="default"/>
          <w:spacing w:val="12"/>
        </w:rPr>
        <w:t> </w:t>
      </w:r>
      <w:r>
        <w:rPr>
          <w:spacing w:val="-10"/>
        </w:rPr>
        <w:t>智能电子菜单系统（</w:t>
      </w:r>
      <w:r>
        <w:rPr>
          <w:rFonts w:ascii="Times New Roman" w:hAnsi="Times New Roman" w:cs="Times New Roman" w:eastAsia="Times New Roman" w:hint="default"/>
          <w:spacing w:val="-10"/>
        </w:rPr>
        <w:t>GourmateMenu</w:t>
      </w:r>
      <w:r>
        <w:rPr>
          <w:spacing w:val="-10"/>
        </w:rPr>
        <w:t>）、</w:t>
      </w:r>
      <w:r>
        <w:rPr>
          <w:rFonts w:ascii="Times New Roman" w:hAnsi="Times New Roman" w:cs="Times New Roman" w:eastAsia="Times New Roman" w:hint="default"/>
          <w:spacing w:val="-10"/>
        </w:rPr>
        <w:t>iPod</w:t>
      </w:r>
      <w:r>
        <w:rPr>
          <w:rFonts w:ascii="Times New Roman" w:hAnsi="Times New Roman" w:cs="Times New Roman" w:eastAsia="Times New Roman" w:hint="default"/>
          <w:spacing w:val="8"/>
        </w:rPr>
        <w:t> </w:t>
      </w:r>
      <w:r>
        <w:rPr>
          <w:rFonts w:ascii="Times New Roman" w:hAnsi="Times New Roman" w:cs="Times New Roman" w:eastAsia="Times New Roman" w:hint="default"/>
        </w:rPr>
        <w:t>Touch</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spacing w:val="-3"/>
        </w:rPr>
        <w:t>无线手持点菜系统（</w:t>
      </w:r>
      <w:r>
        <w:rPr>
          <w:rFonts w:ascii="Times New Roman" w:hAnsi="Times New Roman" w:cs="Times New Roman" w:eastAsia="Times New Roman" w:hint="default"/>
          <w:spacing w:val="-3"/>
        </w:rPr>
        <w:t>Gourmate Mobile</w:t>
      </w:r>
      <w:r>
        <w:rPr>
          <w:spacing w:val="-3"/>
        </w:rPr>
        <w:t>），使之成为了新的业务增长点。公司高星级酒店领域的市场优势继</w:t>
      </w:r>
      <w:r>
        <w:rPr>
          <w:spacing w:val="-61"/>
        </w:rPr>
        <w:t> </w:t>
      </w:r>
      <w:r>
        <w:rPr>
          <w:spacing w:val="-61"/>
        </w:rPr>
      </w:r>
      <w:r>
        <w:rPr>
          <w:spacing w:val="-2"/>
        </w:rPr>
        <w:t>续扩大，并全力打造满足餐饮集团化创新管理的软件系统，为餐饮企业集团化拓展提供强有力的信息化管</w:t>
      </w:r>
      <w:r>
        <w:rPr>
          <w:spacing w:val="-44"/>
        </w:rPr>
        <w:t> </w:t>
      </w:r>
      <w:r>
        <w:rPr>
          <w:spacing w:val="-44"/>
        </w:rPr>
      </w:r>
      <w:r>
        <w:rPr/>
        <w:t>理手段。</w:t>
      </w:r>
    </w:p>
    <w:p>
      <w:pPr>
        <w:pStyle w:val="BodyText"/>
        <w:spacing w:line="240" w:lineRule="auto" w:before="43"/>
        <w:ind w:left="587" w:right="0"/>
        <w:jc w:val="left"/>
      </w:pP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0"/>
        </w:rPr>
        <w:t> </w:t>
      </w:r>
      <w:r>
        <w:rPr>
          <w:spacing w:val="-3"/>
        </w:rPr>
        <w:t>月，公司收购了上海正品贵德软件有限公司（以下简称</w:t>
      </w:r>
      <w:r>
        <w:rPr>
          <w:rFonts w:ascii="Times New Roman" w:hAnsi="Times New Roman" w:cs="Times New Roman" w:eastAsia="Times New Roman" w:hint="default"/>
          <w:spacing w:val="-3"/>
        </w:rPr>
        <w:t>“</w:t>
      </w:r>
      <w:r>
        <w:rPr>
          <w:spacing w:val="-3"/>
        </w:rPr>
        <w:t>正品贵德</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70%</w:t>
      </w:r>
      <w:r>
        <w:rPr>
          <w:spacing w:val="-3"/>
        </w:rPr>
        <w:t>的股权，进一步拓</w:t>
      </w:r>
    </w:p>
    <w:p>
      <w:pPr>
        <w:pStyle w:val="BodyText"/>
        <w:spacing w:line="340" w:lineRule="auto" w:before="117"/>
        <w:ind w:right="206"/>
        <w:jc w:val="both"/>
      </w:pPr>
      <w:r>
        <w:rPr>
          <w:spacing w:val="-2"/>
        </w:rPr>
        <w:t>展了公司餐饮行业的相关市场与业务。报告期内，正品贵德新签客户超过</w:t>
      </w:r>
      <w:r>
        <w:rPr/>
        <w:t> </w:t>
      </w:r>
      <w:r>
        <w:rPr>
          <w:rFonts w:ascii="Times New Roman" w:hAnsi="Times New Roman" w:cs="Times New Roman" w:eastAsia="Times New Roman" w:hint="default"/>
          <w:spacing w:val="-2"/>
        </w:rPr>
        <w:t>600</w:t>
      </w:r>
      <w:r>
        <w:rPr>
          <w:rFonts w:ascii="Times New Roman" w:hAnsi="Times New Roman" w:cs="Times New Roman" w:eastAsia="Times New Roman" w:hint="default"/>
        </w:rPr>
        <w:t> </w:t>
      </w:r>
      <w:r>
        <w:rPr>
          <w:spacing w:val="-2"/>
        </w:rPr>
        <w:t>家，在中国餐饮业百强企业</w:t>
      </w:r>
      <w:r>
        <w:rPr>
          <w:spacing w:val="-98"/>
        </w:rPr>
        <w:t> </w:t>
      </w:r>
      <w:r>
        <w:rPr>
          <w:spacing w:val="-98"/>
        </w:rPr>
      </w:r>
      <w:r>
        <w:rPr/>
        <w:t>中市场占有率突破 </w:t>
      </w:r>
      <w:r>
        <w:rPr>
          <w:rFonts w:ascii="Times New Roman" w:hAnsi="Times New Roman" w:cs="Times New Roman" w:eastAsia="Times New Roman" w:hint="default"/>
          <w:spacing w:val="-3"/>
        </w:rPr>
        <w:t>20%</w:t>
      </w:r>
      <w:r>
        <w:rPr>
          <w:spacing w:val="-3"/>
        </w:rPr>
        <w:t>。技术开发方面，正品贵德产品不断升级，并自主开发了针对餐饮业的人力资源管</w:t>
      </w:r>
      <w:r>
        <w:rPr>
          <w:spacing w:val="-94"/>
        </w:rPr>
        <w:t> </w:t>
      </w:r>
      <w:r>
        <w:rPr>
          <w:spacing w:val="-94"/>
        </w:rPr>
      </w:r>
      <w:r>
        <w:rPr/>
        <w:t>理系统，融合当前最新科技、基于餐饮行业业务可成长、流程可变化的正品 </w:t>
      </w:r>
      <w:r>
        <w:rPr>
          <w:rFonts w:ascii="Times New Roman" w:hAnsi="Times New Roman" w:cs="Times New Roman" w:eastAsia="Times New Roman" w:hint="default"/>
        </w:rPr>
        <w:t>G9</w:t>
      </w:r>
      <w:r>
        <w:rPr>
          <w:rFonts w:ascii="Times New Roman" w:hAnsi="Times New Roman" w:cs="Times New Roman" w:eastAsia="Times New Roman" w:hint="default"/>
          <w:spacing w:val="-29"/>
        </w:rPr>
        <w:t> </w:t>
      </w:r>
      <w:r>
        <w:rPr/>
        <w:t>平台研发成功，标志着正</w:t>
      </w:r>
      <w:r>
        <w:rPr>
          <w:spacing w:val="-3"/>
          <w:w w:val="100"/>
        </w:rPr>
        <w:t> </w:t>
      </w:r>
      <w:r>
        <w:rPr>
          <w:spacing w:val="-2"/>
        </w:rPr>
        <w:t>品贵德餐饮信息化产品和业务进入全新的高度。正品贵德的成功整合，将使公司的产品与服务能够覆盖到</w:t>
      </w:r>
      <w:r>
        <w:rPr>
          <w:spacing w:val="-43"/>
        </w:rPr>
        <w:t> </w:t>
      </w:r>
      <w:r>
        <w:rPr>
          <w:spacing w:val="-43"/>
        </w:rPr>
      </w:r>
      <w:r>
        <w:rPr>
          <w:spacing w:val="-5"/>
        </w:rPr>
        <w:t>中国整个餐饮业，与公司现有的</w:t>
      </w:r>
      <w:r>
        <w:rPr>
          <w:spacing w:val="-51"/>
        </w:rPr>
        <w:t> </w:t>
      </w:r>
      <w:r>
        <w:rPr>
          <w:rFonts w:ascii="Times New Roman" w:hAnsi="Times New Roman" w:cs="Times New Roman" w:eastAsia="Times New Roman" w:hint="default"/>
        </w:rPr>
        <w:t>MICROS POS</w:t>
      </w:r>
      <w:r>
        <w:rPr>
          <w:rFonts w:ascii="Times New Roman" w:hAnsi="Times New Roman" w:cs="Times New Roman" w:eastAsia="Times New Roman" w:hint="default"/>
          <w:spacing w:val="2"/>
        </w:rPr>
        <w:t> </w:t>
      </w:r>
      <w:r>
        <w:rPr/>
        <w:t>和</w:t>
      </w:r>
      <w:r>
        <w:rPr>
          <w:spacing w:val="-51"/>
        </w:rPr>
        <w:t> </w:t>
      </w:r>
      <w:r>
        <w:rPr>
          <w:rFonts w:ascii="Times New Roman" w:hAnsi="Times New Roman" w:cs="Times New Roman" w:eastAsia="Times New Roman" w:hint="default"/>
        </w:rPr>
        <w:t>INFRASYS POS</w:t>
      </w:r>
      <w:r>
        <w:rPr>
          <w:rFonts w:ascii="Times New Roman" w:hAnsi="Times New Roman" w:cs="Times New Roman" w:eastAsia="Times New Roman" w:hint="default"/>
          <w:spacing w:val="6"/>
        </w:rPr>
        <w:t> </w:t>
      </w:r>
      <w:r>
        <w:rPr/>
        <w:t>在高端餐饮信息管理系统业务形成协同</w:t>
      </w:r>
      <w:r>
        <w:rPr>
          <w:w w:val="100"/>
        </w:rPr>
        <w:t> </w:t>
      </w:r>
      <w:r>
        <w:rPr/>
        <w:t>效应，使公司在同时满足国际和国内客户需求方面更具竞争力。</w:t>
      </w:r>
    </w:p>
    <w:p>
      <w:pPr>
        <w:pStyle w:val="BodyText"/>
        <w:spacing w:line="357" w:lineRule="auto" w:before="44"/>
        <w:ind w:right="0" w:firstLine="434"/>
        <w:jc w:val="left"/>
      </w:pPr>
      <w:r>
        <w:rPr>
          <w:rFonts w:ascii="宋体" w:hAnsi="宋体" w:cs="宋体" w:eastAsia="宋体" w:hint="default"/>
          <w:b/>
          <w:bCs/>
          <w:spacing w:val="-3"/>
        </w:rPr>
        <w:t>畅联业务方面：</w:t>
      </w:r>
      <w:r>
        <w:rPr>
          <w:spacing w:val="-3"/>
        </w:rPr>
        <w:t>作为公司长期投资的战略性项目，报告期内，畅联在酒店和渠道直连上线、技术升级</w:t>
      </w:r>
      <w:r>
        <w:rPr>
          <w:spacing w:val="-3"/>
          <w:w w:val="100"/>
        </w:rPr>
        <w:t> </w:t>
      </w:r>
      <w:r>
        <w:rPr/>
        <w:t>与完善等方面取得了有效的进展，</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年有效产量超过</w:t>
      </w:r>
      <w:r>
        <w:rPr>
          <w:spacing w:val="-53"/>
        </w:rPr>
        <w:t> </w:t>
      </w:r>
      <w:r>
        <w:rPr>
          <w:rFonts w:ascii="Times New Roman" w:hAnsi="Times New Roman" w:cs="Times New Roman" w:eastAsia="Times New Roman" w:hint="default"/>
        </w:rPr>
        <w:t>100 </w:t>
      </w:r>
      <w:r>
        <w:rPr>
          <w:spacing w:val="-7"/>
        </w:rPr>
        <w:t>万间夜：（</w:t>
      </w:r>
      <w:r>
        <w:rPr>
          <w:rFonts w:ascii="Times New Roman" w:hAnsi="Times New Roman" w:cs="Times New Roman" w:eastAsia="Times New Roman" w:hint="default"/>
          <w:spacing w:val="-7"/>
        </w:rPr>
        <w:t>1</w:t>
      </w:r>
      <w:r>
        <w:rPr>
          <w:spacing w:val="-7"/>
        </w:rPr>
        <w:t>）截止</w:t>
      </w:r>
      <w:r>
        <w:rPr>
          <w:spacing w:val="-53"/>
        </w:rPr>
        <w:t> </w:t>
      </w:r>
      <w:r>
        <w:rPr>
          <w:rFonts w:ascii="Times New Roman" w:hAnsi="Times New Roman" w:cs="Times New Roman" w:eastAsia="Times New Roman" w:hint="default"/>
        </w:rPr>
        <w:t>2011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5"/>
        </w:rPr>
        <w:t>日，畅联</w:t>
      </w:r>
    </w:p>
    <w:p>
      <w:pPr>
        <w:pStyle w:val="BodyText"/>
        <w:spacing w:line="240" w:lineRule="auto" w:before="3"/>
        <w:ind w:left="153" w:right="0"/>
        <w:jc w:val="both"/>
      </w:pPr>
      <w:r>
        <w:rPr/>
        <w:t>合计直连上线酒店数量达</w:t>
      </w:r>
      <w:r>
        <w:rPr>
          <w:spacing w:val="-39"/>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3"/>
        </w:rPr>
        <w:t> </w:t>
      </w:r>
      <w:r>
        <w:rPr>
          <w:spacing w:val="-3"/>
        </w:rPr>
        <w:t>多家，有效渠道数量增加到</w:t>
      </w:r>
      <w:r>
        <w:rPr>
          <w:spacing w:val="-37"/>
        </w:rPr>
        <w:t> </w:t>
      </w:r>
      <w:r>
        <w:rPr>
          <w:rFonts w:ascii="Times New Roman" w:hAnsi="Times New Roman" w:cs="Times New Roman" w:eastAsia="Times New Roman" w:hint="default"/>
        </w:rPr>
        <w:t>13</w:t>
      </w:r>
      <w:r>
        <w:rPr>
          <w:rFonts w:ascii="Times New Roman" w:hAnsi="Times New Roman" w:cs="Times New Roman" w:eastAsia="Times New Roman" w:hint="default"/>
          <w:spacing w:val="13"/>
        </w:rPr>
        <w:t> </w:t>
      </w:r>
      <w:r>
        <w:rPr>
          <w:spacing w:val="-3"/>
        </w:rPr>
        <w:t>个，特别是海外渠道与经济型连锁集团的直</w:t>
      </w:r>
      <w:r>
        <w:rPr/>
      </w:r>
    </w:p>
    <w:p>
      <w:pPr>
        <w:pStyle w:val="BodyText"/>
        <w:spacing w:line="338" w:lineRule="auto" w:before="117"/>
        <w:ind w:left="153" w:right="209" w:hanging="1"/>
        <w:jc w:val="both"/>
      </w:pPr>
      <w:r>
        <w:rPr/>
        <w:t>连成为 </w:t>
      </w:r>
      <w:r>
        <w:rPr>
          <w:rFonts w:ascii="Times New Roman" w:hAnsi="Times New Roman" w:cs="Times New Roman" w:eastAsia="Times New Roman" w:hint="default"/>
        </w:rPr>
        <w:t>2011 </w:t>
      </w:r>
      <w:r>
        <w:rPr>
          <w:spacing w:val="-3"/>
        </w:rPr>
        <w:t>年直连项目中的组成部分；（</w:t>
      </w:r>
      <w:r>
        <w:rPr>
          <w:rFonts w:ascii="Times New Roman" w:hAnsi="Times New Roman" w:cs="Times New Roman" w:eastAsia="Times New Roman" w:hint="default"/>
          <w:spacing w:val="-3"/>
        </w:rPr>
        <w:t>2</w:t>
      </w:r>
      <w:r>
        <w:rPr>
          <w:spacing w:val="-3"/>
        </w:rPr>
        <w:t>）接入畅联酒店数量与渠道数量持续增加，但接口稳定性、集</w:t>
      </w:r>
      <w:r>
        <w:rPr>
          <w:spacing w:val="-70"/>
        </w:rPr>
        <w:t> </w:t>
      </w:r>
      <w:r>
        <w:rPr>
          <w:spacing w:val="-70"/>
        </w:rPr>
      </w:r>
      <w:r>
        <w:rPr>
          <w:spacing w:val="-3"/>
        </w:rPr>
        <w:t>团接口稳定性、预定的成功率等指标一直维持在 </w:t>
      </w:r>
      <w:r>
        <w:rPr>
          <w:rFonts w:ascii="Times New Roman" w:hAnsi="Times New Roman" w:cs="Times New Roman" w:eastAsia="Times New Roman" w:hint="default"/>
          <w:spacing w:val="-3"/>
        </w:rPr>
        <w:t>98%</w:t>
      </w:r>
      <w:r>
        <w:rPr>
          <w:spacing w:val="-3"/>
        </w:rPr>
        <w:t>以上，监控体系以及与客户的联系机制等系统维护工</w:t>
      </w:r>
      <w:r>
        <w:rPr>
          <w:spacing w:val="-68"/>
        </w:rPr>
        <w:t> </w:t>
      </w:r>
      <w:r>
        <w:rPr>
          <w:spacing w:val="-68"/>
        </w:rPr>
      </w:r>
      <w:r>
        <w:rPr/>
        <w:t>作取得了明显的进展，提升了与客户的沟通效率；（</w:t>
      </w:r>
      <w:r>
        <w:rPr>
          <w:rFonts w:ascii="Times New Roman" w:hAnsi="Times New Roman" w:cs="Times New Roman" w:eastAsia="Times New Roman" w:hint="default"/>
        </w:rPr>
        <w:t>3</w:t>
      </w:r>
      <w:r>
        <w:rPr/>
        <w:t>）报告期内，畅联完成了与朗途融通、中兴通讯等</w:t>
      </w:r>
      <w:r>
        <w:rPr>
          <w:spacing w:val="-26"/>
        </w:rPr>
        <w:t> </w:t>
      </w:r>
      <w:r>
        <w:rPr>
          <w:spacing w:val="-26"/>
        </w:rPr>
      </w:r>
      <w:r>
        <w:rPr>
          <w:spacing w:val="-3"/>
        </w:rPr>
        <w:t>国内渠道，以及国际渠道 </w:t>
      </w:r>
      <w:r>
        <w:rPr>
          <w:rFonts w:ascii="Times New Roman" w:hAnsi="Times New Roman" w:cs="Times New Roman" w:eastAsia="Times New Roman" w:hint="default"/>
          <w:spacing w:val="-3"/>
        </w:rPr>
        <w:t>Orbitz.com</w:t>
      </w:r>
      <w:r>
        <w:rPr>
          <w:spacing w:val="-3"/>
        </w:rPr>
        <w:t>、</w:t>
      </w:r>
      <w:r>
        <w:rPr>
          <w:rFonts w:ascii="Times New Roman" w:hAnsi="Times New Roman" w:cs="Times New Roman" w:eastAsia="Times New Roman" w:hint="default"/>
          <w:spacing w:val="-3"/>
        </w:rPr>
        <w:t>Hotel.de</w:t>
      </w:r>
      <w:r>
        <w:rPr>
          <w:spacing w:val="-3"/>
        </w:rPr>
        <w:t>、</w:t>
      </w:r>
      <w:r>
        <w:rPr>
          <w:rFonts w:ascii="Times New Roman" w:hAnsi="Times New Roman" w:cs="Times New Roman" w:eastAsia="Times New Roman" w:hint="default"/>
          <w:spacing w:val="-3"/>
        </w:rPr>
        <w:t>laterooms</w:t>
      </w:r>
      <w:r>
        <w:rPr>
          <w:spacing w:val="-3"/>
        </w:rPr>
        <w:t>、</w:t>
      </w:r>
      <w:r>
        <w:rPr>
          <w:rFonts w:ascii="Times New Roman" w:hAnsi="Times New Roman" w:cs="Times New Roman" w:eastAsia="Times New Roman" w:hint="default"/>
          <w:spacing w:val="-3"/>
        </w:rPr>
        <w:t>Abacus </w:t>
      </w:r>
      <w:r>
        <w:rPr>
          <w:spacing w:val="-3"/>
        </w:rPr>
        <w:t>的签约工作，畅联在行业</w:t>
      </w:r>
      <w:r>
        <w:rPr>
          <w:rFonts w:ascii="Times New Roman" w:hAnsi="Times New Roman" w:cs="Times New Roman" w:eastAsia="Times New Roman" w:hint="default"/>
          <w:spacing w:val="-3"/>
        </w:rPr>
        <w:t>“</w:t>
      </w:r>
      <w:r>
        <w:rPr>
          <w:spacing w:val="-3"/>
        </w:rPr>
        <w:t>直连</w:t>
      </w:r>
      <w:r>
        <w:rPr>
          <w:rFonts w:ascii="Times New Roman" w:hAnsi="Times New Roman" w:cs="Times New Roman" w:eastAsia="Times New Roman" w:hint="default"/>
          <w:spacing w:val="-3"/>
        </w:rPr>
        <w:t>”</w:t>
      </w:r>
      <w:r>
        <w:rPr>
          <w:spacing w:val="-3"/>
        </w:rPr>
        <w:t>中的主</w:t>
      </w:r>
      <w:r>
        <w:rPr>
          <w:spacing w:val="-66"/>
        </w:rPr>
        <w:t> </w:t>
      </w:r>
      <w:r>
        <w:rPr/>
        <w:t>导地位得到加强，进一步形成了畅联与国内外主流渠道的合作趋势。</w:t>
      </w:r>
    </w:p>
    <w:p>
      <w:pPr>
        <w:pStyle w:val="BodyText"/>
        <w:spacing w:line="336" w:lineRule="auto" w:before="47"/>
        <w:ind w:right="209" w:firstLine="434"/>
        <w:jc w:val="left"/>
      </w:pPr>
      <w:r>
        <w:rPr>
          <w:rFonts w:ascii="宋体" w:hAnsi="宋体" w:cs="宋体" w:eastAsia="宋体" w:hint="default"/>
          <w:b/>
          <w:bCs/>
        </w:rPr>
        <w:t>支付业务方面：</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月，公司收购了南京银石计算机系统有限公司</w:t>
      </w:r>
      <w:r>
        <w:rPr>
          <w:spacing w:val="-57"/>
        </w:rPr>
        <w:t> </w:t>
      </w:r>
      <w:r>
        <w:rPr>
          <w:rFonts w:ascii="Times New Roman" w:hAnsi="Times New Roman" w:cs="Times New Roman" w:eastAsia="Times New Roman" w:hint="default"/>
        </w:rPr>
        <w:t>100%</w:t>
      </w:r>
      <w:r>
        <w:rPr/>
        <w:t>的股权。报告期内，公</w:t>
      </w:r>
      <w:r>
        <w:rPr>
          <w:spacing w:val="-3"/>
          <w:w w:val="100"/>
        </w:rPr>
        <w:t> </w:t>
      </w:r>
      <w:r>
        <w:rPr/>
        <w:t>司加强了南京银石与公司原有</w:t>
      </w:r>
      <w:r>
        <w:rPr>
          <w:spacing w:val="-56"/>
        </w:rPr>
        <w:t> </w:t>
      </w:r>
      <w:r>
        <w:rPr>
          <w:rFonts w:ascii="Times New Roman" w:hAnsi="Times New Roman" w:cs="Times New Roman" w:eastAsia="Times New Roman" w:hint="default"/>
        </w:rPr>
        <w:t>PGS</w:t>
      </w:r>
      <w:r>
        <w:rPr>
          <w:rFonts w:ascii="Times New Roman" w:hAnsi="Times New Roman" w:cs="Times New Roman" w:eastAsia="Times New Roman" w:hint="default"/>
          <w:spacing w:val="-1"/>
        </w:rPr>
        <w:t> </w:t>
      </w:r>
      <w:r>
        <w:rPr/>
        <w:t>业务和技术的整合。</w:t>
      </w:r>
    </w:p>
    <w:p>
      <w:pPr>
        <w:pStyle w:val="BodyText"/>
        <w:spacing w:line="338" w:lineRule="auto" w:before="24"/>
        <w:ind w:right="208" w:firstLine="434"/>
        <w:jc w:val="both"/>
      </w:pPr>
      <w:r>
        <w:rPr>
          <w:spacing w:val="-4"/>
        </w:rPr>
        <w:t>报告期内，南京银石各项业务发展良好，银行卡收银一体化软件（</w:t>
      </w:r>
      <w:r>
        <w:rPr>
          <w:rFonts w:ascii="Times New Roman" w:hAnsi="Times New Roman" w:cs="Times New Roman" w:eastAsia="Times New Roman" w:hint="default"/>
          <w:spacing w:val="-4"/>
        </w:rPr>
        <w:t>SOFTPOS</w:t>
      </w:r>
      <w:r>
        <w:rPr>
          <w:spacing w:val="-4"/>
        </w:rPr>
        <w:t>）产品在江苏省的市场主</w:t>
      </w:r>
      <w:r>
        <w:rPr>
          <w:w w:val="100"/>
        </w:rPr>
        <w:t> </w:t>
      </w:r>
      <w:r>
        <w:rPr/>
        <w:t>导地位进一步加强，同时</w:t>
      </w:r>
      <w:r>
        <w:rPr>
          <w:spacing w:val="27"/>
        </w:rPr>
        <w:t> </w:t>
      </w:r>
      <w:r>
        <w:rPr>
          <w:rFonts w:ascii="Times New Roman" w:hAnsi="Times New Roman" w:cs="Times New Roman" w:eastAsia="Times New Roman" w:hint="default"/>
        </w:rPr>
        <w:t>SOFTPOS</w:t>
      </w:r>
      <w:r>
        <w:rPr/>
        <w:t>、储值卡系统（</w:t>
      </w:r>
      <w:r>
        <w:rPr>
          <w:rFonts w:ascii="Times New Roman" w:hAnsi="Times New Roman" w:cs="Times New Roman" w:eastAsia="Times New Roman" w:hint="default"/>
        </w:rPr>
        <w:t>E-PAY</w:t>
      </w:r>
      <w:r>
        <w:rPr/>
        <w:t>）在浙江、四川、深圳等地区的需求有明显的</w:t>
      </w:r>
      <w:r>
        <w:rPr>
          <w:spacing w:val="-101"/>
        </w:rPr>
        <w:t> </w:t>
      </w:r>
      <w:r>
        <w:rPr>
          <w:spacing w:val="-101"/>
        </w:rPr>
      </w:r>
      <w:r>
        <w:rPr/>
        <w:t>提升。</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年，南京银石共新签</w:t>
      </w:r>
      <w:r>
        <w:rPr>
          <w:spacing w:val="-49"/>
        </w:rPr>
        <w:t> </w:t>
      </w:r>
      <w:r>
        <w:rPr>
          <w:rFonts w:ascii="Times New Roman" w:hAnsi="Times New Roman" w:cs="Times New Roman" w:eastAsia="Times New Roman" w:hint="default"/>
        </w:rPr>
        <w:t>326</w:t>
      </w:r>
      <w:r>
        <w:rPr>
          <w:rFonts w:ascii="Times New Roman" w:hAnsi="Times New Roman" w:cs="Times New Roman" w:eastAsia="Times New Roman" w:hint="default"/>
          <w:spacing w:val="3"/>
        </w:rPr>
        <w:t> </w:t>
      </w:r>
      <w:r>
        <w:rPr/>
        <w:t>个项目，其中软件系统项目</w:t>
      </w:r>
      <w:r>
        <w:rPr>
          <w:spacing w:val="-52"/>
        </w:rPr>
        <w:t> </w:t>
      </w:r>
      <w:r>
        <w:rPr>
          <w:rFonts w:ascii="Times New Roman" w:hAnsi="Times New Roman" w:cs="Times New Roman" w:eastAsia="Times New Roman" w:hint="default"/>
        </w:rPr>
        <w:t>225</w:t>
      </w:r>
      <w:r>
        <w:rPr>
          <w:rFonts w:ascii="Times New Roman" w:hAnsi="Times New Roman" w:cs="Times New Roman" w:eastAsia="Times New Roman" w:hint="default"/>
          <w:spacing w:val="1"/>
        </w:rPr>
        <w:t> </w:t>
      </w:r>
      <w:r>
        <w:rPr/>
        <w:t>个，订购设备项目共计</w:t>
      </w:r>
      <w:r>
        <w:rPr>
          <w:spacing w:val="-49"/>
        </w:rPr>
        <w:t> </w:t>
      </w:r>
      <w:r>
        <w:rPr>
          <w:rFonts w:ascii="Times New Roman" w:hAnsi="Times New Roman" w:cs="Times New Roman" w:eastAsia="Times New Roman" w:hint="default"/>
        </w:rPr>
        <w:t>36</w:t>
      </w:r>
      <w:r>
        <w:rPr>
          <w:rFonts w:ascii="Times New Roman" w:hAnsi="Times New Roman" w:cs="Times New Roman" w:eastAsia="Times New Roman" w:hint="default"/>
          <w:spacing w:val="3"/>
        </w:rPr>
        <w:t> </w:t>
      </w:r>
      <w:r>
        <w:rPr>
          <w:spacing w:val="-3"/>
        </w:rPr>
        <w:t>个，维护</w:t>
      </w:r>
      <w:r>
        <w:rPr/>
      </w:r>
    </w:p>
    <w:p>
      <w:pPr>
        <w:pStyle w:val="BodyText"/>
        <w:spacing w:line="240" w:lineRule="auto" w:before="22"/>
        <w:ind w:right="0"/>
        <w:jc w:val="both"/>
      </w:pPr>
      <w:r>
        <w:rPr/>
        <w:t>升级项目</w:t>
      </w:r>
      <w:r>
        <w:rPr>
          <w:spacing w:val="-53"/>
        </w:rPr>
        <w:t> </w:t>
      </w:r>
      <w:r>
        <w:rPr>
          <w:rFonts w:ascii="Times New Roman" w:hAnsi="Times New Roman" w:cs="Times New Roman" w:eastAsia="Times New Roman" w:hint="default"/>
        </w:rPr>
        <w:t>64 </w:t>
      </w:r>
      <w:r>
        <w:rPr/>
        <w:t>个，分润项目</w:t>
      </w:r>
      <w:r>
        <w:rPr>
          <w:spacing w:val="-53"/>
        </w:rPr>
        <w:t> </w:t>
      </w:r>
      <w:r>
        <w:rPr>
          <w:rFonts w:ascii="Times New Roman" w:hAnsi="Times New Roman" w:cs="Times New Roman" w:eastAsia="Times New Roman" w:hint="default"/>
        </w:rPr>
        <w:t>1 </w:t>
      </w:r>
      <w:r>
        <w:rPr>
          <w:spacing w:val="-3"/>
        </w:rPr>
        <w:t>个。</w:t>
      </w:r>
      <w:r>
        <w:rPr/>
      </w:r>
    </w:p>
    <w:p>
      <w:pPr>
        <w:pStyle w:val="BodyText"/>
        <w:spacing w:line="338" w:lineRule="auto" w:before="117"/>
        <w:ind w:right="0" w:firstLine="434"/>
        <w:jc w:val="left"/>
      </w:pPr>
      <w:r>
        <w:rPr/>
        <w:t>报告期内，酒店银行卡收单一体化（</w:t>
      </w:r>
      <w:r>
        <w:rPr>
          <w:rFonts w:ascii="Times New Roman" w:hAnsi="Times New Roman" w:cs="Times New Roman" w:eastAsia="Times New Roman" w:hint="default"/>
        </w:rPr>
        <w:t>PGS</w:t>
      </w:r>
      <w:r>
        <w:rPr/>
        <w:t>）业务新开通酒店</w:t>
      </w:r>
      <w:r>
        <w:rPr>
          <w:spacing w:val="-54"/>
        </w:rPr>
        <w:t> </w:t>
      </w:r>
      <w:r>
        <w:rPr>
          <w:rFonts w:ascii="Times New Roman" w:hAnsi="Times New Roman" w:cs="Times New Roman" w:eastAsia="Times New Roman" w:hint="default"/>
        </w:rPr>
        <w:t>116</w:t>
      </w:r>
      <w:r>
        <w:rPr>
          <w:rFonts w:ascii="Times New Roman" w:hAnsi="Times New Roman" w:cs="Times New Roman" w:eastAsia="Times New Roman" w:hint="default"/>
          <w:spacing w:val="-1"/>
        </w:rPr>
        <w:t> </w:t>
      </w:r>
      <w:r>
        <w:rPr/>
        <w:t>家，酒店用户合计超过</w:t>
      </w:r>
      <w:r>
        <w:rPr>
          <w:spacing w:val="-54"/>
        </w:rPr>
        <w:t> </w:t>
      </w:r>
      <w:r>
        <w:rPr>
          <w:rFonts w:ascii="Times New Roman" w:hAnsi="Times New Roman" w:cs="Times New Roman" w:eastAsia="Times New Roman" w:hint="default"/>
        </w:rPr>
        <w:t>400</w:t>
      </w:r>
      <w:r>
        <w:rPr>
          <w:rFonts w:ascii="Times New Roman" w:hAnsi="Times New Roman" w:cs="Times New Roman" w:eastAsia="Times New Roman" w:hint="default"/>
          <w:spacing w:val="-4"/>
        </w:rPr>
        <w:t> </w:t>
      </w:r>
      <w:r>
        <w:rPr>
          <w:spacing w:val="-3"/>
        </w:rPr>
        <w:t>家，其中</w:t>
      </w:r>
      <w:r>
        <w:rPr>
          <w:spacing w:val="-3"/>
          <w:w w:val="100"/>
        </w:rPr>
        <w:t> </w:t>
      </w:r>
      <w:r>
        <w:rPr/>
        <w:t>开通</w:t>
      </w:r>
      <w:r>
        <w:rPr>
          <w:spacing w:val="-52"/>
        </w:rPr>
        <w:t> </w:t>
      </w:r>
      <w:r>
        <w:rPr>
          <w:rFonts w:ascii="Times New Roman" w:hAnsi="Times New Roman" w:cs="Times New Roman" w:eastAsia="Times New Roman" w:hint="default"/>
        </w:rPr>
        <w:t>DCC</w:t>
      </w:r>
      <w:r>
        <w:rPr>
          <w:rFonts w:ascii="Times New Roman" w:hAnsi="Times New Roman" w:cs="Times New Roman" w:eastAsia="Times New Roman" w:hint="default"/>
          <w:spacing w:val="1"/>
        </w:rPr>
        <w:t> </w:t>
      </w:r>
      <w:r>
        <w:rPr/>
        <w:t>交易的酒店商户约</w:t>
      </w:r>
      <w:r>
        <w:rPr>
          <w:spacing w:val="-50"/>
        </w:rPr>
        <w:t> </w:t>
      </w:r>
      <w:r>
        <w:rPr>
          <w:rFonts w:ascii="Times New Roman" w:hAnsi="Times New Roman" w:cs="Times New Roman" w:eastAsia="Times New Roman" w:hint="default"/>
        </w:rPr>
        <w:t>250 </w:t>
      </w:r>
      <w:r>
        <w:rPr>
          <w:spacing w:val="-10"/>
        </w:rPr>
        <w:t>家，</w:t>
      </w:r>
      <w:r>
        <w:rPr>
          <w:rFonts w:ascii="Times New Roman" w:hAnsi="Times New Roman" w:cs="Times New Roman" w:eastAsia="Times New Roman" w:hint="default"/>
          <w:spacing w:val="-10"/>
        </w:rPr>
        <w:t>DCC</w:t>
      </w:r>
      <w:r>
        <w:rPr>
          <w:rFonts w:ascii="Times New Roman" w:hAnsi="Times New Roman" w:cs="Times New Roman" w:eastAsia="Times New Roman" w:hint="default"/>
          <w:spacing w:val="3"/>
        </w:rPr>
        <w:t> </w:t>
      </w:r>
      <w:r>
        <w:rPr/>
        <w:t>收入达到</w:t>
      </w:r>
      <w:r>
        <w:rPr>
          <w:spacing w:val="-52"/>
        </w:rPr>
        <w:t> </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spacing w:val="-8"/>
        </w:rPr>
        <w:t>万元。技术开发方面，</w:t>
      </w:r>
      <w:r>
        <w:rPr>
          <w:rFonts w:ascii="Times New Roman" w:hAnsi="Times New Roman" w:cs="Times New Roman" w:eastAsia="Times New Roman" w:hint="default"/>
          <w:spacing w:val="-8"/>
        </w:rPr>
        <w:t>PGS</w:t>
      </w:r>
      <w:r>
        <w:rPr>
          <w:rFonts w:ascii="Times New Roman" w:hAnsi="Times New Roman" w:cs="Times New Roman" w:eastAsia="Times New Roman" w:hint="default"/>
          <w:spacing w:val="3"/>
        </w:rPr>
        <w:t> </w:t>
      </w:r>
      <w:r>
        <w:rPr/>
        <w:t>业务完成了中国银行、</w:t>
      </w:r>
      <w:r>
        <w:rPr>
          <w:spacing w:val="-103"/>
        </w:rPr>
        <w:t> </w:t>
      </w:r>
      <w:r>
        <w:rPr>
          <w:spacing w:val="-103"/>
        </w:rPr>
      </w:r>
      <w:r>
        <w:rPr/>
        <w:t>工商银行、交通银行等多个项目的版本升级和系统改造。</w:t>
      </w:r>
    </w:p>
    <w:p>
      <w:pPr>
        <w:spacing w:line="240" w:lineRule="auto" w:before="11"/>
        <w:rPr>
          <w:rFonts w:ascii="宋体" w:hAnsi="宋体" w:cs="宋体" w:eastAsia="宋体" w:hint="default"/>
          <w:sz w:val="24"/>
          <w:szCs w:val="24"/>
        </w:rPr>
      </w:pPr>
    </w:p>
    <w:p>
      <w:pPr>
        <w:pStyle w:val="Heading4"/>
        <w:spacing w:line="240" w:lineRule="auto"/>
        <w:ind w:left="575" w:right="0"/>
        <w:jc w:val="left"/>
        <w:rPr>
          <w:b w:val="0"/>
          <w:bCs w:val="0"/>
        </w:rPr>
      </w:pPr>
      <w:r>
        <w:rPr>
          <w:rFonts w:ascii="Times New Roman" w:hAnsi="Times New Roman" w:cs="Times New Roman" w:eastAsia="Times New Roman" w:hint="default"/>
        </w:rPr>
        <w:t>2</w:t>
      </w:r>
      <w:r>
        <w:rPr/>
        <w:t>、主要财务数据及其变动原因</w:t>
      </w:r>
      <w:r>
        <w:rPr>
          <w:b w:val="0"/>
          <w:bCs w:val="0"/>
        </w:rPr>
      </w:r>
    </w:p>
    <w:p>
      <w:pPr>
        <w:spacing w:line="240" w:lineRule="auto" w:before="10"/>
        <w:rPr>
          <w:rFonts w:ascii="宋体" w:hAnsi="宋体" w:cs="宋体" w:eastAsia="宋体" w:hint="default"/>
          <w:b/>
          <w:bCs/>
          <w:sz w:val="11"/>
          <w:szCs w:val="11"/>
        </w:rPr>
      </w:pPr>
    </w:p>
    <w:tbl>
      <w:tblPr>
        <w:tblW w:w="0" w:type="auto"/>
        <w:jc w:val="left"/>
        <w:tblInd w:w="116" w:type="dxa"/>
        <w:tblLayout w:type="fixed"/>
        <w:tblCellMar>
          <w:top w:w="0" w:type="dxa"/>
          <w:left w:w="0" w:type="dxa"/>
          <w:bottom w:w="0" w:type="dxa"/>
          <w:right w:w="0" w:type="dxa"/>
        </w:tblCellMar>
        <w:tblLook w:val="01E0"/>
      </w:tblPr>
      <w:tblGrid>
        <w:gridCol w:w="1687"/>
        <w:gridCol w:w="1836"/>
        <w:gridCol w:w="1687"/>
        <w:gridCol w:w="1682"/>
        <w:gridCol w:w="1486"/>
        <w:gridCol w:w="1320"/>
      </w:tblGrid>
      <w:tr>
        <w:trPr>
          <w:trHeight w:val="826" w:hRule="exact"/>
        </w:trPr>
        <w:tc>
          <w:tcPr>
            <w:tcW w:w="1687"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5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8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68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48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2" w:lineRule="exact" w:before="130"/>
              <w:ind w:left="105" w:right="-5" w:firstLine="108"/>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w w:val="100"/>
                <w:sz w:val="21"/>
                <w:szCs w:val="21"/>
              </w:rPr>
              <w:t> </w:t>
            </w:r>
            <w:r>
              <w:rPr>
                <w:rFonts w:ascii="宋体" w:hAnsi="宋体" w:cs="宋体" w:eastAsia="宋体" w:hint="default"/>
                <w:spacing w:val="-10"/>
                <w:sz w:val="21"/>
                <w:szCs w:val="21"/>
              </w:rPr>
              <w:t>增减幅度（</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22" w:right="0" w:firstLine="7"/>
              <w:jc w:val="left"/>
              <w:rPr>
                <w:rFonts w:ascii="宋体" w:hAnsi="宋体" w:cs="宋体" w:eastAsia="宋体" w:hint="default"/>
                <w:sz w:val="21"/>
                <w:szCs w:val="21"/>
              </w:rPr>
            </w:pPr>
            <w:r>
              <w:rPr>
                <w:rFonts w:ascii="宋体" w:hAnsi="宋体" w:cs="宋体" w:eastAsia="宋体" w:hint="default"/>
                <w:sz w:val="21"/>
                <w:szCs w:val="21"/>
              </w:rPr>
              <w:t>增减幅度超</w:t>
            </w:r>
          </w:p>
          <w:p>
            <w:pPr>
              <w:pStyle w:val="TableParagraph"/>
              <w:spacing w:line="272" w:lineRule="exact" w:before="27"/>
              <w:ind w:left="549" w:right="115" w:hanging="428"/>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的原</w:t>
            </w:r>
            <w:r>
              <w:rPr>
                <w:rFonts w:ascii="宋体" w:hAnsi="宋体" w:cs="宋体" w:eastAsia="宋体" w:hint="default"/>
                <w:w w:val="100"/>
                <w:sz w:val="21"/>
                <w:szCs w:val="21"/>
              </w:rPr>
              <w:t> </w:t>
            </w:r>
            <w:r>
              <w:rPr>
                <w:rFonts w:ascii="宋体" w:hAnsi="宋体" w:cs="宋体" w:eastAsia="宋体" w:hint="default"/>
                <w:sz w:val="21"/>
                <w:szCs w:val="21"/>
              </w:rPr>
              <w:t>因</w:t>
            </w:r>
          </w:p>
        </w:tc>
      </w:tr>
      <w:tr>
        <w:trPr>
          <w:trHeight w:val="283" w:hRule="exact"/>
        </w:trPr>
        <w:tc>
          <w:tcPr>
            <w:tcW w:w="1687"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720,871,724.09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610,247,365.99</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406,620,993.67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18.13%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7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3" w:hRule="exact"/>
        </w:trPr>
        <w:tc>
          <w:tcPr>
            <w:tcW w:w="1687"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264,707,067.49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206,884,219.24</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122,447,938.85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27.95%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7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1" w:hRule="exact"/>
        </w:trPr>
        <w:tc>
          <w:tcPr>
            <w:tcW w:w="1687"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305,609,987.92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244,870,891.86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144,742,260.51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24.80%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7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3" w:hRule="exact"/>
        </w:trPr>
        <w:tc>
          <w:tcPr>
            <w:tcW w:w="1687"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归属于上市公司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264,113,700.63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213,897,872.25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131,664,286.61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23.48%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7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bl>
    <w:p>
      <w:pPr>
        <w:spacing w:after="0" w:line="259" w:lineRule="exact"/>
        <w:jc w:val="left"/>
        <w:rPr>
          <w:rFonts w:ascii="Times New Roman" w:hAnsi="Times New Roman" w:cs="Times New Roman" w:eastAsia="Times New Roman" w:hint="default"/>
          <w:sz w:val="21"/>
          <w:szCs w:val="21"/>
        </w:rPr>
        <w:sectPr>
          <w:pgSz w:w="11910" w:h="16840"/>
          <w:pgMar w:header="850" w:footer="979" w:top="1200" w:bottom="1160" w:left="980" w:right="920"/>
        </w:sectPr>
      </w:pPr>
    </w:p>
    <w:p>
      <w:pPr>
        <w:spacing w:line="240" w:lineRule="auto" w:before="5"/>
        <w:rPr>
          <w:rFonts w:ascii="宋体" w:hAnsi="宋体" w:cs="宋体" w:eastAsia="宋体" w:hint="default"/>
          <w:b/>
          <w:bCs/>
          <w:sz w:val="3"/>
          <w:szCs w:val="3"/>
        </w:rPr>
      </w:pPr>
    </w:p>
    <w:tbl>
      <w:tblPr>
        <w:tblW w:w="0" w:type="auto"/>
        <w:jc w:val="left"/>
        <w:tblInd w:w="116" w:type="dxa"/>
        <w:tblLayout w:type="fixed"/>
        <w:tblCellMar>
          <w:top w:w="0" w:type="dxa"/>
          <w:left w:w="0" w:type="dxa"/>
          <w:bottom w:w="0" w:type="dxa"/>
          <w:right w:w="0" w:type="dxa"/>
        </w:tblCellMar>
        <w:tblLook w:val="01E0"/>
      </w:tblPr>
      <w:tblGrid>
        <w:gridCol w:w="1687"/>
        <w:gridCol w:w="1836"/>
        <w:gridCol w:w="1687"/>
        <w:gridCol w:w="1682"/>
        <w:gridCol w:w="1486"/>
        <w:gridCol w:w="1320"/>
      </w:tblGrid>
      <w:tr>
        <w:trPr>
          <w:trHeight w:val="295" w:hRule="exact"/>
        </w:trPr>
        <w:tc>
          <w:tcPr>
            <w:tcW w:w="1687" w:type="dxa"/>
            <w:tcBorders>
              <w:top w:val="single" w:sz="10" w:space="0" w:color="000000"/>
              <w:left w:val="single" w:sz="4" w:space="0" w:color="000000"/>
              <w:bottom w:val="single" w:sz="4" w:space="0" w:color="000000"/>
              <w:right w:val="single" w:sz="4" w:space="0" w:color="000000"/>
            </w:tcBorders>
            <w:shd w:val="clear" w:color="auto" w:fill="E7E7E7"/>
          </w:tcPr>
          <w:p>
            <w:pPr>
              <w:pStyle w:val="TableParagraph"/>
              <w:spacing w:line="246" w:lineRule="exact"/>
              <w:ind w:left="7" w:right="0"/>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1836" w:type="dxa"/>
            <w:tcBorders>
              <w:top w:val="single" w:sz="10" w:space="0" w:color="000000"/>
              <w:left w:val="single" w:sz="4" w:space="0" w:color="000000"/>
              <w:bottom w:val="single" w:sz="4" w:space="0" w:color="000000"/>
              <w:right w:val="single" w:sz="4" w:space="0" w:color="000000"/>
            </w:tcBorders>
          </w:tcPr>
          <w:p>
            <w:pPr/>
          </w:p>
        </w:tc>
        <w:tc>
          <w:tcPr>
            <w:tcW w:w="1687" w:type="dxa"/>
            <w:tcBorders>
              <w:top w:val="single" w:sz="10" w:space="0" w:color="000000"/>
              <w:left w:val="single" w:sz="4" w:space="0" w:color="000000"/>
              <w:bottom w:val="single" w:sz="4" w:space="0" w:color="000000"/>
              <w:right w:val="single" w:sz="4" w:space="0" w:color="000000"/>
            </w:tcBorders>
          </w:tcPr>
          <w:p>
            <w:pPr/>
          </w:p>
        </w:tc>
        <w:tc>
          <w:tcPr>
            <w:tcW w:w="1682" w:type="dxa"/>
            <w:tcBorders>
              <w:top w:val="single" w:sz="10" w:space="0" w:color="000000"/>
              <w:left w:val="single" w:sz="4" w:space="0" w:color="000000"/>
              <w:bottom w:val="single" w:sz="4" w:space="0" w:color="000000"/>
              <w:right w:val="single" w:sz="4" w:space="0" w:color="000000"/>
            </w:tcBorders>
          </w:tcPr>
          <w:p>
            <w:pPr/>
          </w:p>
        </w:tc>
        <w:tc>
          <w:tcPr>
            <w:tcW w:w="1486" w:type="dxa"/>
            <w:tcBorders>
              <w:top w:val="single" w:sz="10" w:space="0" w:color="000000"/>
              <w:left w:val="single" w:sz="4" w:space="0" w:color="000000"/>
              <w:bottom w:val="single" w:sz="4" w:space="0" w:color="000000"/>
              <w:right w:val="single" w:sz="4" w:space="0" w:color="000000"/>
            </w:tcBorders>
          </w:tcPr>
          <w:p>
            <w:pPr/>
          </w:p>
        </w:tc>
        <w:tc>
          <w:tcPr>
            <w:tcW w:w="1320" w:type="dxa"/>
            <w:tcBorders>
              <w:top w:val="single" w:sz="10" w:space="0" w:color="000000"/>
              <w:left w:val="single" w:sz="4" w:space="0" w:color="000000"/>
              <w:bottom w:val="single" w:sz="4" w:space="0" w:color="000000"/>
              <w:right w:val="single" w:sz="4" w:space="0" w:color="000000"/>
            </w:tcBorders>
          </w:tcPr>
          <w:p>
            <w:pPr/>
          </w:p>
        </w:tc>
      </w:tr>
      <w:tr>
        <w:trPr>
          <w:trHeight w:val="554" w:hRule="exact"/>
        </w:trPr>
        <w:tc>
          <w:tcPr>
            <w:tcW w:w="168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275,207,163.65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203,266,424.33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145,853,782.86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21"/>
                <w:szCs w:val="21"/>
              </w:rPr>
            </w:pPr>
            <w:r>
              <w:rPr>
                <w:rFonts w:ascii="Times New Roman"/>
                <w:sz w:val="21"/>
              </w:rPr>
              <w:t>35.39%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168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每股收益</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0.85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0.69</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0.43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23.19%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3" w:hRule="exact"/>
        </w:trPr>
        <w:tc>
          <w:tcPr>
            <w:tcW w:w="168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净资产收益率</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27.01%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27.05%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19.52%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pacing w:val="-1"/>
                <w:sz w:val="21"/>
              </w:rPr>
              <w:t>-0.04%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1687" w:type="dxa"/>
            <w:tcBorders>
              <w:top w:val="single" w:sz="4" w:space="0" w:color="000000"/>
              <w:left w:val="single" w:sz="4" w:space="0" w:color="000000"/>
              <w:bottom w:val="single" w:sz="4" w:space="0" w:color="000000"/>
              <w:right w:val="single" w:sz="4" w:space="0" w:color="000000"/>
            </w:tcBorders>
            <w:shd w:val="clear" w:color="auto" w:fill="E7E7E7"/>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5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87"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682"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486"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72" w:lineRule="exact" w:before="130"/>
              <w:ind w:left="105" w:right="-5" w:firstLine="108"/>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w w:val="100"/>
                <w:sz w:val="21"/>
                <w:szCs w:val="21"/>
              </w:rPr>
              <w:t> </w:t>
            </w:r>
            <w:r>
              <w:rPr>
                <w:rFonts w:ascii="宋体" w:hAnsi="宋体" w:cs="宋体" w:eastAsia="宋体" w:hint="default"/>
                <w:spacing w:val="-10"/>
                <w:sz w:val="21"/>
                <w:szCs w:val="21"/>
              </w:rPr>
              <w:t>增减幅度（</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w:t>
            </w:r>
          </w:p>
        </w:tc>
        <w:tc>
          <w:tcPr>
            <w:tcW w:w="1320"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40" w:lineRule="exact"/>
              <w:ind w:left="122" w:right="0" w:firstLine="7"/>
              <w:jc w:val="left"/>
              <w:rPr>
                <w:rFonts w:ascii="宋体" w:hAnsi="宋体" w:cs="宋体" w:eastAsia="宋体" w:hint="default"/>
                <w:sz w:val="21"/>
                <w:szCs w:val="21"/>
              </w:rPr>
            </w:pPr>
            <w:r>
              <w:rPr>
                <w:rFonts w:ascii="宋体" w:hAnsi="宋体" w:cs="宋体" w:eastAsia="宋体" w:hint="default"/>
                <w:sz w:val="21"/>
                <w:szCs w:val="21"/>
              </w:rPr>
              <w:t>增减幅度超</w:t>
            </w:r>
          </w:p>
          <w:p>
            <w:pPr>
              <w:pStyle w:val="TableParagraph"/>
              <w:spacing w:line="272" w:lineRule="exact" w:before="27"/>
              <w:ind w:left="549" w:right="115" w:hanging="428"/>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的原</w:t>
            </w:r>
            <w:r>
              <w:rPr>
                <w:rFonts w:ascii="宋体" w:hAnsi="宋体" w:cs="宋体" w:eastAsia="宋体" w:hint="default"/>
                <w:w w:val="100"/>
                <w:sz w:val="21"/>
                <w:szCs w:val="21"/>
              </w:rPr>
              <w:t> </w:t>
            </w:r>
            <w:r>
              <w:rPr>
                <w:rFonts w:ascii="宋体" w:hAnsi="宋体" w:cs="宋体" w:eastAsia="宋体" w:hint="default"/>
                <w:sz w:val="21"/>
                <w:szCs w:val="21"/>
              </w:rPr>
              <w:t>因</w:t>
            </w:r>
          </w:p>
        </w:tc>
      </w:tr>
      <w:tr>
        <w:trPr>
          <w:trHeight w:val="346" w:hRule="exact"/>
        </w:trPr>
        <w:tc>
          <w:tcPr>
            <w:tcW w:w="1687"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1,302,353,087.79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1,070,041,696.23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869,006,514.15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21.71%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557" w:hRule="exact"/>
        </w:trPr>
        <w:tc>
          <w:tcPr>
            <w:tcW w:w="1687"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所有者权益</w:t>
            </w:r>
          </w:p>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（或股东权益）</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1,093,590,077.90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872,475,376.70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720,332,293.42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7"/>
              <w:jc w:val="right"/>
              <w:rPr>
                <w:rFonts w:ascii="Times New Roman" w:hAnsi="Times New Roman" w:cs="Times New Roman" w:eastAsia="Times New Roman" w:hint="default"/>
                <w:sz w:val="21"/>
                <w:szCs w:val="21"/>
              </w:rPr>
            </w:pPr>
            <w:r>
              <w:rPr>
                <w:rFonts w:ascii="Times New Roman"/>
                <w:sz w:val="21"/>
              </w:rPr>
              <w:t>25.34%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1" w:hRule="exact"/>
        </w:trPr>
        <w:tc>
          <w:tcPr>
            <w:tcW w:w="1687"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309,120,000.00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224,000,000.00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224,000,000.00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Times New Roman" w:hAnsi="Times New Roman" w:cs="Times New Roman" w:eastAsia="Times New Roman" w:hint="default"/>
                <w:sz w:val="21"/>
                <w:szCs w:val="21"/>
              </w:rPr>
            </w:pPr>
            <w:r>
              <w:rPr>
                <w:rFonts w:ascii="Times New Roman"/>
                <w:sz w:val="21"/>
              </w:rPr>
              <w:t>38.00%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tc>
      </w:tr>
    </w:tbl>
    <w:p>
      <w:pPr>
        <w:pStyle w:val="BodyText"/>
        <w:spacing w:line="257" w:lineRule="exact"/>
        <w:ind w:right="20" w:firstLine="539"/>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报告期内，公司营业利润、利润总额、归属于上市公司股东的净利润、每股收益、总资产、</w:t>
      </w:r>
    </w:p>
    <w:p>
      <w:pPr>
        <w:pStyle w:val="BodyText"/>
        <w:spacing w:line="345" w:lineRule="auto" w:before="119"/>
        <w:ind w:left="153" w:right="186" w:hanging="1"/>
        <w:jc w:val="both"/>
      </w:pPr>
      <w:r>
        <w:rPr>
          <w:spacing w:val="-4"/>
        </w:rPr>
        <w:t>所有者权益，分别比去年同期增长</w:t>
      </w:r>
      <w:r>
        <w:rPr>
          <w:spacing w:val="-12"/>
        </w:rPr>
        <w:t> </w:t>
      </w:r>
      <w:r>
        <w:rPr>
          <w:rFonts w:ascii="Times New Roman" w:hAnsi="Times New Roman" w:cs="Times New Roman" w:eastAsia="Times New Roman" w:hint="default"/>
          <w:spacing w:val="-6"/>
        </w:rPr>
        <w:t>27.95%</w:t>
      </w:r>
      <w:r>
        <w:rPr>
          <w:spacing w:val="-6"/>
        </w:rPr>
        <w:t>、</w:t>
      </w:r>
      <w:r>
        <w:rPr>
          <w:rFonts w:ascii="Times New Roman" w:hAnsi="Times New Roman" w:cs="Times New Roman" w:eastAsia="Times New Roman" w:hint="default"/>
          <w:spacing w:val="-6"/>
        </w:rPr>
        <w:t>24.80%</w:t>
      </w:r>
      <w:r>
        <w:rPr>
          <w:spacing w:val="-6"/>
        </w:rPr>
        <w:t>、</w:t>
      </w:r>
      <w:r>
        <w:rPr>
          <w:rFonts w:ascii="Times New Roman" w:hAnsi="Times New Roman" w:cs="Times New Roman" w:eastAsia="Times New Roman" w:hint="default"/>
          <w:spacing w:val="-6"/>
        </w:rPr>
        <w:t>23.48%</w:t>
      </w:r>
      <w:r>
        <w:rPr>
          <w:spacing w:val="-6"/>
        </w:rPr>
        <w:t>、</w:t>
      </w:r>
      <w:r>
        <w:rPr>
          <w:rFonts w:ascii="Times New Roman" w:hAnsi="Times New Roman" w:cs="Times New Roman" w:eastAsia="Times New Roman" w:hint="default"/>
          <w:spacing w:val="-6"/>
        </w:rPr>
        <w:t>23.19%</w:t>
      </w:r>
      <w:r>
        <w:rPr>
          <w:spacing w:val="-6"/>
        </w:rPr>
        <w:t>、</w:t>
      </w:r>
      <w:r>
        <w:rPr>
          <w:rFonts w:ascii="Times New Roman" w:hAnsi="Times New Roman" w:cs="Times New Roman" w:eastAsia="Times New Roman" w:hint="default"/>
          <w:spacing w:val="-6"/>
        </w:rPr>
        <w:t>21.71%</w:t>
      </w:r>
      <w:r>
        <w:rPr>
          <w:spacing w:val="-6"/>
        </w:rPr>
        <w:t>、</w:t>
      </w:r>
      <w:r>
        <w:rPr>
          <w:rFonts w:ascii="Times New Roman" w:hAnsi="Times New Roman" w:cs="Times New Roman" w:eastAsia="Times New Roman" w:hint="default"/>
          <w:spacing w:val="-6"/>
        </w:rPr>
        <w:t>25.34%</w:t>
      </w:r>
      <w:r>
        <w:rPr>
          <w:spacing w:val="-6"/>
        </w:rPr>
        <w:t>，主要是由于</w:t>
      </w:r>
      <w:r>
        <w:rPr>
          <w:spacing w:val="-1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2"/>
        </w:rPr>
        <w:t>年我国旅游酒店业继续保持了平稳增长的势头，公司凭借着成熟稳定的产品和高端专业的服务，对信息技</w:t>
      </w:r>
      <w:r>
        <w:rPr>
          <w:spacing w:val="-44"/>
        </w:rPr>
        <w:t> </w:t>
      </w:r>
      <w:r>
        <w:rPr>
          <w:spacing w:val="-44"/>
        </w:rPr>
      </w:r>
      <w:r>
        <w:rPr/>
        <w:t>术应用于酒店管理系统的不断创新，使公司的业绩依旧保持了较好的增长。</w:t>
      </w:r>
    </w:p>
    <w:p>
      <w:pPr>
        <w:pStyle w:val="BodyText"/>
        <w:spacing w:line="336" w:lineRule="auto" w:before="41"/>
        <w:ind w:left="153" w:right="20" w:firstLine="434"/>
        <w:jc w:val="left"/>
      </w:pPr>
      <w:r>
        <w:rPr>
          <w:rFonts w:ascii="Times New Roman" w:hAnsi="Times New Roman" w:cs="Times New Roman" w:eastAsia="Times New Roman" w:hint="default"/>
          <w:spacing w:val="-3"/>
        </w:rPr>
        <w:t>2.</w:t>
      </w:r>
      <w:r>
        <w:rPr>
          <w:spacing w:val="-3"/>
        </w:rPr>
        <w:t>报告期内，公司经营活动产生的现金流量净额比去年同期增长</w:t>
      </w:r>
      <w:r>
        <w:rPr>
          <w:spacing w:val="1"/>
        </w:rPr>
        <w:t> </w:t>
      </w:r>
      <w:r>
        <w:rPr>
          <w:rFonts w:ascii="Times New Roman" w:hAnsi="Times New Roman" w:cs="Times New Roman" w:eastAsia="Times New Roman" w:hint="default"/>
          <w:spacing w:val="-3"/>
        </w:rPr>
        <w:t>35.39%</w:t>
      </w:r>
      <w:r>
        <w:rPr>
          <w:spacing w:val="-3"/>
        </w:rPr>
        <w:t>，主要是由于本年度完工项目</w:t>
      </w:r>
      <w:r>
        <w:rPr>
          <w:w w:val="100"/>
        </w:rPr>
        <w:t> </w:t>
      </w:r>
      <w:r>
        <w:rPr/>
        <w:t>较多，资金回笼较快所致。</w:t>
      </w:r>
    </w:p>
    <w:p>
      <w:pPr>
        <w:pStyle w:val="BodyText"/>
        <w:spacing w:line="336" w:lineRule="auto" w:before="51"/>
        <w:ind w:left="153" w:right="20" w:firstLine="434"/>
        <w:jc w:val="left"/>
      </w:pPr>
      <w:r>
        <w:rPr>
          <w:rFonts w:ascii="Times New Roman" w:hAnsi="Times New Roman" w:cs="Times New Roman" w:eastAsia="Times New Roman" w:hint="default"/>
          <w:spacing w:val="-4"/>
        </w:rPr>
        <w:t>3</w:t>
      </w:r>
      <w:r>
        <w:rPr>
          <w:spacing w:val="-4"/>
        </w:rPr>
        <w:t>、报告期内，股本增长</w:t>
      </w:r>
      <w:r>
        <w:rPr>
          <w:spacing w:val="-49"/>
        </w:rPr>
        <w:t> </w:t>
      </w:r>
      <w:r>
        <w:rPr>
          <w:rFonts w:ascii="Times New Roman" w:hAnsi="Times New Roman" w:cs="Times New Roman" w:eastAsia="Times New Roman" w:hint="default"/>
          <w:spacing w:val="-3"/>
        </w:rPr>
        <w:t>38%</w:t>
      </w:r>
      <w:r>
        <w:rPr>
          <w:spacing w:val="-3"/>
        </w:rPr>
        <w:t>，主要系根据公司</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年年度股东大会决议，以资本公积金向全体股东</w:t>
      </w:r>
      <w:r>
        <w:rPr>
          <w:w w:val="100"/>
        </w:rPr>
        <w:t> </w:t>
      </w:r>
      <w:r>
        <w:rPr/>
        <w:t>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1"/>
        </w:rPr>
        <w:t> </w:t>
      </w:r>
      <w:r>
        <w:rPr>
          <w:rFonts w:ascii="Times New Roman" w:hAnsi="Times New Roman" w:cs="Times New Roman" w:eastAsia="Times New Roman" w:hint="default"/>
        </w:rPr>
        <w:t>3.8</w:t>
      </w:r>
      <w:r>
        <w:rPr>
          <w:rFonts w:ascii="Times New Roman" w:hAnsi="Times New Roman" w:cs="Times New Roman" w:eastAsia="Times New Roman" w:hint="default"/>
          <w:spacing w:val="2"/>
        </w:rPr>
        <w:t> </w:t>
      </w:r>
      <w:r>
        <w:rPr>
          <w:spacing w:val="-3"/>
        </w:rPr>
        <w:t>股所致。</w:t>
      </w:r>
      <w:r>
        <w:rPr/>
      </w:r>
    </w:p>
    <w:p>
      <w:pPr>
        <w:spacing w:line="336" w:lineRule="auto" w:before="24"/>
        <w:ind w:left="575" w:right="30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、主要产品价格变动情况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报告期内，公司主要产品及服务的价格未发生显著变动。</w:t>
      </w:r>
    </w:p>
    <w:p>
      <w:pPr>
        <w:spacing w:line="240" w:lineRule="auto" w:before="0"/>
        <w:rPr>
          <w:rFonts w:ascii="宋体" w:hAnsi="宋体" w:cs="宋体" w:eastAsia="宋体" w:hint="default"/>
          <w:sz w:val="25"/>
          <w:szCs w:val="25"/>
        </w:rPr>
      </w:pPr>
    </w:p>
    <w:p>
      <w:pPr>
        <w:pStyle w:val="Heading4"/>
        <w:spacing w:line="240" w:lineRule="auto"/>
        <w:ind w:left="575" w:right="20"/>
        <w:jc w:val="left"/>
        <w:rPr>
          <w:b w:val="0"/>
          <w:bCs w:val="0"/>
        </w:rPr>
      </w:pPr>
      <w:r>
        <w:rPr>
          <w:rFonts w:ascii="Times New Roman" w:hAnsi="Times New Roman" w:cs="Times New Roman" w:eastAsia="Times New Roman" w:hint="default"/>
        </w:rPr>
        <w:t>4</w:t>
      </w:r>
      <w:r>
        <w:rPr/>
        <w:t>、订单（合同）签署和执行情况</w:t>
      </w:r>
      <w:r>
        <w:rPr>
          <w:b w:val="0"/>
          <w:bCs w:val="0"/>
        </w:rPr>
      </w:r>
    </w:p>
    <w:p>
      <w:pPr>
        <w:spacing w:line="240" w:lineRule="auto" w:before="11"/>
        <w:rPr>
          <w:rFonts w:ascii="宋体" w:hAnsi="宋体" w:cs="宋体" w:eastAsia="宋体" w:hint="default"/>
          <w:b/>
          <w:bCs/>
          <w:sz w:val="11"/>
          <w:szCs w:val="11"/>
        </w:rPr>
      </w:pPr>
    </w:p>
    <w:tbl>
      <w:tblPr>
        <w:tblW w:w="0" w:type="auto"/>
        <w:jc w:val="left"/>
        <w:tblInd w:w="133" w:type="dxa"/>
        <w:tblLayout w:type="fixed"/>
        <w:tblCellMar>
          <w:top w:w="0" w:type="dxa"/>
          <w:left w:w="0" w:type="dxa"/>
          <w:bottom w:w="0" w:type="dxa"/>
          <w:right w:w="0" w:type="dxa"/>
        </w:tblCellMar>
        <w:tblLook w:val="01E0"/>
      </w:tblPr>
      <w:tblGrid>
        <w:gridCol w:w="2424"/>
        <w:gridCol w:w="1219"/>
        <w:gridCol w:w="1217"/>
        <w:gridCol w:w="1219"/>
        <w:gridCol w:w="1219"/>
        <w:gridCol w:w="1217"/>
        <w:gridCol w:w="1219"/>
      </w:tblGrid>
      <w:tr>
        <w:trPr>
          <w:trHeight w:val="1194" w:hRule="exact"/>
        </w:trPr>
        <w:tc>
          <w:tcPr>
            <w:tcW w:w="242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1"/>
              <w:ind w:left="103" w:right="0"/>
              <w:jc w:val="left"/>
              <w:rPr>
                <w:rFonts w:ascii="宋体" w:hAnsi="宋体" w:cs="宋体" w:eastAsia="宋体" w:hint="default"/>
                <w:sz w:val="21"/>
                <w:szCs w:val="21"/>
              </w:rPr>
            </w:pPr>
            <w:r>
              <w:rPr>
                <w:rFonts w:ascii="宋体" w:hAnsi="宋体" w:cs="宋体" w:eastAsia="宋体" w:hint="default"/>
                <w:sz w:val="21"/>
                <w:szCs w:val="21"/>
              </w:rPr>
              <w:t>合并</w:t>
            </w:r>
          </w:p>
        </w:tc>
        <w:tc>
          <w:tcPr>
            <w:tcW w:w="1219" w:type="dxa"/>
            <w:tcBorders>
              <w:top w:val="single" w:sz="4" w:space="0" w:color="000000"/>
              <w:left w:val="single" w:sz="4" w:space="0" w:color="000000"/>
              <w:bottom w:val="single" w:sz="4" w:space="0" w:color="000000"/>
              <w:right w:val="single" w:sz="4" w:space="0" w:color="000000"/>
            </w:tcBorders>
            <w:shd w:val="clear" w:color="auto" w:fill="DADADA"/>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
              <w:ind w:right="0"/>
              <w:jc w:val="left"/>
              <w:rPr>
                <w:rFonts w:ascii="宋体" w:hAnsi="宋体" w:cs="宋体" w:eastAsia="宋体" w:hint="default"/>
                <w:b/>
                <w:bCs/>
                <w:sz w:val="32"/>
                <w:szCs w:val="32"/>
              </w:rPr>
            </w:pPr>
          </w:p>
          <w:p>
            <w:pPr>
              <w:pStyle w:val="TableParagraph"/>
              <w:spacing w:line="240" w:lineRule="auto"/>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21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
              <w:ind w:right="0"/>
              <w:jc w:val="left"/>
              <w:rPr>
                <w:rFonts w:ascii="宋体" w:hAnsi="宋体" w:cs="宋体" w:eastAsia="宋体" w:hint="default"/>
                <w:b/>
                <w:bCs/>
                <w:sz w:val="32"/>
                <w:szCs w:val="32"/>
              </w:rPr>
            </w:pPr>
          </w:p>
          <w:p>
            <w:pPr>
              <w:pStyle w:val="TableParagraph"/>
              <w:spacing w:line="240" w:lineRule="auto"/>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21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72" w:lineRule="exact" w:before="43"/>
              <w:ind w:left="268" w:right="96"/>
              <w:jc w:val="right"/>
              <w:rPr>
                <w:rFonts w:ascii="宋体" w:hAnsi="宋体" w:cs="宋体" w:eastAsia="宋体" w:hint="default"/>
                <w:sz w:val="21"/>
                <w:szCs w:val="21"/>
              </w:rPr>
            </w:pPr>
            <w:r>
              <w:rPr>
                <w:rFonts w:ascii="宋体" w:hAnsi="宋体" w:cs="宋体" w:eastAsia="宋体" w:hint="default"/>
                <w:spacing w:val="-1"/>
                <w:sz w:val="21"/>
                <w:szCs w:val="21"/>
              </w:rPr>
              <w:t>本年比上</w:t>
            </w:r>
            <w:r>
              <w:rPr>
                <w:rFonts w:ascii="宋体" w:hAnsi="宋体" w:cs="宋体" w:eastAsia="宋体" w:hint="default"/>
                <w:w w:val="100"/>
                <w:sz w:val="21"/>
                <w:szCs w:val="21"/>
              </w:rPr>
              <w:t> </w:t>
            </w:r>
            <w:r>
              <w:rPr>
                <w:rFonts w:ascii="宋体" w:hAnsi="宋体" w:cs="宋体" w:eastAsia="宋体" w:hint="default"/>
                <w:spacing w:val="-1"/>
                <w:sz w:val="21"/>
                <w:szCs w:val="21"/>
              </w:rPr>
              <w:t>年订单增</w:t>
            </w:r>
            <w:r>
              <w:rPr>
                <w:rFonts w:ascii="宋体" w:hAnsi="宋体" w:cs="宋体" w:eastAsia="宋体" w:hint="default"/>
                <w:w w:val="100"/>
                <w:sz w:val="21"/>
                <w:szCs w:val="21"/>
              </w:rPr>
              <w:t> </w:t>
            </w:r>
            <w:r>
              <w:rPr>
                <w:rFonts w:ascii="宋体" w:hAnsi="宋体" w:cs="宋体" w:eastAsia="宋体" w:hint="default"/>
                <w:sz w:val="21"/>
                <w:szCs w:val="21"/>
              </w:rPr>
              <w:t>减幅度</w:t>
            </w:r>
          </w:p>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121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0" w:lineRule="auto" w:before="159"/>
              <w:ind w:left="175" w:right="171" w:firstLine="9"/>
              <w:jc w:val="both"/>
              <w:rPr>
                <w:rFonts w:ascii="宋体" w:hAnsi="宋体" w:cs="宋体" w:eastAsia="宋体" w:hint="default"/>
                <w:sz w:val="21"/>
                <w:szCs w:val="21"/>
              </w:rPr>
            </w:pPr>
            <w:r>
              <w:rPr>
                <w:rFonts w:ascii="宋体" w:hAnsi="宋体" w:cs="宋体" w:eastAsia="宋体" w:hint="default"/>
                <w:sz w:val="21"/>
                <w:szCs w:val="21"/>
              </w:rPr>
              <w:t>增减幅度</w:t>
            </w:r>
            <w:r>
              <w:rPr>
                <w:rFonts w:ascii="宋体" w:hAnsi="宋体" w:cs="宋体" w:eastAsia="宋体" w:hint="default"/>
                <w:w w:val="100"/>
                <w:sz w:val="21"/>
                <w:szCs w:val="21"/>
              </w:rPr>
              <w:t> </w:t>
            </w:r>
            <w:r>
              <w:rPr>
                <w:rFonts w:ascii="宋体" w:hAnsi="宋体" w:cs="宋体" w:eastAsia="宋体" w:hint="default"/>
                <w:sz w:val="21"/>
                <w:szCs w:val="21"/>
              </w:rPr>
              <w:t>超过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的原因</w:t>
            </w:r>
          </w:p>
        </w:tc>
        <w:tc>
          <w:tcPr>
            <w:tcW w:w="121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72" w:lineRule="exact"/>
              <w:ind w:left="396" w:right="177" w:hanging="209"/>
              <w:jc w:val="left"/>
              <w:rPr>
                <w:rFonts w:ascii="宋体" w:hAnsi="宋体" w:cs="宋体" w:eastAsia="宋体" w:hint="default"/>
                <w:sz w:val="21"/>
                <w:szCs w:val="21"/>
              </w:rPr>
            </w:pPr>
            <w:r>
              <w:rPr>
                <w:rFonts w:ascii="宋体" w:hAnsi="宋体" w:cs="宋体" w:eastAsia="宋体" w:hint="default"/>
                <w:sz w:val="21"/>
                <w:szCs w:val="21"/>
              </w:rPr>
              <w:t>跨期执行</w:t>
            </w:r>
            <w:r>
              <w:rPr>
                <w:rFonts w:ascii="宋体" w:hAnsi="宋体" w:cs="宋体" w:eastAsia="宋体" w:hint="default"/>
                <w:w w:val="100"/>
                <w:sz w:val="21"/>
                <w:szCs w:val="21"/>
              </w:rPr>
              <w:t> </w:t>
            </w:r>
            <w:r>
              <w:rPr>
                <w:rFonts w:ascii="宋体" w:hAnsi="宋体" w:cs="宋体" w:eastAsia="宋体" w:hint="default"/>
                <w:sz w:val="21"/>
                <w:szCs w:val="21"/>
              </w:rPr>
              <w:t>情况</w:t>
            </w:r>
          </w:p>
        </w:tc>
      </w:tr>
      <w:tr>
        <w:trPr>
          <w:trHeight w:val="379" w:hRule="exact"/>
        </w:trPr>
        <w:tc>
          <w:tcPr>
            <w:tcW w:w="2424"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酒店信息系统业务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6"/>
              <w:jc w:val="right"/>
              <w:rPr>
                <w:rFonts w:ascii="宋体" w:hAnsi="宋体" w:cs="宋体" w:eastAsia="宋体" w:hint="default"/>
                <w:sz w:val="21"/>
                <w:szCs w:val="21"/>
              </w:rPr>
            </w:pPr>
            <w:r>
              <w:rPr>
                <w:rFonts w:ascii="宋体" w:hAnsi="宋体" w:cs="宋体" w:eastAsia="宋体" w:hint="default"/>
                <w:spacing w:val="-1"/>
                <w:sz w:val="21"/>
                <w:szCs w:val="21"/>
              </w:rPr>
              <w:t>新签合同</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z w:val="21"/>
              </w:rPr>
              <w:t>1337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z w:val="21"/>
              </w:rPr>
              <w:t>1248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5"/>
              <w:jc w:val="right"/>
              <w:rPr>
                <w:rFonts w:ascii="Times New Roman" w:hAnsi="Times New Roman" w:cs="Times New Roman" w:eastAsia="Times New Roman" w:hint="default"/>
                <w:sz w:val="21"/>
                <w:szCs w:val="21"/>
              </w:rPr>
            </w:pPr>
            <w:r>
              <w:rPr>
                <w:rFonts w:ascii="Times New Roman"/>
                <w:sz w:val="21"/>
              </w:rPr>
              <w:t>7.13%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63</w:t>
            </w:r>
          </w:p>
        </w:tc>
      </w:tr>
      <w:tr>
        <w:trPr>
          <w:trHeight w:val="379" w:hRule="exact"/>
        </w:trPr>
        <w:tc>
          <w:tcPr>
            <w:tcW w:w="2424" w:type="dxa"/>
            <w:vMerge/>
            <w:tcBorders>
              <w:left w:val="single" w:sz="4" w:space="0" w:color="000000"/>
              <w:bottom w:val="single" w:sz="4" w:space="0" w:color="000000"/>
              <w:right w:val="single" w:sz="4" w:space="0" w:color="000000"/>
            </w:tcBorders>
            <w:shd w:val="clear" w:color="auto" w:fill="DADADA"/>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hAnsi="宋体" w:cs="宋体" w:eastAsia="宋体" w:hint="default"/>
                <w:spacing w:val="-1"/>
                <w:sz w:val="21"/>
                <w:szCs w:val="21"/>
              </w:rPr>
              <w:t>维护合同</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z w:val="21"/>
              </w:rPr>
              <w:t>2654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z w:val="21"/>
              </w:rPr>
              <w:t>2187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5"/>
              <w:jc w:val="right"/>
              <w:rPr>
                <w:rFonts w:ascii="Times New Roman" w:hAnsi="Times New Roman" w:cs="Times New Roman" w:eastAsia="Times New Roman" w:hint="default"/>
                <w:sz w:val="21"/>
                <w:szCs w:val="21"/>
              </w:rPr>
            </w:pPr>
            <w:r>
              <w:rPr>
                <w:rFonts w:ascii="Times New Roman"/>
                <w:sz w:val="21"/>
              </w:rPr>
              <w:t>21.35%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z w:val="21"/>
              </w:rPr>
              <w:t>524</w:t>
            </w:r>
          </w:p>
        </w:tc>
      </w:tr>
      <w:tr>
        <w:trPr>
          <w:trHeight w:val="377" w:hRule="exact"/>
        </w:trPr>
        <w:tc>
          <w:tcPr>
            <w:tcW w:w="2424" w:type="dxa"/>
            <w:vMerge w:val="restart"/>
            <w:tcBorders>
              <w:top w:val="single" w:sz="4" w:space="0" w:color="000000"/>
              <w:left w:val="single" w:sz="4" w:space="0" w:color="000000"/>
              <w:right w:val="single" w:sz="4" w:space="0" w:color="000000"/>
            </w:tcBorders>
            <w:shd w:val="clear" w:color="auto" w:fill="DADADA"/>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餐饮信息管理系统业务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hAnsi="宋体" w:cs="宋体" w:eastAsia="宋体" w:hint="default"/>
                <w:spacing w:val="-1"/>
                <w:sz w:val="21"/>
                <w:szCs w:val="21"/>
              </w:rPr>
              <w:t>新签合同</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21"/>
                <w:szCs w:val="21"/>
              </w:rPr>
            </w:pPr>
            <w:r>
              <w:rPr>
                <w:rFonts w:ascii="Times New Roman"/>
                <w:sz w:val="21"/>
              </w:rPr>
              <w:t>2160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21"/>
                <w:szCs w:val="21"/>
              </w:rPr>
            </w:pPr>
            <w:r>
              <w:rPr>
                <w:rFonts w:ascii="Times New Roman"/>
                <w:sz w:val="21"/>
              </w:rPr>
              <w:t>1873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5"/>
              <w:jc w:val="right"/>
              <w:rPr>
                <w:rFonts w:ascii="Times New Roman" w:hAnsi="Times New Roman" w:cs="Times New Roman" w:eastAsia="Times New Roman" w:hint="default"/>
                <w:sz w:val="21"/>
                <w:szCs w:val="21"/>
              </w:rPr>
            </w:pPr>
            <w:r>
              <w:rPr>
                <w:rFonts w:ascii="Times New Roman"/>
                <w:sz w:val="21"/>
              </w:rPr>
              <w:t>15.32%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Times New Roman" w:hAnsi="Times New Roman" w:cs="Times New Roman" w:eastAsia="Times New Roman" w:hint="default"/>
                <w:sz w:val="21"/>
                <w:szCs w:val="21"/>
              </w:rPr>
            </w:pPr>
            <w:r>
              <w:rPr>
                <w:rFonts w:ascii="Times New Roman"/>
                <w:sz w:val="21"/>
              </w:rPr>
              <w:t>136</w:t>
            </w:r>
          </w:p>
        </w:tc>
      </w:tr>
      <w:tr>
        <w:trPr>
          <w:trHeight w:val="379" w:hRule="exact"/>
        </w:trPr>
        <w:tc>
          <w:tcPr>
            <w:tcW w:w="2424" w:type="dxa"/>
            <w:vMerge/>
            <w:tcBorders>
              <w:left w:val="single" w:sz="4" w:space="0" w:color="000000"/>
              <w:bottom w:val="single" w:sz="4" w:space="0" w:color="000000"/>
              <w:right w:val="single" w:sz="4" w:space="0" w:color="000000"/>
            </w:tcBorders>
            <w:shd w:val="clear" w:color="auto" w:fill="DADADA"/>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6"/>
              <w:jc w:val="right"/>
              <w:rPr>
                <w:rFonts w:ascii="宋体" w:hAnsi="宋体" w:cs="宋体" w:eastAsia="宋体" w:hint="default"/>
                <w:sz w:val="21"/>
                <w:szCs w:val="21"/>
              </w:rPr>
            </w:pPr>
            <w:r>
              <w:rPr>
                <w:rFonts w:ascii="宋体" w:hAnsi="宋体" w:cs="宋体" w:eastAsia="宋体" w:hint="default"/>
                <w:spacing w:val="-1"/>
                <w:sz w:val="21"/>
                <w:szCs w:val="21"/>
              </w:rPr>
              <w:t>维护合同</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z w:val="21"/>
              </w:rPr>
              <w:t>505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z w:val="21"/>
              </w:rPr>
              <w:t>444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5"/>
              <w:jc w:val="right"/>
              <w:rPr>
                <w:rFonts w:ascii="Times New Roman" w:hAnsi="Times New Roman" w:cs="Times New Roman" w:eastAsia="Times New Roman" w:hint="default"/>
                <w:sz w:val="21"/>
                <w:szCs w:val="21"/>
              </w:rPr>
            </w:pPr>
            <w:r>
              <w:rPr>
                <w:rFonts w:ascii="Times New Roman"/>
                <w:sz w:val="21"/>
              </w:rPr>
              <w:t>13.74%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z w:val="21"/>
              </w:rPr>
              <w:t>163</w:t>
            </w:r>
          </w:p>
        </w:tc>
      </w:tr>
      <w:tr>
        <w:trPr>
          <w:trHeight w:val="379" w:hRule="exact"/>
        </w:trPr>
        <w:tc>
          <w:tcPr>
            <w:tcW w:w="242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支付系统业务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hAnsi="宋体" w:cs="宋体" w:eastAsia="宋体" w:hint="default"/>
                <w:spacing w:val="-1"/>
                <w:sz w:val="21"/>
                <w:szCs w:val="21"/>
              </w:rPr>
              <w:t>新签合同</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z w:val="21"/>
              </w:rPr>
              <w:t>2139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21"/>
                <w:szCs w:val="21"/>
              </w:rPr>
            </w:pPr>
            <w:r>
              <w:rPr>
                <w:rFonts w:ascii="Times New Roman"/>
                <w:spacing w:val="-2"/>
                <w:sz w:val="21"/>
              </w:rPr>
              <w:t>1911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5"/>
              <w:jc w:val="right"/>
              <w:rPr>
                <w:rFonts w:ascii="Times New Roman" w:hAnsi="Times New Roman" w:cs="Times New Roman" w:eastAsia="Times New Roman" w:hint="default"/>
                <w:sz w:val="21"/>
                <w:szCs w:val="21"/>
              </w:rPr>
            </w:pPr>
            <w:r>
              <w:rPr>
                <w:rFonts w:ascii="Times New Roman"/>
                <w:spacing w:val="-2"/>
                <w:sz w:val="21"/>
              </w:rPr>
              <w:t>11.93%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w w:val="100"/>
                <w:sz w:val="21"/>
              </w:rPr>
              <w:t>8</w:t>
            </w:r>
          </w:p>
        </w:tc>
      </w:tr>
    </w:tbl>
    <w:p>
      <w:pPr>
        <w:pStyle w:val="BodyText"/>
        <w:spacing w:line="257" w:lineRule="exact"/>
        <w:ind w:right="0" w:firstLine="434"/>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w:t>
      </w:r>
      <w:r>
        <w:rPr>
          <w:spacing w:val="31"/>
        </w:rPr>
        <w:t> </w:t>
      </w:r>
      <w:r>
        <w:rPr>
          <w:rFonts w:ascii="Times New Roman" w:hAnsi="Times New Roman" w:cs="Times New Roman" w:eastAsia="Times New Roman" w:hint="default"/>
        </w:rPr>
        <w:t>1</w:t>
      </w:r>
      <w:r>
        <w:rPr/>
        <w:t>、酒店信息系统：本年度新签的（本处是指新签署的而非确认收入的）包括北京总公司酒店</w:t>
      </w:r>
    </w:p>
    <w:p>
      <w:pPr>
        <w:pStyle w:val="BodyText"/>
        <w:spacing w:line="336" w:lineRule="auto" w:before="117"/>
        <w:ind w:right="191"/>
        <w:jc w:val="both"/>
      </w:pPr>
      <w:r>
        <w:rPr/>
        <w:t>系统集成合同（不包括星巴克、</w:t>
      </w:r>
      <w:r>
        <w:rPr>
          <w:rFonts w:ascii="Times New Roman" w:hAnsi="Times New Roman" w:cs="Times New Roman" w:eastAsia="Times New Roman" w:hint="default"/>
        </w:rPr>
        <w:t>COSTA</w:t>
      </w:r>
      <w:r>
        <w:rPr/>
        <w:t>、汉堡王和所有社会餐饮客户合同</w:t>
      </w:r>
      <w:r>
        <w:rPr>
          <w:rFonts w:ascii="Times New Roman" w:hAnsi="Times New Roman" w:cs="Times New Roman" w:eastAsia="Times New Roman" w:hint="default"/>
        </w:rPr>
        <w:t>,</w:t>
      </w:r>
      <w:r>
        <w:rPr/>
        <w:t>社会餐饮客户是指该客户没有</w:t>
      </w:r>
      <w:r>
        <w:rPr>
          <w:spacing w:val="-31"/>
        </w:rPr>
        <w:t> </w:t>
      </w:r>
      <w:r>
        <w:rPr>
          <w:spacing w:val="-31"/>
        </w:rPr>
      </w:r>
      <w:r>
        <w:rPr>
          <w:spacing w:val="-3"/>
        </w:rPr>
        <w:t>提供客房住宿服务或没有与酒店管理系统接口的独立餐厅）</w:t>
      </w:r>
      <w:r>
        <w:rPr>
          <w:rFonts w:ascii="Times New Roman" w:hAnsi="Times New Roman" w:cs="Times New Roman" w:eastAsia="Times New Roman" w:hint="default"/>
          <w:spacing w:val="-3"/>
        </w:rPr>
        <w:t>+</w:t>
      </w:r>
      <w:r>
        <w:rPr>
          <w:spacing w:val="-3"/>
        </w:rPr>
        <w:t>软件子公司酒店系统集成合同</w:t>
      </w:r>
      <w:r>
        <w:rPr>
          <w:rFonts w:ascii="Times New Roman" w:hAnsi="Times New Roman" w:cs="Times New Roman" w:eastAsia="Times New Roman" w:hint="default"/>
          <w:spacing w:val="-3"/>
        </w:rPr>
        <w:t>+</w:t>
      </w:r>
      <w:r>
        <w:rPr>
          <w:spacing w:val="-3"/>
        </w:rPr>
        <w:t>西软酒店系统</w:t>
      </w:r>
      <w:r>
        <w:rPr>
          <w:spacing w:val="-30"/>
        </w:rPr>
        <w:t> </w:t>
      </w:r>
      <w:r>
        <w:rPr>
          <w:spacing w:val="-30"/>
        </w:rPr>
      </w:r>
      <w:r>
        <w:rPr/>
        <w:t>集成合同及合同</w:t>
      </w:r>
      <w:r>
        <w:rPr>
          <w:rFonts w:ascii="Times New Roman" w:hAnsi="Times New Roman" w:cs="Times New Roman" w:eastAsia="Times New Roman" w:hint="default"/>
        </w:rPr>
        <w:t>+</w:t>
      </w:r>
      <w:r>
        <w:rPr/>
        <w:t>北海维护及酒店系统集成合同</w:t>
      </w:r>
      <w:r>
        <w:rPr>
          <w:rFonts w:ascii="Times New Roman" w:hAnsi="Times New Roman" w:cs="Times New Roman" w:eastAsia="Times New Roman" w:hint="default"/>
        </w:rPr>
        <w:t>+</w:t>
      </w:r>
      <w:r>
        <w:rPr/>
        <w:t>石基昆仑的全部业务；</w:t>
      </w:r>
    </w:p>
    <w:p>
      <w:pPr>
        <w:pStyle w:val="BodyText"/>
        <w:spacing w:line="336" w:lineRule="auto" w:before="26"/>
        <w:ind w:left="153" w:right="192" w:firstLine="434"/>
        <w:jc w:val="both"/>
      </w:pPr>
      <w:r>
        <w:rPr>
          <w:rFonts w:ascii="Times New Roman" w:hAnsi="Times New Roman" w:cs="Times New Roman" w:eastAsia="Times New Roman" w:hint="default"/>
        </w:rPr>
        <w:t>2</w:t>
      </w:r>
      <w:r>
        <w:rPr/>
        <w:t>、餐饮信息管理系统：本年度新签署的（本处是指新签署的而非确认收入的）</w:t>
      </w:r>
      <w:r>
        <w:rPr>
          <w:rFonts w:ascii="Times New Roman" w:hAnsi="Times New Roman" w:cs="Times New Roman" w:eastAsia="Times New Roman" w:hint="default"/>
        </w:rPr>
        <w:t>MICROS</w:t>
      </w:r>
      <w:r>
        <w:rPr>
          <w:rFonts w:ascii="Times New Roman" w:hAnsi="Times New Roman" w:cs="Times New Roman" w:eastAsia="Times New Roman" w:hint="default"/>
          <w:spacing w:val="38"/>
        </w:rPr>
        <w:t> </w:t>
      </w:r>
      <w:r>
        <w:rPr/>
        <w:t>社会餐饮客</w:t>
      </w:r>
      <w:r>
        <w:rPr>
          <w:spacing w:val="-3"/>
          <w:w w:val="100"/>
        </w:rPr>
        <w:t> </w:t>
      </w:r>
      <w:r>
        <w:rPr>
          <w:spacing w:val="-2"/>
        </w:rPr>
        <w:t>户合同</w:t>
      </w:r>
      <w:r>
        <w:rPr>
          <w:rFonts w:ascii="Times New Roman" w:hAnsi="Times New Roman" w:cs="Times New Roman" w:eastAsia="Times New Roman" w:hint="default"/>
          <w:spacing w:val="-2"/>
        </w:rPr>
        <w:t>+</w:t>
      </w:r>
      <w:r>
        <w:rPr>
          <w:spacing w:val="-2"/>
        </w:rPr>
        <w:t>北京现化的社会餐饮合同（不包括软子代签的合同）</w:t>
      </w:r>
      <w:r>
        <w:rPr>
          <w:rFonts w:ascii="Times New Roman" w:hAnsi="Times New Roman" w:cs="Times New Roman" w:eastAsia="Times New Roman" w:hint="default"/>
          <w:spacing w:val="-2"/>
        </w:rPr>
        <w:t>+Infrasys</w:t>
      </w:r>
      <w:r>
        <w:rPr>
          <w:rFonts w:ascii="Times New Roman" w:hAnsi="Times New Roman" w:cs="Times New Roman" w:eastAsia="Times New Roman" w:hint="default"/>
        </w:rPr>
        <w:t> </w:t>
      </w:r>
      <w:r>
        <w:rPr>
          <w:spacing w:val="-2"/>
        </w:rPr>
        <w:t>境外的业务</w:t>
      </w:r>
      <w:r>
        <w:rPr>
          <w:rFonts w:ascii="Times New Roman" w:hAnsi="Times New Roman" w:cs="Times New Roman" w:eastAsia="Times New Roman" w:hint="default"/>
          <w:spacing w:val="-2"/>
        </w:rPr>
        <w:t>(</w:t>
      </w:r>
      <w:r>
        <w:rPr>
          <w:spacing w:val="-2"/>
        </w:rPr>
        <w:t>海外业务最好也分成酒</w:t>
      </w:r>
      <w:r>
        <w:rPr>
          <w:spacing w:val="-79"/>
        </w:rPr>
        <w:t> </w:t>
      </w:r>
      <w:r>
        <w:rPr>
          <w:spacing w:val="-79"/>
        </w:rPr>
      </w:r>
      <w:r>
        <w:rPr/>
        <w:t>店业和社会餐饮业</w:t>
      </w:r>
      <w:r>
        <w:rPr>
          <w:rFonts w:ascii="Times New Roman" w:hAnsi="Times New Roman" w:cs="Times New Roman" w:eastAsia="Times New Roman" w:hint="default"/>
        </w:rPr>
        <w:t>)+</w:t>
      </w:r>
      <w:r>
        <w:rPr/>
        <w:t>上海正品的餐饮合同；</w:t>
      </w:r>
    </w:p>
    <w:p>
      <w:pPr>
        <w:spacing w:after="0" w:line="336" w:lineRule="auto"/>
        <w:jc w:val="both"/>
        <w:sectPr>
          <w:pgSz w:w="11910" w:h="16840"/>
          <w:pgMar w:header="850" w:footer="979" w:top="1200" w:bottom="1160" w:left="980" w:right="940"/>
        </w:sectPr>
      </w:pPr>
    </w:p>
    <w:p>
      <w:pPr>
        <w:pStyle w:val="BodyText"/>
        <w:spacing w:line="240" w:lineRule="auto" w:before="30"/>
        <w:ind w:left="587" w:right="0"/>
        <w:jc w:val="left"/>
        <w:rPr>
          <w:rFonts w:ascii="Times New Roman" w:hAnsi="Times New Roman" w:cs="Times New Roman" w:eastAsia="Times New Roman" w:hint="default"/>
        </w:rPr>
      </w:pPr>
      <w:r>
        <w:rPr/>
        <w:pict>
          <v:group style="position:absolute;margin-left:55.200001pt;margin-top:2.843687pt;width:484.8pt;height:.1pt;mso-position-horizontal-relative:page;mso-position-vertical-relative:paragraph;z-index:-772480" coordorigin="1104,57" coordsize="9696,2">
            <v:shape style="position:absolute;left:1104;top:57;width:9696;height:2" coordorigin="1104,57" coordsize="9696,0" path="m1104,57l10800,57e" filled="false" stroked="true" strokeweight=".72pt" strokecolor="#000000">
              <v:path arrowok="t"/>
            </v:shape>
            <w10:wrap type="none"/>
          </v:group>
        </w:pict>
      </w:r>
      <w:r>
        <w:rPr>
          <w:rFonts w:ascii="Times New Roman" w:hAnsi="Times New Roman" w:cs="Times New Roman" w:eastAsia="Times New Roman" w:hint="default"/>
        </w:rPr>
        <w:t>3</w:t>
      </w:r>
      <w:r>
        <w:rPr/>
        <w:t>、支付系统业务：本年度新签署的（本处是指新签署的而非确认收入的）南京银石合同</w:t>
      </w:r>
      <w:r>
        <w:rPr>
          <w:rFonts w:ascii="Times New Roman" w:hAnsi="Times New Roman" w:cs="Times New Roman" w:eastAsia="Times New Roman" w:hint="default"/>
        </w:rPr>
        <w:t>+</w:t>
      </w:r>
      <w:r>
        <w:rPr/>
        <w:t>北海</w:t>
      </w:r>
      <w:r>
        <w:rPr>
          <w:spacing w:val="81"/>
        </w:rPr>
        <w:t> </w:t>
      </w:r>
      <w:r>
        <w:rPr>
          <w:rFonts w:ascii="Times New Roman" w:hAnsi="Times New Roman" w:cs="Times New Roman" w:eastAsia="Times New Roman" w:hint="default"/>
        </w:rPr>
        <w:t>PGS</w:t>
      </w:r>
    </w:p>
    <w:p>
      <w:pPr>
        <w:pStyle w:val="BodyText"/>
        <w:spacing w:line="240" w:lineRule="auto" w:before="117"/>
        <w:ind w:right="0"/>
        <w:jc w:val="left"/>
      </w:pPr>
      <w:r>
        <w:rPr/>
        <w:t>合同。</w:t>
      </w:r>
    </w:p>
    <w:p>
      <w:pPr>
        <w:pStyle w:val="Heading4"/>
        <w:spacing w:line="240" w:lineRule="auto" w:before="133"/>
        <w:ind w:left="680" w:right="0"/>
        <w:jc w:val="left"/>
        <w:rPr>
          <w:b w:val="0"/>
          <w:bCs w:val="0"/>
        </w:rPr>
      </w:pPr>
      <w:r>
        <w:rPr>
          <w:rFonts w:ascii="Times New Roman" w:hAnsi="Times New Roman" w:cs="Times New Roman" w:eastAsia="Times New Roman" w:hint="default"/>
        </w:rPr>
        <w:t>5</w:t>
      </w:r>
      <w:r>
        <w:rPr/>
        <w:t>、毛利率变动情况</w:t>
      </w:r>
      <w:r>
        <w:rPr>
          <w:b w:val="0"/>
          <w:bCs w:val="0"/>
        </w:rPr>
      </w:r>
    </w:p>
    <w:p>
      <w:pPr>
        <w:spacing w:line="240" w:lineRule="auto" w:before="10"/>
        <w:rPr>
          <w:rFonts w:ascii="宋体" w:hAnsi="宋体" w:cs="宋体" w:eastAsia="宋体" w:hint="default"/>
          <w:b/>
          <w:bCs/>
          <w:sz w:val="11"/>
          <w:szCs w:val="11"/>
        </w:rPr>
      </w:pPr>
    </w:p>
    <w:tbl>
      <w:tblPr>
        <w:tblW w:w="0" w:type="auto"/>
        <w:jc w:val="left"/>
        <w:tblInd w:w="137" w:type="dxa"/>
        <w:tblLayout w:type="fixed"/>
        <w:tblCellMar>
          <w:top w:w="0" w:type="dxa"/>
          <w:left w:w="0" w:type="dxa"/>
          <w:bottom w:w="0" w:type="dxa"/>
          <w:right w:w="0" w:type="dxa"/>
        </w:tblCellMar>
        <w:tblLook w:val="01E0"/>
      </w:tblPr>
      <w:tblGrid>
        <w:gridCol w:w="1784"/>
        <w:gridCol w:w="1229"/>
        <w:gridCol w:w="1080"/>
        <w:gridCol w:w="1104"/>
        <w:gridCol w:w="2006"/>
        <w:gridCol w:w="2458"/>
      </w:tblGrid>
      <w:tr>
        <w:trPr>
          <w:trHeight w:val="650" w:hRule="exact"/>
        </w:trPr>
        <w:tc>
          <w:tcPr>
            <w:tcW w:w="1784"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22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0"/>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0"/>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1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0"/>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00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2" w:lineRule="exact" w:before="41"/>
              <w:ind w:left="196" w:right="98" w:firstLine="16"/>
              <w:jc w:val="left"/>
              <w:rPr>
                <w:rFonts w:ascii="宋体" w:hAnsi="宋体" w:cs="宋体" w:eastAsia="宋体" w:hint="default"/>
                <w:sz w:val="21"/>
                <w:szCs w:val="21"/>
              </w:rPr>
            </w:pPr>
            <w:r>
              <w:rPr>
                <w:rFonts w:ascii="宋体" w:hAnsi="宋体" w:cs="宋体" w:eastAsia="宋体" w:hint="default"/>
                <w:sz w:val="21"/>
                <w:szCs w:val="21"/>
              </w:rPr>
              <w:t>本年比上年增减幅</w:t>
            </w:r>
            <w:r>
              <w:rPr>
                <w:rFonts w:ascii="宋体" w:hAnsi="宋体" w:cs="宋体" w:eastAsia="宋体" w:hint="default"/>
                <w:w w:val="100"/>
                <w:sz w:val="21"/>
                <w:szCs w:val="21"/>
              </w:rPr>
              <w:t> </w:t>
            </w:r>
            <w:r>
              <w:rPr>
                <w:rFonts w:ascii="宋体" w:hAnsi="宋体" w:cs="宋体" w:eastAsia="宋体" w:hint="default"/>
                <w:sz w:val="21"/>
                <w:szCs w:val="21"/>
              </w:rPr>
              <w:t>度超过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的原因</w:t>
            </w:r>
          </w:p>
        </w:tc>
        <w:tc>
          <w:tcPr>
            <w:tcW w:w="245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exact" w:before="14"/>
              <w:ind w:left="5" w:right="0"/>
              <w:jc w:val="center"/>
              <w:rPr>
                <w:rFonts w:ascii="宋体" w:hAnsi="宋体" w:cs="宋体" w:eastAsia="宋体" w:hint="default"/>
                <w:sz w:val="21"/>
                <w:szCs w:val="21"/>
              </w:rPr>
            </w:pPr>
            <w:r>
              <w:rPr>
                <w:rFonts w:ascii="宋体" w:hAnsi="宋体" w:cs="宋体" w:eastAsia="宋体" w:hint="default"/>
                <w:sz w:val="21"/>
                <w:szCs w:val="21"/>
              </w:rPr>
              <w:t>与同行业相比差异超过</w:t>
            </w:r>
          </w:p>
          <w:p>
            <w:pPr>
              <w:pStyle w:val="TableParagraph"/>
              <w:spacing w:line="289"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的原因</w:t>
            </w:r>
          </w:p>
        </w:tc>
      </w:tr>
      <w:tr>
        <w:trPr>
          <w:trHeight w:val="379" w:hRule="exact"/>
        </w:trPr>
        <w:tc>
          <w:tcPr>
            <w:tcW w:w="1784" w:type="dxa"/>
            <w:tcBorders>
              <w:top w:val="single" w:sz="4" w:space="0" w:color="000000"/>
              <w:left w:val="single" w:sz="4" w:space="0" w:color="000000"/>
              <w:bottom w:val="single" w:sz="4" w:space="0" w:color="000000"/>
              <w:right w:val="single" w:sz="4" w:space="0" w:color="000000"/>
            </w:tcBorders>
            <w:shd w:val="clear" w:color="auto" w:fill="E7E7E7"/>
          </w:tcPr>
          <w:p>
            <w:pPr>
              <w:pStyle w:val="TableParagraph"/>
              <w:spacing w:line="240" w:lineRule="auto" w:before="14"/>
              <w:ind w:left="361" w:right="0"/>
              <w:jc w:val="left"/>
              <w:rPr>
                <w:rFonts w:ascii="宋体" w:hAnsi="宋体" w:cs="宋体" w:eastAsia="宋体" w:hint="default"/>
                <w:sz w:val="21"/>
                <w:szCs w:val="21"/>
              </w:rPr>
            </w:pPr>
            <w:r>
              <w:rPr>
                <w:rFonts w:ascii="宋体" w:hAnsi="宋体" w:cs="宋体" w:eastAsia="宋体" w:hint="default"/>
                <w:sz w:val="21"/>
                <w:szCs w:val="21"/>
              </w:rPr>
              <w:t>销售毛利率</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5"/>
              <w:jc w:val="right"/>
              <w:rPr>
                <w:rFonts w:ascii="Times New Roman" w:hAnsi="Times New Roman" w:cs="Times New Roman" w:eastAsia="Times New Roman" w:hint="default"/>
                <w:sz w:val="21"/>
                <w:szCs w:val="21"/>
              </w:rPr>
            </w:pPr>
            <w:r>
              <w:rPr>
                <w:rFonts w:ascii="Times New Roman"/>
                <w:sz w:val="21"/>
              </w:rPr>
              <w:t>65.37%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5"/>
              <w:jc w:val="right"/>
              <w:rPr>
                <w:rFonts w:ascii="Times New Roman" w:hAnsi="Times New Roman" w:cs="Times New Roman" w:eastAsia="Times New Roman" w:hint="default"/>
                <w:sz w:val="21"/>
                <w:szCs w:val="21"/>
              </w:rPr>
            </w:pPr>
            <w:r>
              <w:rPr>
                <w:rFonts w:ascii="Times New Roman"/>
                <w:sz w:val="21"/>
              </w:rPr>
              <w:t>69.27%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5"/>
              <w:jc w:val="right"/>
              <w:rPr>
                <w:rFonts w:ascii="Times New Roman" w:hAnsi="Times New Roman" w:cs="Times New Roman" w:eastAsia="Times New Roman" w:hint="default"/>
                <w:sz w:val="21"/>
                <w:szCs w:val="21"/>
              </w:rPr>
            </w:pPr>
            <w:r>
              <w:rPr>
                <w:rFonts w:ascii="Times New Roman"/>
                <w:sz w:val="21"/>
              </w:rPr>
              <w:t>70.23%</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w w:val="100"/>
                <w:sz w:val="21"/>
              </w:rPr>
              <w:t>-</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2"/>
        <w:rPr>
          <w:rFonts w:ascii="宋体" w:hAnsi="宋体" w:cs="宋体" w:eastAsia="宋体" w:hint="default"/>
          <w:b/>
          <w:bCs/>
          <w:sz w:val="15"/>
          <w:szCs w:val="15"/>
        </w:rPr>
      </w:pPr>
    </w:p>
    <w:p>
      <w:pPr>
        <w:pStyle w:val="Heading4"/>
        <w:spacing w:line="240" w:lineRule="auto" w:before="36"/>
        <w:ind w:left="678" w:right="0"/>
        <w:jc w:val="left"/>
        <w:rPr>
          <w:b w:val="0"/>
          <w:bCs w:val="0"/>
        </w:rPr>
      </w:pPr>
      <w:r>
        <w:rPr>
          <w:rFonts w:ascii="Times New Roman" w:hAnsi="Times New Roman" w:cs="Times New Roman" w:eastAsia="Times New Roman" w:hint="default"/>
        </w:rPr>
        <w:t>6</w:t>
      </w:r>
      <w:r>
        <w:rPr/>
        <w:t>、公司主营业务按行业、产品和地区分布情况</w:t>
      </w:r>
      <w:r>
        <w:rPr>
          <w:b w:val="0"/>
          <w:bCs w:val="0"/>
        </w:rPr>
      </w:r>
    </w:p>
    <w:p>
      <w:pPr>
        <w:spacing w:line="240" w:lineRule="auto" w:before="3"/>
        <w:rPr>
          <w:rFonts w:ascii="宋体" w:hAnsi="宋体" w:cs="宋体" w:eastAsia="宋体" w:hint="default"/>
          <w:b/>
          <w:bCs/>
          <w:sz w:val="30"/>
          <w:szCs w:val="30"/>
        </w:rPr>
      </w:pPr>
    </w:p>
    <w:p>
      <w:pPr>
        <w:pStyle w:val="BodyText"/>
        <w:spacing w:line="240" w:lineRule="auto"/>
        <w:ind w:left="572" w:right="0"/>
        <w:jc w:val="left"/>
      </w:pPr>
      <w:r>
        <w:rPr/>
        <w:t>（</w:t>
      </w:r>
      <w:r>
        <w:rPr>
          <w:rFonts w:ascii="Times New Roman" w:hAnsi="Times New Roman" w:cs="Times New Roman" w:eastAsia="Times New Roman" w:hint="default"/>
        </w:rPr>
        <w:t>1</w:t>
      </w:r>
      <w:r>
        <w:rPr/>
        <w:t>）主营业务分行业、分产品经营情况（单位：万元）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232"/>
        <w:gridCol w:w="1022"/>
        <w:gridCol w:w="1274"/>
        <w:gridCol w:w="1272"/>
        <w:gridCol w:w="1272"/>
        <w:gridCol w:w="1272"/>
        <w:gridCol w:w="1351"/>
      </w:tblGrid>
      <w:tr>
        <w:trPr>
          <w:trHeight w:val="283" w:hRule="exact"/>
        </w:trPr>
        <w:tc>
          <w:tcPr>
            <w:tcW w:w="969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6" w:hRule="exact"/>
        </w:trPr>
        <w:tc>
          <w:tcPr>
            <w:tcW w:w="22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0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7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
              <w:jc w:val="right"/>
              <w:rPr>
                <w:rFonts w:ascii="宋体" w:hAnsi="宋体" w:cs="宋体" w:eastAsia="宋体" w:hint="default"/>
                <w:sz w:val="21"/>
                <w:szCs w:val="21"/>
              </w:rPr>
            </w:pPr>
            <w:r>
              <w:rPr>
                <w:rFonts w:ascii="宋体" w:hAnsi="宋体" w:cs="宋体" w:eastAsia="宋体" w:hint="default"/>
                <w:spacing w:val="-2"/>
                <w:sz w:val="21"/>
                <w:szCs w:val="21"/>
              </w:rPr>
              <w:t>毛利率（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27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left="7"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7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left="7"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2" w:lineRule="exact" w:before="130"/>
              <w:ind w:left="165" w:right="33" w:hanging="123"/>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79"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宋体" w:hAnsi="宋体" w:cs="宋体" w:eastAsia="宋体" w:hint="default"/>
                <w:sz w:val="21"/>
                <w:szCs w:val="21"/>
              </w:rPr>
            </w:pPr>
            <w:r>
              <w:rPr>
                <w:rFonts w:ascii="宋体" w:hAnsi="宋体" w:cs="宋体" w:eastAsia="宋体" w:hint="default"/>
                <w:spacing w:val="-1"/>
                <w:sz w:val="21"/>
                <w:szCs w:val="21"/>
              </w:rPr>
              <w:t>计算机服务和软件业</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71,776.76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24,854.62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65.37%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right"/>
              <w:rPr>
                <w:rFonts w:ascii="Times New Roman" w:hAnsi="Times New Roman" w:cs="Times New Roman" w:eastAsia="Times New Roman" w:hint="default"/>
                <w:sz w:val="21"/>
                <w:szCs w:val="21"/>
              </w:rPr>
            </w:pPr>
            <w:r>
              <w:rPr>
                <w:rFonts w:ascii="Times New Roman"/>
                <w:sz w:val="21"/>
              </w:rPr>
              <w:t>17.95%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right"/>
              <w:rPr>
                <w:rFonts w:ascii="Times New Roman" w:hAnsi="Times New Roman" w:cs="Times New Roman" w:eastAsia="Times New Roman" w:hint="default"/>
                <w:sz w:val="21"/>
                <w:szCs w:val="21"/>
              </w:rPr>
            </w:pPr>
            <w:r>
              <w:rPr>
                <w:rFonts w:ascii="Times New Roman"/>
                <w:sz w:val="21"/>
              </w:rPr>
              <w:t>32.90%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pacing w:val="-1"/>
                <w:sz w:val="21"/>
              </w:rPr>
              <w:t>-3.90%</w:t>
            </w:r>
          </w:p>
        </w:tc>
      </w:tr>
      <w:tr>
        <w:trPr>
          <w:trHeight w:val="379"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宋体" w:hAnsi="宋体" w:cs="宋体" w:eastAsia="宋体" w:hint="default"/>
                <w:sz w:val="21"/>
                <w:szCs w:val="21"/>
              </w:rPr>
            </w:pPr>
            <w:r>
              <w:rPr>
                <w:rFonts w:ascii="宋体" w:hAnsi="宋体" w:cs="宋体" w:eastAsia="宋体" w:hint="default"/>
                <w:sz w:val="21"/>
                <w:szCs w:val="21"/>
              </w:rPr>
              <w:t>合计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71,776.76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1"/>
                <w:szCs w:val="21"/>
              </w:rPr>
            </w:pPr>
            <w:r>
              <w:rPr>
                <w:rFonts w:ascii="Times New Roman"/>
                <w:spacing w:val="-1"/>
                <w:sz w:val="21"/>
              </w:rPr>
              <w:t>24,854.62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sz w:val="21"/>
              </w:rPr>
              <w:t>65.37%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
              <w:jc w:val="right"/>
              <w:rPr>
                <w:rFonts w:ascii="Times New Roman" w:hAnsi="Times New Roman" w:cs="Times New Roman" w:eastAsia="Times New Roman" w:hint="default"/>
                <w:sz w:val="21"/>
                <w:szCs w:val="21"/>
              </w:rPr>
            </w:pPr>
            <w:r>
              <w:rPr>
                <w:rFonts w:ascii="Times New Roman"/>
                <w:sz w:val="21"/>
              </w:rPr>
              <w:t>17.95%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
              <w:jc w:val="right"/>
              <w:rPr>
                <w:rFonts w:ascii="Times New Roman" w:hAnsi="Times New Roman" w:cs="Times New Roman" w:eastAsia="Times New Roman" w:hint="default"/>
                <w:sz w:val="21"/>
                <w:szCs w:val="21"/>
              </w:rPr>
            </w:pPr>
            <w:r>
              <w:rPr>
                <w:rFonts w:ascii="Times New Roman"/>
                <w:sz w:val="21"/>
              </w:rPr>
              <w:t>32.90%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pacing w:val="-1"/>
                <w:sz w:val="21"/>
              </w:rPr>
              <w:t>-3.90%</w:t>
            </w:r>
          </w:p>
        </w:tc>
      </w:tr>
      <w:tr>
        <w:trPr>
          <w:trHeight w:val="377" w:hRule="exact"/>
        </w:trPr>
        <w:tc>
          <w:tcPr>
            <w:tcW w:w="969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924" w:hRule="exact"/>
        </w:trPr>
        <w:tc>
          <w:tcPr>
            <w:tcW w:w="22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0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8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7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
              <w:jc w:val="right"/>
              <w:rPr>
                <w:rFonts w:ascii="宋体" w:hAnsi="宋体" w:cs="宋体" w:eastAsia="宋体" w:hint="default"/>
                <w:sz w:val="21"/>
                <w:szCs w:val="21"/>
              </w:rPr>
            </w:pPr>
            <w:r>
              <w:rPr>
                <w:rFonts w:ascii="宋体" w:hAnsi="宋体" w:cs="宋体" w:eastAsia="宋体" w:hint="default"/>
                <w:spacing w:val="-2"/>
                <w:sz w:val="21"/>
                <w:szCs w:val="21"/>
              </w:rPr>
              <w:t>毛利率（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27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107" w:right="98"/>
              <w:jc w:val="center"/>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87" w:lineRule="exact"/>
              <w:ind w:left="7"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7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107" w:right="98"/>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87" w:lineRule="exact"/>
              <w:ind w:left="7"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0"/>
              <w:ind w:left="165" w:right="33" w:hanging="123"/>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77"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宋体" w:hAnsi="宋体" w:cs="宋体" w:eastAsia="宋体" w:hint="default"/>
                <w:sz w:val="21"/>
                <w:szCs w:val="21"/>
              </w:rPr>
            </w:pPr>
            <w:r>
              <w:rPr>
                <w:rFonts w:ascii="宋体" w:hAnsi="宋体" w:cs="宋体" w:eastAsia="宋体" w:hint="default"/>
                <w:spacing w:val="-2"/>
                <w:sz w:val="21"/>
                <w:szCs w:val="21"/>
              </w:rPr>
              <w:t>酒店信息管理系统业务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55,194.15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1"/>
                <w:szCs w:val="21"/>
              </w:rPr>
            </w:pPr>
            <w:r>
              <w:rPr>
                <w:rFonts w:ascii="Times New Roman"/>
                <w:spacing w:val="-1"/>
                <w:sz w:val="21"/>
              </w:rPr>
              <w:t>19,157.24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sz w:val="21"/>
              </w:rPr>
              <w:t>65.29%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
              <w:jc w:val="right"/>
              <w:rPr>
                <w:rFonts w:ascii="Times New Roman" w:hAnsi="Times New Roman" w:cs="Times New Roman" w:eastAsia="Times New Roman" w:hint="default"/>
                <w:sz w:val="21"/>
                <w:szCs w:val="21"/>
              </w:rPr>
            </w:pPr>
            <w:r>
              <w:rPr>
                <w:rFonts w:ascii="Times New Roman"/>
                <w:sz w:val="21"/>
              </w:rPr>
              <w:t>14.16%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
              <w:jc w:val="right"/>
              <w:rPr>
                <w:rFonts w:ascii="Times New Roman" w:hAnsi="Times New Roman" w:cs="Times New Roman" w:eastAsia="Times New Roman" w:hint="default"/>
                <w:sz w:val="21"/>
                <w:szCs w:val="21"/>
              </w:rPr>
            </w:pPr>
            <w:r>
              <w:rPr>
                <w:rFonts w:ascii="Times New Roman"/>
                <w:sz w:val="21"/>
              </w:rPr>
              <w:t>18.43%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pacing w:val="-1"/>
                <w:sz w:val="21"/>
              </w:rPr>
              <w:t>-2.28%</w:t>
            </w:r>
          </w:p>
        </w:tc>
      </w:tr>
      <w:tr>
        <w:trPr>
          <w:trHeight w:val="379"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宋体" w:hAnsi="宋体" w:cs="宋体" w:eastAsia="宋体" w:hint="default"/>
                <w:sz w:val="21"/>
                <w:szCs w:val="21"/>
              </w:rPr>
            </w:pPr>
            <w:r>
              <w:rPr>
                <w:rFonts w:ascii="宋体" w:hAnsi="宋体" w:cs="宋体" w:eastAsia="宋体" w:hint="default"/>
                <w:spacing w:val="-2"/>
                <w:sz w:val="21"/>
                <w:szCs w:val="21"/>
              </w:rPr>
              <w:t>餐饮信息管理系统业务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8,176.09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2,789.73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65.88%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right"/>
              <w:rPr>
                <w:rFonts w:ascii="Times New Roman" w:hAnsi="Times New Roman" w:cs="Times New Roman" w:eastAsia="Times New Roman" w:hint="default"/>
                <w:sz w:val="21"/>
                <w:szCs w:val="21"/>
              </w:rPr>
            </w:pPr>
            <w:r>
              <w:rPr>
                <w:rFonts w:ascii="Times New Roman"/>
                <w:sz w:val="21"/>
              </w:rPr>
              <w:t>0.78%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right"/>
              <w:rPr>
                <w:rFonts w:ascii="Times New Roman" w:hAnsi="Times New Roman" w:cs="Times New Roman" w:eastAsia="Times New Roman" w:hint="default"/>
                <w:sz w:val="21"/>
                <w:szCs w:val="21"/>
              </w:rPr>
            </w:pPr>
            <w:r>
              <w:rPr>
                <w:rFonts w:ascii="Times New Roman"/>
                <w:sz w:val="21"/>
              </w:rPr>
              <w:t>15.46%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pacing w:val="-1"/>
                <w:sz w:val="21"/>
              </w:rPr>
              <w:t>-4.34%</w:t>
            </w:r>
          </w:p>
        </w:tc>
      </w:tr>
      <w:tr>
        <w:trPr>
          <w:trHeight w:val="379"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宋体" w:hAnsi="宋体" w:cs="宋体" w:eastAsia="宋体" w:hint="default"/>
                <w:sz w:val="21"/>
                <w:szCs w:val="21"/>
              </w:rPr>
            </w:pPr>
            <w:r>
              <w:rPr>
                <w:rFonts w:ascii="宋体" w:hAnsi="宋体" w:cs="宋体" w:eastAsia="宋体" w:hint="default"/>
                <w:spacing w:val="-1"/>
                <w:sz w:val="21"/>
                <w:szCs w:val="21"/>
              </w:rPr>
              <w:t>支付系统业务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8,406.52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2,907.65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65.41%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right"/>
              <w:rPr>
                <w:rFonts w:ascii="Times New Roman" w:hAnsi="Times New Roman" w:cs="Times New Roman" w:eastAsia="Times New Roman" w:hint="default"/>
                <w:sz w:val="21"/>
                <w:szCs w:val="21"/>
              </w:rPr>
            </w:pPr>
            <w:r>
              <w:rPr>
                <w:rFonts w:ascii="Times New Roman"/>
                <w:sz w:val="21"/>
              </w:rPr>
              <w:t>124.81%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right"/>
              <w:rPr>
                <w:rFonts w:ascii="Times New Roman" w:hAnsi="Times New Roman" w:cs="Times New Roman" w:eastAsia="Times New Roman" w:hint="default"/>
                <w:sz w:val="21"/>
                <w:szCs w:val="21"/>
              </w:rPr>
            </w:pPr>
            <w:r>
              <w:rPr>
                <w:rFonts w:ascii="Times New Roman"/>
                <w:sz w:val="21"/>
              </w:rPr>
              <w:t>323.42%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pacing w:val="-1"/>
                <w:sz w:val="21"/>
              </w:rPr>
              <w:t>-16.22%</w:t>
            </w:r>
          </w:p>
        </w:tc>
      </w:tr>
      <w:tr>
        <w:trPr>
          <w:trHeight w:val="377"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宋体" w:hAnsi="宋体" w:cs="宋体" w:eastAsia="宋体" w:hint="default"/>
                <w:sz w:val="21"/>
                <w:szCs w:val="21"/>
              </w:rPr>
            </w:pPr>
            <w:r>
              <w:rPr>
                <w:rFonts w:ascii="宋体" w:hAnsi="宋体" w:cs="宋体" w:eastAsia="宋体" w:hint="default"/>
                <w:sz w:val="21"/>
                <w:szCs w:val="21"/>
              </w:rPr>
              <w:t>合计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71,776.76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1"/>
                <w:szCs w:val="21"/>
              </w:rPr>
            </w:pPr>
            <w:r>
              <w:rPr>
                <w:rFonts w:ascii="Times New Roman"/>
                <w:spacing w:val="-1"/>
                <w:sz w:val="21"/>
              </w:rPr>
              <w:t>24,854.62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sz w:val="21"/>
              </w:rPr>
              <w:t>65.37%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
              <w:jc w:val="right"/>
              <w:rPr>
                <w:rFonts w:ascii="Times New Roman" w:hAnsi="Times New Roman" w:cs="Times New Roman" w:eastAsia="Times New Roman" w:hint="default"/>
                <w:sz w:val="21"/>
                <w:szCs w:val="21"/>
              </w:rPr>
            </w:pPr>
            <w:r>
              <w:rPr>
                <w:rFonts w:ascii="Times New Roman"/>
                <w:sz w:val="21"/>
              </w:rPr>
              <w:t>17.95%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
              <w:jc w:val="right"/>
              <w:rPr>
                <w:rFonts w:ascii="Times New Roman" w:hAnsi="Times New Roman" w:cs="Times New Roman" w:eastAsia="Times New Roman" w:hint="default"/>
                <w:sz w:val="21"/>
                <w:szCs w:val="21"/>
              </w:rPr>
            </w:pPr>
            <w:r>
              <w:rPr>
                <w:rFonts w:ascii="Times New Roman"/>
                <w:sz w:val="21"/>
              </w:rPr>
              <w:t>32.90%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pacing w:val="-1"/>
                <w:sz w:val="21"/>
              </w:rPr>
              <w:t>-3.90%</w:t>
            </w:r>
          </w:p>
        </w:tc>
      </w:tr>
    </w:tbl>
    <w:p>
      <w:pPr>
        <w:pStyle w:val="BodyText"/>
        <w:spacing w:line="257" w:lineRule="exact"/>
        <w:ind w:left="587" w:right="0"/>
        <w:jc w:val="left"/>
      </w:pPr>
      <w:r>
        <w:rPr>
          <w:spacing w:val="-7"/>
        </w:rPr>
        <w:t>注：（</w:t>
      </w:r>
      <w:r>
        <w:rPr>
          <w:rFonts w:ascii="Times New Roman" w:hAnsi="Times New Roman" w:cs="Times New Roman" w:eastAsia="Times New Roman" w:hint="default"/>
          <w:spacing w:val="-7"/>
        </w:rPr>
        <w:t>1</w:t>
      </w:r>
      <w:r>
        <w:rPr>
          <w:spacing w:val="-7"/>
        </w:rPr>
        <w:t>）营业成本同比增长</w:t>
      </w:r>
      <w:r>
        <w:rPr>
          <w:spacing w:val="28"/>
        </w:rPr>
        <w:t> </w:t>
      </w:r>
      <w:r>
        <w:rPr>
          <w:rFonts w:ascii="Times New Roman" w:hAnsi="Times New Roman" w:cs="Times New Roman" w:eastAsia="Times New Roman" w:hint="default"/>
          <w:spacing w:val="-3"/>
        </w:rPr>
        <w:t>32.90%</w:t>
      </w:r>
      <w:r>
        <w:rPr>
          <w:spacing w:val="-3"/>
        </w:rPr>
        <w:t>，主要系上年度收购南京银石的股权，并将其纳入合并报表范围，</w:t>
      </w:r>
    </w:p>
    <w:p>
      <w:pPr>
        <w:pStyle w:val="BodyText"/>
        <w:spacing w:line="355" w:lineRule="auto" w:before="119"/>
        <w:ind w:right="0"/>
        <w:jc w:val="left"/>
      </w:pPr>
      <w:r>
        <w:rPr>
          <w:spacing w:val="-2"/>
        </w:rPr>
        <w:t>上年度合并期间为股权收购日之后，本年度合并其全年度利润表，合并期间不同使得营业成本较上期有所</w:t>
      </w:r>
      <w:r>
        <w:rPr>
          <w:spacing w:val="-42"/>
        </w:rPr>
        <w:t> </w:t>
      </w:r>
      <w:r>
        <w:rPr>
          <w:spacing w:val="-42"/>
        </w:rPr>
      </w:r>
      <w:r>
        <w:rPr/>
        <w:t>增加。</w:t>
      </w:r>
    </w:p>
    <w:p>
      <w:pPr>
        <w:pStyle w:val="BodyText"/>
        <w:spacing w:line="352" w:lineRule="auto" w:before="32"/>
        <w:ind w:right="206" w:firstLine="434"/>
        <w:jc w:val="both"/>
      </w:pPr>
      <w:r>
        <w:rPr/>
        <w:t>（</w:t>
      </w:r>
      <w:r>
        <w:rPr>
          <w:rFonts w:ascii="Times New Roman" w:hAnsi="Times New Roman" w:cs="Times New Roman" w:eastAsia="Times New Roman" w:hint="default"/>
        </w:rPr>
        <w:t>2</w:t>
      </w:r>
      <w:r>
        <w:rPr/>
        <w:t>）支付系统业务，营业收入增长</w:t>
      </w:r>
      <w:r>
        <w:rPr>
          <w:spacing w:val="-48"/>
        </w:rPr>
        <w:t> </w:t>
      </w:r>
      <w:r>
        <w:rPr>
          <w:rFonts w:ascii="Times New Roman" w:hAnsi="Times New Roman" w:cs="Times New Roman" w:eastAsia="Times New Roman" w:hint="default"/>
        </w:rPr>
        <w:t>124.81%</w:t>
      </w:r>
      <w:r>
        <w:rPr/>
        <w:t>、营业成本增长</w:t>
      </w:r>
      <w:r>
        <w:rPr>
          <w:spacing w:val="-48"/>
        </w:rPr>
        <w:t> </w:t>
      </w:r>
      <w:r>
        <w:rPr>
          <w:rFonts w:ascii="Times New Roman" w:hAnsi="Times New Roman" w:cs="Times New Roman" w:eastAsia="Times New Roman" w:hint="default"/>
        </w:rPr>
        <w:t>323.42%</w:t>
      </w:r>
      <w:r>
        <w:rPr/>
        <w:t>，系</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年比上年多合并半年</w:t>
      </w:r>
      <w:r>
        <w:rPr>
          <w:w w:val="100"/>
        </w:rPr>
        <w:t> </w:t>
      </w:r>
      <w:r>
        <w:rPr>
          <w:spacing w:val="-2"/>
        </w:rPr>
        <w:t>的数据所致；而营业成本增长远远大于营业收入增长主要是因为，本年银石公司签订了代银行外购机器的</w:t>
      </w:r>
      <w:r>
        <w:rPr>
          <w:spacing w:val="-43"/>
        </w:rPr>
        <w:t> </w:t>
      </w:r>
      <w:r>
        <w:rPr>
          <w:spacing w:val="-43"/>
        </w:rPr>
      </w:r>
      <w:r>
        <w:rPr>
          <w:spacing w:val="-2"/>
        </w:rPr>
        <w:t>合同，几乎没有利润，并且额度很大，此部分造成的收入成本同时大幅提高，毛利率大幅下降。由于营业</w:t>
      </w:r>
      <w:r>
        <w:rPr>
          <w:spacing w:val="-43"/>
        </w:rPr>
        <w:t> </w:t>
      </w:r>
      <w:r>
        <w:rPr>
          <w:spacing w:val="-43"/>
        </w:rPr>
      </w:r>
      <w:r>
        <w:rPr>
          <w:spacing w:val="-2"/>
        </w:rPr>
        <w:t>收入包含硬件、软件、开发、维护等多种收入，而营业成本主要是硬件成本，故由于收入、成本结构比的</w:t>
      </w:r>
      <w:r>
        <w:rPr>
          <w:spacing w:val="-42"/>
        </w:rPr>
        <w:t> </w:t>
      </w:r>
      <w:r>
        <w:rPr>
          <w:spacing w:val="-42"/>
        </w:rPr>
      </w:r>
      <w:r>
        <w:rPr/>
        <w:t>不同而导致增长幅度的不同。</w:t>
      </w:r>
    </w:p>
    <w:p>
      <w:pPr>
        <w:spacing w:line="240" w:lineRule="auto" w:before="12"/>
        <w:rPr>
          <w:rFonts w:ascii="宋体" w:hAnsi="宋体" w:cs="宋体" w:eastAsia="宋体" w:hint="default"/>
          <w:sz w:val="23"/>
          <w:szCs w:val="23"/>
        </w:rPr>
      </w:pPr>
    </w:p>
    <w:p>
      <w:pPr>
        <w:pStyle w:val="BodyText"/>
        <w:spacing w:line="240" w:lineRule="auto"/>
        <w:ind w:left="573" w:right="0"/>
        <w:jc w:val="left"/>
      </w:pPr>
      <w:r>
        <w:rPr/>
        <w:t>（</w:t>
      </w:r>
      <w:r>
        <w:rPr>
          <w:rFonts w:ascii="Times New Roman" w:hAnsi="Times New Roman" w:cs="Times New Roman" w:eastAsia="Times New Roman" w:hint="default"/>
        </w:rPr>
        <w:t>2</w:t>
      </w:r>
      <w:r>
        <w:rPr/>
        <w:t>）主营业务分地区情况（单位：万元）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0" w:right="136"/>
        <w:jc w:val="right"/>
      </w:pPr>
      <w:r>
        <w:rPr/>
        <w:pict>
          <v:shape style="position:absolute;margin-left:54.299999pt;margin-top:-1.176329pt;width:486.2pt;height:57.2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71"/>
                    <w:gridCol w:w="1451"/>
                    <w:gridCol w:w="1560"/>
                    <w:gridCol w:w="1560"/>
                    <w:gridCol w:w="2467"/>
                  </w:tblGrid>
                  <w:tr>
                    <w:trPr>
                      <w:trHeight w:val="377" w:hRule="exact"/>
                    </w:trPr>
                    <w:tc>
                      <w:tcPr>
                        <w:tcW w:w="267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14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3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35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355"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4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p>
                    </w:tc>
                  </w:tr>
                  <w:tr>
                    <w:trPr>
                      <w:trHeight w:val="379" w:hRule="exact"/>
                    </w:trPr>
                    <w:tc>
                      <w:tcPr>
                        <w:tcW w:w="267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6"/>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、中国大陆</w:t>
                        </w:r>
                      </w:p>
                    </w:tc>
                    <w:tc>
                      <w:tcPr>
                        <w:tcW w:w="1451" w:type="dxa"/>
                        <w:tcBorders>
                          <w:top w:val="single" w:sz="4" w:space="0" w:color="000000"/>
                          <w:left w:val="single" w:sz="9" w:space="0" w:color="DDDDDD"/>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21"/>
                            <w:szCs w:val="21"/>
                          </w:rPr>
                        </w:pPr>
                        <w:r>
                          <w:rPr>
                            <w:rFonts w:ascii="Times New Roman"/>
                            <w:spacing w:val="-1"/>
                            <w:sz w:val="21"/>
                          </w:rPr>
                          <w:t>64,482.41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21"/>
                            <w:szCs w:val="21"/>
                          </w:rPr>
                        </w:pPr>
                        <w:r>
                          <w:rPr>
                            <w:rFonts w:ascii="Times New Roman"/>
                            <w:spacing w:val="-1"/>
                            <w:sz w:val="21"/>
                          </w:rPr>
                          <w:t>22,074.35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42,408.06</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z w:val="21"/>
                          </w:rPr>
                          <w:t>22.46%</w:t>
                        </w:r>
                      </w:p>
                    </w:tc>
                  </w:tr>
                  <w:tr>
                    <w:trPr>
                      <w:trHeight w:val="379" w:hRule="exact"/>
                    </w:trPr>
                    <w:tc>
                      <w:tcPr>
                        <w:tcW w:w="267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13"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、其他地区（含港、澳、台</w:t>
                        </w:r>
                      </w:p>
                    </w:tc>
                    <w:tc>
                      <w:tcPr>
                        <w:tcW w:w="1451" w:type="dxa"/>
                        <w:tcBorders>
                          <w:top w:val="single" w:sz="4" w:space="0" w:color="000000"/>
                          <w:left w:val="single" w:sz="9" w:space="0" w:color="DDDDDD"/>
                          <w:bottom w:val="single" w:sz="4" w:space="0" w:color="000000"/>
                          <w:right w:val="single" w:sz="4" w:space="0" w:color="000000"/>
                        </w:tcBorders>
                      </w:tcPr>
                      <w:p>
                        <w:pPr>
                          <w:pStyle w:val="TableParagraph"/>
                          <w:tabs>
                            <w:tab w:pos="679" w:val="left" w:leader="none"/>
                          </w:tabs>
                          <w:spacing w:line="240" w:lineRule="auto" w:before="11"/>
                          <w:ind w:left="-130" w:right="17"/>
                          <w:jc w:val="right"/>
                          <w:rPr>
                            <w:rFonts w:ascii="Times New Roman" w:hAnsi="Times New Roman" w:cs="Times New Roman" w:eastAsia="Times New Roman" w:hint="default"/>
                            <w:sz w:val="21"/>
                            <w:szCs w:val="21"/>
                          </w:rPr>
                        </w:pPr>
                        <w:r>
                          <w:rPr>
                            <w:rFonts w:ascii="宋体" w:hAnsi="宋体" w:cs="宋体" w:eastAsia="宋体" w:hint="default"/>
                            <w:position w:val="6"/>
                            <w:sz w:val="21"/>
                            <w:szCs w:val="21"/>
                          </w:rPr>
                          <w:t>）</w:t>
                          <w:tab/>
                        </w:r>
                        <w:r>
                          <w:rPr>
                            <w:rFonts w:ascii="Times New Roman" w:hAnsi="Times New Roman" w:cs="Times New Roman" w:eastAsia="Times New Roman" w:hint="default"/>
                            <w:spacing w:val="-1"/>
                            <w:sz w:val="21"/>
                            <w:szCs w:val="21"/>
                          </w:rPr>
                          <w:t>7,294.35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21"/>
                            <w:szCs w:val="21"/>
                          </w:rPr>
                        </w:pPr>
                        <w:r>
                          <w:rPr>
                            <w:rFonts w:ascii="Times New Roman"/>
                            <w:spacing w:val="-1"/>
                            <w:sz w:val="21"/>
                          </w:rPr>
                          <w:t>2,780.27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4,514.08</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1"/>
                            <w:szCs w:val="21"/>
                          </w:rPr>
                        </w:pPr>
                        <w:r>
                          <w:rPr>
                            <w:rFonts w:ascii="Times New Roman"/>
                            <w:spacing w:val="-2"/>
                            <w:sz w:val="21"/>
                          </w:rPr>
                          <w:t>-11.05%</w:t>
                        </w:r>
                      </w:p>
                    </w:tc>
                  </w:tr>
                </w:tbl>
                <w:p>
                  <w:pPr/>
                </w:p>
              </w:txbxContent>
            </v:textbox>
            <w10:wrap type="none"/>
          </v:shape>
        </w:pict>
      </w:r>
      <w:r>
        <w:rPr>
          <w:w w:val="100"/>
        </w:rPr>
        <w:t>）</w:t>
      </w:r>
    </w:p>
    <w:p>
      <w:pPr>
        <w:spacing w:after="0" w:line="240" w:lineRule="auto"/>
        <w:jc w:val="right"/>
        <w:sectPr>
          <w:pgSz w:w="11910" w:h="16840"/>
          <w:pgMar w:header="850" w:footer="979" w:top="1200" w:bottom="1160" w:left="980" w:right="920"/>
        </w:sectPr>
      </w:pPr>
    </w:p>
    <w:p>
      <w:pPr>
        <w:spacing w:line="240" w:lineRule="auto" w:before="5"/>
        <w:rPr>
          <w:rFonts w:ascii="宋体" w:hAnsi="宋体" w:cs="宋体" w:eastAsia="宋体" w:hint="default"/>
          <w:sz w:val="3"/>
          <w:szCs w:val="3"/>
        </w:rPr>
      </w:pPr>
    </w:p>
    <w:tbl>
      <w:tblPr>
        <w:tblW w:w="0" w:type="auto"/>
        <w:jc w:val="left"/>
        <w:tblInd w:w="193" w:type="dxa"/>
        <w:tblLayout w:type="fixed"/>
        <w:tblCellMar>
          <w:top w:w="0" w:type="dxa"/>
          <w:left w:w="0" w:type="dxa"/>
          <w:bottom w:w="0" w:type="dxa"/>
          <w:right w:w="0" w:type="dxa"/>
        </w:tblCellMar>
        <w:tblLook w:val="01E0"/>
      </w:tblPr>
      <w:tblGrid>
        <w:gridCol w:w="2694"/>
        <w:gridCol w:w="1440"/>
        <w:gridCol w:w="1560"/>
        <w:gridCol w:w="1560"/>
        <w:gridCol w:w="2467"/>
      </w:tblGrid>
      <w:tr>
        <w:trPr>
          <w:trHeight w:val="391" w:hRule="exact"/>
        </w:trPr>
        <w:tc>
          <w:tcPr>
            <w:tcW w:w="2694" w:type="dxa"/>
            <w:tcBorders>
              <w:top w:val="single" w:sz="10"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8"/>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5"/>
              <w:ind w:left="568" w:right="0"/>
              <w:jc w:val="left"/>
              <w:rPr>
                <w:rFonts w:ascii="Times New Roman" w:hAnsi="Times New Roman" w:cs="Times New Roman" w:eastAsia="Times New Roman" w:hint="default"/>
                <w:sz w:val="21"/>
                <w:szCs w:val="21"/>
              </w:rPr>
            </w:pPr>
            <w:r>
              <w:rPr>
                <w:rFonts w:ascii="Times New Roman"/>
                <w:sz w:val="21"/>
              </w:rPr>
              <w:t>71,776.76</w:t>
            </w:r>
          </w:p>
        </w:tc>
        <w:tc>
          <w:tcPr>
            <w:tcW w:w="15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5"/>
              <w:ind w:left="688" w:right="0"/>
              <w:jc w:val="left"/>
              <w:rPr>
                <w:rFonts w:ascii="Times New Roman" w:hAnsi="Times New Roman" w:cs="Times New Roman" w:eastAsia="Times New Roman" w:hint="default"/>
                <w:sz w:val="21"/>
                <w:szCs w:val="21"/>
              </w:rPr>
            </w:pPr>
            <w:r>
              <w:rPr>
                <w:rFonts w:ascii="Times New Roman"/>
                <w:sz w:val="21"/>
              </w:rPr>
              <w:t>24,854.62</w:t>
            </w:r>
          </w:p>
        </w:tc>
        <w:tc>
          <w:tcPr>
            <w:tcW w:w="15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5"/>
              <w:ind w:left="688" w:right="0"/>
              <w:jc w:val="left"/>
              <w:rPr>
                <w:rFonts w:ascii="Times New Roman" w:hAnsi="Times New Roman" w:cs="Times New Roman" w:eastAsia="Times New Roman" w:hint="default"/>
                <w:sz w:val="21"/>
                <w:szCs w:val="21"/>
              </w:rPr>
            </w:pPr>
            <w:r>
              <w:rPr>
                <w:rFonts w:ascii="Times New Roman"/>
                <w:sz w:val="21"/>
              </w:rPr>
              <w:t>46,922.14</w:t>
            </w:r>
          </w:p>
        </w:tc>
        <w:tc>
          <w:tcPr>
            <w:tcW w:w="24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3"/>
              <w:ind w:right="18"/>
              <w:jc w:val="right"/>
              <w:rPr>
                <w:rFonts w:ascii="Times New Roman" w:hAnsi="Times New Roman" w:cs="Times New Roman" w:eastAsia="Times New Roman" w:hint="default"/>
                <w:sz w:val="21"/>
                <w:szCs w:val="21"/>
              </w:rPr>
            </w:pPr>
            <w:r>
              <w:rPr>
                <w:rFonts w:ascii="Times New Roman"/>
                <w:sz w:val="21"/>
              </w:rPr>
              <w:t>17.95%</w:t>
            </w:r>
          </w:p>
        </w:tc>
      </w:tr>
    </w:tbl>
    <w:p>
      <w:pPr>
        <w:spacing w:line="240" w:lineRule="auto" w:before="4"/>
        <w:rPr>
          <w:rFonts w:ascii="宋体" w:hAnsi="宋体" w:cs="宋体" w:eastAsia="宋体" w:hint="default"/>
          <w:sz w:val="22"/>
          <w:szCs w:val="22"/>
        </w:rPr>
      </w:pPr>
    </w:p>
    <w:p>
      <w:pPr>
        <w:pStyle w:val="BodyText"/>
        <w:spacing w:line="345" w:lineRule="auto" w:before="36"/>
        <w:ind w:left="252" w:right="246" w:firstLine="434"/>
        <w:jc w:val="both"/>
      </w:pPr>
      <w:r>
        <w:rPr/>
        <w:t>中国大陆地区，营业收入增长</w:t>
      </w:r>
      <w:r>
        <w:rPr>
          <w:spacing w:val="-57"/>
        </w:rPr>
        <w:t> </w:t>
      </w:r>
      <w:r>
        <w:rPr>
          <w:rFonts w:ascii="Times New Roman" w:hAnsi="Times New Roman" w:cs="Times New Roman" w:eastAsia="Times New Roman" w:hint="default"/>
        </w:rPr>
        <w:t>22.46%</w:t>
      </w:r>
      <w:r>
        <w:rPr/>
        <w:t>，主要是由于</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年我国旅游酒店业继续保持了平稳增长的势</w:t>
      </w:r>
      <w:r>
        <w:rPr>
          <w:spacing w:val="-3"/>
          <w:w w:val="100"/>
        </w:rPr>
        <w:t> </w:t>
      </w:r>
      <w:r>
        <w:rPr>
          <w:spacing w:val="-2"/>
        </w:rPr>
        <w:t>头，公司凭借着成熟稳定的产品和高端专业的服务，对信息技术应用于酒店管理系统的不断创新，使公司</w:t>
      </w:r>
      <w:r>
        <w:rPr>
          <w:spacing w:val="-44"/>
        </w:rPr>
        <w:t> </w:t>
      </w:r>
      <w:r>
        <w:rPr>
          <w:spacing w:val="-44"/>
        </w:rPr>
      </w:r>
      <w:r>
        <w:rPr/>
        <w:t>的业绩依旧保持了较好的增长。</w:t>
      </w:r>
    </w:p>
    <w:p>
      <w:pPr>
        <w:spacing w:line="240" w:lineRule="auto" w:before="5"/>
        <w:rPr>
          <w:rFonts w:ascii="宋体" w:hAnsi="宋体" w:cs="宋体" w:eastAsia="宋体" w:hint="default"/>
          <w:sz w:val="24"/>
          <w:szCs w:val="24"/>
        </w:rPr>
      </w:pPr>
    </w:p>
    <w:p>
      <w:pPr>
        <w:pStyle w:val="Heading4"/>
        <w:spacing w:line="240" w:lineRule="auto"/>
        <w:ind w:left="665" w:right="0"/>
        <w:jc w:val="left"/>
        <w:rPr>
          <w:b w:val="0"/>
          <w:bCs w:val="0"/>
        </w:rPr>
      </w:pPr>
      <w:r>
        <w:rPr>
          <w:rFonts w:ascii="Times New Roman" w:hAnsi="Times New Roman" w:cs="Times New Roman" w:eastAsia="Times New Roman" w:hint="default"/>
        </w:rPr>
        <w:t>7</w:t>
      </w:r>
      <w:r>
        <w:rPr/>
        <w:t>、公司主要客户、供应商情况</w:t>
      </w:r>
      <w:r>
        <w:rPr>
          <w:b w:val="0"/>
          <w:bCs w:val="0"/>
        </w:rPr>
      </w:r>
    </w:p>
    <w:p>
      <w:pPr>
        <w:pStyle w:val="BodyText"/>
        <w:spacing w:line="348" w:lineRule="auto" w:before="119"/>
        <w:ind w:left="252" w:right="247" w:firstLine="434"/>
        <w:jc w:val="both"/>
      </w:pPr>
      <w:r>
        <w:rPr/>
        <w:t>报告期内，公司没有单一供应商或客户采购、销售比例超过</w:t>
      </w:r>
      <w:r>
        <w:rPr>
          <w:spacing w:val="83"/>
        </w:rPr>
        <w:t> </w:t>
      </w:r>
      <w:r>
        <w:rPr>
          <w:rFonts w:ascii="Times New Roman" w:hAnsi="Times New Roman" w:cs="Times New Roman" w:eastAsia="Times New Roman" w:hint="default"/>
        </w:rPr>
        <w:t>30%</w:t>
      </w:r>
      <w:r>
        <w:rPr/>
        <w:t>的情形，不存在应收账款不能收回</w:t>
      </w:r>
      <w:r>
        <w:rPr>
          <w:w w:val="100"/>
        </w:rPr>
        <w:t> </w:t>
      </w:r>
      <w:r>
        <w:rPr>
          <w:spacing w:val="-2"/>
        </w:rPr>
        <w:t>的风险。公司与前五名供应商、客户之间不存在关联关系，公司董事、监事、高级管理人员、核心技术人</w:t>
      </w:r>
      <w:r>
        <w:rPr>
          <w:spacing w:val="-42"/>
        </w:rPr>
        <w:t> </w:t>
      </w:r>
      <w:r>
        <w:rPr>
          <w:spacing w:val="-42"/>
        </w:rPr>
      </w:r>
      <w:r>
        <w:rPr/>
        <w:t>员、持股</w:t>
      </w:r>
      <w:r>
        <w:rPr>
          <w:spacing w:val="-8"/>
        </w:rPr>
        <w:t> </w:t>
      </w:r>
      <w:r>
        <w:rPr>
          <w:rFonts w:ascii="Times New Roman" w:hAnsi="Times New Roman" w:cs="Times New Roman" w:eastAsia="Times New Roman" w:hint="default"/>
        </w:rPr>
        <w:t>5%</w:t>
      </w:r>
      <w:r>
        <w:rPr/>
        <w:t>以上股东、实际控制人和其他关联方没有在主要供应商、客户中直接或间接拥有权益等。</w:t>
      </w:r>
    </w:p>
    <w:p>
      <w:pPr>
        <w:pStyle w:val="BodyText"/>
        <w:spacing w:line="240" w:lineRule="auto" w:before="12"/>
        <w:ind w:left="687"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年以来，公司主要客户和供应商相关情况如下：</w:t>
      </w:r>
    </w:p>
    <w:p>
      <w:pPr>
        <w:pStyle w:val="BodyText"/>
        <w:spacing w:line="240" w:lineRule="auto" w:before="117"/>
        <w:ind w:left="687"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 </w:t>
      </w:r>
      <w:r>
        <w:rPr/>
        <w:t>年主要客户、供应商情况</w:t>
      </w:r>
    </w:p>
    <w:p>
      <w:pPr>
        <w:spacing w:line="240" w:lineRule="auto" w:before="7"/>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008"/>
        <w:gridCol w:w="1582"/>
        <w:gridCol w:w="1572"/>
        <w:gridCol w:w="1632"/>
        <w:gridCol w:w="1709"/>
        <w:gridCol w:w="1397"/>
      </w:tblGrid>
      <w:tr>
        <w:trPr>
          <w:trHeight w:val="554" w:hRule="exact"/>
        </w:trPr>
        <w:tc>
          <w:tcPr>
            <w:tcW w:w="2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7"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名供应商名称</w:t>
            </w:r>
          </w:p>
        </w:tc>
        <w:tc>
          <w:tcPr>
            <w:tcW w:w="158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采购金额</w:t>
            </w:r>
          </w:p>
        </w:tc>
        <w:tc>
          <w:tcPr>
            <w:tcW w:w="157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占年度采购总</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金额的比例</w:t>
            </w:r>
            <w:r>
              <w:rPr>
                <w:rFonts w:ascii="Times New Roman" w:hAnsi="Times New Roman" w:cs="Times New Roman" w:eastAsia="Times New Roman" w:hint="default"/>
                <w:sz w:val="21"/>
                <w:szCs w:val="21"/>
              </w:rPr>
              <w:t>%</w:t>
            </w:r>
          </w:p>
        </w:tc>
        <w:tc>
          <w:tcPr>
            <w:tcW w:w="163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预付账款的余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70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占公司预付账款</w:t>
            </w:r>
          </w:p>
          <w:p>
            <w:pPr>
              <w:pStyle w:val="TableParagraph"/>
              <w:spacing w:line="290"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总余额的比例</w:t>
            </w:r>
            <w:r>
              <w:rPr>
                <w:rFonts w:ascii="Times New Roman" w:hAnsi="Times New Roman" w:cs="Times New Roman" w:eastAsia="Times New Roman" w:hint="default"/>
                <w:sz w:val="21"/>
                <w:szCs w:val="21"/>
              </w:rPr>
              <w:t>%</w:t>
            </w:r>
          </w:p>
        </w:tc>
        <w:tc>
          <w:tcPr>
            <w:tcW w:w="139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是否存在关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联关系</w:t>
            </w:r>
          </w:p>
        </w:tc>
      </w:tr>
      <w:tr>
        <w:trPr>
          <w:trHeight w:val="557" w:hRule="exact"/>
        </w:trPr>
        <w:tc>
          <w:tcPr>
            <w:tcW w:w="2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9"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pacing w:val="-59"/>
                <w:w w:val="156"/>
                <w:sz w:val="21"/>
                <w:szCs w:val="21"/>
              </w:rPr>
              <w:t></w:t>
            </w:r>
            <w:r>
              <w:rPr>
                <w:rFonts w:ascii="宋体" w:hAnsi="宋体" w:cs="宋体" w:eastAsia="宋体" w:hint="default"/>
                <w:w w:val="100"/>
                <w:sz w:val="21"/>
                <w:szCs w:val="21"/>
              </w:rPr>
              <w:t>客户</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P</w:t>
            </w:r>
            <w:r>
              <w:rPr>
                <w:rFonts w:ascii="Times New Roman" w:hAnsi="Times New Roman" w:cs="Times New Roman" w:eastAsia="Times New Roman" w:hint="default"/>
                <w:w w:val="100"/>
                <w:sz w:val="21"/>
                <w:szCs w:val="21"/>
              </w:rPr>
              <w:t>101</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87</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北</w:t>
            </w:r>
          </w:p>
          <w:p>
            <w:pPr>
              <w:pStyle w:val="TableParagraph"/>
              <w:spacing w:line="265" w:lineRule="exact"/>
              <w:ind w:left="104" w:right="0"/>
              <w:jc w:val="left"/>
              <w:rPr>
                <w:rFonts w:ascii="宋体" w:hAnsi="宋体" w:cs="宋体" w:eastAsia="宋体" w:hint="default"/>
                <w:sz w:val="21"/>
                <w:szCs w:val="21"/>
              </w:rPr>
            </w:pPr>
            <w:r>
              <w:rPr>
                <w:rFonts w:ascii="宋体" w:hAnsi="宋体" w:cs="宋体" w:eastAsia="宋体" w:hint="default"/>
                <w:sz w:val="21"/>
                <w:szCs w:val="21"/>
              </w:rPr>
              <w:t>京网联未来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5" w:right="0"/>
              <w:jc w:val="left"/>
              <w:rPr>
                <w:rFonts w:ascii="Times New Roman" w:hAnsi="Times New Roman" w:cs="Times New Roman" w:eastAsia="Times New Roman" w:hint="default"/>
                <w:sz w:val="21"/>
                <w:szCs w:val="21"/>
              </w:rPr>
            </w:pPr>
            <w:r>
              <w:rPr>
                <w:rFonts w:ascii="Times New Roman"/>
                <w:sz w:val="21"/>
              </w:rPr>
              <w:t>34664589.83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29.53%</w:t>
            </w:r>
          </w:p>
        </w:tc>
        <w:tc>
          <w:tcPr>
            <w:tcW w:w="163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94" w:hRule="exact"/>
        </w:trPr>
        <w:tc>
          <w:tcPr>
            <w:tcW w:w="2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7"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pacing w:val="-59"/>
                <w:w w:val="156"/>
                <w:sz w:val="21"/>
                <w:szCs w:val="21"/>
              </w:rPr>
              <w:t></w:t>
            </w:r>
            <w:r>
              <w:rPr>
                <w:rFonts w:ascii="宋体" w:hAnsi="宋体" w:cs="宋体" w:eastAsia="宋体" w:hint="default"/>
                <w:w w:val="100"/>
                <w:sz w:val="21"/>
                <w:szCs w:val="21"/>
              </w:rPr>
              <w:t>客户</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P</w:t>
            </w:r>
            <w:r>
              <w:rPr>
                <w:rFonts w:ascii="Times New Roman" w:hAnsi="Times New Roman" w:cs="Times New Roman" w:eastAsia="Times New Roman" w:hint="default"/>
                <w:w w:val="100"/>
                <w:sz w:val="21"/>
                <w:szCs w:val="21"/>
              </w:rPr>
              <w:t>101</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66</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新</w:t>
            </w:r>
          </w:p>
          <w:p>
            <w:pPr>
              <w:pStyle w:val="TableParagraph"/>
              <w:spacing w:line="265" w:lineRule="exact"/>
              <w:ind w:left="104" w:right="0"/>
              <w:jc w:val="left"/>
              <w:rPr>
                <w:rFonts w:ascii="宋体" w:hAnsi="宋体" w:cs="宋体" w:eastAsia="宋体" w:hint="default"/>
                <w:sz w:val="21"/>
                <w:szCs w:val="21"/>
              </w:rPr>
            </w:pPr>
            <w:r>
              <w:rPr>
                <w:rFonts w:ascii="宋体" w:hAnsi="宋体" w:cs="宋体" w:eastAsia="宋体" w:hint="default"/>
                <w:sz w:val="21"/>
                <w:szCs w:val="21"/>
              </w:rPr>
              <w:t>加坡</w:t>
            </w:r>
          </w:p>
          <w:p>
            <w:pPr>
              <w:pStyle w:val="TableParagraph"/>
              <w:spacing w:line="240" w:lineRule="auto" w:before="26"/>
              <w:ind w:left="104" w:right="0"/>
              <w:jc w:val="left"/>
              <w:rPr>
                <w:rFonts w:ascii="Times New Roman" w:hAnsi="Times New Roman" w:cs="Times New Roman" w:eastAsia="Times New Roman" w:hint="default"/>
                <w:sz w:val="21"/>
                <w:szCs w:val="21"/>
              </w:rPr>
            </w:pPr>
            <w:r>
              <w:rPr>
                <w:rFonts w:ascii="Times New Roman"/>
                <w:sz w:val="21"/>
              </w:rPr>
              <w:t>MICROS-FIDELO</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22774267.28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19.40%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7244711.87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61.36%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2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8"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pacing w:val="-59"/>
                <w:w w:val="156"/>
                <w:sz w:val="21"/>
                <w:szCs w:val="21"/>
              </w:rPr>
              <w:t></w:t>
            </w:r>
            <w:r>
              <w:rPr>
                <w:rFonts w:ascii="宋体" w:hAnsi="宋体" w:cs="宋体" w:eastAsia="宋体" w:hint="default"/>
                <w:w w:val="100"/>
                <w:sz w:val="21"/>
                <w:szCs w:val="21"/>
              </w:rPr>
              <w:t>客户</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P</w:t>
            </w:r>
            <w:r>
              <w:rPr>
                <w:rFonts w:ascii="Times New Roman" w:hAnsi="Times New Roman" w:cs="Times New Roman" w:eastAsia="Times New Roman" w:hint="default"/>
                <w:w w:val="100"/>
                <w:sz w:val="21"/>
                <w:szCs w:val="21"/>
              </w:rPr>
              <w:t>101</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22</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北</w:t>
            </w:r>
          </w:p>
          <w:p>
            <w:pPr>
              <w:pStyle w:val="TableParagraph"/>
              <w:spacing w:line="272" w:lineRule="exact" w:before="19"/>
              <w:ind w:left="104" w:right="208"/>
              <w:jc w:val="left"/>
              <w:rPr>
                <w:rFonts w:ascii="宋体" w:hAnsi="宋体" w:cs="宋体" w:eastAsia="宋体" w:hint="default"/>
                <w:sz w:val="21"/>
                <w:szCs w:val="21"/>
              </w:rPr>
            </w:pPr>
            <w:r>
              <w:rPr>
                <w:rFonts w:ascii="宋体" w:hAnsi="宋体" w:cs="宋体" w:eastAsia="宋体" w:hint="default"/>
                <w:sz w:val="21"/>
                <w:szCs w:val="21"/>
              </w:rPr>
              <w:t>京融正泰和科技发</w:t>
            </w:r>
            <w:r>
              <w:rPr>
                <w:rFonts w:ascii="宋体" w:hAnsi="宋体" w:cs="宋体" w:eastAsia="宋体" w:hint="default"/>
                <w:w w:val="100"/>
                <w:sz w:val="21"/>
                <w:szCs w:val="21"/>
              </w:rPr>
              <w:t> </w:t>
            </w:r>
            <w:r>
              <w:rPr>
                <w:rFonts w:ascii="宋体" w:hAnsi="宋体" w:cs="宋体" w:eastAsia="宋体" w:hint="default"/>
                <w:sz w:val="21"/>
                <w:szCs w:val="21"/>
              </w:rPr>
              <w:t>展有限公司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18958564.92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16.15%</w:t>
            </w:r>
          </w:p>
        </w:tc>
        <w:tc>
          <w:tcPr>
            <w:tcW w:w="163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8"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pacing w:val="-59"/>
                <w:w w:val="156"/>
                <w:sz w:val="21"/>
                <w:szCs w:val="21"/>
              </w:rPr>
              <w:t></w:t>
            </w:r>
            <w:r>
              <w:rPr>
                <w:rFonts w:ascii="宋体" w:hAnsi="宋体" w:cs="宋体" w:eastAsia="宋体" w:hint="default"/>
                <w:w w:val="100"/>
                <w:sz w:val="21"/>
                <w:szCs w:val="21"/>
              </w:rPr>
              <w:t>客户</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P</w:t>
            </w:r>
            <w:r>
              <w:rPr>
                <w:rFonts w:ascii="Times New Roman" w:hAnsi="Times New Roman" w:cs="Times New Roman" w:eastAsia="Times New Roman" w:hint="default"/>
                <w:w w:val="100"/>
                <w:sz w:val="21"/>
                <w:szCs w:val="21"/>
              </w:rPr>
              <w:t>102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07</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上</w:t>
            </w:r>
          </w:p>
          <w:p>
            <w:pPr>
              <w:pStyle w:val="TableParagraph"/>
              <w:spacing w:line="266" w:lineRule="exact"/>
              <w:ind w:left="104" w:right="0"/>
              <w:jc w:val="left"/>
              <w:rPr>
                <w:rFonts w:ascii="宋体" w:hAnsi="宋体" w:cs="宋体" w:eastAsia="宋体" w:hint="default"/>
                <w:sz w:val="21"/>
                <w:szCs w:val="21"/>
              </w:rPr>
            </w:pPr>
            <w:r>
              <w:rPr>
                <w:rFonts w:ascii="宋体" w:hAnsi="宋体" w:cs="宋体" w:eastAsia="宋体" w:hint="default"/>
                <w:sz w:val="21"/>
                <w:szCs w:val="21"/>
              </w:rPr>
              <w:t>海惠普有限公司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21"/>
                <w:szCs w:val="21"/>
              </w:rPr>
            </w:pPr>
            <w:r>
              <w:rPr>
                <w:rFonts w:ascii="Times New Roman"/>
                <w:sz w:val="21"/>
              </w:rPr>
              <w:t>13504786.27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11.50%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710657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21"/>
                <w:szCs w:val="21"/>
              </w:rPr>
            </w:pPr>
            <w:r>
              <w:rPr>
                <w:rFonts w:ascii="Times New Roman"/>
                <w:sz w:val="21"/>
              </w:rPr>
              <w:t>6.02%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2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8"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pacing w:val="-59"/>
                <w:w w:val="156"/>
                <w:sz w:val="21"/>
                <w:szCs w:val="21"/>
              </w:rPr>
              <w:t></w:t>
            </w:r>
            <w:r>
              <w:rPr>
                <w:rFonts w:ascii="宋体" w:hAnsi="宋体" w:cs="宋体" w:eastAsia="宋体" w:hint="default"/>
                <w:w w:val="100"/>
                <w:sz w:val="21"/>
                <w:szCs w:val="21"/>
              </w:rPr>
              <w:t>客户</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P</w:t>
            </w:r>
            <w:r>
              <w:rPr>
                <w:rFonts w:ascii="Times New Roman" w:hAnsi="Times New Roman" w:cs="Times New Roman" w:eastAsia="Times New Roman" w:hint="default"/>
                <w:w w:val="100"/>
                <w:sz w:val="21"/>
                <w:szCs w:val="21"/>
              </w:rPr>
              <w:t>101</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17</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中</w:t>
            </w:r>
          </w:p>
          <w:p>
            <w:pPr>
              <w:pStyle w:val="TableParagraph"/>
              <w:spacing w:line="272" w:lineRule="exact" w:before="19"/>
              <w:ind w:left="104" w:right="208"/>
              <w:jc w:val="left"/>
              <w:rPr>
                <w:rFonts w:ascii="宋体" w:hAnsi="宋体" w:cs="宋体" w:eastAsia="宋体" w:hint="default"/>
                <w:sz w:val="21"/>
                <w:szCs w:val="21"/>
              </w:rPr>
            </w:pPr>
            <w:r>
              <w:rPr>
                <w:rFonts w:ascii="宋体" w:hAnsi="宋体" w:cs="宋体" w:eastAsia="宋体" w:hint="default"/>
                <w:sz w:val="21"/>
                <w:szCs w:val="21"/>
              </w:rPr>
              <w:t>国电子器件工业总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2502803.41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2.13%</w:t>
            </w:r>
          </w:p>
        </w:tc>
        <w:tc>
          <w:tcPr>
            <w:tcW w:w="163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Times New Roman" w:hAnsi="Times New Roman" w:cs="Times New Roman" w:eastAsia="Times New Roman" w:hint="default"/>
                <w:sz w:val="21"/>
                <w:szCs w:val="21"/>
              </w:rPr>
            </w:pPr>
            <w:r>
              <w:rPr>
                <w:rFonts w:ascii="Times New Roman"/>
                <w:sz w:val="21"/>
              </w:rPr>
              <w:t>92405011.71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78.72%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7955368.87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Times New Roman" w:hAnsi="Times New Roman" w:cs="Times New Roman" w:eastAsia="Times New Roman" w:hint="default"/>
                <w:sz w:val="21"/>
                <w:szCs w:val="21"/>
              </w:rPr>
            </w:pPr>
            <w:r>
              <w:rPr>
                <w:rFonts w:ascii="Times New Roman"/>
                <w:sz w:val="21"/>
              </w:rPr>
              <w:t>67.38%</w:t>
            </w: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57" w:lineRule="exact"/>
              <w:ind w:left="10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名客户名称</w:t>
            </w:r>
          </w:p>
        </w:tc>
        <w:tc>
          <w:tcPr>
            <w:tcW w:w="158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销售金额</w:t>
            </w:r>
          </w:p>
        </w:tc>
        <w:tc>
          <w:tcPr>
            <w:tcW w:w="157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占年度销售总</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金额的比例</w:t>
            </w:r>
            <w:r>
              <w:rPr>
                <w:rFonts w:ascii="Times New Roman" w:hAnsi="Times New Roman" w:cs="Times New Roman" w:eastAsia="Times New Roman" w:hint="default"/>
                <w:sz w:val="21"/>
                <w:szCs w:val="21"/>
              </w:rPr>
              <w:t>%</w:t>
            </w:r>
          </w:p>
        </w:tc>
        <w:tc>
          <w:tcPr>
            <w:tcW w:w="1632"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应收账款的余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709"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占公司应收账款</w:t>
            </w:r>
          </w:p>
          <w:p>
            <w:pPr>
              <w:pStyle w:val="TableParagraph"/>
              <w:spacing w:line="290"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总余额的比例</w:t>
            </w:r>
            <w:r>
              <w:rPr>
                <w:rFonts w:ascii="Times New Roman" w:hAnsi="Times New Roman" w:cs="Times New Roman" w:eastAsia="Times New Roman" w:hint="default"/>
                <w:sz w:val="21"/>
                <w:szCs w:val="21"/>
              </w:rPr>
              <w:t>%</w:t>
            </w:r>
          </w:p>
        </w:tc>
        <w:tc>
          <w:tcPr>
            <w:tcW w:w="139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是否存在关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联关系</w:t>
            </w:r>
          </w:p>
        </w:tc>
      </w:tr>
      <w:tr>
        <w:trPr>
          <w:trHeight w:val="554" w:hRule="exact"/>
        </w:trPr>
        <w:tc>
          <w:tcPr>
            <w:tcW w:w="2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中国银行股份有限</w:t>
            </w:r>
          </w:p>
          <w:p>
            <w:pPr>
              <w:pStyle w:val="TableParagraph"/>
              <w:spacing w:line="273" w:lineRule="exact"/>
              <w:ind w:left="104" w:right="0"/>
              <w:jc w:val="left"/>
              <w:rPr>
                <w:rFonts w:ascii="宋体" w:hAnsi="宋体" w:cs="宋体" w:eastAsia="宋体" w:hint="default"/>
                <w:sz w:val="21"/>
                <w:szCs w:val="21"/>
              </w:rPr>
            </w:pPr>
            <w:r>
              <w:rPr>
                <w:rFonts w:ascii="宋体" w:hAnsi="宋体" w:cs="宋体" w:eastAsia="宋体" w:hint="default"/>
                <w:sz w:val="21"/>
                <w:szCs w:val="21"/>
              </w:rPr>
              <w:t>公司江苏省分行</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5" w:right="0"/>
              <w:jc w:val="left"/>
              <w:rPr>
                <w:rFonts w:ascii="Times New Roman" w:hAnsi="Times New Roman" w:cs="Times New Roman" w:eastAsia="Times New Roman" w:hint="default"/>
                <w:sz w:val="21"/>
                <w:szCs w:val="21"/>
              </w:rPr>
            </w:pPr>
            <w:r>
              <w:rPr>
                <w:rFonts w:ascii="Times New Roman"/>
                <w:sz w:val="21"/>
              </w:rPr>
              <w:t>10,489,100.50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1.46%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643094.5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5" w:right="0"/>
              <w:jc w:val="left"/>
              <w:rPr>
                <w:rFonts w:ascii="Times New Roman" w:hAnsi="Times New Roman" w:cs="Times New Roman" w:eastAsia="Times New Roman" w:hint="default"/>
                <w:sz w:val="21"/>
                <w:szCs w:val="21"/>
              </w:rPr>
            </w:pPr>
            <w:r>
              <w:rPr>
                <w:rFonts w:ascii="Times New Roman"/>
                <w:sz w:val="21"/>
              </w:rPr>
              <w:t>0.36%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2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中国建设银行股份</w:t>
            </w:r>
          </w:p>
          <w:p>
            <w:pPr>
              <w:pStyle w:val="TableParagraph"/>
              <w:spacing w:line="273" w:lineRule="exact"/>
              <w:ind w:left="10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5" w:right="0"/>
              <w:jc w:val="left"/>
              <w:rPr>
                <w:rFonts w:ascii="Times New Roman" w:hAnsi="Times New Roman" w:cs="Times New Roman" w:eastAsia="Times New Roman" w:hint="default"/>
                <w:sz w:val="21"/>
                <w:szCs w:val="21"/>
              </w:rPr>
            </w:pPr>
            <w:r>
              <w:rPr>
                <w:rFonts w:ascii="Times New Roman"/>
                <w:sz w:val="21"/>
              </w:rPr>
              <w:t>6,330,000.00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0.88%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6,330,000.00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5" w:right="0"/>
              <w:jc w:val="left"/>
              <w:rPr>
                <w:rFonts w:ascii="Times New Roman" w:hAnsi="Times New Roman" w:cs="Times New Roman" w:eastAsia="Times New Roman" w:hint="default"/>
                <w:sz w:val="21"/>
                <w:szCs w:val="21"/>
              </w:rPr>
            </w:pPr>
            <w:r>
              <w:rPr>
                <w:rFonts w:ascii="Times New Roman"/>
                <w:sz w:val="21"/>
              </w:rPr>
              <w:t>3.53%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104" w:right="0"/>
              <w:jc w:val="left"/>
              <w:rPr>
                <w:rFonts w:ascii="宋体" w:hAnsi="宋体" w:cs="宋体" w:eastAsia="宋体" w:hint="default"/>
                <w:sz w:val="21"/>
                <w:szCs w:val="21"/>
              </w:rPr>
            </w:pPr>
            <w:r>
              <w:rPr>
                <w:rFonts w:ascii="宋体" w:hAnsi="宋体" w:cs="宋体" w:eastAsia="宋体" w:hint="default"/>
                <w:sz w:val="21"/>
                <w:szCs w:val="21"/>
              </w:rPr>
              <w:t>中国银行股份有限</w:t>
            </w:r>
          </w:p>
          <w:p>
            <w:pPr>
              <w:pStyle w:val="TableParagraph"/>
              <w:spacing w:line="273" w:lineRule="exact"/>
              <w:ind w:left="104" w:right="0"/>
              <w:jc w:val="left"/>
              <w:rPr>
                <w:rFonts w:ascii="宋体" w:hAnsi="宋体" w:cs="宋体" w:eastAsia="宋体" w:hint="default"/>
                <w:sz w:val="21"/>
                <w:szCs w:val="21"/>
              </w:rPr>
            </w:pPr>
            <w:r>
              <w:rPr>
                <w:rFonts w:ascii="宋体" w:hAnsi="宋体" w:cs="宋体" w:eastAsia="宋体" w:hint="default"/>
                <w:sz w:val="21"/>
                <w:szCs w:val="21"/>
              </w:rPr>
              <w:t>公司北京市分行</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21"/>
                <w:szCs w:val="21"/>
              </w:rPr>
            </w:pPr>
            <w:r>
              <w:rPr>
                <w:rFonts w:ascii="Times New Roman"/>
                <w:sz w:val="21"/>
              </w:rPr>
              <w:t>5,914,231.12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0.82%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23447.5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21"/>
                <w:szCs w:val="21"/>
              </w:rPr>
            </w:pPr>
            <w:r>
              <w:rPr>
                <w:rFonts w:ascii="Times New Roman"/>
                <w:sz w:val="21"/>
              </w:rPr>
              <w:t>0.01%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104" w:right="0"/>
              <w:jc w:val="left"/>
              <w:rPr>
                <w:rFonts w:ascii="宋体" w:hAnsi="宋体" w:cs="宋体" w:eastAsia="宋体" w:hint="default"/>
                <w:sz w:val="21"/>
                <w:szCs w:val="21"/>
              </w:rPr>
            </w:pPr>
            <w:r>
              <w:rPr>
                <w:rFonts w:ascii="宋体" w:hAnsi="宋体" w:cs="宋体" w:eastAsia="宋体" w:hint="default"/>
                <w:sz w:val="21"/>
                <w:szCs w:val="21"/>
              </w:rPr>
              <w:t>佛山益康置业有限</w:t>
            </w:r>
          </w:p>
          <w:p>
            <w:pPr>
              <w:pStyle w:val="TableParagraph"/>
              <w:spacing w:line="273" w:lineRule="exact"/>
              <w:ind w:left="10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21"/>
                <w:szCs w:val="21"/>
              </w:rPr>
            </w:pPr>
            <w:r>
              <w:rPr>
                <w:rFonts w:ascii="Times New Roman"/>
                <w:sz w:val="21"/>
              </w:rPr>
              <w:t>4,997,542.00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0.69%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1,447,179.43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21"/>
                <w:szCs w:val="21"/>
              </w:rPr>
            </w:pPr>
            <w:r>
              <w:rPr>
                <w:rFonts w:ascii="Times New Roman"/>
                <w:sz w:val="21"/>
              </w:rPr>
              <w:t>0.81%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104" w:right="0"/>
              <w:jc w:val="left"/>
              <w:rPr>
                <w:rFonts w:ascii="宋体" w:hAnsi="宋体" w:cs="宋体" w:eastAsia="宋体" w:hint="default"/>
                <w:sz w:val="21"/>
                <w:szCs w:val="21"/>
              </w:rPr>
            </w:pPr>
            <w:r>
              <w:rPr>
                <w:rFonts w:ascii="宋体" w:hAnsi="宋体" w:cs="宋体" w:eastAsia="宋体" w:hint="default"/>
                <w:sz w:val="21"/>
                <w:szCs w:val="21"/>
              </w:rPr>
              <w:t>广州中环鼎业信息</w:t>
            </w:r>
          </w:p>
          <w:p>
            <w:pPr>
              <w:pStyle w:val="TableParagraph"/>
              <w:spacing w:line="273" w:lineRule="exact"/>
              <w:ind w:left="104" w:right="0"/>
              <w:jc w:val="left"/>
              <w:rPr>
                <w:rFonts w:ascii="宋体" w:hAnsi="宋体" w:cs="宋体" w:eastAsia="宋体" w:hint="default"/>
                <w:sz w:val="21"/>
                <w:szCs w:val="21"/>
              </w:rPr>
            </w:pPr>
            <w:r>
              <w:rPr>
                <w:rFonts w:ascii="宋体" w:hAnsi="宋体" w:cs="宋体" w:eastAsia="宋体" w:hint="default"/>
                <w:sz w:val="21"/>
                <w:szCs w:val="21"/>
              </w:rPr>
              <w:t>系统有限公司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21"/>
                <w:szCs w:val="21"/>
              </w:rPr>
            </w:pPr>
            <w:r>
              <w:rPr>
                <w:rFonts w:ascii="Times New Roman"/>
                <w:sz w:val="21"/>
              </w:rPr>
              <w:t>4,615,384.60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0.64%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1,620,000.00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left"/>
              <w:rPr>
                <w:rFonts w:ascii="Times New Roman" w:hAnsi="Times New Roman" w:cs="Times New Roman" w:eastAsia="Times New Roman" w:hint="default"/>
                <w:sz w:val="21"/>
                <w:szCs w:val="21"/>
              </w:rPr>
            </w:pPr>
            <w:r>
              <w:rPr>
                <w:rFonts w:ascii="Times New Roman"/>
                <w:sz w:val="21"/>
              </w:rPr>
              <w:t>0.90%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Times New Roman" w:hAnsi="Times New Roman" w:cs="Times New Roman" w:eastAsia="Times New Roman" w:hint="default"/>
                <w:sz w:val="21"/>
                <w:szCs w:val="21"/>
              </w:rPr>
            </w:pPr>
            <w:r>
              <w:rPr>
                <w:rFonts w:ascii="Times New Roman"/>
                <w:sz w:val="21"/>
              </w:rPr>
              <w:t>32346258.22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4.49%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4879177.76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Times New Roman" w:hAnsi="Times New Roman" w:cs="Times New Roman" w:eastAsia="Times New Roman" w:hint="default"/>
                <w:sz w:val="21"/>
                <w:szCs w:val="21"/>
              </w:rPr>
            </w:pPr>
            <w:r>
              <w:rPr>
                <w:rFonts w:ascii="Times New Roman"/>
                <w:sz w:val="21"/>
              </w:rPr>
              <w:t>13.26%</w:t>
            </w:r>
          </w:p>
        </w:tc>
        <w:tc>
          <w:tcPr>
            <w:tcW w:w="13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2"/>
          <w:szCs w:val="22"/>
        </w:rPr>
      </w:pPr>
    </w:p>
    <w:p>
      <w:pPr>
        <w:pStyle w:val="BodyText"/>
        <w:spacing w:line="240" w:lineRule="auto" w:before="36"/>
        <w:ind w:left="665"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t>年主要客户、供应商情况</w:t>
      </w:r>
    </w:p>
    <w:p>
      <w:pPr>
        <w:spacing w:line="240" w:lineRule="auto" w:before="7"/>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2008"/>
        <w:gridCol w:w="1582"/>
        <w:gridCol w:w="1572"/>
        <w:gridCol w:w="1632"/>
        <w:gridCol w:w="1709"/>
        <w:gridCol w:w="1397"/>
      </w:tblGrid>
      <w:tr>
        <w:trPr>
          <w:trHeight w:val="554" w:hRule="exact"/>
        </w:trPr>
        <w:tc>
          <w:tcPr>
            <w:tcW w:w="200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名供应商</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采购金额</w:t>
            </w:r>
          </w:p>
        </w:tc>
        <w:tc>
          <w:tcPr>
            <w:tcW w:w="157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exact"/>
              <w:ind w:left="167" w:right="0" w:hanging="17"/>
              <w:jc w:val="left"/>
              <w:rPr>
                <w:rFonts w:ascii="宋体" w:hAnsi="宋体" w:cs="宋体" w:eastAsia="宋体" w:hint="default"/>
                <w:sz w:val="21"/>
                <w:szCs w:val="21"/>
              </w:rPr>
            </w:pPr>
            <w:r>
              <w:rPr>
                <w:rFonts w:ascii="宋体" w:hAnsi="宋体" w:cs="宋体" w:eastAsia="宋体" w:hint="default"/>
                <w:sz w:val="21"/>
                <w:szCs w:val="21"/>
              </w:rPr>
              <w:t>占年度采购总</w:t>
            </w:r>
          </w:p>
          <w:p>
            <w:pPr>
              <w:pStyle w:val="TableParagraph"/>
              <w:spacing w:line="290" w:lineRule="exact"/>
              <w:ind w:left="1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金额的比例</w:t>
            </w:r>
            <w:r>
              <w:rPr>
                <w:rFonts w:ascii="Times New Roman" w:hAnsi="Times New Roman" w:cs="Times New Roman" w:eastAsia="Times New Roman" w:hint="default"/>
                <w:sz w:val="21"/>
                <w:szCs w:val="21"/>
              </w:rPr>
              <w:t>%</w:t>
            </w:r>
          </w:p>
        </w:tc>
        <w:tc>
          <w:tcPr>
            <w:tcW w:w="163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预付账款的余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70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exact"/>
              <w:ind w:left="134" w:right="0" w:hanging="20"/>
              <w:jc w:val="left"/>
              <w:rPr>
                <w:rFonts w:ascii="宋体" w:hAnsi="宋体" w:cs="宋体" w:eastAsia="宋体" w:hint="default"/>
                <w:sz w:val="21"/>
                <w:szCs w:val="21"/>
              </w:rPr>
            </w:pPr>
            <w:r>
              <w:rPr>
                <w:rFonts w:ascii="宋体" w:hAnsi="宋体" w:cs="宋体" w:eastAsia="宋体" w:hint="default"/>
                <w:sz w:val="21"/>
                <w:szCs w:val="21"/>
              </w:rPr>
              <w:t>占公司预付账款</w:t>
            </w:r>
          </w:p>
          <w:p>
            <w:pPr>
              <w:pStyle w:val="TableParagraph"/>
              <w:spacing w:line="290" w:lineRule="exact"/>
              <w:ind w:left="13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总余额的比例</w:t>
            </w:r>
            <w:r>
              <w:rPr>
                <w:rFonts w:ascii="Times New Roman" w:hAnsi="Times New Roman" w:cs="Times New Roman" w:eastAsia="Times New Roman" w:hint="default"/>
                <w:sz w:val="21"/>
                <w:szCs w:val="21"/>
              </w:rPr>
              <w:t>%</w:t>
            </w:r>
          </w:p>
        </w:tc>
        <w:tc>
          <w:tcPr>
            <w:tcW w:w="139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是否存在关</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联关系</w:t>
            </w:r>
          </w:p>
        </w:tc>
      </w:tr>
      <w:tr>
        <w:trPr>
          <w:trHeight w:val="283" w:hRule="exact"/>
        </w:trPr>
        <w:tc>
          <w:tcPr>
            <w:tcW w:w="2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3"/>
                <w:sz w:val="21"/>
                <w:szCs w:val="21"/>
              </w:rPr>
              <w:t>69</w:t>
            </w:r>
            <w:r>
              <w:rPr>
                <w:rFonts w:ascii="宋体" w:hAnsi="宋体" w:cs="宋体" w:eastAsia="宋体" w:hint="default"/>
                <w:spacing w:val="-13"/>
                <w:sz w:val="21"/>
                <w:szCs w:val="21"/>
              </w:rPr>
              <w:t>，</w:t>
            </w:r>
            <w:r>
              <w:rPr>
                <w:rFonts w:ascii="Times New Roman" w:hAnsi="Times New Roman" w:cs="Times New Roman" w:eastAsia="Times New Roman" w:hint="default"/>
                <w:spacing w:val="-13"/>
                <w:sz w:val="21"/>
                <w:szCs w:val="21"/>
              </w:rPr>
              <w:t>792</w:t>
            </w:r>
            <w:r>
              <w:rPr>
                <w:rFonts w:ascii="宋体" w:hAnsi="宋体" w:cs="宋体" w:eastAsia="宋体" w:hint="default"/>
                <w:spacing w:val="-13"/>
                <w:sz w:val="21"/>
                <w:szCs w:val="21"/>
              </w:rPr>
              <w:t>，</w:t>
            </w:r>
            <w:r>
              <w:rPr>
                <w:rFonts w:ascii="Times New Roman" w:hAnsi="Times New Roman" w:cs="Times New Roman" w:eastAsia="Times New Roman" w:hint="default"/>
                <w:spacing w:val="-13"/>
                <w:sz w:val="21"/>
                <w:szCs w:val="21"/>
              </w:rPr>
              <w:t>899.49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11" w:right="0"/>
              <w:jc w:val="left"/>
              <w:rPr>
                <w:rFonts w:ascii="Times New Roman" w:hAnsi="Times New Roman" w:cs="Times New Roman" w:eastAsia="Times New Roman" w:hint="default"/>
                <w:sz w:val="21"/>
                <w:szCs w:val="21"/>
              </w:rPr>
            </w:pPr>
            <w:r>
              <w:rPr>
                <w:rFonts w:ascii="Times New Roman"/>
                <w:sz w:val="21"/>
              </w:rPr>
              <w:t>71.83%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1" w:right="0"/>
              <w:jc w:val="left"/>
              <w:rPr>
                <w:rFonts w:ascii="Times New Roman" w:hAnsi="Times New Roman" w:cs="Times New Roman" w:eastAsia="Times New Roman" w:hint="default"/>
                <w:sz w:val="21"/>
                <w:szCs w:val="21"/>
              </w:rPr>
            </w:pPr>
            <w:r>
              <w:rPr>
                <w:rFonts w:ascii="Times New Roman"/>
                <w:sz w:val="21"/>
              </w:rPr>
              <w:t>13,055,417.49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50" w:right="0"/>
              <w:jc w:val="left"/>
              <w:rPr>
                <w:rFonts w:ascii="Times New Roman" w:hAnsi="Times New Roman" w:cs="Times New Roman" w:eastAsia="Times New Roman" w:hint="default"/>
                <w:sz w:val="21"/>
                <w:szCs w:val="21"/>
              </w:rPr>
            </w:pPr>
            <w:r>
              <w:rPr>
                <w:rFonts w:ascii="Times New Roman"/>
                <w:sz w:val="21"/>
              </w:rPr>
              <w:t>81.92%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right"/>
        <w:rPr>
          <w:rFonts w:ascii="宋体" w:hAnsi="宋体" w:cs="宋体" w:eastAsia="宋体" w:hint="default"/>
          <w:sz w:val="21"/>
          <w:szCs w:val="21"/>
        </w:rPr>
        <w:sectPr>
          <w:pgSz w:w="11910" w:h="16840"/>
          <w:pgMar w:header="850" w:footer="979" w:top="1200" w:bottom="1160" w:left="880" w:right="880"/>
        </w:sectPr>
      </w:pPr>
    </w:p>
    <w:p>
      <w:pPr>
        <w:spacing w:line="240" w:lineRule="auto" w:before="10"/>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008"/>
        <w:gridCol w:w="1582"/>
        <w:gridCol w:w="1572"/>
        <w:gridCol w:w="1632"/>
        <w:gridCol w:w="1709"/>
        <w:gridCol w:w="1397"/>
      </w:tblGrid>
      <w:tr>
        <w:trPr>
          <w:trHeight w:val="562" w:hRule="exact"/>
        </w:trPr>
        <w:tc>
          <w:tcPr>
            <w:tcW w:w="2008" w:type="dxa"/>
            <w:tcBorders>
              <w:top w:val="single" w:sz="10"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名客户</w:t>
            </w:r>
          </w:p>
        </w:tc>
        <w:tc>
          <w:tcPr>
            <w:tcW w:w="1582" w:type="dxa"/>
            <w:tcBorders>
              <w:top w:val="single" w:sz="10"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销售金额</w:t>
            </w:r>
          </w:p>
        </w:tc>
        <w:tc>
          <w:tcPr>
            <w:tcW w:w="1572" w:type="dxa"/>
            <w:tcBorders>
              <w:top w:val="single" w:sz="10" w:space="0" w:color="000000"/>
              <w:left w:val="single" w:sz="4" w:space="0" w:color="000000"/>
              <w:bottom w:val="single" w:sz="4" w:space="0" w:color="000000"/>
              <w:right w:val="single" w:sz="4" w:space="0" w:color="000000"/>
            </w:tcBorders>
            <w:shd w:val="clear" w:color="auto" w:fill="DADADA"/>
          </w:tcPr>
          <w:p>
            <w:pPr>
              <w:pStyle w:val="TableParagraph"/>
              <w:spacing w:line="240" w:lineRule="exact"/>
              <w:ind w:left="167" w:right="0" w:hanging="17"/>
              <w:jc w:val="left"/>
              <w:rPr>
                <w:rFonts w:ascii="宋体" w:hAnsi="宋体" w:cs="宋体" w:eastAsia="宋体" w:hint="default"/>
                <w:sz w:val="21"/>
                <w:szCs w:val="21"/>
              </w:rPr>
            </w:pPr>
            <w:r>
              <w:rPr>
                <w:rFonts w:ascii="宋体" w:hAnsi="宋体" w:cs="宋体" w:eastAsia="宋体" w:hint="default"/>
                <w:sz w:val="21"/>
                <w:szCs w:val="21"/>
              </w:rPr>
              <w:t>占年度销售总</w:t>
            </w:r>
          </w:p>
          <w:p>
            <w:pPr>
              <w:pStyle w:val="TableParagraph"/>
              <w:spacing w:line="290" w:lineRule="exact"/>
              <w:ind w:left="1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金额的比例</w:t>
            </w:r>
            <w:r>
              <w:rPr>
                <w:rFonts w:ascii="Times New Roman" w:hAnsi="Times New Roman" w:cs="Times New Roman" w:eastAsia="Times New Roman" w:hint="default"/>
                <w:sz w:val="21"/>
                <w:szCs w:val="21"/>
              </w:rPr>
              <w:t>%</w:t>
            </w:r>
          </w:p>
        </w:tc>
        <w:tc>
          <w:tcPr>
            <w:tcW w:w="1632" w:type="dxa"/>
            <w:tcBorders>
              <w:top w:val="single" w:sz="10" w:space="0" w:color="000000"/>
              <w:left w:val="single" w:sz="4" w:space="0" w:color="000000"/>
              <w:bottom w:val="single" w:sz="4" w:space="0" w:color="000000"/>
              <w:right w:val="single" w:sz="4" w:space="0" w:color="000000"/>
            </w:tcBorders>
            <w:shd w:val="clear" w:color="auto" w:fill="DADADA"/>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应收账款的余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709" w:type="dxa"/>
            <w:tcBorders>
              <w:top w:val="single" w:sz="10" w:space="0" w:color="000000"/>
              <w:left w:val="single" w:sz="4" w:space="0" w:color="000000"/>
              <w:bottom w:val="single" w:sz="4" w:space="0" w:color="000000"/>
              <w:right w:val="single" w:sz="4" w:space="0" w:color="000000"/>
            </w:tcBorders>
            <w:shd w:val="clear" w:color="auto" w:fill="DADADA"/>
          </w:tcPr>
          <w:p>
            <w:pPr>
              <w:pStyle w:val="TableParagraph"/>
              <w:spacing w:line="240" w:lineRule="exact"/>
              <w:ind w:left="134" w:right="0" w:hanging="20"/>
              <w:jc w:val="left"/>
              <w:rPr>
                <w:rFonts w:ascii="宋体" w:hAnsi="宋体" w:cs="宋体" w:eastAsia="宋体" w:hint="default"/>
                <w:sz w:val="21"/>
                <w:szCs w:val="21"/>
              </w:rPr>
            </w:pPr>
            <w:r>
              <w:rPr>
                <w:rFonts w:ascii="宋体" w:hAnsi="宋体" w:cs="宋体" w:eastAsia="宋体" w:hint="default"/>
                <w:sz w:val="21"/>
                <w:szCs w:val="21"/>
              </w:rPr>
              <w:t>占公司应收账款</w:t>
            </w:r>
          </w:p>
          <w:p>
            <w:pPr>
              <w:pStyle w:val="TableParagraph"/>
              <w:spacing w:line="290" w:lineRule="exact"/>
              <w:ind w:left="13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总余额的比例</w:t>
            </w:r>
            <w:r>
              <w:rPr>
                <w:rFonts w:ascii="Times New Roman" w:hAnsi="Times New Roman" w:cs="Times New Roman" w:eastAsia="Times New Roman" w:hint="default"/>
                <w:sz w:val="21"/>
                <w:szCs w:val="21"/>
              </w:rPr>
              <w:t>%</w:t>
            </w:r>
          </w:p>
        </w:tc>
        <w:tc>
          <w:tcPr>
            <w:tcW w:w="1397" w:type="dxa"/>
            <w:tcBorders>
              <w:top w:val="single" w:sz="10" w:space="0" w:color="000000"/>
              <w:left w:val="single" w:sz="4" w:space="0" w:color="000000"/>
              <w:bottom w:val="single" w:sz="4" w:space="0" w:color="000000"/>
              <w:right w:val="single" w:sz="4" w:space="0" w:color="000000"/>
            </w:tcBorders>
            <w:shd w:val="clear" w:color="auto" w:fill="DADADA"/>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是否存在关</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联关系</w:t>
            </w:r>
          </w:p>
        </w:tc>
      </w:tr>
      <w:tr>
        <w:trPr>
          <w:trHeight w:val="283" w:hRule="exact"/>
        </w:trPr>
        <w:tc>
          <w:tcPr>
            <w:tcW w:w="20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3" w:right="0"/>
              <w:jc w:val="left"/>
              <w:rPr>
                <w:rFonts w:ascii="Times New Roman" w:hAnsi="Times New Roman" w:cs="Times New Roman" w:eastAsia="Times New Roman" w:hint="default"/>
                <w:sz w:val="21"/>
                <w:szCs w:val="21"/>
              </w:rPr>
            </w:pPr>
            <w:r>
              <w:rPr>
                <w:rFonts w:ascii="Times New Roman"/>
                <w:sz w:val="21"/>
              </w:rPr>
              <w:t>50,964,312.75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6" w:right="0"/>
              <w:jc w:val="left"/>
              <w:rPr>
                <w:rFonts w:ascii="Times New Roman" w:hAnsi="Times New Roman" w:cs="Times New Roman" w:eastAsia="Times New Roman" w:hint="default"/>
                <w:sz w:val="21"/>
                <w:szCs w:val="21"/>
              </w:rPr>
            </w:pPr>
            <w:r>
              <w:rPr>
                <w:rFonts w:ascii="Times New Roman"/>
                <w:sz w:val="21"/>
              </w:rPr>
              <w:t>8.35%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1" w:right="0"/>
              <w:jc w:val="left"/>
              <w:rPr>
                <w:rFonts w:ascii="Times New Roman" w:hAnsi="Times New Roman" w:cs="Times New Roman" w:eastAsia="Times New Roman" w:hint="default"/>
                <w:sz w:val="21"/>
                <w:szCs w:val="21"/>
              </w:rPr>
            </w:pPr>
            <w:r>
              <w:rPr>
                <w:rFonts w:ascii="Times New Roman"/>
                <w:sz w:val="21"/>
              </w:rPr>
              <w:t>26,659,200.10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25" w:right="0"/>
              <w:jc w:val="left"/>
              <w:rPr>
                <w:rFonts w:ascii="Times New Roman" w:hAnsi="Times New Roman" w:cs="Times New Roman" w:eastAsia="Times New Roman" w:hint="default"/>
                <w:sz w:val="21"/>
                <w:szCs w:val="21"/>
              </w:rPr>
            </w:pPr>
            <w:r>
              <w:rPr>
                <w:rFonts w:ascii="Times New Roman"/>
                <w:sz w:val="21"/>
              </w:rPr>
              <w:t>17.41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6"/>
        <w:ind w:left="665"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2009</w:t>
      </w:r>
      <w:r>
        <w:rPr/>
        <w:t>年主要客户、供应商情况</w:t>
      </w:r>
    </w:p>
    <w:p>
      <w:pPr>
        <w:spacing w:line="240" w:lineRule="auto" w:before="9"/>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148"/>
        <w:gridCol w:w="1582"/>
        <w:gridCol w:w="1498"/>
        <w:gridCol w:w="1786"/>
        <w:gridCol w:w="1807"/>
        <w:gridCol w:w="1080"/>
      </w:tblGrid>
      <w:tr>
        <w:trPr>
          <w:trHeight w:val="565" w:hRule="exact"/>
        </w:trPr>
        <w:tc>
          <w:tcPr>
            <w:tcW w:w="2148"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01"/>
              <w:ind w:left="5"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名供应商</w:t>
            </w:r>
            <w:r>
              <w:rPr>
                <w:rFonts w:ascii="宋体" w:hAnsi="宋体" w:cs="宋体" w:eastAsia="宋体" w:hint="default"/>
                <w:sz w:val="21"/>
                <w:szCs w:val="21"/>
              </w:rPr>
            </w:r>
          </w:p>
        </w:tc>
        <w:tc>
          <w:tcPr>
            <w:tcW w:w="1582"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01"/>
              <w:ind w:left="359" w:right="0"/>
              <w:jc w:val="left"/>
              <w:rPr>
                <w:rFonts w:ascii="宋体" w:hAnsi="宋体" w:cs="宋体" w:eastAsia="宋体" w:hint="default"/>
                <w:sz w:val="21"/>
                <w:szCs w:val="21"/>
              </w:rPr>
            </w:pPr>
            <w:r>
              <w:rPr>
                <w:rFonts w:ascii="宋体" w:hAnsi="宋体" w:cs="宋体" w:eastAsia="宋体" w:hint="default"/>
                <w:sz w:val="21"/>
                <w:szCs w:val="21"/>
              </w:rPr>
              <w:t>采购金额</w:t>
            </w:r>
          </w:p>
        </w:tc>
        <w:tc>
          <w:tcPr>
            <w:tcW w:w="1498"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exact"/>
              <w:ind w:left="127" w:right="0" w:hanging="17"/>
              <w:jc w:val="left"/>
              <w:rPr>
                <w:rFonts w:ascii="宋体" w:hAnsi="宋体" w:cs="宋体" w:eastAsia="宋体" w:hint="default"/>
                <w:sz w:val="21"/>
                <w:szCs w:val="21"/>
              </w:rPr>
            </w:pPr>
            <w:r>
              <w:rPr>
                <w:rFonts w:ascii="宋体" w:hAnsi="宋体" w:cs="宋体" w:eastAsia="宋体" w:hint="default"/>
                <w:sz w:val="21"/>
                <w:szCs w:val="21"/>
              </w:rPr>
              <w:t>占年度采购总</w:t>
            </w:r>
          </w:p>
          <w:p>
            <w:pPr>
              <w:pStyle w:val="TableParagraph"/>
              <w:spacing w:line="289" w:lineRule="exact"/>
              <w:ind w:left="1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金额的比例</w:t>
            </w:r>
            <w:r>
              <w:rPr>
                <w:rFonts w:ascii="Times New Roman" w:hAnsi="Times New Roman" w:cs="Times New Roman" w:eastAsia="Times New Roman" w:hint="default"/>
                <w:sz w:val="21"/>
                <w:szCs w:val="21"/>
              </w:rPr>
              <w:t>%</w:t>
            </w:r>
          </w:p>
        </w:tc>
        <w:tc>
          <w:tcPr>
            <w:tcW w:w="1786"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01"/>
              <w:ind w:right="141"/>
              <w:jc w:val="right"/>
              <w:rPr>
                <w:rFonts w:ascii="宋体" w:hAnsi="宋体" w:cs="宋体" w:eastAsia="宋体" w:hint="default"/>
                <w:sz w:val="21"/>
                <w:szCs w:val="21"/>
              </w:rPr>
            </w:pPr>
            <w:r>
              <w:rPr>
                <w:rFonts w:ascii="宋体" w:hAnsi="宋体" w:cs="宋体" w:eastAsia="宋体" w:hint="default"/>
                <w:spacing w:val="-1"/>
                <w:sz w:val="21"/>
                <w:szCs w:val="21"/>
              </w:rPr>
              <w:t>预付账款的余额</w:t>
            </w:r>
          </w:p>
        </w:tc>
        <w:tc>
          <w:tcPr>
            <w:tcW w:w="1807"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exact"/>
              <w:ind w:left="177" w:right="0" w:hanging="17"/>
              <w:jc w:val="left"/>
              <w:rPr>
                <w:rFonts w:ascii="宋体" w:hAnsi="宋体" w:cs="宋体" w:eastAsia="宋体" w:hint="default"/>
                <w:sz w:val="21"/>
                <w:szCs w:val="21"/>
              </w:rPr>
            </w:pPr>
            <w:r>
              <w:rPr>
                <w:rFonts w:ascii="宋体" w:hAnsi="宋体" w:cs="宋体" w:eastAsia="宋体" w:hint="default"/>
                <w:sz w:val="21"/>
                <w:szCs w:val="21"/>
              </w:rPr>
              <w:t>占公司预付账款</w:t>
            </w:r>
          </w:p>
          <w:p>
            <w:pPr>
              <w:pStyle w:val="TableParagraph"/>
              <w:spacing w:line="289" w:lineRule="exact"/>
              <w:ind w:left="17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总余额的比例</w:t>
            </w:r>
            <w:r>
              <w:rPr>
                <w:rFonts w:ascii="Times New Roman" w:hAnsi="Times New Roman" w:cs="Times New Roman" w:eastAsia="Times New Roman" w:hint="default"/>
                <w:sz w:val="21"/>
                <w:szCs w:val="21"/>
              </w:rPr>
              <w:t>%</w:t>
            </w:r>
          </w:p>
        </w:tc>
        <w:tc>
          <w:tcPr>
            <w:tcW w:w="108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是否存在</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关联关系</w:t>
            </w:r>
          </w:p>
        </w:tc>
      </w:tr>
      <w:tr>
        <w:trPr>
          <w:trHeight w:val="319" w:hRule="exact"/>
        </w:trPr>
        <w:tc>
          <w:tcPr>
            <w:tcW w:w="2148"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3"/>
              <w:jc w:val="right"/>
              <w:rPr>
                <w:rFonts w:ascii="Times New Roman" w:hAnsi="Times New Roman" w:cs="Times New Roman" w:eastAsia="Times New Roman" w:hint="default"/>
                <w:sz w:val="21"/>
                <w:szCs w:val="21"/>
              </w:rPr>
            </w:pPr>
            <w:r>
              <w:rPr>
                <w:rFonts w:ascii="Times New Roman"/>
                <w:spacing w:val="-1"/>
                <w:sz w:val="21"/>
              </w:rPr>
              <w:t>59,131,070.72</w:t>
            </w:r>
          </w:p>
        </w:tc>
        <w:tc>
          <w:tcPr>
            <w:tcW w:w="1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0"/>
              <w:jc w:val="right"/>
              <w:rPr>
                <w:rFonts w:ascii="Times New Roman" w:hAnsi="Times New Roman" w:cs="Times New Roman" w:eastAsia="Times New Roman" w:hint="default"/>
                <w:sz w:val="21"/>
                <w:szCs w:val="21"/>
              </w:rPr>
            </w:pPr>
            <w:r>
              <w:rPr>
                <w:rFonts w:ascii="Times New Roman"/>
                <w:sz w:val="21"/>
              </w:rPr>
              <w:t>41.39%</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1"/>
              <w:jc w:val="right"/>
              <w:rPr>
                <w:rFonts w:ascii="Times New Roman" w:hAnsi="Times New Roman" w:cs="Times New Roman" w:eastAsia="Times New Roman" w:hint="default"/>
                <w:sz w:val="21"/>
                <w:szCs w:val="21"/>
              </w:rPr>
            </w:pPr>
            <w:r>
              <w:rPr>
                <w:rFonts w:ascii="Times New Roman"/>
                <w:spacing w:val="-1"/>
                <w:sz w:val="21"/>
              </w:rPr>
              <w:t>7,178,661.98</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0"/>
              <w:jc w:val="right"/>
              <w:rPr>
                <w:rFonts w:ascii="Times New Roman" w:hAnsi="Times New Roman" w:cs="Times New Roman" w:eastAsia="Times New Roman" w:hint="default"/>
                <w:sz w:val="21"/>
                <w:szCs w:val="21"/>
              </w:rPr>
            </w:pPr>
            <w:r>
              <w:rPr>
                <w:rFonts w:ascii="Times New Roman"/>
                <w:sz w:val="21"/>
              </w:rPr>
              <w:t>64.16%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3"/>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64" w:hRule="exact"/>
        </w:trPr>
        <w:tc>
          <w:tcPr>
            <w:tcW w:w="2148"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名客户</w:t>
            </w:r>
          </w:p>
        </w:tc>
        <w:tc>
          <w:tcPr>
            <w:tcW w:w="1582"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02"/>
              <w:ind w:left="359" w:right="0"/>
              <w:jc w:val="left"/>
              <w:rPr>
                <w:rFonts w:ascii="宋体" w:hAnsi="宋体" w:cs="宋体" w:eastAsia="宋体" w:hint="default"/>
                <w:sz w:val="21"/>
                <w:szCs w:val="21"/>
              </w:rPr>
            </w:pPr>
            <w:r>
              <w:rPr>
                <w:rFonts w:ascii="宋体" w:hAnsi="宋体" w:cs="宋体" w:eastAsia="宋体" w:hint="default"/>
                <w:sz w:val="21"/>
                <w:szCs w:val="21"/>
              </w:rPr>
              <w:t>销售金额</w:t>
            </w:r>
          </w:p>
        </w:tc>
        <w:tc>
          <w:tcPr>
            <w:tcW w:w="1498"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exact"/>
              <w:ind w:left="127" w:right="0" w:hanging="17"/>
              <w:jc w:val="left"/>
              <w:rPr>
                <w:rFonts w:ascii="宋体" w:hAnsi="宋体" w:cs="宋体" w:eastAsia="宋体" w:hint="default"/>
                <w:sz w:val="21"/>
                <w:szCs w:val="21"/>
              </w:rPr>
            </w:pPr>
            <w:r>
              <w:rPr>
                <w:rFonts w:ascii="宋体" w:hAnsi="宋体" w:cs="宋体" w:eastAsia="宋体" w:hint="default"/>
                <w:sz w:val="21"/>
                <w:szCs w:val="21"/>
              </w:rPr>
              <w:t>占年度销售总</w:t>
            </w:r>
          </w:p>
          <w:p>
            <w:pPr>
              <w:pStyle w:val="TableParagraph"/>
              <w:spacing w:line="290" w:lineRule="exact"/>
              <w:ind w:left="1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金额的比例</w:t>
            </w:r>
            <w:r>
              <w:rPr>
                <w:rFonts w:ascii="Times New Roman" w:hAnsi="Times New Roman" w:cs="Times New Roman" w:eastAsia="Times New Roman" w:hint="default"/>
                <w:sz w:val="21"/>
                <w:szCs w:val="21"/>
              </w:rPr>
              <w:t>%</w:t>
            </w:r>
          </w:p>
        </w:tc>
        <w:tc>
          <w:tcPr>
            <w:tcW w:w="1786"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02"/>
              <w:ind w:right="141"/>
              <w:jc w:val="right"/>
              <w:rPr>
                <w:rFonts w:ascii="宋体" w:hAnsi="宋体" w:cs="宋体" w:eastAsia="宋体" w:hint="default"/>
                <w:sz w:val="21"/>
                <w:szCs w:val="21"/>
              </w:rPr>
            </w:pPr>
            <w:r>
              <w:rPr>
                <w:rFonts w:ascii="宋体" w:hAnsi="宋体" w:cs="宋体" w:eastAsia="宋体" w:hint="default"/>
                <w:spacing w:val="-1"/>
                <w:sz w:val="21"/>
                <w:szCs w:val="21"/>
              </w:rPr>
              <w:t>应收账款的余额</w:t>
            </w:r>
          </w:p>
        </w:tc>
        <w:tc>
          <w:tcPr>
            <w:tcW w:w="1807"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exact"/>
              <w:ind w:left="177" w:right="0" w:hanging="17"/>
              <w:jc w:val="left"/>
              <w:rPr>
                <w:rFonts w:ascii="宋体" w:hAnsi="宋体" w:cs="宋体" w:eastAsia="宋体" w:hint="default"/>
                <w:sz w:val="21"/>
                <w:szCs w:val="21"/>
              </w:rPr>
            </w:pPr>
            <w:r>
              <w:rPr>
                <w:rFonts w:ascii="宋体" w:hAnsi="宋体" w:cs="宋体" w:eastAsia="宋体" w:hint="default"/>
                <w:sz w:val="21"/>
                <w:szCs w:val="21"/>
              </w:rPr>
              <w:t>占公司应收账款</w:t>
            </w:r>
          </w:p>
          <w:p>
            <w:pPr>
              <w:pStyle w:val="TableParagraph"/>
              <w:spacing w:line="290" w:lineRule="exact"/>
              <w:ind w:left="17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总余额的比例</w:t>
            </w:r>
            <w:r>
              <w:rPr>
                <w:rFonts w:ascii="Times New Roman" w:hAnsi="Times New Roman" w:cs="Times New Roman" w:eastAsia="Times New Roman" w:hint="default"/>
                <w:sz w:val="21"/>
                <w:szCs w:val="21"/>
              </w:rPr>
              <w:t>%</w:t>
            </w:r>
          </w:p>
        </w:tc>
        <w:tc>
          <w:tcPr>
            <w:tcW w:w="108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是否存在</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关联关系</w:t>
            </w:r>
          </w:p>
        </w:tc>
      </w:tr>
      <w:tr>
        <w:trPr>
          <w:trHeight w:val="322" w:hRule="exact"/>
        </w:trPr>
        <w:tc>
          <w:tcPr>
            <w:tcW w:w="2148"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3"/>
              <w:jc w:val="right"/>
              <w:rPr>
                <w:rFonts w:ascii="Times New Roman" w:hAnsi="Times New Roman" w:cs="Times New Roman" w:eastAsia="Times New Roman" w:hint="default"/>
                <w:sz w:val="21"/>
                <w:szCs w:val="21"/>
              </w:rPr>
            </w:pPr>
            <w:r>
              <w:rPr>
                <w:rFonts w:ascii="Times New Roman"/>
                <w:spacing w:val="-1"/>
                <w:sz w:val="21"/>
              </w:rPr>
              <w:t>33,136,271.14</w:t>
            </w:r>
          </w:p>
        </w:tc>
        <w:tc>
          <w:tcPr>
            <w:tcW w:w="1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0"/>
              <w:jc w:val="right"/>
              <w:rPr>
                <w:rFonts w:ascii="Times New Roman" w:hAnsi="Times New Roman" w:cs="Times New Roman" w:eastAsia="Times New Roman" w:hint="default"/>
                <w:sz w:val="21"/>
                <w:szCs w:val="21"/>
              </w:rPr>
            </w:pPr>
            <w:r>
              <w:rPr>
                <w:rFonts w:ascii="Times New Roman"/>
                <w:sz w:val="21"/>
              </w:rPr>
              <w:t>8.15%</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1"/>
              <w:jc w:val="right"/>
              <w:rPr>
                <w:rFonts w:ascii="Times New Roman" w:hAnsi="Times New Roman" w:cs="Times New Roman" w:eastAsia="Times New Roman" w:hint="default"/>
                <w:sz w:val="21"/>
                <w:szCs w:val="21"/>
              </w:rPr>
            </w:pPr>
            <w:r>
              <w:rPr>
                <w:rFonts w:ascii="Times New Roman"/>
                <w:spacing w:val="-1"/>
                <w:sz w:val="21"/>
              </w:rPr>
              <w:t>3,730,599.48</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0"/>
              <w:jc w:val="right"/>
              <w:rPr>
                <w:rFonts w:ascii="Times New Roman" w:hAnsi="Times New Roman" w:cs="Times New Roman" w:eastAsia="Times New Roman" w:hint="default"/>
                <w:sz w:val="21"/>
                <w:szCs w:val="21"/>
              </w:rPr>
            </w:pPr>
            <w:r>
              <w:rPr>
                <w:rFonts w:ascii="Times New Roman"/>
                <w:sz w:val="21"/>
              </w:rPr>
              <w:t>4.64%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3"/>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4"/>
        <w:spacing w:line="240" w:lineRule="auto" w:before="36"/>
        <w:ind w:left="665" w:right="0"/>
        <w:jc w:val="left"/>
        <w:rPr>
          <w:b w:val="0"/>
          <w:bCs w:val="0"/>
        </w:rPr>
      </w:pPr>
      <w:r>
        <w:rPr>
          <w:rFonts w:ascii="Times New Roman" w:hAnsi="Times New Roman" w:cs="Times New Roman" w:eastAsia="Times New Roman" w:hint="default"/>
        </w:rPr>
        <w:t>8</w:t>
      </w:r>
      <w:r>
        <w:rPr/>
        <w:t>、非经常性损益情况</w:t>
      </w:r>
      <w:r>
        <w:rPr>
          <w:b w:val="0"/>
          <w:bCs w:val="0"/>
        </w:rPr>
      </w:r>
    </w:p>
    <w:p>
      <w:pPr>
        <w:spacing w:line="240" w:lineRule="auto" w:before="4"/>
        <w:rPr>
          <w:rFonts w:ascii="宋体" w:hAnsi="宋体" w:cs="宋体" w:eastAsia="宋体" w:hint="default"/>
          <w:b/>
          <w:bCs/>
          <w:sz w:val="12"/>
          <w:szCs w:val="12"/>
        </w:rPr>
      </w:pPr>
    </w:p>
    <w:tbl>
      <w:tblPr>
        <w:tblW w:w="0" w:type="auto"/>
        <w:jc w:val="left"/>
        <w:tblInd w:w="233" w:type="dxa"/>
        <w:tblLayout w:type="fixed"/>
        <w:tblCellMar>
          <w:top w:w="0" w:type="dxa"/>
          <w:left w:w="0" w:type="dxa"/>
          <w:bottom w:w="0" w:type="dxa"/>
          <w:right w:w="0" w:type="dxa"/>
        </w:tblCellMar>
        <w:tblLook w:val="01E0"/>
      </w:tblPr>
      <w:tblGrid>
        <w:gridCol w:w="5650"/>
        <w:gridCol w:w="4200"/>
      </w:tblGrid>
      <w:tr>
        <w:trPr>
          <w:trHeight w:val="305" w:hRule="exact"/>
        </w:trPr>
        <w:tc>
          <w:tcPr>
            <w:tcW w:w="565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20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07" w:hRule="exact"/>
        </w:trPr>
        <w:tc>
          <w:tcPr>
            <w:tcW w:w="565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4"/>
              <w:jc w:val="right"/>
              <w:rPr>
                <w:rFonts w:ascii="Times New Roman" w:hAnsi="Times New Roman" w:cs="Times New Roman" w:eastAsia="Times New Roman" w:hint="default"/>
                <w:sz w:val="21"/>
                <w:szCs w:val="21"/>
              </w:rPr>
            </w:pPr>
            <w:r>
              <w:rPr>
                <w:rFonts w:ascii="Times New Roman"/>
                <w:spacing w:val="-1"/>
                <w:sz w:val="21"/>
              </w:rPr>
              <w:t>-542,107.79</w:t>
            </w:r>
          </w:p>
        </w:tc>
      </w:tr>
      <w:tr>
        <w:trPr>
          <w:trHeight w:val="312" w:hRule="exact"/>
        </w:trPr>
        <w:tc>
          <w:tcPr>
            <w:tcW w:w="565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pacing w:val="-3"/>
                <w:sz w:val="21"/>
                <w:szCs w:val="21"/>
              </w:rPr>
              <w:t>越权审批，或无正式批准文件，或偶发性的税收返还、减免</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spacing w:val="-1"/>
                <w:sz w:val="21"/>
              </w:rPr>
              <w:t>3,015,647.05</w:t>
            </w:r>
          </w:p>
        </w:tc>
      </w:tr>
      <w:tr>
        <w:trPr>
          <w:trHeight w:val="838" w:hRule="exact"/>
        </w:trPr>
        <w:tc>
          <w:tcPr>
            <w:tcW w:w="565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5"/>
                <w:sz w:val="21"/>
                <w:szCs w:val="21"/>
              </w:rPr>
              <w:t>计入当期损益的政府补助，但与公司正常经营业务密切相</w:t>
            </w:r>
            <w:r>
              <w:rPr>
                <w:rFonts w:ascii="宋体" w:hAnsi="宋体" w:cs="宋体" w:eastAsia="宋体" w:hint="default"/>
                <w:sz w:val="21"/>
                <w:szCs w:val="21"/>
              </w:rPr>
            </w:r>
          </w:p>
          <w:p>
            <w:pPr>
              <w:pStyle w:val="TableParagraph"/>
              <w:spacing w:line="240" w:lineRule="auto"/>
              <w:ind w:left="98" w:right="90"/>
              <w:jc w:val="left"/>
              <w:rPr>
                <w:rFonts w:ascii="宋体" w:hAnsi="宋体" w:cs="宋体" w:eastAsia="宋体" w:hint="default"/>
                <w:sz w:val="21"/>
                <w:szCs w:val="21"/>
              </w:rPr>
            </w:pPr>
            <w:r>
              <w:rPr>
                <w:rFonts w:ascii="宋体" w:hAnsi="宋体" w:cs="宋体" w:eastAsia="宋体" w:hint="default"/>
                <w:spacing w:val="-3"/>
                <w:sz w:val="21"/>
                <w:szCs w:val="21"/>
              </w:rPr>
              <w:t>关，符合国家政策规定、按照一定标准定额或定量持续享受</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的政府补助除外</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2,696,414.80</w:t>
            </w:r>
          </w:p>
        </w:tc>
      </w:tr>
      <w:tr>
        <w:trPr>
          <w:trHeight w:val="1116" w:hRule="exact"/>
        </w:trPr>
        <w:tc>
          <w:tcPr>
            <w:tcW w:w="565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除同公司正常经营业务相关的有效套期保值业务外，持有交</w:t>
            </w:r>
          </w:p>
          <w:p>
            <w:pPr>
              <w:pStyle w:val="TableParagraph"/>
              <w:spacing w:line="237" w:lineRule="auto" w:before="2"/>
              <w:ind w:left="98" w:right="64"/>
              <w:jc w:val="both"/>
              <w:rPr>
                <w:rFonts w:ascii="宋体" w:hAnsi="宋体" w:cs="宋体" w:eastAsia="宋体" w:hint="default"/>
                <w:sz w:val="21"/>
                <w:szCs w:val="21"/>
              </w:rPr>
            </w:pPr>
            <w:r>
              <w:rPr>
                <w:rFonts w:ascii="宋体" w:hAnsi="宋体" w:cs="宋体" w:eastAsia="宋体" w:hint="default"/>
                <w:spacing w:val="-2"/>
                <w:sz w:val="21"/>
                <w:szCs w:val="21"/>
              </w:rPr>
              <w:t>易性金融资产、交易性金融负债产生的公允价值变动损益，</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以及处置交易性金融资产、交易性金融负债和可供出售金融</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资产取得的投资收益</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93"/>
              <w:jc w:val="right"/>
              <w:rPr>
                <w:rFonts w:ascii="Times New Roman" w:hAnsi="Times New Roman" w:cs="Times New Roman" w:eastAsia="Times New Roman" w:hint="default"/>
                <w:sz w:val="21"/>
                <w:szCs w:val="21"/>
              </w:rPr>
            </w:pPr>
            <w:r>
              <w:rPr>
                <w:rFonts w:ascii="Times New Roman"/>
                <w:spacing w:val="-1"/>
                <w:sz w:val="21"/>
              </w:rPr>
              <w:t>4,269,847.90</w:t>
            </w:r>
          </w:p>
        </w:tc>
      </w:tr>
      <w:tr>
        <w:trPr>
          <w:trHeight w:val="314" w:hRule="exact"/>
        </w:trPr>
        <w:tc>
          <w:tcPr>
            <w:tcW w:w="565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128,039.31</w:t>
            </w:r>
          </w:p>
        </w:tc>
      </w:tr>
      <w:tr>
        <w:trPr>
          <w:trHeight w:val="319" w:hRule="exact"/>
        </w:trPr>
        <w:tc>
          <w:tcPr>
            <w:tcW w:w="565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4"/>
              <w:jc w:val="right"/>
              <w:rPr>
                <w:rFonts w:ascii="Times New Roman" w:hAnsi="Times New Roman" w:cs="Times New Roman" w:eastAsia="Times New Roman" w:hint="default"/>
                <w:sz w:val="21"/>
                <w:szCs w:val="21"/>
              </w:rPr>
            </w:pPr>
            <w:r>
              <w:rPr>
                <w:rFonts w:ascii="Times New Roman"/>
                <w:spacing w:val="-1"/>
                <w:sz w:val="21"/>
              </w:rPr>
              <w:t>-648,723.64</w:t>
            </w:r>
          </w:p>
        </w:tc>
      </w:tr>
      <w:tr>
        <w:trPr>
          <w:trHeight w:val="319" w:hRule="exact"/>
        </w:trPr>
        <w:tc>
          <w:tcPr>
            <w:tcW w:w="565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spacing w:val="-1"/>
                <w:sz w:val="21"/>
              </w:rPr>
              <w:t>-30.00</w:t>
            </w:r>
          </w:p>
        </w:tc>
      </w:tr>
      <w:tr>
        <w:trPr>
          <w:trHeight w:val="322" w:hRule="exact"/>
        </w:trPr>
        <w:tc>
          <w:tcPr>
            <w:tcW w:w="565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3"/>
              <w:jc w:val="right"/>
              <w:rPr>
                <w:rFonts w:ascii="Times New Roman" w:hAnsi="Times New Roman" w:cs="Times New Roman" w:eastAsia="Times New Roman" w:hint="default"/>
                <w:sz w:val="21"/>
                <w:szCs w:val="21"/>
              </w:rPr>
            </w:pPr>
            <w:r>
              <w:rPr>
                <w:rFonts w:ascii="Times New Roman"/>
                <w:spacing w:val="-1"/>
                <w:sz w:val="21"/>
              </w:rPr>
              <w:t>8,919,087.63</w:t>
            </w:r>
          </w:p>
        </w:tc>
      </w:tr>
    </w:tbl>
    <w:p>
      <w:pPr>
        <w:spacing w:line="240" w:lineRule="auto" w:before="12"/>
        <w:rPr>
          <w:rFonts w:ascii="宋体" w:hAnsi="宋体" w:cs="宋体" w:eastAsia="宋体" w:hint="default"/>
          <w:b/>
          <w:bCs/>
          <w:sz w:val="15"/>
          <w:szCs w:val="15"/>
        </w:rPr>
      </w:pPr>
    </w:p>
    <w:p>
      <w:pPr>
        <w:pStyle w:val="Heading4"/>
        <w:spacing w:line="240" w:lineRule="auto" w:before="36"/>
        <w:ind w:left="675" w:right="0"/>
        <w:jc w:val="left"/>
        <w:rPr>
          <w:b w:val="0"/>
          <w:bCs w:val="0"/>
        </w:rPr>
      </w:pPr>
      <w:r>
        <w:rPr>
          <w:rFonts w:ascii="Times New Roman" w:hAnsi="Times New Roman" w:cs="Times New Roman" w:eastAsia="Times New Roman" w:hint="default"/>
        </w:rPr>
        <w:t>9</w:t>
      </w:r>
      <w:r>
        <w:rPr/>
        <w:t>、主要费用情况（单位：人民币元）</w:t>
      </w:r>
      <w:r>
        <w:rPr>
          <w:b w:val="0"/>
          <w:bCs w:val="0"/>
        </w:rPr>
      </w:r>
    </w:p>
    <w:p>
      <w:pPr>
        <w:spacing w:line="240" w:lineRule="auto" w:before="10"/>
        <w:rPr>
          <w:rFonts w:ascii="宋体" w:hAnsi="宋体" w:cs="宋体" w:eastAsia="宋体" w:hint="default"/>
          <w:b/>
          <w:bCs/>
          <w:sz w:val="11"/>
          <w:szCs w:val="11"/>
        </w:rPr>
      </w:pPr>
    </w:p>
    <w:tbl>
      <w:tblPr>
        <w:tblW w:w="0" w:type="auto"/>
        <w:jc w:val="left"/>
        <w:tblInd w:w="141" w:type="dxa"/>
        <w:tblLayout w:type="fixed"/>
        <w:tblCellMar>
          <w:top w:w="0" w:type="dxa"/>
          <w:left w:w="0" w:type="dxa"/>
          <w:bottom w:w="0" w:type="dxa"/>
          <w:right w:w="0" w:type="dxa"/>
        </w:tblCellMar>
        <w:tblLook w:val="01E0"/>
      </w:tblPr>
      <w:tblGrid>
        <w:gridCol w:w="1307"/>
        <w:gridCol w:w="1800"/>
        <w:gridCol w:w="1800"/>
        <w:gridCol w:w="1860"/>
        <w:gridCol w:w="1512"/>
        <w:gridCol w:w="1574"/>
      </w:tblGrid>
      <w:tr>
        <w:trPr>
          <w:trHeight w:val="554" w:hRule="exact"/>
        </w:trPr>
        <w:tc>
          <w:tcPr>
            <w:tcW w:w="130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1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2"/>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2"/>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86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2"/>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51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73" w:lineRule="exact"/>
              <w:ind w:left="767" w:right="0"/>
              <w:jc w:val="left"/>
              <w:rPr>
                <w:rFonts w:ascii="宋体" w:hAnsi="宋体" w:cs="宋体" w:eastAsia="宋体" w:hint="default"/>
                <w:sz w:val="21"/>
                <w:szCs w:val="21"/>
              </w:rPr>
            </w:pPr>
            <w:r>
              <w:rPr>
                <w:rFonts w:ascii="宋体" w:hAnsi="宋体" w:cs="宋体" w:eastAsia="宋体" w:hint="default"/>
                <w:sz w:val="21"/>
                <w:szCs w:val="21"/>
              </w:rPr>
              <w:t>减幅度</w:t>
            </w:r>
          </w:p>
        </w:tc>
        <w:tc>
          <w:tcPr>
            <w:tcW w:w="157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年营业</w:t>
            </w:r>
          </w:p>
          <w:p>
            <w:pPr>
              <w:pStyle w:val="TableParagraph"/>
              <w:spacing w:line="265" w:lineRule="exact"/>
              <w:ind w:left="621" w:right="0"/>
              <w:jc w:val="left"/>
              <w:rPr>
                <w:rFonts w:ascii="宋体" w:hAnsi="宋体" w:cs="宋体" w:eastAsia="宋体" w:hint="default"/>
                <w:sz w:val="21"/>
                <w:szCs w:val="21"/>
              </w:rPr>
            </w:pPr>
            <w:r>
              <w:rPr>
                <w:rFonts w:ascii="宋体" w:hAnsi="宋体" w:cs="宋体" w:eastAsia="宋体" w:hint="default"/>
                <w:sz w:val="21"/>
                <w:szCs w:val="21"/>
              </w:rPr>
              <w:t>收入比例</w:t>
            </w:r>
          </w:p>
        </w:tc>
      </w:tr>
      <w:tr>
        <w:trPr>
          <w:trHeight w:val="310" w:hRule="exact"/>
        </w:trPr>
        <w:tc>
          <w:tcPr>
            <w:tcW w:w="130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53,248,467.78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44,703,163.94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33,812,386.43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19.12%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7.39%</w:t>
            </w:r>
          </w:p>
        </w:tc>
      </w:tr>
      <w:tr>
        <w:trPr>
          <w:trHeight w:val="310" w:hRule="exact"/>
        </w:trPr>
        <w:tc>
          <w:tcPr>
            <w:tcW w:w="130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148,415,751.23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156,735,409.08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120,500,673.72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pacing w:val="-1"/>
                <w:sz w:val="21"/>
              </w:rPr>
              <w:t>-5.31%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20.59%</w:t>
            </w:r>
          </w:p>
        </w:tc>
      </w:tr>
      <w:tr>
        <w:trPr>
          <w:trHeight w:val="310" w:hRule="exact"/>
        </w:trPr>
        <w:tc>
          <w:tcPr>
            <w:tcW w:w="130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-12,406,744.27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-4,182,001.24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-3,684,069.26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z w:val="21"/>
              </w:rPr>
              <w:t>196.67%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1"/>
                <w:szCs w:val="21"/>
              </w:rPr>
            </w:pPr>
            <w:r>
              <w:rPr>
                <w:rFonts w:ascii="Times New Roman"/>
                <w:spacing w:val="-1"/>
                <w:sz w:val="21"/>
              </w:rPr>
              <w:t>-1.72%</w:t>
            </w:r>
          </w:p>
        </w:tc>
      </w:tr>
      <w:tr>
        <w:trPr>
          <w:trHeight w:val="312" w:hRule="exact"/>
        </w:trPr>
        <w:tc>
          <w:tcPr>
            <w:tcW w:w="130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31,275,971.76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16,221,505.56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3,420,228.34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z w:val="21"/>
              </w:rPr>
              <w:t>92.81%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z w:val="21"/>
              </w:rPr>
              <w:t>4.34%</w:t>
            </w:r>
          </w:p>
        </w:tc>
      </w:tr>
    </w:tbl>
    <w:p>
      <w:pPr>
        <w:pStyle w:val="BodyText"/>
        <w:spacing w:line="257" w:lineRule="exact"/>
        <w:ind w:left="672" w:right="0"/>
        <w:jc w:val="left"/>
      </w:pPr>
      <w:r>
        <w:rPr/>
        <w:t>注：（</w:t>
      </w:r>
      <w:r>
        <w:rPr>
          <w:rFonts w:ascii="Times New Roman" w:hAnsi="Times New Roman" w:cs="Times New Roman" w:eastAsia="Times New Roman" w:hint="default"/>
        </w:rPr>
        <w:t>1</w:t>
      </w:r>
      <w:r>
        <w:rPr/>
        <w:t>）财务费用下降</w:t>
      </w:r>
      <w:r>
        <w:rPr>
          <w:rFonts w:ascii="Times New Roman" w:hAnsi="Times New Roman" w:cs="Times New Roman" w:eastAsia="Times New Roman" w:hint="default"/>
        </w:rPr>
        <w:t>196.67%</w:t>
      </w:r>
      <w:r>
        <w:rPr/>
        <w:t>，主要系滚存了</w:t>
      </w:r>
      <w:r>
        <w:rPr>
          <w:rFonts w:ascii="Times New Roman" w:hAnsi="Times New Roman" w:cs="Times New Roman" w:eastAsia="Times New Roman" w:hint="default"/>
        </w:rPr>
        <w:t>3</w:t>
      </w:r>
      <w:r>
        <w:rPr/>
        <w:t>年的定期存款，在本期一次结清本息所致。</w:t>
      </w:r>
    </w:p>
    <w:p>
      <w:pPr>
        <w:pStyle w:val="BodyText"/>
        <w:spacing w:line="240" w:lineRule="auto" w:before="117"/>
        <w:ind w:left="687" w:right="0"/>
        <w:jc w:val="left"/>
      </w:pPr>
      <w:r>
        <w:rPr/>
        <w:t>（</w:t>
      </w:r>
      <w:r>
        <w:rPr>
          <w:rFonts w:ascii="Times New Roman" w:hAnsi="Times New Roman" w:cs="Times New Roman" w:eastAsia="Times New Roman" w:hint="default"/>
        </w:rPr>
        <w:t>2</w:t>
      </w:r>
      <w:r>
        <w:rPr/>
        <w:t>）所得税费用增长 </w:t>
      </w:r>
      <w:r>
        <w:rPr>
          <w:rFonts w:ascii="Times New Roman" w:hAnsi="Times New Roman" w:cs="Times New Roman" w:eastAsia="Times New Roman" w:hint="default"/>
        </w:rPr>
        <w:t>92.81%</w:t>
      </w:r>
      <w:r>
        <w:rPr/>
        <w:t>，主要系公司全资子公司北京中长石基软件有限公司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年度开始按</w:t>
      </w:r>
    </w:p>
    <w:p>
      <w:pPr>
        <w:pStyle w:val="BodyText"/>
        <w:spacing w:line="240" w:lineRule="auto" w:before="117"/>
        <w:ind w:left="252" w:right="0"/>
        <w:jc w:val="left"/>
      </w:pPr>
      <w:r>
        <w:rPr>
          <w:rFonts w:ascii="Times New Roman" w:hAnsi="Times New Roman" w:cs="Times New Roman" w:eastAsia="Times New Roman" w:hint="default"/>
        </w:rPr>
        <w:t>12.5%</w:t>
      </w:r>
      <w:r>
        <w:rPr/>
        <w:t>的所得税率缴纳所得税所致。</w:t>
      </w:r>
    </w:p>
    <w:p>
      <w:pPr>
        <w:pStyle w:val="Heading4"/>
        <w:spacing w:line="240" w:lineRule="auto" w:before="117"/>
        <w:ind w:left="675" w:right="0"/>
        <w:jc w:val="left"/>
        <w:rPr>
          <w:b w:val="0"/>
          <w:bCs w:val="0"/>
        </w:rPr>
      </w:pPr>
      <w:r>
        <w:rPr>
          <w:rFonts w:ascii="Times New Roman" w:hAnsi="Times New Roman" w:cs="Times New Roman" w:eastAsia="Times New Roman" w:hint="default"/>
        </w:rPr>
        <w:t>10</w:t>
      </w:r>
      <w:r>
        <w:rPr/>
        <w:t>、困难与优势分析</w:t>
      </w:r>
      <w:r>
        <w:rPr>
          <w:b w:val="0"/>
          <w:bCs w:val="0"/>
        </w:rPr>
      </w:r>
    </w:p>
    <w:p>
      <w:pPr>
        <w:pStyle w:val="BodyText"/>
        <w:spacing w:line="336" w:lineRule="auto" w:before="119"/>
        <w:ind w:left="672" w:right="0"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）优势分析</w:t>
      </w:r>
      <w:r>
        <w:rPr>
          <w:rFonts w:ascii="宋体" w:hAnsi="宋体" w:cs="宋体" w:eastAsia="宋体" w:hint="default"/>
          <w:b/>
          <w:bCs/>
          <w:w w:val="100"/>
        </w:rPr>
        <w:t> </w:t>
      </w:r>
      <w:r>
        <w:rPr>
          <w:spacing w:val="-3"/>
        </w:rPr>
        <w:t>公司全面整合了前台管理系统（</w:t>
      </w:r>
      <w:r>
        <w:rPr>
          <w:rFonts w:ascii="Times New Roman" w:hAnsi="Times New Roman" w:cs="Times New Roman" w:eastAsia="Times New Roman" w:hint="default"/>
          <w:spacing w:val="-3"/>
        </w:rPr>
        <w:t>PMS</w:t>
      </w:r>
      <w:r>
        <w:rPr>
          <w:spacing w:val="-3"/>
        </w:rPr>
        <w:t>）、酒店餐饮信息系统（</w:t>
      </w:r>
      <w:r>
        <w:rPr>
          <w:rFonts w:ascii="Times New Roman" w:hAnsi="Times New Roman" w:cs="Times New Roman" w:eastAsia="Times New Roman" w:hint="default"/>
          <w:spacing w:val="-3"/>
        </w:rPr>
        <w:t>POS</w:t>
      </w:r>
      <w:r>
        <w:rPr>
          <w:spacing w:val="-3"/>
        </w:rPr>
        <w:t>）、酒店后台管理系统（</w:t>
      </w:r>
      <w:r>
        <w:rPr>
          <w:rFonts w:ascii="Times New Roman" w:hAnsi="Times New Roman" w:cs="Times New Roman" w:eastAsia="Times New Roman" w:hint="default"/>
          <w:spacing w:val="-3"/>
        </w:rPr>
        <w:t>BO</w:t>
      </w:r>
      <w:r>
        <w:rPr>
          <w:spacing w:val="-3"/>
        </w:rPr>
        <w:t>）以及</w:t>
      </w:r>
    </w:p>
    <w:p>
      <w:pPr>
        <w:spacing w:after="0" w:line="336" w:lineRule="auto"/>
        <w:jc w:val="left"/>
        <w:sectPr>
          <w:pgSz w:w="11910" w:h="16840"/>
          <w:pgMar w:header="850" w:footer="979" w:top="1200" w:bottom="1160" w:left="880" w:right="800"/>
        </w:sectPr>
      </w:pPr>
    </w:p>
    <w:p>
      <w:pPr>
        <w:pStyle w:val="BodyText"/>
        <w:spacing w:line="343" w:lineRule="auto" w:before="30"/>
        <w:ind w:left="172" w:right="207"/>
        <w:jc w:val="both"/>
      </w:pPr>
      <w:r>
        <w:rPr/>
        <w:pict>
          <v:group style="position:absolute;margin-left:55.200001pt;margin-top:2.843687pt;width:484.8pt;height:.1pt;mso-position-horizontal-relative:page;mso-position-vertical-relative:paragraph;z-index:-772432" coordorigin="1104,57" coordsize="9696,2">
            <v:shape style="position:absolute;left:1104;top:57;width:9696;height:2" coordorigin="1104,57" coordsize="9696,0" path="m1104,57l10800,57e" filled="false" stroked="true" strokeweight=".72pt" strokecolor="#000000">
              <v:path arrowok="t"/>
            </v:shape>
            <w10:wrap type="none"/>
          </v:group>
        </w:pict>
      </w:r>
      <w:r>
        <w:rPr>
          <w:spacing w:val="-2"/>
        </w:rPr>
        <w:t>其他管理系统（</w:t>
      </w:r>
      <w:r>
        <w:rPr>
          <w:rFonts w:ascii="Times New Roman" w:hAnsi="Times New Roman" w:cs="Times New Roman" w:eastAsia="Times New Roman" w:hint="default"/>
          <w:spacing w:val="-2"/>
        </w:rPr>
        <w:t>LPS</w:t>
      </w:r>
      <w:r>
        <w:rPr>
          <w:spacing w:val="-2"/>
        </w:rPr>
        <w:t>、</w:t>
      </w:r>
      <w:r>
        <w:rPr>
          <w:rFonts w:ascii="Times New Roman" w:hAnsi="Times New Roman" w:cs="Times New Roman" w:eastAsia="Times New Roman" w:hint="default"/>
          <w:spacing w:val="-2"/>
        </w:rPr>
        <w:t>CRM</w:t>
      </w:r>
      <w:r>
        <w:rPr>
          <w:spacing w:val="-2"/>
        </w:rPr>
        <w:t>等），使公司的各类产品融合成为一个功能完整覆盖、技术全面领先的石基数</w:t>
      </w:r>
      <w:r>
        <w:rPr>
          <w:spacing w:val="-29"/>
        </w:rPr>
        <w:t> </w:t>
      </w:r>
      <w:r>
        <w:rPr>
          <w:spacing w:val="-29"/>
        </w:rPr>
      </w:r>
      <w:r>
        <w:rPr>
          <w:spacing w:val="-4"/>
        </w:rPr>
        <w:t>字饭店整体解决方案（</w:t>
      </w:r>
      <w:r>
        <w:rPr>
          <w:rFonts w:ascii="Times New Roman" w:hAnsi="Times New Roman" w:cs="Times New Roman" w:eastAsia="Times New Roman" w:hint="default"/>
          <w:spacing w:val="-4"/>
        </w:rPr>
        <w:t>IP Hotel</w:t>
      </w:r>
      <w:r>
        <w:rPr>
          <w:spacing w:val="-4"/>
        </w:rPr>
        <w:t>），公司产品与服务客观上促进了行业标准化的实现，为整个行业所带来的</w:t>
      </w:r>
      <w:r>
        <w:rPr>
          <w:spacing w:val="-60"/>
        </w:rPr>
        <w:t> </w:t>
      </w:r>
      <w:r>
        <w:rPr>
          <w:spacing w:val="-60"/>
        </w:rPr>
      </w:r>
      <w:r>
        <w:rPr>
          <w:spacing w:val="-2"/>
        </w:rPr>
        <w:t>效率提高与降低成本的价值开始显现，从而进一步强化了公司的技术和市场优势，公司的品牌优势得到进</w:t>
      </w:r>
      <w:r>
        <w:rPr>
          <w:spacing w:val="-43"/>
        </w:rPr>
        <w:t> </w:t>
      </w:r>
      <w:r>
        <w:rPr>
          <w:spacing w:val="-43"/>
        </w:rPr>
      </w:r>
      <w:r>
        <w:rPr/>
        <w:t>一步加强，为公司的长远稳定发展奠定了坚实的基础。</w:t>
      </w:r>
    </w:p>
    <w:p>
      <w:pPr>
        <w:pStyle w:val="BodyText"/>
        <w:spacing w:line="336" w:lineRule="auto" w:before="43"/>
        <w:ind w:left="592" w:right="0" w:hanging="8"/>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）困难分析</w:t>
      </w:r>
      <w:r>
        <w:rPr>
          <w:rFonts w:ascii="宋体" w:hAnsi="宋体" w:cs="宋体" w:eastAsia="宋体" w:hint="default"/>
          <w:b/>
          <w:bCs/>
          <w:w w:val="100"/>
        </w:rPr>
        <w:t> </w:t>
      </w:r>
      <w:r>
        <w:rPr>
          <w:spacing w:val="-2"/>
        </w:rPr>
        <w:t>公司的发展已经进入到了从酒店软件供应商向整个旅游业交易平台提供商的第四次转型阶段，而旅游</w:t>
      </w:r>
    </w:p>
    <w:p>
      <w:pPr>
        <w:pStyle w:val="BodyText"/>
        <w:spacing w:line="357" w:lineRule="auto" w:before="49"/>
        <w:ind w:left="172" w:right="207"/>
        <w:jc w:val="both"/>
      </w:pPr>
      <w:r>
        <w:rPr>
          <w:spacing w:val="-2"/>
        </w:rPr>
        <w:t>酒店行业的信息化发展随着整个信息技术的快速发展与客户需求的变化而不断发展与变化，因此公司的业</w:t>
      </w:r>
      <w:r>
        <w:rPr>
          <w:spacing w:val="-44"/>
        </w:rPr>
        <w:t> </w:t>
      </w:r>
      <w:r>
        <w:rPr>
          <w:spacing w:val="-44"/>
        </w:rPr>
      </w:r>
      <w:r>
        <w:rPr>
          <w:spacing w:val="-2"/>
        </w:rPr>
        <w:t>务规模、业务领域以及业务模式也需随之处于不断的更新和变革之中，这就要求公司首先要能敏锐领悟与</w:t>
      </w:r>
      <w:r>
        <w:rPr>
          <w:spacing w:val="-43"/>
        </w:rPr>
        <w:t> </w:t>
      </w:r>
      <w:r>
        <w:rPr>
          <w:spacing w:val="-43"/>
        </w:rPr>
      </w:r>
      <w:r>
        <w:rPr>
          <w:spacing w:val="-2"/>
        </w:rPr>
        <w:t>洞察行业的发展趋势并及时对公司的产品与服务做出调整，其次随着变化的加快，对管理层的管理和经营</w:t>
      </w:r>
      <w:r>
        <w:rPr>
          <w:spacing w:val="-45"/>
        </w:rPr>
        <w:t> </w:t>
      </w:r>
      <w:r>
        <w:rPr>
          <w:spacing w:val="-45"/>
        </w:rPr>
      </w:r>
      <w:r>
        <w:rPr>
          <w:spacing w:val="-2"/>
        </w:rPr>
        <w:t>能力提出了很大的挑战。因此，公司今后将通过进一步建设职业化管理团队、加强内部控制的建设克服这</w:t>
      </w:r>
      <w:r>
        <w:rPr>
          <w:spacing w:val="-48"/>
        </w:rPr>
        <w:t> </w:t>
      </w:r>
      <w:r>
        <w:rPr>
          <w:spacing w:val="-48"/>
        </w:rPr>
      </w:r>
      <w:r>
        <w:rPr/>
        <w:t>一困难。</w:t>
      </w:r>
    </w:p>
    <w:p>
      <w:pPr>
        <w:pStyle w:val="Heading4"/>
        <w:spacing w:line="240" w:lineRule="auto" w:before="30"/>
        <w:ind w:left="585" w:right="0"/>
        <w:jc w:val="left"/>
        <w:rPr>
          <w:b w:val="0"/>
          <w:bCs w:val="0"/>
        </w:rPr>
      </w:pPr>
      <w:r>
        <w:rPr>
          <w:rFonts w:ascii="Times New Roman" w:hAnsi="Times New Roman" w:cs="Times New Roman" w:eastAsia="Times New Roman" w:hint="default"/>
        </w:rPr>
        <w:t>11</w:t>
      </w:r>
      <w:r>
        <w:rPr/>
        <w:t>、现金流状况分析</w:t>
      </w:r>
      <w:r>
        <w:rPr>
          <w:b w:val="0"/>
          <w:bCs w:val="0"/>
        </w:rPr>
      </w:r>
    </w:p>
    <w:p>
      <w:pPr>
        <w:spacing w:line="240" w:lineRule="auto" w:before="10"/>
        <w:rPr>
          <w:rFonts w:ascii="宋体" w:hAnsi="宋体" w:cs="宋体" w:eastAsia="宋体" w:hint="default"/>
          <w:b/>
          <w:bCs/>
          <w:sz w:val="11"/>
          <w:szCs w:val="11"/>
        </w:rPr>
      </w:pPr>
    </w:p>
    <w:tbl>
      <w:tblPr>
        <w:tblW w:w="0" w:type="auto"/>
        <w:jc w:val="left"/>
        <w:tblInd w:w="113" w:type="dxa"/>
        <w:tblLayout w:type="fixed"/>
        <w:tblCellMar>
          <w:top w:w="0" w:type="dxa"/>
          <w:left w:w="0" w:type="dxa"/>
          <w:bottom w:w="0" w:type="dxa"/>
          <w:right w:w="0" w:type="dxa"/>
        </w:tblCellMar>
        <w:tblLook w:val="01E0"/>
      </w:tblPr>
      <w:tblGrid>
        <w:gridCol w:w="2951"/>
        <w:gridCol w:w="1896"/>
        <w:gridCol w:w="1776"/>
        <w:gridCol w:w="1390"/>
        <w:gridCol w:w="1733"/>
      </w:tblGrid>
      <w:tr>
        <w:trPr>
          <w:trHeight w:val="650" w:hRule="exact"/>
        </w:trPr>
        <w:tc>
          <w:tcPr>
            <w:tcW w:w="29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48"/>
              <w:ind w:left="4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7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48"/>
              <w:ind w:left="4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39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73" w:lineRule="exact" w:before="14"/>
              <w:ind w:left="4" w:right="0"/>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3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72" w:lineRule="exact" w:before="41"/>
              <w:ind w:left="249" w:right="122" w:hanging="125"/>
              <w:jc w:val="left"/>
              <w:rPr>
                <w:rFonts w:ascii="宋体" w:hAnsi="宋体" w:cs="宋体" w:eastAsia="宋体" w:hint="default"/>
                <w:sz w:val="21"/>
                <w:szCs w:val="21"/>
              </w:rPr>
            </w:pPr>
            <w:r>
              <w:rPr>
                <w:rFonts w:ascii="宋体" w:hAnsi="宋体" w:cs="宋体" w:eastAsia="宋体" w:hint="default"/>
                <w:sz w:val="21"/>
                <w:szCs w:val="21"/>
              </w:rPr>
              <w:t>同比变动幅度超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过</w:t>
            </w:r>
            <w:r>
              <w:rPr>
                <w:rFonts w:ascii="Times New Roman" w:hAnsi="Times New Roman" w:cs="Times New Roman" w:eastAsia="Times New Roman" w:hint="default"/>
                <w:sz w:val="21"/>
                <w:szCs w:val="21"/>
              </w:rPr>
              <w:t>30%</w:t>
            </w:r>
            <w:r>
              <w:rPr>
                <w:rFonts w:ascii="宋体" w:hAnsi="宋体" w:cs="宋体" w:eastAsia="宋体" w:hint="default"/>
                <w:sz w:val="21"/>
                <w:szCs w:val="21"/>
              </w:rPr>
              <w:t>的原因</w:t>
            </w:r>
          </w:p>
        </w:tc>
      </w:tr>
      <w:tr>
        <w:trPr>
          <w:trHeight w:val="650" w:hRule="exact"/>
        </w:trPr>
        <w:tc>
          <w:tcPr>
            <w:tcW w:w="29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2" w:lineRule="exact" w:before="41"/>
              <w:ind w:left="104" w:right="98"/>
              <w:jc w:val="left"/>
              <w:rPr>
                <w:rFonts w:ascii="宋体" w:hAnsi="宋体" w:cs="宋体" w:eastAsia="宋体" w:hint="default"/>
                <w:sz w:val="21"/>
                <w:szCs w:val="21"/>
              </w:rPr>
            </w:pPr>
            <w:r>
              <w:rPr>
                <w:rFonts w:ascii="宋体" w:hAnsi="宋体" w:cs="宋体" w:eastAsia="宋体" w:hint="default"/>
                <w:spacing w:val="-1"/>
                <w:sz w:val="21"/>
                <w:szCs w:val="21"/>
              </w:rPr>
              <w:t>一、经营活动产生的现金流量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275,207,163.65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203,266,424.33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35.39%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r>
      <w:tr>
        <w:trPr>
          <w:trHeight w:val="377" w:hRule="exact"/>
        </w:trPr>
        <w:tc>
          <w:tcPr>
            <w:tcW w:w="29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524"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838,016,821.77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668,244,455.91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5"/>
              <w:jc w:val="right"/>
              <w:rPr>
                <w:rFonts w:ascii="Times New Roman" w:hAnsi="Times New Roman" w:cs="Times New Roman" w:eastAsia="Times New Roman" w:hint="default"/>
                <w:sz w:val="21"/>
                <w:szCs w:val="21"/>
              </w:rPr>
            </w:pPr>
            <w:r>
              <w:rPr>
                <w:rFonts w:ascii="Times New Roman"/>
                <w:sz w:val="21"/>
              </w:rPr>
              <w:t>25.41%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29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6"/>
              <w:ind w:left="524"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562,809,658.13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464,978,031.58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5"/>
              <w:jc w:val="right"/>
              <w:rPr>
                <w:rFonts w:ascii="Times New Roman" w:hAnsi="Times New Roman" w:cs="Times New Roman" w:eastAsia="Times New Roman" w:hint="default"/>
                <w:sz w:val="21"/>
                <w:szCs w:val="21"/>
              </w:rPr>
            </w:pPr>
            <w:r>
              <w:rPr>
                <w:rFonts w:ascii="Times New Roman"/>
                <w:sz w:val="21"/>
              </w:rPr>
              <w:t>21.04%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650" w:hRule="exact"/>
        </w:trPr>
        <w:tc>
          <w:tcPr>
            <w:tcW w:w="29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104" w:right="98"/>
              <w:jc w:val="left"/>
              <w:rPr>
                <w:rFonts w:ascii="宋体" w:hAnsi="宋体" w:cs="宋体" w:eastAsia="宋体" w:hint="default"/>
                <w:sz w:val="21"/>
                <w:szCs w:val="21"/>
              </w:rPr>
            </w:pPr>
            <w:r>
              <w:rPr>
                <w:rFonts w:ascii="宋体" w:hAnsi="宋体" w:cs="宋体" w:eastAsia="宋体" w:hint="default"/>
                <w:spacing w:val="-1"/>
                <w:sz w:val="21"/>
                <w:szCs w:val="21"/>
              </w:rPr>
              <w:t>二、投资活动产生的现金流量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98"/>
              <w:jc w:val="right"/>
              <w:rPr>
                <w:rFonts w:ascii="Times New Roman" w:hAnsi="Times New Roman" w:cs="Times New Roman" w:eastAsia="Times New Roman" w:hint="default"/>
                <w:sz w:val="21"/>
                <w:szCs w:val="21"/>
              </w:rPr>
            </w:pPr>
            <w:r>
              <w:rPr>
                <w:rFonts w:ascii="Times New Roman"/>
                <w:spacing w:val="-1"/>
                <w:sz w:val="21"/>
              </w:rPr>
              <w:t>-299,950,295.57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-56,812,868.20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95"/>
              <w:jc w:val="right"/>
              <w:rPr>
                <w:rFonts w:ascii="Times New Roman" w:hAnsi="Times New Roman" w:cs="Times New Roman" w:eastAsia="Times New Roman" w:hint="default"/>
                <w:sz w:val="21"/>
                <w:szCs w:val="21"/>
              </w:rPr>
            </w:pPr>
            <w:r>
              <w:rPr>
                <w:rFonts w:ascii="Times New Roman"/>
                <w:sz w:val="21"/>
              </w:rPr>
              <w:t>427.96%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2</w:t>
            </w:r>
          </w:p>
        </w:tc>
      </w:tr>
      <w:tr>
        <w:trPr>
          <w:trHeight w:val="379" w:hRule="exact"/>
        </w:trPr>
        <w:tc>
          <w:tcPr>
            <w:tcW w:w="29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524"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21"/>
                <w:szCs w:val="21"/>
              </w:rPr>
            </w:pPr>
            <w:r>
              <w:rPr>
                <w:rFonts w:ascii="Times New Roman"/>
                <w:spacing w:val="-1"/>
                <w:sz w:val="21"/>
              </w:rPr>
              <w:t>1,496,808,934.34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70,148.41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5"/>
              <w:jc w:val="right"/>
              <w:rPr>
                <w:rFonts w:ascii="Times New Roman" w:hAnsi="Times New Roman" w:cs="Times New Roman" w:eastAsia="Times New Roman" w:hint="default"/>
                <w:sz w:val="21"/>
                <w:szCs w:val="21"/>
              </w:rPr>
            </w:pPr>
            <w:r>
              <w:rPr>
                <w:rFonts w:ascii="Times New Roman"/>
                <w:spacing w:val="-1"/>
                <w:sz w:val="21"/>
              </w:rPr>
              <w:t>2133674.57%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377" w:hRule="exact"/>
        </w:trPr>
        <w:tc>
          <w:tcPr>
            <w:tcW w:w="29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524"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21"/>
                <w:szCs w:val="21"/>
              </w:rPr>
            </w:pPr>
            <w:r>
              <w:rPr>
                <w:rFonts w:ascii="Times New Roman"/>
                <w:spacing w:val="-1"/>
                <w:sz w:val="21"/>
              </w:rPr>
              <w:t>1,796,759,229.91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56,883,016.61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5"/>
              <w:jc w:val="right"/>
              <w:rPr>
                <w:rFonts w:ascii="Times New Roman" w:hAnsi="Times New Roman" w:cs="Times New Roman" w:eastAsia="Times New Roman" w:hint="default"/>
                <w:sz w:val="21"/>
                <w:szCs w:val="21"/>
              </w:rPr>
            </w:pPr>
            <w:r>
              <w:rPr>
                <w:rFonts w:ascii="Times New Roman"/>
                <w:spacing w:val="-1"/>
                <w:sz w:val="21"/>
              </w:rPr>
              <w:t>3058.69%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653" w:hRule="exact"/>
        </w:trPr>
        <w:tc>
          <w:tcPr>
            <w:tcW w:w="29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2" w:lineRule="exact" w:before="44"/>
              <w:ind w:left="104" w:right="98"/>
              <w:jc w:val="left"/>
              <w:rPr>
                <w:rFonts w:ascii="宋体" w:hAnsi="宋体" w:cs="宋体" w:eastAsia="宋体" w:hint="default"/>
                <w:sz w:val="21"/>
                <w:szCs w:val="21"/>
              </w:rPr>
            </w:pPr>
            <w:r>
              <w:rPr>
                <w:rFonts w:ascii="宋体" w:hAnsi="宋体" w:cs="宋体" w:eastAsia="宋体" w:hint="default"/>
                <w:spacing w:val="-1"/>
                <w:sz w:val="21"/>
                <w:szCs w:val="21"/>
              </w:rPr>
              <w:t>三、筹资活动产生的现金流量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98"/>
              <w:jc w:val="right"/>
              <w:rPr>
                <w:rFonts w:ascii="Times New Roman" w:hAnsi="Times New Roman" w:cs="Times New Roman" w:eastAsia="Times New Roman" w:hint="default"/>
                <w:sz w:val="21"/>
                <w:szCs w:val="21"/>
              </w:rPr>
            </w:pPr>
            <w:r>
              <w:rPr>
                <w:rFonts w:ascii="Times New Roman"/>
                <w:spacing w:val="-1"/>
                <w:sz w:val="21"/>
              </w:rPr>
              <w:t>-29,062,072.57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-67,552,000.00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98"/>
              <w:jc w:val="right"/>
              <w:rPr>
                <w:rFonts w:ascii="Times New Roman" w:hAnsi="Times New Roman" w:cs="Times New Roman" w:eastAsia="Times New Roman" w:hint="default"/>
                <w:sz w:val="21"/>
                <w:szCs w:val="21"/>
              </w:rPr>
            </w:pPr>
            <w:r>
              <w:rPr>
                <w:rFonts w:ascii="Times New Roman"/>
                <w:spacing w:val="-1"/>
                <w:sz w:val="21"/>
              </w:rPr>
              <w:t>-56.98%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2</w:t>
            </w:r>
          </w:p>
        </w:tc>
      </w:tr>
      <w:tr>
        <w:trPr>
          <w:trHeight w:val="377" w:hRule="exact"/>
        </w:trPr>
        <w:tc>
          <w:tcPr>
            <w:tcW w:w="29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524"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w w:val="100"/>
                <w:sz w:val="21"/>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29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524"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29,062,072.57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67,552,000.00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-56.98%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2</w:t>
            </w:r>
          </w:p>
        </w:tc>
      </w:tr>
      <w:tr>
        <w:trPr>
          <w:trHeight w:val="650" w:hRule="exact"/>
        </w:trPr>
        <w:tc>
          <w:tcPr>
            <w:tcW w:w="29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104" w:right="98"/>
              <w:jc w:val="left"/>
              <w:rPr>
                <w:rFonts w:ascii="宋体" w:hAnsi="宋体" w:cs="宋体" w:eastAsia="宋体" w:hint="default"/>
                <w:sz w:val="21"/>
                <w:szCs w:val="21"/>
              </w:rPr>
            </w:pPr>
            <w:r>
              <w:rPr>
                <w:rFonts w:ascii="宋体" w:hAnsi="宋体" w:cs="宋体" w:eastAsia="宋体" w:hint="default"/>
                <w:spacing w:val="-1"/>
                <w:sz w:val="21"/>
                <w:szCs w:val="21"/>
              </w:rPr>
              <w:t>四、现金及现金等价物净增加</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-53,579,891.43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78,901,556.13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-167.91%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29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524" w:right="0"/>
              <w:jc w:val="left"/>
              <w:rPr>
                <w:rFonts w:ascii="宋体" w:hAnsi="宋体" w:cs="宋体" w:eastAsia="宋体" w:hint="default"/>
                <w:sz w:val="21"/>
                <w:szCs w:val="21"/>
              </w:rPr>
            </w:pPr>
            <w:r>
              <w:rPr>
                <w:rFonts w:ascii="宋体" w:hAnsi="宋体" w:cs="宋体" w:eastAsia="宋体" w:hint="default"/>
                <w:sz w:val="21"/>
                <w:szCs w:val="21"/>
              </w:rPr>
              <w:t>现金流入总计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21"/>
                <w:szCs w:val="21"/>
              </w:rPr>
            </w:pPr>
            <w:r>
              <w:rPr>
                <w:rFonts w:ascii="Times New Roman"/>
                <w:spacing w:val="-1"/>
                <w:sz w:val="21"/>
              </w:rPr>
              <w:t>2,334,703,726.67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668,314,604.32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5"/>
              <w:jc w:val="right"/>
              <w:rPr>
                <w:rFonts w:ascii="Times New Roman" w:hAnsi="Times New Roman" w:cs="Times New Roman" w:eastAsia="Times New Roman" w:hint="default"/>
                <w:sz w:val="21"/>
                <w:szCs w:val="21"/>
              </w:rPr>
            </w:pPr>
            <w:r>
              <w:rPr>
                <w:rFonts w:ascii="Times New Roman"/>
                <w:sz w:val="21"/>
              </w:rPr>
              <w:t>249.34%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377" w:hRule="exact"/>
        </w:trPr>
        <w:tc>
          <w:tcPr>
            <w:tcW w:w="295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524" w:right="0"/>
              <w:jc w:val="left"/>
              <w:rPr>
                <w:rFonts w:ascii="宋体" w:hAnsi="宋体" w:cs="宋体" w:eastAsia="宋体" w:hint="default"/>
                <w:sz w:val="21"/>
                <w:szCs w:val="21"/>
              </w:rPr>
            </w:pPr>
            <w:r>
              <w:rPr>
                <w:rFonts w:ascii="宋体" w:hAnsi="宋体" w:cs="宋体" w:eastAsia="宋体" w:hint="default"/>
                <w:sz w:val="21"/>
                <w:szCs w:val="21"/>
              </w:rPr>
              <w:t>现金流出总计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21"/>
                <w:szCs w:val="21"/>
              </w:rPr>
            </w:pPr>
            <w:r>
              <w:rPr>
                <w:rFonts w:ascii="Times New Roman"/>
                <w:spacing w:val="-1"/>
                <w:sz w:val="21"/>
              </w:rPr>
              <w:t>2,388,508,931.17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589,413,048.19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5"/>
              <w:jc w:val="right"/>
              <w:rPr>
                <w:rFonts w:ascii="Times New Roman" w:hAnsi="Times New Roman" w:cs="Times New Roman" w:eastAsia="Times New Roman" w:hint="default"/>
                <w:sz w:val="21"/>
                <w:szCs w:val="21"/>
              </w:rPr>
            </w:pPr>
            <w:r>
              <w:rPr>
                <w:rFonts w:ascii="Times New Roman"/>
                <w:sz w:val="21"/>
              </w:rPr>
              <w:t>305.24%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57" w:lineRule="exact"/>
        <w:ind w:left="607" w:right="0"/>
        <w:jc w:val="left"/>
      </w:pPr>
      <w:r>
        <w:rPr>
          <w:spacing w:val="-2"/>
        </w:rPr>
        <w:t>注：（</w:t>
      </w:r>
      <w:r>
        <w:rPr>
          <w:rFonts w:ascii="Times New Roman" w:hAnsi="Times New Roman" w:cs="Times New Roman" w:eastAsia="Times New Roman" w:hint="default"/>
          <w:spacing w:val="-2"/>
        </w:rPr>
        <w:t>1</w:t>
      </w:r>
      <w:r>
        <w:rPr>
          <w:spacing w:val="-2"/>
        </w:rPr>
        <w:t>）报告期内，经营活动产生的现金流量净额同比增长</w:t>
      </w:r>
      <w:r>
        <w:rPr>
          <w:spacing w:val="31"/>
        </w:rPr>
        <w:t> </w:t>
      </w:r>
      <w:r>
        <w:rPr>
          <w:rFonts w:ascii="Times New Roman" w:hAnsi="Times New Roman" w:cs="Times New Roman" w:eastAsia="Times New Roman" w:hint="default"/>
          <w:spacing w:val="-2"/>
        </w:rPr>
        <w:t>35.39%</w:t>
      </w:r>
      <w:r>
        <w:rPr>
          <w:spacing w:val="-2"/>
        </w:rPr>
        <w:t>，主要是由于本年度销售收入的</w:t>
      </w:r>
    </w:p>
    <w:p>
      <w:pPr>
        <w:pStyle w:val="BodyText"/>
        <w:spacing w:line="240" w:lineRule="auto" w:before="119"/>
        <w:ind w:left="172" w:right="0"/>
        <w:jc w:val="left"/>
      </w:pPr>
      <w:r>
        <w:rPr/>
        <w:t>增长及扩大合并范围所致；</w:t>
      </w:r>
    </w:p>
    <w:p>
      <w:pPr>
        <w:pStyle w:val="BodyText"/>
        <w:spacing w:line="336" w:lineRule="auto" w:before="133"/>
        <w:ind w:left="173" w:right="209" w:firstLine="434"/>
        <w:jc w:val="left"/>
      </w:pPr>
      <w:r>
        <w:rPr/>
        <w:t>（</w:t>
      </w:r>
      <w:r>
        <w:rPr>
          <w:rFonts w:ascii="Times New Roman" w:hAnsi="Times New Roman" w:cs="Times New Roman" w:eastAsia="Times New Roman" w:hint="default"/>
        </w:rPr>
        <w:t>2</w:t>
      </w:r>
      <w:r>
        <w:rPr/>
        <w:t>）报告期内，投资活动产生的现金流量净额同比减少</w:t>
      </w:r>
      <w:r>
        <w:rPr>
          <w:spacing w:val="-41"/>
        </w:rPr>
        <w:t> </w:t>
      </w:r>
      <w:r>
        <w:rPr>
          <w:rFonts w:ascii="Times New Roman" w:hAnsi="Times New Roman" w:cs="Times New Roman" w:eastAsia="Times New Roman" w:hint="default"/>
        </w:rPr>
        <w:t>427%</w:t>
      </w:r>
      <w:r>
        <w:rPr/>
        <w:t>，主要原因是</w:t>
      </w:r>
      <w:r>
        <w:rPr>
          <w:spacing w:val="-4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年度公司办理了保</w:t>
      </w:r>
      <w:r>
        <w:rPr>
          <w:spacing w:val="-3"/>
          <w:w w:val="100"/>
        </w:rPr>
        <w:t> </w:t>
      </w:r>
      <w:r>
        <w:rPr/>
        <w:t>本型的短期理财产品，截至报告期末尚未收回本息及支付购买上海正品贵德股权款项共同所致。</w:t>
      </w:r>
    </w:p>
    <w:p>
      <w:pPr>
        <w:pStyle w:val="BodyText"/>
        <w:spacing w:line="338" w:lineRule="auto" w:before="49"/>
        <w:ind w:left="593" w:right="0"/>
        <w:jc w:val="left"/>
      </w:pPr>
      <w:r>
        <w:rPr/>
        <w:t>报告期内，投资活动现金流入量增长</w:t>
      </w:r>
      <w:r>
        <w:rPr>
          <w:rFonts w:ascii="Times New Roman" w:hAnsi="Times New Roman" w:cs="Times New Roman" w:eastAsia="Times New Roman" w:hint="default"/>
        </w:rPr>
        <w:t>2133674.57%</w:t>
      </w:r>
      <w:r>
        <w:rPr/>
        <w:t>，主要是购买理财产品收回的本息。</w:t>
      </w:r>
      <w:r>
        <w:rPr>
          <w:w w:val="100"/>
        </w:rPr>
        <w:t> </w:t>
      </w:r>
      <w:r>
        <w:rPr>
          <w:spacing w:val="-5"/>
        </w:rPr>
        <w:t>报告期内，投资活动现金流出量增长</w:t>
      </w:r>
      <w:r>
        <w:rPr>
          <w:rFonts w:ascii="Times New Roman" w:hAnsi="Times New Roman" w:cs="Times New Roman" w:eastAsia="Times New Roman" w:hint="default"/>
          <w:spacing w:val="-5"/>
        </w:rPr>
        <w:t>3058.69%</w:t>
      </w:r>
      <w:r>
        <w:rPr>
          <w:spacing w:val="-5"/>
        </w:rPr>
        <w:t>，主要是购买理财产品款及支付购买正品贵德的股权款。</w:t>
      </w:r>
    </w:p>
    <w:p>
      <w:pPr>
        <w:pStyle w:val="BodyText"/>
        <w:spacing w:line="240" w:lineRule="auto" w:before="22"/>
        <w:ind w:left="593" w:right="0"/>
        <w:jc w:val="left"/>
      </w:pPr>
      <w:r>
        <w:rPr>
          <w:spacing w:val="-3"/>
        </w:rPr>
        <w:t>（</w:t>
      </w:r>
      <w:r>
        <w:rPr>
          <w:rFonts w:ascii="Times New Roman" w:hAnsi="Times New Roman" w:cs="Times New Roman" w:eastAsia="Times New Roman" w:hint="default"/>
          <w:spacing w:val="-3"/>
        </w:rPr>
        <w:t>3</w:t>
      </w:r>
      <w:r>
        <w:rPr>
          <w:spacing w:val="-3"/>
        </w:rPr>
        <w:t>）报告期内，筹资活动现金流出量减少</w:t>
      </w:r>
      <w:r>
        <w:rPr>
          <w:rFonts w:ascii="Times New Roman" w:hAnsi="Times New Roman" w:cs="Times New Roman" w:eastAsia="Times New Roman" w:hint="default"/>
          <w:spacing w:val="-3"/>
        </w:rPr>
        <w:t>56.98%</w:t>
      </w:r>
      <w:r>
        <w:rPr>
          <w:spacing w:val="-3"/>
        </w:rPr>
        <w:t>，主要是由于本年支付的股利较上年大幅减少所致。</w:t>
      </w:r>
    </w:p>
    <w:p>
      <w:pPr>
        <w:pStyle w:val="BodyText"/>
        <w:spacing w:line="240" w:lineRule="auto" w:before="117"/>
        <w:ind w:left="607" w:right="0"/>
        <w:jc w:val="left"/>
      </w:pPr>
      <w:r>
        <w:rPr/>
        <w:t>（</w:t>
      </w:r>
      <w:r>
        <w:rPr>
          <w:rFonts w:ascii="Times New Roman" w:hAnsi="Times New Roman" w:cs="Times New Roman" w:eastAsia="Times New Roman" w:hint="default"/>
        </w:rPr>
        <w:t>4</w:t>
      </w:r>
      <w:r>
        <w:rPr/>
        <w:t>）现金及现金等价物净增加额同比下降</w:t>
      </w:r>
      <w:r>
        <w:rPr>
          <w:spacing w:val="-58"/>
        </w:rPr>
        <w:t> </w:t>
      </w:r>
      <w:r>
        <w:rPr>
          <w:rFonts w:ascii="Times New Roman" w:hAnsi="Times New Roman" w:cs="Times New Roman" w:eastAsia="Times New Roman" w:hint="default"/>
        </w:rPr>
        <w:t>167.91%</w:t>
      </w:r>
      <w:r>
        <w:rPr/>
        <w:t>，主要原因是</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年度公司办理了保本型的短期</w:t>
      </w:r>
    </w:p>
    <w:p>
      <w:pPr>
        <w:spacing w:after="0" w:line="240" w:lineRule="auto"/>
        <w:jc w:val="left"/>
        <w:sectPr>
          <w:pgSz w:w="11910" w:h="16840"/>
          <w:pgMar w:header="850" w:footer="979" w:top="1200" w:bottom="1160" w:left="960" w:right="920"/>
        </w:sectPr>
      </w:pPr>
    </w:p>
    <w:p>
      <w:pPr>
        <w:pStyle w:val="BodyText"/>
        <w:spacing w:line="240" w:lineRule="auto" w:before="30"/>
        <w:ind w:right="3480"/>
        <w:jc w:val="left"/>
      </w:pPr>
      <w:r>
        <w:rPr/>
        <w:pict>
          <v:group style="position:absolute;margin-left:55.200001pt;margin-top:2.843687pt;width:484.8pt;height:.1pt;mso-position-horizontal-relative:page;mso-position-vertical-relative:paragraph;z-index:-772408" coordorigin="1104,57" coordsize="9696,2">
            <v:shape style="position:absolute;left:1104;top:57;width:9696;height:2" coordorigin="1104,57" coordsize="9696,0" path="m1104,57l10800,57e" filled="false" stroked="true" strokeweight=".72pt" strokecolor="#000000">
              <v:path arrowok="t"/>
            </v:shape>
            <w10:wrap type="none"/>
          </v:group>
        </w:pict>
      </w:r>
      <w:r>
        <w:rPr/>
        <w:t>理财产品所致。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4"/>
        <w:spacing w:line="240" w:lineRule="auto"/>
        <w:ind w:left="575" w:right="3480"/>
        <w:jc w:val="left"/>
        <w:rPr>
          <w:b w:val="0"/>
          <w:bCs w:val="0"/>
        </w:rPr>
      </w:pPr>
      <w:r>
        <w:rPr>
          <w:rFonts w:ascii="Times New Roman" w:hAnsi="Times New Roman" w:cs="Times New Roman" w:eastAsia="Times New Roman" w:hint="default"/>
        </w:rPr>
        <w:t>12</w:t>
      </w:r>
      <w:r>
        <w:rPr/>
        <w:t>、薪酬分析</w:t>
      </w:r>
      <w:r>
        <w:rPr>
          <w:b w:val="0"/>
          <w:bCs w:val="0"/>
        </w:rPr>
      </w:r>
    </w:p>
    <w:p>
      <w:pPr>
        <w:spacing w:line="240" w:lineRule="auto" w:before="7"/>
        <w:rPr>
          <w:rFonts w:ascii="宋体" w:hAnsi="宋体" w:cs="宋体" w:eastAsia="宋体" w:hint="default"/>
          <w:b/>
          <w:bCs/>
          <w:sz w:val="11"/>
          <w:szCs w:val="11"/>
        </w:rPr>
      </w:pPr>
    </w:p>
    <w:tbl>
      <w:tblPr>
        <w:tblW w:w="0" w:type="auto"/>
        <w:jc w:val="left"/>
        <w:tblInd w:w="133" w:type="dxa"/>
        <w:tblLayout w:type="fixed"/>
        <w:tblCellMar>
          <w:top w:w="0" w:type="dxa"/>
          <w:left w:w="0" w:type="dxa"/>
          <w:bottom w:w="0" w:type="dxa"/>
          <w:right w:w="0" w:type="dxa"/>
        </w:tblCellMar>
        <w:tblLook w:val="01E0"/>
      </w:tblPr>
      <w:tblGrid>
        <w:gridCol w:w="1056"/>
        <w:gridCol w:w="2383"/>
        <w:gridCol w:w="1250"/>
        <w:gridCol w:w="835"/>
        <w:gridCol w:w="1248"/>
        <w:gridCol w:w="1121"/>
        <w:gridCol w:w="1764"/>
      </w:tblGrid>
      <w:tr>
        <w:trPr>
          <w:trHeight w:val="1656" w:hRule="exact"/>
        </w:trPr>
        <w:tc>
          <w:tcPr>
            <w:tcW w:w="1056"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83"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right="14"/>
              <w:jc w:val="center"/>
              <w:rPr>
                <w:rFonts w:ascii="宋体" w:hAnsi="宋体" w:cs="宋体" w:eastAsia="宋体" w:hint="default"/>
                <w:sz w:val="21"/>
                <w:szCs w:val="21"/>
              </w:rPr>
            </w:pPr>
            <w:r>
              <w:rPr>
                <w:rFonts w:ascii="宋体" w:hAnsi="宋体" w:cs="宋体" w:eastAsia="宋体" w:hint="default"/>
                <w:sz w:val="21"/>
                <w:szCs w:val="21"/>
              </w:rPr>
              <w:t>职务</w:t>
            </w:r>
          </w:p>
        </w:tc>
        <w:tc>
          <w:tcPr>
            <w:tcW w:w="1250"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32" w:lineRule="auto"/>
              <w:ind w:left="-8" w:right="2" w:hanging="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年度从</w:t>
            </w:r>
            <w:r>
              <w:rPr>
                <w:rFonts w:ascii="宋体" w:hAnsi="宋体" w:cs="宋体" w:eastAsia="宋体" w:hint="default"/>
                <w:spacing w:val="-3"/>
                <w:w w:val="100"/>
                <w:sz w:val="21"/>
                <w:szCs w:val="21"/>
              </w:rPr>
              <w:t> </w:t>
            </w:r>
            <w:r>
              <w:rPr>
                <w:rFonts w:ascii="宋体" w:hAnsi="宋体" w:cs="宋体" w:eastAsia="宋体" w:hint="default"/>
                <w:sz w:val="21"/>
                <w:szCs w:val="21"/>
              </w:rPr>
              <w:t>公司领取的</w:t>
            </w:r>
            <w:r>
              <w:rPr>
                <w:rFonts w:ascii="宋体" w:hAnsi="宋体" w:cs="宋体" w:eastAsia="宋体" w:hint="default"/>
                <w:w w:val="100"/>
                <w:sz w:val="21"/>
                <w:szCs w:val="21"/>
              </w:rPr>
              <w:t> </w:t>
            </w:r>
            <w:r>
              <w:rPr>
                <w:rFonts w:ascii="宋体" w:hAnsi="宋体" w:cs="宋体" w:eastAsia="宋体" w:hint="default"/>
                <w:spacing w:val="-6"/>
                <w:sz w:val="21"/>
                <w:szCs w:val="21"/>
              </w:rPr>
              <w:t>报酬总额（万</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835"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9" w:lineRule="exact"/>
              <w:ind w:right="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p>
            <w:pPr>
              <w:pStyle w:val="TableParagraph"/>
              <w:spacing w:line="237" w:lineRule="auto"/>
              <w:ind w:left="-10" w:right="7" w:hanging="1"/>
              <w:jc w:val="center"/>
              <w:rPr>
                <w:rFonts w:ascii="宋体" w:hAnsi="宋体" w:cs="宋体" w:eastAsia="宋体" w:hint="default"/>
                <w:sz w:val="21"/>
                <w:szCs w:val="21"/>
              </w:rPr>
            </w:pPr>
            <w:r>
              <w:rPr>
                <w:rFonts w:ascii="宋体" w:hAnsi="宋体" w:cs="宋体" w:eastAsia="宋体" w:hint="default"/>
                <w:sz w:val="21"/>
                <w:szCs w:val="21"/>
              </w:rPr>
              <w:t>度从公</w:t>
            </w:r>
            <w:r>
              <w:rPr>
                <w:rFonts w:ascii="宋体" w:hAnsi="宋体" w:cs="宋体" w:eastAsia="宋体" w:hint="default"/>
                <w:w w:val="100"/>
                <w:sz w:val="21"/>
                <w:szCs w:val="21"/>
              </w:rPr>
              <w:t> </w:t>
            </w:r>
            <w:r>
              <w:rPr>
                <w:rFonts w:ascii="宋体" w:hAnsi="宋体" w:cs="宋体" w:eastAsia="宋体" w:hint="default"/>
                <w:sz w:val="21"/>
                <w:szCs w:val="21"/>
              </w:rPr>
              <w:t>司领取</w:t>
            </w:r>
            <w:r>
              <w:rPr>
                <w:rFonts w:ascii="宋体" w:hAnsi="宋体" w:cs="宋体" w:eastAsia="宋体" w:hint="default"/>
                <w:w w:val="100"/>
                <w:sz w:val="21"/>
                <w:szCs w:val="21"/>
              </w:rPr>
              <w:t> </w:t>
            </w:r>
            <w:r>
              <w:rPr>
                <w:rFonts w:ascii="宋体" w:hAnsi="宋体" w:cs="宋体" w:eastAsia="宋体" w:hint="default"/>
                <w:sz w:val="21"/>
                <w:szCs w:val="21"/>
              </w:rPr>
              <w:t>的报酬</w:t>
            </w:r>
            <w:r>
              <w:rPr>
                <w:rFonts w:ascii="宋体" w:hAnsi="宋体" w:cs="宋体" w:eastAsia="宋体" w:hint="default"/>
                <w:w w:val="100"/>
                <w:sz w:val="21"/>
                <w:szCs w:val="21"/>
              </w:rPr>
              <w:t> </w:t>
            </w:r>
            <w:r>
              <w:rPr>
                <w:rFonts w:ascii="宋体" w:hAnsi="宋体" w:cs="宋体" w:eastAsia="宋体" w:hint="default"/>
                <w:spacing w:val="-8"/>
                <w:sz w:val="21"/>
                <w:szCs w:val="21"/>
              </w:rPr>
              <w:t>总额（万</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1248"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72" w:lineRule="exact"/>
              <w:ind w:left="-8" w:right="7" w:firstLine="86"/>
              <w:jc w:val="left"/>
              <w:rPr>
                <w:rFonts w:ascii="宋体" w:hAnsi="宋体" w:cs="宋体" w:eastAsia="宋体" w:hint="default"/>
                <w:sz w:val="21"/>
                <w:szCs w:val="21"/>
              </w:rPr>
            </w:pPr>
            <w:r>
              <w:rPr>
                <w:rFonts w:ascii="宋体" w:hAnsi="宋体" w:cs="宋体" w:eastAsia="宋体" w:hint="default"/>
                <w:sz w:val="21"/>
                <w:szCs w:val="21"/>
              </w:rPr>
              <w:t>薪酬总额同</w:t>
            </w:r>
            <w:r>
              <w:rPr>
                <w:rFonts w:ascii="宋体" w:hAnsi="宋体" w:cs="宋体" w:eastAsia="宋体" w:hint="default"/>
                <w:w w:val="100"/>
                <w:sz w:val="21"/>
                <w:szCs w:val="21"/>
              </w:rPr>
              <w:t> </w:t>
            </w:r>
            <w:r>
              <w:rPr>
                <w:rFonts w:ascii="宋体" w:hAnsi="宋体" w:cs="宋体" w:eastAsia="宋体" w:hint="default"/>
                <w:sz w:val="21"/>
                <w:szCs w:val="21"/>
              </w:rPr>
              <w:t>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1"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16" w:right="29"/>
              <w:jc w:val="center"/>
              <w:rPr>
                <w:rFonts w:ascii="宋体" w:hAnsi="宋体" w:cs="宋体" w:eastAsia="宋体" w:hint="default"/>
                <w:sz w:val="21"/>
                <w:szCs w:val="21"/>
              </w:rPr>
            </w:pPr>
            <w:r>
              <w:rPr>
                <w:rFonts w:ascii="宋体" w:hAnsi="宋体" w:cs="宋体" w:eastAsia="宋体" w:hint="default"/>
                <w:sz w:val="21"/>
                <w:szCs w:val="21"/>
              </w:rPr>
              <w:t>公司净利润</w:t>
            </w:r>
            <w:r>
              <w:rPr>
                <w:rFonts w:ascii="宋体" w:hAnsi="宋体" w:cs="宋体" w:eastAsia="宋体" w:hint="default"/>
                <w:w w:val="100"/>
                <w:sz w:val="21"/>
                <w:szCs w:val="21"/>
              </w:rPr>
              <w:t> </w:t>
            </w:r>
            <w:r>
              <w:rPr>
                <w:rFonts w:ascii="宋体" w:hAnsi="宋体" w:cs="宋体" w:eastAsia="宋体" w:hint="default"/>
                <w:sz w:val="21"/>
                <w:szCs w:val="21"/>
              </w:rPr>
              <w:t>同比增减</w:t>
            </w:r>
          </w:p>
          <w:p>
            <w:pPr>
              <w:pStyle w:val="TableParagraph"/>
              <w:spacing w:line="265" w:lineRule="exact"/>
              <w:ind w:right="1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64"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0" w:lineRule="auto" w:before="12"/>
              <w:ind w:right="0"/>
              <w:jc w:val="left"/>
              <w:rPr>
                <w:rFonts w:ascii="宋体" w:hAnsi="宋体" w:cs="宋体" w:eastAsia="宋体" w:hint="default"/>
                <w:b/>
                <w:bCs/>
                <w:sz w:val="28"/>
                <w:szCs w:val="28"/>
              </w:rPr>
            </w:pPr>
          </w:p>
          <w:p>
            <w:pPr>
              <w:pStyle w:val="TableParagraph"/>
              <w:spacing w:line="237" w:lineRule="auto"/>
              <w:ind w:left="21" w:right="38"/>
              <w:jc w:val="center"/>
              <w:rPr>
                <w:rFonts w:ascii="宋体" w:hAnsi="宋体" w:cs="宋体" w:eastAsia="宋体" w:hint="default"/>
                <w:sz w:val="21"/>
                <w:szCs w:val="21"/>
              </w:rPr>
            </w:pPr>
            <w:r>
              <w:rPr>
                <w:rFonts w:ascii="宋体" w:hAnsi="宋体" w:cs="宋体" w:eastAsia="宋体" w:hint="default"/>
                <w:spacing w:val="-2"/>
                <w:sz w:val="21"/>
                <w:szCs w:val="21"/>
              </w:rPr>
              <w:t>薪酬同比变动与净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利润同比变动的比</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较说明</w:t>
            </w:r>
          </w:p>
        </w:tc>
      </w:tr>
      <w:tr>
        <w:trPr>
          <w:trHeight w:val="290" w:hRule="exact"/>
        </w:trPr>
        <w:tc>
          <w:tcPr>
            <w:tcW w:w="1056"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李仲初</w:t>
            </w:r>
          </w:p>
        </w:tc>
        <w:tc>
          <w:tcPr>
            <w:tcW w:w="2383"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董事长、总裁</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5"/>
              <w:jc w:val="right"/>
              <w:rPr>
                <w:rFonts w:ascii="Times New Roman" w:hAnsi="Times New Roman" w:cs="Times New Roman" w:eastAsia="Times New Roman" w:hint="default"/>
                <w:sz w:val="21"/>
                <w:szCs w:val="21"/>
              </w:rPr>
            </w:pPr>
            <w:r>
              <w:rPr>
                <w:rFonts w:ascii="Times New Roman"/>
                <w:sz w:val="21"/>
              </w:rPr>
              <w:t>10.06</w:t>
            </w: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7"/>
              <w:jc w:val="right"/>
              <w:rPr>
                <w:rFonts w:ascii="Times New Roman" w:hAnsi="Times New Roman" w:cs="Times New Roman" w:eastAsia="Times New Roman" w:hint="default"/>
                <w:sz w:val="21"/>
                <w:szCs w:val="21"/>
              </w:rPr>
            </w:pPr>
            <w:r>
              <w:rPr>
                <w:rFonts w:ascii="Times New Roman"/>
                <w:sz w:val="21"/>
              </w:rPr>
              <w:t>10.06</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2"/>
              <w:jc w:val="right"/>
              <w:rPr>
                <w:rFonts w:ascii="Times New Roman" w:hAnsi="Times New Roman" w:cs="Times New Roman" w:eastAsia="Times New Roman" w:hint="default"/>
                <w:sz w:val="21"/>
                <w:szCs w:val="21"/>
              </w:rPr>
            </w:pPr>
            <w:r>
              <w:rPr>
                <w:rFonts w:ascii="Times New Roman"/>
                <w:sz w:val="21"/>
              </w:rPr>
              <w:t>0.00%</w:t>
            </w:r>
          </w:p>
        </w:tc>
        <w:tc>
          <w:tcPr>
            <w:tcW w:w="1121" w:type="dxa"/>
            <w:vMerge w:val="restart"/>
            <w:tcBorders>
              <w:top w:val="single" w:sz="8" w:space="0" w:color="000000"/>
              <w:left w:val="single" w:sz="8" w:space="0" w:color="000000"/>
              <w:right w:val="single" w:sz="8" w:space="0" w:color="000000"/>
            </w:tcBorders>
          </w:tcPr>
          <w:p>
            <w:pPr>
              <w:pStyle w:val="TableParagraph"/>
              <w:spacing w:line="240" w:lineRule="auto" w:before="44"/>
              <w:ind w:left="16" w:right="0"/>
              <w:jc w:val="left"/>
              <w:rPr>
                <w:rFonts w:ascii="Times New Roman" w:hAnsi="Times New Roman" w:cs="Times New Roman" w:eastAsia="Times New Roman" w:hint="default"/>
                <w:sz w:val="21"/>
                <w:szCs w:val="21"/>
              </w:rPr>
            </w:pPr>
            <w:r>
              <w:rPr>
                <w:rFonts w:ascii="Times New Roman"/>
                <w:sz w:val="21"/>
              </w:rPr>
              <w:t>23.14%</w:t>
            </w:r>
          </w:p>
        </w:tc>
        <w:tc>
          <w:tcPr>
            <w:tcW w:w="1764" w:type="dxa"/>
            <w:vMerge w:val="restart"/>
            <w:tcBorders>
              <w:top w:val="single" w:sz="8" w:space="0" w:color="000000"/>
              <w:left w:val="single" w:sz="8" w:space="0" w:color="000000"/>
              <w:right w:val="single" w:sz="8" w:space="0" w:color="000000"/>
            </w:tcBorders>
          </w:tcPr>
          <w:p>
            <w:pPr>
              <w:pStyle w:val="TableParagraph"/>
              <w:spacing w:line="256" w:lineRule="auto"/>
              <w:ind w:left="2" w:right="-51"/>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年度，公司净</w:t>
            </w:r>
            <w:r>
              <w:rPr>
                <w:rFonts w:ascii="宋体" w:hAnsi="宋体" w:cs="宋体" w:eastAsia="宋体" w:hint="default"/>
                <w:w w:val="100"/>
                <w:sz w:val="21"/>
                <w:szCs w:val="21"/>
              </w:rPr>
              <w:t> </w:t>
            </w:r>
            <w:r>
              <w:rPr>
                <w:rFonts w:ascii="宋体" w:hAnsi="宋体" w:cs="宋体" w:eastAsia="宋体" w:hint="default"/>
                <w:spacing w:val="6"/>
                <w:sz w:val="21"/>
                <w:szCs w:val="21"/>
              </w:rPr>
              <w:t>利润比去年同期增</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长了</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23.14%</w:t>
            </w:r>
            <w:r>
              <w:rPr>
                <w:rFonts w:ascii="宋体" w:hAnsi="宋体" w:cs="宋体" w:eastAsia="宋体" w:hint="default"/>
                <w:sz w:val="21"/>
                <w:szCs w:val="21"/>
              </w:rPr>
              <w:t>，公司</w:t>
            </w:r>
            <w:r>
              <w:rPr>
                <w:rFonts w:ascii="宋体" w:hAnsi="宋体" w:cs="宋体" w:eastAsia="宋体" w:hint="default"/>
                <w:w w:val="100"/>
                <w:sz w:val="21"/>
                <w:szCs w:val="21"/>
              </w:rPr>
              <w:t> </w:t>
            </w:r>
            <w:r>
              <w:rPr>
                <w:rFonts w:ascii="宋体" w:hAnsi="宋体" w:cs="宋体" w:eastAsia="宋体" w:hint="default"/>
                <w:spacing w:val="6"/>
                <w:sz w:val="21"/>
                <w:szCs w:val="21"/>
              </w:rPr>
              <w:t>董事、监事以及高</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6"/>
                <w:sz w:val="21"/>
                <w:szCs w:val="21"/>
              </w:rPr>
              <w:t>级管理人员的薪酬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增长了</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25.67%</w:t>
            </w:r>
            <w:r>
              <w:rPr>
                <w:rFonts w:ascii="宋体" w:hAnsi="宋体" w:cs="宋体" w:eastAsia="宋体" w:hint="default"/>
                <w:spacing w:val="-3"/>
                <w:sz w:val="21"/>
                <w:szCs w:val="21"/>
              </w:rPr>
              <w:t>，符</w:t>
            </w:r>
            <w:r>
              <w:rPr>
                <w:rFonts w:ascii="宋体" w:hAnsi="宋体" w:cs="宋体" w:eastAsia="宋体" w:hint="default"/>
                <w:spacing w:val="-97"/>
                <w:sz w:val="21"/>
                <w:szCs w:val="21"/>
              </w:rPr>
              <w:t> </w:t>
            </w:r>
            <w:r>
              <w:rPr>
                <w:rFonts w:ascii="宋体" w:hAnsi="宋体" w:cs="宋体" w:eastAsia="宋体" w:hint="default"/>
                <w:spacing w:val="6"/>
                <w:sz w:val="21"/>
                <w:szCs w:val="21"/>
              </w:rPr>
              <w:t>合公司实际情况。</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6"/>
                <w:sz w:val="21"/>
                <w:szCs w:val="21"/>
              </w:rPr>
              <w:t>同时也有利于公司</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6"/>
                <w:sz w:val="21"/>
                <w:szCs w:val="21"/>
              </w:rPr>
              <w:t>加强建设职业化专</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9"/>
                <w:sz w:val="21"/>
                <w:szCs w:val="21"/>
              </w:rPr>
              <w:t>业化管</w:t>
            </w:r>
            <w:r>
              <w:rPr>
                <w:rFonts w:ascii="宋体" w:hAnsi="宋体" w:cs="宋体" w:eastAsia="宋体" w:hint="default"/>
                <w:spacing w:val="-59"/>
                <w:sz w:val="21"/>
                <w:szCs w:val="21"/>
              </w:rPr>
              <w:t> </w:t>
            </w:r>
            <w:r>
              <w:rPr>
                <w:rFonts w:ascii="宋体" w:hAnsi="宋体" w:cs="宋体" w:eastAsia="宋体" w:hint="default"/>
                <w:spacing w:val="22"/>
                <w:sz w:val="21"/>
                <w:szCs w:val="21"/>
              </w:rPr>
              <w:t>理团</w:t>
            </w:r>
            <w:r>
              <w:rPr>
                <w:rFonts w:ascii="宋体" w:hAnsi="宋体" w:cs="宋体" w:eastAsia="宋体" w:hint="default"/>
                <w:spacing w:val="-59"/>
                <w:sz w:val="21"/>
                <w:szCs w:val="21"/>
              </w:rPr>
              <w:t> </w:t>
            </w:r>
            <w:r>
              <w:rPr>
                <w:rFonts w:ascii="宋体" w:hAnsi="宋体" w:cs="宋体" w:eastAsia="宋体" w:hint="default"/>
                <w:spacing w:val="22"/>
                <w:sz w:val="21"/>
                <w:szCs w:val="21"/>
              </w:rPr>
              <w:t>队建</w:t>
            </w:r>
            <w:r>
              <w:rPr>
                <w:rFonts w:ascii="宋体" w:hAnsi="宋体" w:cs="宋体" w:eastAsia="宋体" w:hint="default"/>
                <w:spacing w:val="-100"/>
                <w:sz w:val="21"/>
                <w:szCs w:val="21"/>
              </w:rPr>
              <w:t> </w:t>
            </w:r>
            <w:r>
              <w:rPr>
                <w:rFonts w:ascii="宋体" w:hAnsi="宋体" w:cs="宋体" w:eastAsia="宋体" w:hint="default"/>
                <w:sz w:val="21"/>
                <w:szCs w:val="21"/>
              </w:rPr>
              <w:t>设。</w:t>
            </w:r>
          </w:p>
        </w:tc>
      </w:tr>
      <w:tr>
        <w:trPr>
          <w:trHeight w:val="293" w:hRule="exact"/>
        </w:trPr>
        <w:tc>
          <w:tcPr>
            <w:tcW w:w="1056"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赖德源</w:t>
            </w:r>
          </w:p>
        </w:tc>
        <w:tc>
          <w:tcPr>
            <w:tcW w:w="2383"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3" w:lineRule="exact"/>
              <w:ind w:right="14"/>
              <w:jc w:val="center"/>
              <w:rPr>
                <w:rFonts w:ascii="宋体" w:hAnsi="宋体" w:cs="宋体" w:eastAsia="宋体" w:hint="default"/>
                <w:sz w:val="21"/>
                <w:szCs w:val="21"/>
              </w:rPr>
            </w:pPr>
            <w:r>
              <w:rPr>
                <w:rFonts w:ascii="宋体" w:hAnsi="宋体" w:cs="宋体" w:eastAsia="宋体" w:hint="default"/>
                <w:sz w:val="21"/>
                <w:szCs w:val="21"/>
              </w:rPr>
              <w:t>董事、副总裁、财务总监</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3"/>
              <w:jc w:val="right"/>
              <w:rPr>
                <w:rFonts w:ascii="Times New Roman" w:hAnsi="Times New Roman" w:cs="Times New Roman" w:eastAsia="Times New Roman" w:hint="default"/>
                <w:sz w:val="21"/>
                <w:szCs w:val="21"/>
              </w:rPr>
            </w:pPr>
            <w:r>
              <w:rPr>
                <w:rFonts w:ascii="Times New Roman"/>
                <w:sz w:val="21"/>
              </w:rPr>
              <w:t>72</w:t>
            </w: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1"/>
              <w:jc w:val="right"/>
              <w:rPr>
                <w:rFonts w:ascii="Times New Roman" w:hAnsi="Times New Roman" w:cs="Times New Roman" w:eastAsia="Times New Roman" w:hint="default"/>
                <w:sz w:val="21"/>
                <w:szCs w:val="21"/>
              </w:rPr>
            </w:pPr>
            <w:r>
              <w:rPr>
                <w:rFonts w:ascii="Times New Roman"/>
                <w:sz w:val="21"/>
              </w:rPr>
              <w:t>52</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
              <w:jc w:val="right"/>
              <w:rPr>
                <w:rFonts w:ascii="Times New Roman" w:hAnsi="Times New Roman" w:cs="Times New Roman" w:eastAsia="Times New Roman" w:hint="default"/>
                <w:sz w:val="21"/>
                <w:szCs w:val="21"/>
              </w:rPr>
            </w:pPr>
            <w:r>
              <w:rPr>
                <w:rFonts w:ascii="Times New Roman"/>
                <w:sz w:val="21"/>
              </w:rPr>
              <w:t>27.78%</w:t>
            </w:r>
          </w:p>
        </w:tc>
        <w:tc>
          <w:tcPr>
            <w:tcW w:w="1121" w:type="dxa"/>
            <w:vMerge/>
            <w:tcBorders>
              <w:left w:val="single" w:sz="8" w:space="0" w:color="000000"/>
              <w:right w:val="single" w:sz="8" w:space="0" w:color="000000"/>
            </w:tcBorders>
          </w:tcPr>
          <w:p>
            <w:pPr/>
          </w:p>
        </w:tc>
        <w:tc>
          <w:tcPr>
            <w:tcW w:w="1764" w:type="dxa"/>
            <w:vMerge/>
            <w:tcBorders>
              <w:left w:val="single" w:sz="8" w:space="0" w:color="000000"/>
              <w:right w:val="single" w:sz="8" w:space="0" w:color="000000"/>
            </w:tcBorders>
          </w:tcPr>
          <w:p>
            <w:pPr/>
          </w:p>
        </w:tc>
      </w:tr>
      <w:tr>
        <w:trPr>
          <w:trHeight w:val="319" w:hRule="exact"/>
        </w:trPr>
        <w:tc>
          <w:tcPr>
            <w:tcW w:w="1056"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郑大立</w:t>
            </w:r>
          </w:p>
        </w:tc>
        <w:tc>
          <w:tcPr>
            <w:tcW w:w="2383"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70" w:lineRule="exact"/>
              <w:ind w:right="14"/>
              <w:jc w:val="center"/>
              <w:rPr>
                <w:rFonts w:ascii="宋体" w:hAnsi="宋体" w:cs="宋体" w:eastAsia="宋体" w:hint="default"/>
                <w:sz w:val="21"/>
                <w:szCs w:val="21"/>
              </w:rPr>
            </w:pPr>
            <w:r>
              <w:rPr>
                <w:rFonts w:ascii="宋体" w:hAnsi="宋体" w:cs="宋体" w:eastAsia="宋体" w:hint="default"/>
                <w:sz w:val="21"/>
                <w:szCs w:val="21"/>
              </w:rPr>
              <w:t>董事</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3"/>
              <w:jc w:val="right"/>
              <w:rPr>
                <w:rFonts w:ascii="Times New Roman" w:hAnsi="Times New Roman" w:cs="Times New Roman" w:eastAsia="Times New Roman" w:hint="default"/>
                <w:sz w:val="21"/>
                <w:szCs w:val="21"/>
              </w:rPr>
            </w:pPr>
            <w:r>
              <w:rPr>
                <w:rFonts w:ascii="Times New Roman"/>
                <w:w w:val="100"/>
                <w:sz w:val="21"/>
              </w:rPr>
              <w:t>0</w:t>
            </w: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1"/>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2"/>
              <w:jc w:val="right"/>
              <w:rPr>
                <w:rFonts w:ascii="Times New Roman" w:hAnsi="Times New Roman" w:cs="Times New Roman" w:eastAsia="Times New Roman" w:hint="default"/>
                <w:sz w:val="21"/>
                <w:szCs w:val="21"/>
              </w:rPr>
            </w:pPr>
            <w:r>
              <w:rPr>
                <w:rFonts w:ascii="Times New Roman"/>
                <w:sz w:val="21"/>
              </w:rPr>
              <w:t>0.00%</w:t>
            </w:r>
          </w:p>
        </w:tc>
        <w:tc>
          <w:tcPr>
            <w:tcW w:w="1121" w:type="dxa"/>
            <w:vMerge/>
            <w:tcBorders>
              <w:left w:val="single" w:sz="8" w:space="0" w:color="000000"/>
              <w:right w:val="single" w:sz="8" w:space="0" w:color="000000"/>
            </w:tcBorders>
          </w:tcPr>
          <w:p>
            <w:pPr/>
          </w:p>
        </w:tc>
        <w:tc>
          <w:tcPr>
            <w:tcW w:w="1764" w:type="dxa"/>
            <w:vMerge/>
            <w:tcBorders>
              <w:left w:val="single" w:sz="8" w:space="0" w:color="000000"/>
              <w:right w:val="single" w:sz="8" w:space="0" w:color="000000"/>
            </w:tcBorders>
          </w:tcPr>
          <w:p>
            <w:pPr/>
          </w:p>
        </w:tc>
      </w:tr>
      <w:tr>
        <w:trPr>
          <w:trHeight w:val="293" w:hRule="exact"/>
        </w:trPr>
        <w:tc>
          <w:tcPr>
            <w:tcW w:w="1056"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tabs>
                <w:tab w:pos="422" w:val="left" w:leader="none"/>
              </w:tabs>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罗</w:t>
              <w:tab/>
              <w:t>芳</w:t>
            </w:r>
          </w:p>
        </w:tc>
        <w:tc>
          <w:tcPr>
            <w:tcW w:w="2383"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3" w:lineRule="exact"/>
              <w:ind w:right="16"/>
              <w:jc w:val="center"/>
              <w:rPr>
                <w:rFonts w:ascii="宋体" w:hAnsi="宋体" w:cs="宋体" w:eastAsia="宋体" w:hint="default"/>
                <w:sz w:val="21"/>
                <w:szCs w:val="21"/>
              </w:rPr>
            </w:pPr>
            <w:r>
              <w:rPr>
                <w:rFonts w:ascii="宋体" w:hAnsi="宋体" w:cs="宋体" w:eastAsia="宋体" w:hint="default"/>
                <w:sz w:val="21"/>
                <w:szCs w:val="21"/>
              </w:rPr>
              <w:t>副总裁、董事会秘书</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5"/>
              <w:jc w:val="right"/>
              <w:rPr>
                <w:rFonts w:ascii="Times New Roman" w:hAnsi="Times New Roman" w:cs="Times New Roman" w:eastAsia="Times New Roman" w:hint="default"/>
                <w:sz w:val="21"/>
                <w:szCs w:val="21"/>
              </w:rPr>
            </w:pPr>
            <w:r>
              <w:rPr>
                <w:rFonts w:ascii="Times New Roman"/>
                <w:sz w:val="21"/>
              </w:rPr>
              <w:t>15.3</w:t>
            </w: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1"/>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
              <w:jc w:val="right"/>
              <w:rPr>
                <w:rFonts w:ascii="Times New Roman" w:hAnsi="Times New Roman" w:cs="Times New Roman" w:eastAsia="Times New Roman" w:hint="default"/>
                <w:sz w:val="21"/>
                <w:szCs w:val="21"/>
              </w:rPr>
            </w:pPr>
            <w:r>
              <w:rPr>
                <w:rFonts w:ascii="Times New Roman"/>
                <w:w w:val="100"/>
                <w:sz w:val="21"/>
              </w:rPr>
              <w:t>-</w:t>
            </w:r>
          </w:p>
        </w:tc>
        <w:tc>
          <w:tcPr>
            <w:tcW w:w="1121" w:type="dxa"/>
            <w:vMerge/>
            <w:tcBorders>
              <w:left w:val="single" w:sz="8" w:space="0" w:color="000000"/>
              <w:right w:val="single" w:sz="8" w:space="0" w:color="000000"/>
            </w:tcBorders>
          </w:tcPr>
          <w:p>
            <w:pPr/>
          </w:p>
        </w:tc>
        <w:tc>
          <w:tcPr>
            <w:tcW w:w="1764" w:type="dxa"/>
            <w:vMerge/>
            <w:tcBorders>
              <w:left w:val="single" w:sz="8" w:space="0" w:color="000000"/>
              <w:right w:val="single" w:sz="8" w:space="0" w:color="000000"/>
            </w:tcBorders>
          </w:tcPr>
          <w:p>
            <w:pPr/>
          </w:p>
        </w:tc>
      </w:tr>
      <w:tr>
        <w:trPr>
          <w:trHeight w:val="322" w:hRule="exact"/>
        </w:trPr>
        <w:tc>
          <w:tcPr>
            <w:tcW w:w="1056"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郭田勇</w:t>
            </w:r>
          </w:p>
        </w:tc>
        <w:tc>
          <w:tcPr>
            <w:tcW w:w="2383"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70" w:lineRule="exact"/>
              <w:ind w:right="17"/>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3"/>
              <w:jc w:val="right"/>
              <w:rPr>
                <w:rFonts w:ascii="Times New Roman" w:hAnsi="Times New Roman" w:cs="Times New Roman" w:eastAsia="Times New Roman" w:hint="default"/>
                <w:sz w:val="21"/>
                <w:szCs w:val="21"/>
              </w:rPr>
            </w:pPr>
            <w:r>
              <w:rPr>
                <w:rFonts w:ascii="Times New Roman"/>
                <w:w w:val="100"/>
                <w:sz w:val="21"/>
              </w:rPr>
              <w:t>5</w:t>
            </w: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1"/>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2"/>
              <w:jc w:val="right"/>
              <w:rPr>
                <w:rFonts w:ascii="Times New Roman" w:hAnsi="Times New Roman" w:cs="Times New Roman" w:eastAsia="Times New Roman" w:hint="default"/>
                <w:sz w:val="21"/>
                <w:szCs w:val="21"/>
              </w:rPr>
            </w:pPr>
            <w:r>
              <w:rPr>
                <w:rFonts w:ascii="Times New Roman"/>
                <w:w w:val="100"/>
                <w:sz w:val="21"/>
              </w:rPr>
              <w:t>-</w:t>
            </w:r>
          </w:p>
        </w:tc>
        <w:tc>
          <w:tcPr>
            <w:tcW w:w="1121" w:type="dxa"/>
            <w:vMerge/>
            <w:tcBorders>
              <w:left w:val="single" w:sz="8" w:space="0" w:color="000000"/>
              <w:right w:val="single" w:sz="8" w:space="0" w:color="000000"/>
            </w:tcBorders>
          </w:tcPr>
          <w:p>
            <w:pPr/>
          </w:p>
        </w:tc>
        <w:tc>
          <w:tcPr>
            <w:tcW w:w="1764" w:type="dxa"/>
            <w:vMerge/>
            <w:tcBorders>
              <w:left w:val="single" w:sz="8" w:space="0" w:color="000000"/>
              <w:right w:val="single" w:sz="8" w:space="0" w:color="000000"/>
            </w:tcBorders>
          </w:tcPr>
          <w:p>
            <w:pPr/>
          </w:p>
        </w:tc>
      </w:tr>
      <w:tr>
        <w:trPr>
          <w:trHeight w:val="319" w:hRule="exact"/>
        </w:trPr>
        <w:tc>
          <w:tcPr>
            <w:tcW w:w="1056"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刘剑锋</w:t>
            </w:r>
          </w:p>
        </w:tc>
        <w:tc>
          <w:tcPr>
            <w:tcW w:w="2383"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67" w:lineRule="exact"/>
              <w:ind w:right="17"/>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3"/>
              <w:jc w:val="right"/>
              <w:rPr>
                <w:rFonts w:ascii="Times New Roman" w:hAnsi="Times New Roman" w:cs="Times New Roman" w:eastAsia="Times New Roman" w:hint="default"/>
                <w:sz w:val="21"/>
                <w:szCs w:val="21"/>
              </w:rPr>
            </w:pPr>
            <w:r>
              <w:rPr>
                <w:rFonts w:ascii="Times New Roman"/>
                <w:w w:val="100"/>
                <w:sz w:val="21"/>
              </w:rPr>
              <w:t>5</w:t>
            </w: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1"/>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
              <w:jc w:val="right"/>
              <w:rPr>
                <w:rFonts w:ascii="Times New Roman" w:hAnsi="Times New Roman" w:cs="Times New Roman" w:eastAsia="Times New Roman" w:hint="default"/>
                <w:sz w:val="21"/>
                <w:szCs w:val="21"/>
              </w:rPr>
            </w:pPr>
            <w:r>
              <w:rPr>
                <w:rFonts w:ascii="Times New Roman"/>
                <w:w w:val="100"/>
                <w:sz w:val="21"/>
              </w:rPr>
              <w:t>-</w:t>
            </w:r>
          </w:p>
        </w:tc>
        <w:tc>
          <w:tcPr>
            <w:tcW w:w="1121" w:type="dxa"/>
            <w:vMerge/>
            <w:tcBorders>
              <w:left w:val="single" w:sz="8" w:space="0" w:color="000000"/>
              <w:right w:val="single" w:sz="8" w:space="0" w:color="000000"/>
            </w:tcBorders>
          </w:tcPr>
          <w:p>
            <w:pPr/>
          </w:p>
        </w:tc>
        <w:tc>
          <w:tcPr>
            <w:tcW w:w="1764" w:type="dxa"/>
            <w:vMerge/>
            <w:tcBorders>
              <w:left w:val="single" w:sz="8" w:space="0" w:color="000000"/>
              <w:right w:val="single" w:sz="8" w:space="0" w:color="000000"/>
            </w:tcBorders>
          </w:tcPr>
          <w:p>
            <w:pPr/>
          </w:p>
        </w:tc>
      </w:tr>
      <w:tr>
        <w:trPr>
          <w:trHeight w:val="319" w:hRule="exact"/>
        </w:trPr>
        <w:tc>
          <w:tcPr>
            <w:tcW w:w="1056"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阎丽明</w:t>
            </w:r>
          </w:p>
        </w:tc>
        <w:tc>
          <w:tcPr>
            <w:tcW w:w="2383"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70" w:lineRule="exact"/>
              <w:ind w:right="17"/>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3"/>
              <w:jc w:val="right"/>
              <w:rPr>
                <w:rFonts w:ascii="Times New Roman" w:hAnsi="Times New Roman" w:cs="Times New Roman" w:eastAsia="Times New Roman" w:hint="default"/>
                <w:sz w:val="21"/>
                <w:szCs w:val="21"/>
              </w:rPr>
            </w:pPr>
            <w:r>
              <w:rPr>
                <w:rFonts w:ascii="Times New Roman"/>
                <w:w w:val="100"/>
                <w:sz w:val="21"/>
              </w:rPr>
              <w:t>5</w:t>
            </w: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1"/>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2"/>
              <w:jc w:val="right"/>
              <w:rPr>
                <w:rFonts w:ascii="Times New Roman" w:hAnsi="Times New Roman" w:cs="Times New Roman" w:eastAsia="Times New Roman" w:hint="default"/>
                <w:sz w:val="21"/>
                <w:szCs w:val="21"/>
              </w:rPr>
            </w:pPr>
            <w:r>
              <w:rPr>
                <w:rFonts w:ascii="Times New Roman"/>
                <w:w w:val="100"/>
                <w:sz w:val="21"/>
              </w:rPr>
              <w:t>-</w:t>
            </w:r>
          </w:p>
        </w:tc>
        <w:tc>
          <w:tcPr>
            <w:tcW w:w="1121" w:type="dxa"/>
            <w:vMerge/>
            <w:tcBorders>
              <w:left w:val="single" w:sz="8" w:space="0" w:color="000000"/>
              <w:right w:val="single" w:sz="8" w:space="0" w:color="000000"/>
            </w:tcBorders>
          </w:tcPr>
          <w:p>
            <w:pPr/>
          </w:p>
        </w:tc>
        <w:tc>
          <w:tcPr>
            <w:tcW w:w="1764" w:type="dxa"/>
            <w:vMerge/>
            <w:tcBorders>
              <w:left w:val="single" w:sz="8" w:space="0" w:color="000000"/>
              <w:right w:val="single" w:sz="8" w:space="0" w:color="000000"/>
            </w:tcBorders>
          </w:tcPr>
          <w:p>
            <w:pPr/>
          </w:p>
        </w:tc>
      </w:tr>
      <w:tr>
        <w:trPr>
          <w:trHeight w:val="322" w:hRule="exact"/>
        </w:trPr>
        <w:tc>
          <w:tcPr>
            <w:tcW w:w="1056"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罗志明</w:t>
            </w:r>
          </w:p>
        </w:tc>
        <w:tc>
          <w:tcPr>
            <w:tcW w:w="2383"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70" w:lineRule="exact"/>
              <w:ind w:right="14"/>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5"/>
              <w:jc w:val="right"/>
              <w:rPr>
                <w:rFonts w:ascii="Times New Roman" w:hAnsi="Times New Roman" w:cs="Times New Roman" w:eastAsia="Times New Roman" w:hint="default"/>
                <w:sz w:val="21"/>
                <w:szCs w:val="21"/>
              </w:rPr>
            </w:pPr>
            <w:r>
              <w:rPr>
                <w:rFonts w:ascii="Times New Roman"/>
                <w:sz w:val="21"/>
              </w:rPr>
              <w:t>52.27</w:t>
            </w: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7"/>
              <w:jc w:val="right"/>
              <w:rPr>
                <w:rFonts w:ascii="Times New Roman" w:hAnsi="Times New Roman" w:cs="Times New Roman" w:eastAsia="Times New Roman" w:hint="default"/>
                <w:sz w:val="21"/>
                <w:szCs w:val="21"/>
              </w:rPr>
            </w:pPr>
            <w:r>
              <w:rPr>
                <w:rFonts w:ascii="Times New Roman"/>
                <w:sz w:val="21"/>
              </w:rPr>
              <w:t>45.41</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2"/>
              <w:jc w:val="right"/>
              <w:rPr>
                <w:rFonts w:ascii="Times New Roman" w:hAnsi="Times New Roman" w:cs="Times New Roman" w:eastAsia="Times New Roman" w:hint="default"/>
                <w:sz w:val="21"/>
                <w:szCs w:val="21"/>
              </w:rPr>
            </w:pPr>
            <w:r>
              <w:rPr>
                <w:rFonts w:ascii="Times New Roman"/>
                <w:sz w:val="21"/>
              </w:rPr>
              <w:t>13.12%</w:t>
            </w:r>
          </w:p>
        </w:tc>
        <w:tc>
          <w:tcPr>
            <w:tcW w:w="1121" w:type="dxa"/>
            <w:vMerge/>
            <w:tcBorders>
              <w:left w:val="single" w:sz="8" w:space="0" w:color="000000"/>
              <w:right w:val="single" w:sz="8" w:space="0" w:color="000000"/>
            </w:tcBorders>
          </w:tcPr>
          <w:p>
            <w:pPr/>
          </w:p>
        </w:tc>
        <w:tc>
          <w:tcPr>
            <w:tcW w:w="1764" w:type="dxa"/>
            <w:vMerge/>
            <w:tcBorders>
              <w:left w:val="single" w:sz="8" w:space="0" w:color="000000"/>
              <w:right w:val="single" w:sz="8" w:space="0" w:color="000000"/>
            </w:tcBorders>
          </w:tcPr>
          <w:p>
            <w:pPr/>
          </w:p>
        </w:tc>
      </w:tr>
      <w:tr>
        <w:trPr>
          <w:trHeight w:val="319" w:hRule="exact"/>
        </w:trPr>
        <w:tc>
          <w:tcPr>
            <w:tcW w:w="1056"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关东玉</w:t>
            </w:r>
          </w:p>
        </w:tc>
        <w:tc>
          <w:tcPr>
            <w:tcW w:w="2383"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67" w:lineRule="exact"/>
              <w:ind w:right="14"/>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5"/>
              <w:jc w:val="right"/>
              <w:rPr>
                <w:rFonts w:ascii="Times New Roman" w:hAnsi="Times New Roman" w:cs="Times New Roman" w:eastAsia="Times New Roman" w:hint="default"/>
                <w:sz w:val="21"/>
                <w:szCs w:val="21"/>
              </w:rPr>
            </w:pPr>
            <w:r>
              <w:rPr>
                <w:rFonts w:ascii="Times New Roman"/>
                <w:sz w:val="21"/>
              </w:rPr>
              <w:t>48.96</w:t>
            </w: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
              <w:jc w:val="right"/>
              <w:rPr>
                <w:rFonts w:ascii="Times New Roman" w:hAnsi="Times New Roman" w:cs="Times New Roman" w:eastAsia="Times New Roman" w:hint="default"/>
                <w:sz w:val="21"/>
                <w:szCs w:val="21"/>
              </w:rPr>
            </w:pPr>
            <w:r>
              <w:rPr>
                <w:rFonts w:ascii="Times New Roman"/>
                <w:sz w:val="21"/>
              </w:rPr>
              <w:t>44.78</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
              <w:jc w:val="right"/>
              <w:rPr>
                <w:rFonts w:ascii="Times New Roman" w:hAnsi="Times New Roman" w:cs="Times New Roman" w:eastAsia="Times New Roman" w:hint="default"/>
                <w:sz w:val="21"/>
                <w:szCs w:val="21"/>
              </w:rPr>
            </w:pPr>
            <w:r>
              <w:rPr>
                <w:rFonts w:ascii="Times New Roman"/>
                <w:sz w:val="21"/>
              </w:rPr>
              <w:t>8.54%</w:t>
            </w:r>
          </w:p>
        </w:tc>
        <w:tc>
          <w:tcPr>
            <w:tcW w:w="1121" w:type="dxa"/>
            <w:vMerge/>
            <w:tcBorders>
              <w:left w:val="single" w:sz="8" w:space="0" w:color="000000"/>
              <w:right w:val="single" w:sz="8" w:space="0" w:color="000000"/>
            </w:tcBorders>
          </w:tcPr>
          <w:p>
            <w:pPr/>
          </w:p>
        </w:tc>
        <w:tc>
          <w:tcPr>
            <w:tcW w:w="1764" w:type="dxa"/>
            <w:vMerge/>
            <w:tcBorders>
              <w:left w:val="single" w:sz="8" w:space="0" w:color="000000"/>
              <w:right w:val="single" w:sz="8" w:space="0" w:color="000000"/>
            </w:tcBorders>
          </w:tcPr>
          <w:p>
            <w:pPr/>
          </w:p>
        </w:tc>
      </w:tr>
      <w:tr>
        <w:trPr>
          <w:trHeight w:val="319" w:hRule="exact"/>
        </w:trPr>
        <w:tc>
          <w:tcPr>
            <w:tcW w:w="1056"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王敏敏</w:t>
            </w:r>
          </w:p>
        </w:tc>
        <w:tc>
          <w:tcPr>
            <w:tcW w:w="2383"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70" w:lineRule="exact"/>
              <w:ind w:right="14"/>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3"/>
              <w:jc w:val="right"/>
              <w:rPr>
                <w:rFonts w:ascii="Times New Roman" w:hAnsi="Times New Roman" w:cs="Times New Roman" w:eastAsia="Times New Roman" w:hint="default"/>
                <w:sz w:val="21"/>
                <w:szCs w:val="21"/>
              </w:rPr>
            </w:pPr>
            <w:r>
              <w:rPr>
                <w:rFonts w:ascii="Times New Roman"/>
                <w:sz w:val="21"/>
              </w:rPr>
              <w:t>30</w:t>
            </w: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7"/>
              <w:jc w:val="right"/>
              <w:rPr>
                <w:rFonts w:ascii="Times New Roman" w:hAnsi="Times New Roman" w:cs="Times New Roman" w:eastAsia="Times New Roman" w:hint="default"/>
                <w:sz w:val="21"/>
                <w:szCs w:val="21"/>
              </w:rPr>
            </w:pPr>
            <w:r>
              <w:rPr>
                <w:rFonts w:ascii="Times New Roman"/>
                <w:sz w:val="21"/>
              </w:rPr>
              <w:t>18.22</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2"/>
              <w:jc w:val="right"/>
              <w:rPr>
                <w:rFonts w:ascii="Times New Roman" w:hAnsi="Times New Roman" w:cs="Times New Roman" w:eastAsia="Times New Roman" w:hint="default"/>
                <w:sz w:val="21"/>
                <w:szCs w:val="21"/>
              </w:rPr>
            </w:pPr>
            <w:r>
              <w:rPr>
                <w:rFonts w:ascii="Times New Roman"/>
                <w:sz w:val="21"/>
              </w:rPr>
              <w:t>39.27%</w:t>
            </w:r>
          </w:p>
        </w:tc>
        <w:tc>
          <w:tcPr>
            <w:tcW w:w="1121" w:type="dxa"/>
            <w:vMerge/>
            <w:tcBorders>
              <w:left w:val="single" w:sz="8" w:space="0" w:color="000000"/>
              <w:right w:val="single" w:sz="8" w:space="0" w:color="000000"/>
            </w:tcBorders>
          </w:tcPr>
          <w:p>
            <w:pPr/>
          </w:p>
        </w:tc>
        <w:tc>
          <w:tcPr>
            <w:tcW w:w="1764" w:type="dxa"/>
            <w:vMerge/>
            <w:tcBorders>
              <w:left w:val="single" w:sz="8" w:space="0" w:color="000000"/>
              <w:right w:val="single" w:sz="8" w:space="0" w:color="000000"/>
            </w:tcBorders>
          </w:tcPr>
          <w:p>
            <w:pPr/>
          </w:p>
        </w:tc>
      </w:tr>
      <w:tr>
        <w:trPr>
          <w:trHeight w:val="322" w:hRule="exact"/>
        </w:trPr>
        <w:tc>
          <w:tcPr>
            <w:tcW w:w="1056"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tabs>
                <w:tab w:pos="422"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郭</w:t>
              <w:tab/>
              <w:t>明</w:t>
            </w:r>
          </w:p>
        </w:tc>
        <w:tc>
          <w:tcPr>
            <w:tcW w:w="2383"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70" w:lineRule="exact"/>
              <w:ind w:right="17"/>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5"/>
              <w:jc w:val="right"/>
              <w:rPr>
                <w:rFonts w:ascii="Times New Roman" w:hAnsi="Times New Roman" w:cs="Times New Roman" w:eastAsia="Times New Roman" w:hint="default"/>
                <w:sz w:val="21"/>
                <w:szCs w:val="21"/>
              </w:rPr>
            </w:pPr>
            <w:r>
              <w:rPr>
                <w:rFonts w:ascii="Times New Roman"/>
                <w:sz w:val="21"/>
              </w:rPr>
              <w:t>20.02</w:t>
            </w: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7"/>
              <w:jc w:val="right"/>
              <w:rPr>
                <w:rFonts w:ascii="Times New Roman" w:hAnsi="Times New Roman" w:cs="Times New Roman" w:eastAsia="Times New Roman" w:hint="default"/>
                <w:sz w:val="21"/>
                <w:szCs w:val="21"/>
              </w:rPr>
            </w:pPr>
            <w:r>
              <w:rPr>
                <w:rFonts w:ascii="Times New Roman"/>
                <w:sz w:val="21"/>
              </w:rPr>
              <w:t>20.02</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2"/>
              <w:jc w:val="right"/>
              <w:rPr>
                <w:rFonts w:ascii="Times New Roman" w:hAnsi="Times New Roman" w:cs="Times New Roman" w:eastAsia="Times New Roman" w:hint="default"/>
                <w:sz w:val="21"/>
                <w:szCs w:val="21"/>
              </w:rPr>
            </w:pPr>
            <w:r>
              <w:rPr>
                <w:rFonts w:ascii="Times New Roman"/>
                <w:sz w:val="21"/>
              </w:rPr>
              <w:t>0.00%</w:t>
            </w:r>
          </w:p>
        </w:tc>
        <w:tc>
          <w:tcPr>
            <w:tcW w:w="1121" w:type="dxa"/>
            <w:vMerge/>
            <w:tcBorders>
              <w:left w:val="single" w:sz="8" w:space="0" w:color="000000"/>
              <w:right w:val="single" w:sz="8" w:space="0" w:color="000000"/>
            </w:tcBorders>
          </w:tcPr>
          <w:p>
            <w:pPr/>
          </w:p>
        </w:tc>
        <w:tc>
          <w:tcPr>
            <w:tcW w:w="1764" w:type="dxa"/>
            <w:vMerge/>
            <w:tcBorders>
              <w:left w:val="single" w:sz="8" w:space="0" w:color="000000"/>
              <w:right w:val="single" w:sz="8" w:space="0" w:color="000000"/>
            </w:tcBorders>
          </w:tcPr>
          <w:p>
            <w:pPr/>
          </w:p>
        </w:tc>
      </w:tr>
      <w:tr>
        <w:trPr>
          <w:trHeight w:val="319" w:hRule="exact"/>
        </w:trPr>
        <w:tc>
          <w:tcPr>
            <w:tcW w:w="1056"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张广杰</w:t>
            </w:r>
          </w:p>
        </w:tc>
        <w:tc>
          <w:tcPr>
            <w:tcW w:w="2383"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67" w:lineRule="exact"/>
              <w:ind w:right="14"/>
              <w:jc w:val="center"/>
              <w:rPr>
                <w:rFonts w:ascii="宋体" w:hAnsi="宋体" w:cs="宋体" w:eastAsia="宋体" w:hint="default"/>
                <w:sz w:val="21"/>
                <w:szCs w:val="21"/>
              </w:rPr>
            </w:pPr>
            <w:r>
              <w:rPr>
                <w:rFonts w:ascii="宋体" w:hAnsi="宋体" w:cs="宋体" w:eastAsia="宋体" w:hint="default"/>
                <w:sz w:val="21"/>
                <w:szCs w:val="21"/>
              </w:rPr>
              <w:t>监事</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5"/>
              <w:jc w:val="right"/>
              <w:rPr>
                <w:rFonts w:ascii="Times New Roman" w:hAnsi="Times New Roman" w:cs="Times New Roman" w:eastAsia="Times New Roman" w:hint="default"/>
                <w:sz w:val="21"/>
                <w:szCs w:val="21"/>
              </w:rPr>
            </w:pPr>
            <w:r>
              <w:rPr>
                <w:rFonts w:ascii="Times New Roman"/>
                <w:sz w:val="21"/>
              </w:rPr>
              <w:t>8.13</w:t>
            </w: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
              <w:jc w:val="right"/>
              <w:rPr>
                <w:rFonts w:ascii="Times New Roman" w:hAnsi="Times New Roman" w:cs="Times New Roman" w:eastAsia="Times New Roman" w:hint="default"/>
                <w:sz w:val="21"/>
                <w:szCs w:val="21"/>
              </w:rPr>
            </w:pPr>
            <w:r>
              <w:rPr>
                <w:rFonts w:ascii="Times New Roman"/>
                <w:sz w:val="21"/>
              </w:rPr>
              <w:t>7.87</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
              <w:jc w:val="right"/>
              <w:rPr>
                <w:rFonts w:ascii="Times New Roman" w:hAnsi="Times New Roman" w:cs="Times New Roman" w:eastAsia="Times New Roman" w:hint="default"/>
                <w:sz w:val="21"/>
                <w:szCs w:val="21"/>
              </w:rPr>
            </w:pPr>
            <w:r>
              <w:rPr>
                <w:rFonts w:ascii="Times New Roman"/>
                <w:sz w:val="21"/>
              </w:rPr>
              <w:t>3.20%</w:t>
            </w:r>
          </w:p>
        </w:tc>
        <w:tc>
          <w:tcPr>
            <w:tcW w:w="1121" w:type="dxa"/>
            <w:vMerge/>
            <w:tcBorders>
              <w:left w:val="single" w:sz="8" w:space="0" w:color="000000"/>
              <w:right w:val="single" w:sz="8" w:space="0" w:color="000000"/>
            </w:tcBorders>
          </w:tcPr>
          <w:p>
            <w:pPr/>
          </w:p>
        </w:tc>
        <w:tc>
          <w:tcPr>
            <w:tcW w:w="1764" w:type="dxa"/>
            <w:vMerge/>
            <w:tcBorders>
              <w:left w:val="single" w:sz="8" w:space="0" w:color="000000"/>
              <w:right w:val="single" w:sz="8" w:space="0" w:color="000000"/>
            </w:tcBorders>
          </w:tcPr>
          <w:p>
            <w:pPr/>
          </w:p>
        </w:tc>
      </w:tr>
      <w:tr>
        <w:trPr>
          <w:trHeight w:val="293" w:hRule="exact"/>
        </w:trPr>
        <w:tc>
          <w:tcPr>
            <w:tcW w:w="1056"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王淑杰</w:t>
            </w:r>
          </w:p>
        </w:tc>
        <w:tc>
          <w:tcPr>
            <w:tcW w:w="2383"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监事</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5"/>
              <w:jc w:val="right"/>
              <w:rPr>
                <w:rFonts w:ascii="Times New Roman" w:hAnsi="Times New Roman" w:cs="Times New Roman" w:eastAsia="Times New Roman" w:hint="default"/>
                <w:sz w:val="21"/>
                <w:szCs w:val="21"/>
              </w:rPr>
            </w:pPr>
            <w:r>
              <w:rPr>
                <w:rFonts w:ascii="Times New Roman"/>
                <w:sz w:val="21"/>
              </w:rPr>
              <w:t>14.79</w:t>
            </w: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7"/>
              <w:jc w:val="right"/>
              <w:rPr>
                <w:rFonts w:ascii="Times New Roman" w:hAnsi="Times New Roman" w:cs="Times New Roman" w:eastAsia="Times New Roman" w:hint="default"/>
                <w:sz w:val="21"/>
                <w:szCs w:val="21"/>
              </w:rPr>
            </w:pPr>
            <w:r>
              <w:rPr>
                <w:rFonts w:ascii="Times New Roman"/>
                <w:sz w:val="21"/>
              </w:rPr>
              <w:t>14.63</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2"/>
              <w:jc w:val="right"/>
              <w:rPr>
                <w:rFonts w:ascii="Times New Roman" w:hAnsi="Times New Roman" w:cs="Times New Roman" w:eastAsia="Times New Roman" w:hint="default"/>
                <w:sz w:val="21"/>
                <w:szCs w:val="21"/>
              </w:rPr>
            </w:pPr>
            <w:r>
              <w:rPr>
                <w:rFonts w:ascii="Times New Roman"/>
                <w:sz w:val="21"/>
              </w:rPr>
              <w:t>1.08%</w:t>
            </w:r>
          </w:p>
        </w:tc>
        <w:tc>
          <w:tcPr>
            <w:tcW w:w="1121" w:type="dxa"/>
            <w:vMerge/>
            <w:tcBorders>
              <w:left w:val="single" w:sz="8" w:space="0" w:color="000000"/>
              <w:right w:val="single" w:sz="8" w:space="0" w:color="000000"/>
            </w:tcBorders>
          </w:tcPr>
          <w:p>
            <w:pPr/>
          </w:p>
        </w:tc>
        <w:tc>
          <w:tcPr>
            <w:tcW w:w="1764" w:type="dxa"/>
            <w:vMerge/>
            <w:tcBorders>
              <w:left w:val="single" w:sz="8" w:space="0" w:color="000000"/>
              <w:right w:val="single" w:sz="8" w:space="0" w:color="000000"/>
            </w:tcBorders>
          </w:tcPr>
          <w:p>
            <w:pPr/>
          </w:p>
        </w:tc>
      </w:tr>
      <w:tr>
        <w:trPr>
          <w:trHeight w:val="319" w:hRule="exact"/>
        </w:trPr>
        <w:tc>
          <w:tcPr>
            <w:tcW w:w="1056" w:type="dxa"/>
            <w:tcBorders>
              <w:top w:val="single" w:sz="8" w:space="0" w:color="000000"/>
              <w:left w:val="single" w:sz="8" w:space="0" w:color="000000"/>
              <w:bottom w:val="single" w:sz="8" w:space="0" w:color="000000"/>
              <w:right w:val="single" w:sz="8" w:space="0" w:color="000000"/>
            </w:tcBorders>
            <w:shd w:val="clear" w:color="auto" w:fill="C1C1C1"/>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83" w:type="dxa"/>
            <w:tcBorders>
              <w:top w:val="single" w:sz="8" w:space="0" w:color="000000"/>
              <w:left w:val="single" w:sz="8" w:space="0" w:color="000000"/>
              <w:bottom w:val="single" w:sz="8" w:space="0" w:color="000000"/>
              <w:right w:val="nil" w:sz="6" w:space="0" w:color="auto"/>
            </w:tcBorders>
            <w:shd w:val="clear" w:color="auto" w:fill="C1C1C1"/>
          </w:tcPr>
          <w:p>
            <w:pPr>
              <w:pStyle w:val="TableParagraph"/>
              <w:spacing w:line="240" w:lineRule="auto" w:before="51"/>
              <w:ind w:right="16"/>
              <w:jc w:val="center"/>
              <w:rPr>
                <w:rFonts w:ascii="Times New Roman" w:hAnsi="Times New Roman" w:cs="Times New Roman" w:eastAsia="Times New Roman" w:hint="default"/>
                <w:sz w:val="21"/>
                <w:szCs w:val="21"/>
              </w:rPr>
            </w:pPr>
            <w:r>
              <w:rPr>
                <w:rFonts w:ascii="Times New Roman"/>
                <w:w w:val="100"/>
                <w:sz w:val="21"/>
              </w:rPr>
              <w:t>-</w:t>
            </w:r>
          </w:p>
        </w:tc>
        <w:tc>
          <w:tcPr>
            <w:tcW w:w="125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right="-5"/>
              <w:jc w:val="right"/>
              <w:rPr>
                <w:rFonts w:ascii="Times New Roman" w:hAnsi="Times New Roman" w:cs="Times New Roman" w:eastAsia="Times New Roman" w:hint="default"/>
                <w:sz w:val="21"/>
                <w:szCs w:val="21"/>
              </w:rPr>
            </w:pPr>
            <w:r>
              <w:rPr>
                <w:rFonts w:ascii="Times New Roman"/>
                <w:sz w:val="21"/>
              </w:rPr>
              <w:t>286.53</w:t>
            </w:r>
          </w:p>
        </w:tc>
        <w:tc>
          <w:tcPr>
            <w:tcW w:w="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
              <w:jc w:val="right"/>
              <w:rPr>
                <w:rFonts w:ascii="Times New Roman" w:hAnsi="Times New Roman" w:cs="Times New Roman" w:eastAsia="Times New Roman" w:hint="default"/>
                <w:sz w:val="21"/>
                <w:szCs w:val="21"/>
              </w:rPr>
            </w:pPr>
            <w:r>
              <w:rPr>
                <w:rFonts w:ascii="Times New Roman"/>
                <w:sz w:val="21"/>
              </w:rPr>
              <w:t>212.99</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
              <w:jc w:val="right"/>
              <w:rPr>
                <w:rFonts w:ascii="Times New Roman" w:hAnsi="Times New Roman" w:cs="Times New Roman" w:eastAsia="Times New Roman" w:hint="default"/>
                <w:sz w:val="21"/>
                <w:szCs w:val="21"/>
              </w:rPr>
            </w:pPr>
            <w:r>
              <w:rPr>
                <w:rFonts w:ascii="Times New Roman"/>
                <w:sz w:val="21"/>
              </w:rPr>
              <w:t>25.67%</w:t>
            </w:r>
          </w:p>
        </w:tc>
        <w:tc>
          <w:tcPr>
            <w:tcW w:w="1121" w:type="dxa"/>
            <w:vMerge/>
            <w:tcBorders>
              <w:left w:val="single" w:sz="8" w:space="0" w:color="000000"/>
              <w:bottom w:val="single" w:sz="8" w:space="0" w:color="000000"/>
              <w:right w:val="single" w:sz="8" w:space="0" w:color="000000"/>
            </w:tcBorders>
          </w:tcPr>
          <w:p>
            <w:pPr/>
          </w:p>
        </w:tc>
        <w:tc>
          <w:tcPr>
            <w:tcW w:w="1764" w:type="dxa"/>
            <w:vMerge/>
            <w:tcBorders>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Heading4"/>
        <w:spacing w:line="240" w:lineRule="auto" w:before="36"/>
        <w:ind w:right="3480"/>
        <w:jc w:val="left"/>
        <w:rPr>
          <w:b w:val="0"/>
          <w:bCs w:val="0"/>
        </w:rPr>
      </w:pPr>
      <w:r>
        <w:rPr>
          <w:rFonts w:ascii="Times New Roman" w:hAnsi="Times New Roman" w:cs="Times New Roman" w:eastAsia="Times New Roman" w:hint="default"/>
        </w:rPr>
        <w:t>13</w:t>
      </w:r>
      <w:r>
        <w:rPr/>
        <w:t>、经营计划或盈利预测完成情况</w:t>
      </w:r>
      <w:r>
        <w:rPr>
          <w:b w:val="0"/>
          <w:bCs w:val="0"/>
        </w:rPr>
      </w:r>
    </w:p>
    <w:p>
      <w:pPr>
        <w:pStyle w:val="BodyText"/>
        <w:spacing w:line="240" w:lineRule="auto" w:before="119"/>
        <w:ind w:left="565" w:right="0"/>
        <w:jc w:val="left"/>
        <w:rPr>
          <w:rFonts w:ascii="Times New Roman" w:hAnsi="Times New Roman" w:cs="Times New Roman" w:eastAsia="Times New Roman" w:hint="default"/>
        </w:rPr>
      </w:pPr>
      <w:r>
        <w:rPr>
          <w:rFonts w:ascii="Times New Roman" w:hAnsi="Times New Roman" w:cs="Times New Roman" w:eastAsia="Times New Roman" w:hint="default"/>
        </w:rPr>
        <w:t>2011</w:t>
      </w:r>
      <w:r>
        <w:rPr/>
        <w:t>年，公司实现营业收入</w:t>
      </w:r>
      <w:r>
        <w:rPr>
          <w:rFonts w:ascii="Times New Roman" w:hAnsi="Times New Roman" w:cs="Times New Roman" w:eastAsia="Times New Roman" w:hint="default"/>
        </w:rPr>
        <w:t>72,087.17</w:t>
      </w:r>
      <w:r>
        <w:rPr/>
        <w:t>万元，同比增长</w:t>
      </w:r>
      <w:r>
        <w:rPr>
          <w:rFonts w:ascii="Times New Roman" w:hAnsi="Times New Roman" w:cs="Times New Roman" w:eastAsia="Times New Roman" w:hint="default"/>
        </w:rPr>
        <w:t>18.13%</w:t>
      </w:r>
      <w:r>
        <w:rPr/>
        <w:t>，归属于上市公司股东的净利润</w:t>
      </w:r>
      <w:r>
        <w:rPr>
          <w:rFonts w:ascii="Times New Roman" w:hAnsi="Times New Roman" w:cs="Times New Roman" w:eastAsia="Times New Roman" w:hint="default"/>
        </w:rPr>
        <w:t>26,411.37</w:t>
      </w:r>
    </w:p>
    <w:p>
      <w:pPr>
        <w:pStyle w:val="BodyText"/>
        <w:spacing w:line="240" w:lineRule="auto" w:before="117"/>
        <w:ind w:left="153" w:right="3480"/>
        <w:jc w:val="left"/>
      </w:pPr>
      <w:r>
        <w:rPr/>
        <w:t>万元，同比增长</w:t>
      </w:r>
      <w:r>
        <w:rPr>
          <w:rFonts w:ascii="Times New Roman" w:hAnsi="Times New Roman" w:cs="Times New Roman" w:eastAsia="Times New Roman" w:hint="default"/>
        </w:rPr>
        <w:t>23.48%</w:t>
      </w:r>
      <w:r>
        <w:rPr/>
        <w:t>，圆满完成了公司年初制定的经营计划。</w:t>
      </w:r>
    </w:p>
    <w:p>
      <w:pPr>
        <w:spacing w:line="240" w:lineRule="auto" w:before="6"/>
        <w:rPr>
          <w:rFonts w:ascii="宋体" w:hAnsi="宋体" w:cs="宋体" w:eastAsia="宋体" w:hint="default"/>
          <w:sz w:val="30"/>
          <w:szCs w:val="30"/>
        </w:rPr>
      </w:pPr>
    </w:p>
    <w:p>
      <w:pPr>
        <w:spacing w:line="338" w:lineRule="auto" w:before="0"/>
        <w:ind w:left="565" w:right="431"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、会计制度实施情况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报告期内，公司主要会计政策、会计估计及会计核算方法未发生重大变更。</w:t>
      </w:r>
    </w:p>
    <w:p>
      <w:pPr>
        <w:spacing w:line="240" w:lineRule="auto" w:before="11"/>
        <w:rPr>
          <w:rFonts w:ascii="宋体" w:hAnsi="宋体" w:cs="宋体" w:eastAsia="宋体" w:hint="default"/>
          <w:sz w:val="24"/>
          <w:szCs w:val="24"/>
        </w:rPr>
      </w:pPr>
    </w:p>
    <w:p>
      <w:pPr>
        <w:pStyle w:val="Heading4"/>
        <w:spacing w:line="240" w:lineRule="auto"/>
        <w:ind w:right="3480"/>
        <w:jc w:val="left"/>
        <w:rPr>
          <w:b w:val="0"/>
          <w:bCs w:val="0"/>
        </w:rPr>
      </w:pPr>
      <w:r>
        <w:rPr/>
        <w:t>（二）资产、负债及重大投资等事项</w:t>
      </w:r>
      <w:r>
        <w:rPr>
          <w:b w:val="0"/>
          <w:bCs w:val="0"/>
        </w:rPr>
      </w:r>
    </w:p>
    <w:p>
      <w:pPr>
        <w:spacing w:line="240" w:lineRule="auto" w:before="11"/>
        <w:rPr>
          <w:rFonts w:ascii="宋体" w:hAnsi="宋体" w:cs="宋体" w:eastAsia="宋体" w:hint="default"/>
          <w:b/>
          <w:bCs/>
          <w:sz w:val="28"/>
          <w:szCs w:val="28"/>
        </w:rPr>
      </w:pPr>
    </w:p>
    <w:p>
      <w:pPr>
        <w:pStyle w:val="Heading4"/>
        <w:spacing w:line="240" w:lineRule="auto" w:before="36"/>
        <w:ind w:right="3480"/>
        <w:jc w:val="left"/>
        <w:rPr>
          <w:b w:val="0"/>
          <w:bCs w:val="0"/>
        </w:rPr>
      </w:pPr>
      <w:r>
        <w:rPr>
          <w:rFonts w:ascii="Times New Roman" w:hAnsi="Times New Roman" w:cs="Times New Roman" w:eastAsia="Times New Roman" w:hint="default"/>
        </w:rPr>
        <w:t>1</w:t>
      </w:r>
      <w:r>
        <w:rPr/>
        <w:t>、重要资产情况</w:t>
      </w:r>
      <w:r>
        <w:rPr>
          <w:b w:val="0"/>
          <w:bCs w:val="0"/>
        </w:rPr>
      </w:r>
    </w:p>
    <w:p>
      <w:pPr>
        <w:pStyle w:val="BodyText"/>
        <w:spacing w:line="240" w:lineRule="auto" w:before="177"/>
        <w:ind w:left="0" w:right="160"/>
        <w:jc w:val="right"/>
      </w:pPr>
      <w:r>
        <w:rPr/>
        <w:pict>
          <v:shape style="position:absolute;margin-left:59.459999pt;margin-top:11.033668pt;width:476.55pt;height:48.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7"/>
                    <w:gridCol w:w="900"/>
                    <w:gridCol w:w="1092"/>
                    <w:gridCol w:w="1080"/>
                    <w:gridCol w:w="1440"/>
                    <w:gridCol w:w="2292"/>
                    <w:gridCol w:w="1645"/>
                  </w:tblGrid>
                  <w:tr>
                    <w:trPr>
                      <w:trHeight w:val="442" w:hRule="exact"/>
                    </w:trPr>
                    <w:tc>
                      <w:tcPr>
                        <w:tcW w:w="1067" w:type="dxa"/>
                        <w:tcBorders>
                          <w:top w:val="single" w:sz="4" w:space="0" w:color="000000"/>
                          <w:left w:val="single" w:sz="4" w:space="0" w:color="000000"/>
                          <w:bottom w:val="nil" w:sz="6" w:space="0" w:color="auto"/>
                          <w:right w:val="single" w:sz="4" w:space="0" w:color="000000"/>
                        </w:tcBorders>
                        <w:shd w:val="clear" w:color="auto" w:fill="DDDDDD"/>
                      </w:tcPr>
                      <w:p>
                        <w:pPr>
                          <w:pStyle w:val="TableParagraph"/>
                          <w:spacing w:line="240" w:lineRule="auto" w:before="81"/>
                          <w:ind w:right="3"/>
                          <w:jc w:val="center"/>
                          <w:rPr>
                            <w:rFonts w:ascii="宋体" w:hAnsi="宋体" w:cs="宋体" w:eastAsia="宋体" w:hint="default"/>
                            <w:sz w:val="21"/>
                            <w:szCs w:val="21"/>
                          </w:rPr>
                        </w:pPr>
                        <w:r>
                          <w:rPr>
                            <w:rFonts w:ascii="宋体" w:hAnsi="宋体" w:cs="宋体" w:eastAsia="宋体" w:hint="default"/>
                            <w:sz w:val="21"/>
                            <w:szCs w:val="21"/>
                          </w:rPr>
                          <w:t>资产类别</w:t>
                        </w:r>
                      </w:p>
                    </w:tc>
                    <w:tc>
                      <w:tcPr>
                        <w:tcW w:w="900" w:type="dxa"/>
                        <w:tcBorders>
                          <w:top w:val="single" w:sz="4" w:space="0" w:color="000000"/>
                          <w:left w:val="single" w:sz="4" w:space="0" w:color="000000"/>
                          <w:bottom w:val="nil" w:sz="6" w:space="0" w:color="auto"/>
                          <w:right w:val="single" w:sz="4" w:space="0" w:color="000000"/>
                        </w:tcBorders>
                        <w:shd w:val="clear" w:color="auto" w:fill="DDDDDD"/>
                      </w:tcPr>
                      <w:p>
                        <w:pPr>
                          <w:pStyle w:val="TableParagraph"/>
                          <w:spacing w:line="240" w:lineRule="auto" w:before="81"/>
                          <w:ind w:left="9" w:right="0"/>
                          <w:jc w:val="center"/>
                          <w:rPr>
                            <w:rFonts w:ascii="宋体" w:hAnsi="宋体" w:cs="宋体" w:eastAsia="宋体" w:hint="default"/>
                            <w:sz w:val="21"/>
                            <w:szCs w:val="21"/>
                          </w:rPr>
                        </w:pPr>
                        <w:r>
                          <w:rPr>
                            <w:rFonts w:ascii="宋体" w:hAnsi="宋体" w:cs="宋体" w:eastAsia="宋体" w:hint="default"/>
                            <w:sz w:val="21"/>
                            <w:szCs w:val="21"/>
                          </w:rPr>
                          <w:t>存放状态</w:t>
                        </w:r>
                      </w:p>
                    </w:tc>
                    <w:tc>
                      <w:tcPr>
                        <w:tcW w:w="1092" w:type="dxa"/>
                        <w:tcBorders>
                          <w:top w:val="single" w:sz="4" w:space="0" w:color="000000"/>
                          <w:left w:val="single" w:sz="4" w:space="0" w:color="000000"/>
                          <w:bottom w:val="nil" w:sz="6" w:space="0" w:color="auto"/>
                          <w:right w:val="single" w:sz="4" w:space="0" w:color="000000"/>
                        </w:tcBorders>
                        <w:shd w:val="clear" w:color="auto" w:fill="DDDDDD"/>
                      </w:tcPr>
                      <w:p>
                        <w:pPr>
                          <w:pStyle w:val="TableParagraph"/>
                          <w:spacing w:line="240" w:lineRule="auto" w:before="81"/>
                          <w:ind w:left="7" w:right="0"/>
                          <w:jc w:val="center"/>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spacing w:val="2"/>
                            <w:sz w:val="21"/>
                            <w:szCs w:val="21"/>
                          </w:rPr>
                          <w:t> </w:t>
                        </w:r>
                        <w:r>
                          <w:rPr>
                            <w:rFonts w:ascii="宋体" w:hAnsi="宋体" w:cs="宋体" w:eastAsia="宋体" w:hint="default"/>
                            <w:sz w:val="21"/>
                            <w:szCs w:val="21"/>
                          </w:rPr>
                          <w:t>质</w:t>
                        </w:r>
                      </w:p>
                    </w:tc>
                    <w:tc>
                      <w:tcPr>
                        <w:tcW w:w="1080" w:type="dxa"/>
                        <w:tcBorders>
                          <w:top w:val="single" w:sz="4" w:space="0" w:color="000000"/>
                          <w:left w:val="single" w:sz="4" w:space="0" w:color="000000"/>
                          <w:bottom w:val="nil" w:sz="6" w:space="0" w:color="auto"/>
                          <w:right w:val="single" w:sz="4" w:space="0" w:color="000000"/>
                        </w:tcBorders>
                        <w:shd w:val="clear" w:color="auto" w:fill="DDDDDD"/>
                      </w:tcPr>
                      <w:p>
                        <w:pPr>
                          <w:pStyle w:val="TableParagraph"/>
                          <w:spacing w:line="240" w:lineRule="auto" w:before="81"/>
                          <w:ind w:left="2" w:right="0"/>
                          <w:jc w:val="center"/>
                          <w:rPr>
                            <w:rFonts w:ascii="宋体" w:hAnsi="宋体" w:cs="宋体" w:eastAsia="宋体" w:hint="default"/>
                            <w:sz w:val="21"/>
                            <w:szCs w:val="21"/>
                          </w:rPr>
                        </w:pPr>
                        <w:r>
                          <w:rPr>
                            <w:rFonts w:ascii="宋体" w:hAnsi="宋体" w:cs="宋体" w:eastAsia="宋体" w:hint="default"/>
                            <w:sz w:val="21"/>
                            <w:szCs w:val="21"/>
                          </w:rPr>
                          <w:t>使用情况</w:t>
                        </w:r>
                      </w:p>
                    </w:tc>
                    <w:tc>
                      <w:tcPr>
                        <w:tcW w:w="1440" w:type="dxa"/>
                        <w:tcBorders>
                          <w:top w:val="single" w:sz="4" w:space="0" w:color="000000"/>
                          <w:left w:val="single" w:sz="4" w:space="0" w:color="000000"/>
                          <w:bottom w:val="nil" w:sz="6" w:space="0" w:color="auto"/>
                          <w:right w:val="single" w:sz="4" w:space="0" w:color="000000"/>
                        </w:tcBorders>
                        <w:shd w:val="clear" w:color="auto" w:fill="DDDDDD"/>
                      </w:tcPr>
                      <w:p>
                        <w:pPr>
                          <w:pStyle w:val="TableParagraph"/>
                          <w:spacing w:line="240" w:lineRule="auto" w:before="81"/>
                          <w:ind w:left="4" w:right="0"/>
                          <w:jc w:val="center"/>
                          <w:rPr>
                            <w:rFonts w:ascii="宋体" w:hAnsi="宋体" w:cs="宋体" w:eastAsia="宋体" w:hint="default"/>
                            <w:sz w:val="21"/>
                            <w:szCs w:val="21"/>
                          </w:rPr>
                        </w:pPr>
                        <w:r>
                          <w:rPr>
                            <w:rFonts w:ascii="宋体" w:hAnsi="宋体" w:cs="宋体" w:eastAsia="宋体" w:hint="default"/>
                            <w:sz w:val="21"/>
                            <w:szCs w:val="21"/>
                          </w:rPr>
                          <w:t>盈利能力情况</w:t>
                        </w:r>
                      </w:p>
                    </w:tc>
                    <w:tc>
                      <w:tcPr>
                        <w:tcW w:w="2292" w:type="dxa"/>
                        <w:tcBorders>
                          <w:top w:val="single" w:sz="4" w:space="0" w:color="000000"/>
                          <w:left w:val="single" w:sz="4" w:space="0" w:color="000000"/>
                          <w:bottom w:val="nil" w:sz="6" w:space="0" w:color="auto"/>
                          <w:right w:val="single" w:sz="4" w:space="0" w:color="000000"/>
                        </w:tcBorders>
                        <w:shd w:val="clear" w:color="auto" w:fill="DDDDDD"/>
                      </w:tcPr>
                      <w:p>
                        <w:pPr>
                          <w:pStyle w:val="TableParagraph"/>
                          <w:spacing w:line="240" w:lineRule="auto" w:before="81"/>
                          <w:ind w:right="7"/>
                          <w:jc w:val="center"/>
                          <w:rPr>
                            <w:rFonts w:ascii="宋体" w:hAnsi="宋体" w:cs="宋体" w:eastAsia="宋体" w:hint="default"/>
                            <w:sz w:val="21"/>
                            <w:szCs w:val="21"/>
                          </w:rPr>
                        </w:pPr>
                        <w:r>
                          <w:rPr>
                            <w:rFonts w:ascii="宋体" w:hAnsi="宋体" w:cs="宋体" w:eastAsia="宋体" w:hint="default"/>
                            <w:sz w:val="21"/>
                            <w:szCs w:val="21"/>
                          </w:rPr>
                          <w:t>减值情况</w:t>
                        </w:r>
                      </w:p>
                    </w:tc>
                    <w:tc>
                      <w:tcPr>
                        <w:tcW w:w="1645" w:type="dxa"/>
                        <w:vMerge w:val="restart"/>
                        <w:tcBorders>
                          <w:top w:val="single" w:sz="4" w:space="0" w:color="000000"/>
                          <w:left w:val="single" w:sz="4" w:space="0" w:color="000000"/>
                          <w:right w:val="single" w:sz="4" w:space="0" w:color="000000"/>
                        </w:tcBorders>
                        <w:shd w:val="clear" w:color="auto" w:fill="DDDDDD"/>
                      </w:tcPr>
                      <w:p>
                        <w:pPr>
                          <w:pStyle w:val="TableParagraph"/>
                          <w:spacing w:line="220" w:lineRule="exact"/>
                          <w:ind w:left="11" w:right="0"/>
                          <w:jc w:val="left"/>
                          <w:rPr>
                            <w:rFonts w:ascii="宋体" w:hAnsi="宋体" w:cs="宋体" w:eastAsia="宋体" w:hint="default"/>
                            <w:sz w:val="21"/>
                            <w:szCs w:val="21"/>
                          </w:rPr>
                        </w:pPr>
                        <w:r>
                          <w:rPr>
                            <w:rFonts w:ascii="宋体" w:hAnsi="宋体" w:cs="宋体" w:eastAsia="宋体" w:hint="default"/>
                            <w:sz w:val="21"/>
                            <w:szCs w:val="21"/>
                          </w:rPr>
                          <w:t>相关担保、诉讼</w:t>
                        </w:r>
                      </w:p>
                      <w:p>
                        <w:pPr>
                          <w:pStyle w:val="TableParagraph"/>
                          <w:spacing w:line="273" w:lineRule="exact"/>
                          <w:ind w:left="292" w:right="0"/>
                          <w:jc w:val="left"/>
                          <w:rPr>
                            <w:rFonts w:ascii="宋体" w:hAnsi="宋体" w:cs="宋体" w:eastAsia="宋体" w:hint="default"/>
                            <w:sz w:val="21"/>
                            <w:szCs w:val="21"/>
                          </w:rPr>
                        </w:pPr>
                        <w:r>
                          <w:rPr>
                            <w:rFonts w:ascii="宋体" w:hAnsi="宋体" w:cs="宋体" w:eastAsia="宋体" w:hint="default"/>
                            <w:sz w:val="21"/>
                            <w:szCs w:val="21"/>
                          </w:rPr>
                          <w:t>仲裁等情况</w:t>
                        </w:r>
                      </w:p>
                    </w:tc>
                  </w:tr>
                  <w:tr>
                    <w:trPr>
                      <w:trHeight w:val="142" w:hRule="exact"/>
                    </w:trPr>
                    <w:tc>
                      <w:tcPr>
                        <w:tcW w:w="1067" w:type="dxa"/>
                        <w:tcBorders>
                          <w:top w:val="nil" w:sz="6" w:space="0" w:color="auto"/>
                          <w:left w:val="single" w:sz="4" w:space="0" w:color="000000"/>
                          <w:bottom w:val="single" w:sz="4" w:space="0" w:color="000000"/>
                          <w:right w:val="single" w:sz="4" w:space="0" w:color="000000"/>
                        </w:tcBorders>
                        <w:shd w:val="clear" w:color="auto" w:fill="DDDDDD"/>
                      </w:tcPr>
                      <w:p>
                        <w:pPr/>
                      </w:p>
                    </w:tc>
                    <w:tc>
                      <w:tcPr>
                        <w:tcW w:w="900" w:type="dxa"/>
                        <w:tcBorders>
                          <w:top w:val="nil" w:sz="6" w:space="0" w:color="auto"/>
                          <w:left w:val="single" w:sz="4" w:space="0" w:color="000000"/>
                          <w:bottom w:val="single" w:sz="4" w:space="0" w:color="000000"/>
                          <w:right w:val="single" w:sz="4" w:space="0" w:color="000000"/>
                        </w:tcBorders>
                        <w:shd w:val="clear" w:color="auto" w:fill="DDDDDD"/>
                      </w:tcPr>
                      <w:p>
                        <w:pPr/>
                      </w:p>
                    </w:tc>
                    <w:tc>
                      <w:tcPr>
                        <w:tcW w:w="1092" w:type="dxa"/>
                        <w:tcBorders>
                          <w:top w:val="nil" w:sz="6" w:space="0" w:color="auto"/>
                          <w:left w:val="single" w:sz="4" w:space="0" w:color="000000"/>
                          <w:bottom w:val="single" w:sz="4" w:space="0" w:color="000000"/>
                          <w:right w:val="single" w:sz="4" w:space="0" w:color="000000"/>
                        </w:tcBorders>
                        <w:shd w:val="clear" w:color="auto" w:fill="DDDDDD"/>
                      </w:tcPr>
                      <w:p>
                        <w:pPr/>
                      </w:p>
                    </w:tc>
                    <w:tc>
                      <w:tcPr>
                        <w:tcW w:w="1080" w:type="dxa"/>
                        <w:tcBorders>
                          <w:top w:val="nil" w:sz="6" w:space="0" w:color="auto"/>
                          <w:left w:val="single" w:sz="4" w:space="0" w:color="000000"/>
                          <w:bottom w:val="single" w:sz="4" w:space="0" w:color="000000"/>
                          <w:right w:val="single" w:sz="4" w:space="0" w:color="000000"/>
                        </w:tcBorders>
                        <w:shd w:val="clear" w:color="auto" w:fill="DDDDDD"/>
                      </w:tcPr>
                      <w:p>
                        <w:pPr/>
                      </w:p>
                    </w:tc>
                    <w:tc>
                      <w:tcPr>
                        <w:tcW w:w="1440" w:type="dxa"/>
                        <w:tcBorders>
                          <w:top w:val="nil" w:sz="6" w:space="0" w:color="auto"/>
                          <w:left w:val="single" w:sz="4" w:space="0" w:color="000000"/>
                          <w:bottom w:val="single" w:sz="4" w:space="0" w:color="000000"/>
                          <w:right w:val="single" w:sz="4" w:space="0" w:color="000000"/>
                        </w:tcBorders>
                        <w:shd w:val="clear" w:color="auto" w:fill="DDDDDD"/>
                      </w:tcPr>
                      <w:p>
                        <w:pPr/>
                      </w:p>
                    </w:tc>
                    <w:tc>
                      <w:tcPr>
                        <w:tcW w:w="2292" w:type="dxa"/>
                        <w:tcBorders>
                          <w:top w:val="nil" w:sz="6" w:space="0" w:color="auto"/>
                          <w:left w:val="single" w:sz="4" w:space="0" w:color="000000"/>
                          <w:bottom w:val="single" w:sz="4" w:space="0" w:color="000000"/>
                          <w:right w:val="single" w:sz="4" w:space="0" w:color="000000"/>
                        </w:tcBorders>
                        <w:shd w:val="clear" w:color="auto" w:fill="DDDDDD"/>
                      </w:tcPr>
                      <w:p>
                        <w:pPr/>
                      </w:p>
                    </w:tc>
                    <w:tc>
                      <w:tcPr>
                        <w:tcW w:w="1645" w:type="dxa"/>
                        <w:vMerge/>
                        <w:tcBorders>
                          <w:left w:val="single" w:sz="4" w:space="0" w:color="000000"/>
                          <w:bottom w:val="single" w:sz="4" w:space="0" w:color="000000"/>
                          <w:right w:val="single" w:sz="4" w:space="0" w:color="000000"/>
                        </w:tcBorders>
                        <w:shd w:val="clear" w:color="auto" w:fill="DDDDDD"/>
                      </w:tcPr>
                      <w:p>
                        <w:pPr/>
                      </w:p>
                    </w:tc>
                  </w:tr>
                  <w:tr>
                    <w:trPr>
                      <w:trHeight w:val="377" w:hRule="exact"/>
                    </w:trPr>
                    <w:tc>
                      <w:tcPr>
                        <w:tcW w:w="10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3"/>
                          <w:jc w:val="center"/>
                          <w:rPr>
                            <w:rFonts w:ascii="宋体" w:hAnsi="宋体" w:cs="宋体" w:eastAsia="宋体" w:hint="default"/>
                            <w:sz w:val="21"/>
                            <w:szCs w:val="21"/>
                          </w:rPr>
                        </w:pPr>
                        <w:r>
                          <w:rPr>
                            <w:rFonts w:ascii="宋体" w:hAnsi="宋体" w:cs="宋体" w:eastAsia="宋体" w:hint="default"/>
                            <w:sz w:val="21"/>
                            <w:szCs w:val="21"/>
                          </w:rPr>
                          <w:t>办公用房</w:t>
                        </w:r>
                      </w:p>
                    </w:tc>
                    <w:tc>
                      <w:tcPr>
                        <w:tcW w:w="90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良好</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正常使用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按照固定资产计提折旧</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7"/>
        <w:ind w:right="3480"/>
        <w:jc w:val="left"/>
        <w:rPr>
          <w:b w:val="0"/>
          <w:bCs w:val="0"/>
        </w:rPr>
      </w:pPr>
      <w:r>
        <w:rPr>
          <w:rFonts w:ascii="Times New Roman" w:hAnsi="Times New Roman" w:cs="Times New Roman" w:eastAsia="Times New Roman" w:hint="default"/>
        </w:rPr>
        <w:t>2</w:t>
      </w:r>
      <w:r>
        <w:rPr/>
        <w:t>、资产构成变动情况</w:t>
      </w:r>
      <w:r>
        <w:rPr>
          <w:b w:val="0"/>
          <w:bCs w:val="0"/>
        </w:rPr>
      </w:r>
    </w:p>
    <w:p>
      <w:pPr>
        <w:spacing w:line="240" w:lineRule="auto" w:before="10"/>
        <w:rPr>
          <w:rFonts w:ascii="宋体" w:hAnsi="宋体" w:cs="宋体" w:eastAsia="宋体" w:hint="default"/>
          <w:b/>
          <w:bCs/>
          <w:sz w:val="11"/>
          <w:szCs w:val="11"/>
        </w:rPr>
      </w:pPr>
    </w:p>
    <w:tbl>
      <w:tblPr>
        <w:tblW w:w="0" w:type="auto"/>
        <w:jc w:val="left"/>
        <w:tblInd w:w="210" w:type="dxa"/>
        <w:tblLayout w:type="fixed"/>
        <w:tblCellMar>
          <w:top w:w="0" w:type="dxa"/>
          <w:left w:w="0" w:type="dxa"/>
          <w:bottom w:w="0" w:type="dxa"/>
          <w:right w:w="0" w:type="dxa"/>
        </w:tblCellMar>
        <w:tblLook w:val="01E0"/>
      </w:tblPr>
      <w:tblGrid>
        <w:gridCol w:w="1231"/>
        <w:gridCol w:w="2170"/>
        <w:gridCol w:w="2298"/>
        <w:gridCol w:w="1225"/>
        <w:gridCol w:w="2590"/>
      </w:tblGrid>
      <w:tr>
        <w:trPr>
          <w:trHeight w:val="643" w:hRule="exact"/>
        </w:trPr>
        <w:tc>
          <w:tcPr>
            <w:tcW w:w="12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资产项目</w:t>
            </w:r>
          </w:p>
        </w:tc>
        <w:tc>
          <w:tcPr>
            <w:tcW w:w="217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3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年占总资产比重</w:t>
            </w:r>
          </w:p>
          <w:p>
            <w:pPr>
              <w:pStyle w:val="TableParagraph"/>
              <w:spacing w:line="240" w:lineRule="auto" w:before="8"/>
              <w:ind w:left="3" w:right="0"/>
              <w:jc w:val="center"/>
              <w:rPr>
                <w:rFonts w:ascii="Times New Roman" w:hAnsi="Times New Roman" w:cs="Times New Roman" w:eastAsia="Times New Roman" w:hint="default"/>
                <w:sz w:val="21"/>
                <w:szCs w:val="21"/>
              </w:rPr>
            </w:pPr>
            <w:r>
              <w:rPr>
                <w:rFonts w:ascii="Times New Roman"/>
                <w:sz w:val="21"/>
              </w:rPr>
              <w:t>(%)</w:t>
            </w:r>
          </w:p>
        </w:tc>
        <w:tc>
          <w:tcPr>
            <w:tcW w:w="22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3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年占总资产比重</w:t>
            </w:r>
          </w:p>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w:t>
            </w:r>
          </w:p>
        </w:tc>
        <w:tc>
          <w:tcPr>
            <w:tcW w:w="12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0"/>
              <w:ind w:left="186"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259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1" w:lineRule="exact" w:before="16"/>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）达到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p>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的说明</w:t>
            </w:r>
          </w:p>
        </w:tc>
      </w:tr>
      <w:tr>
        <w:trPr>
          <w:trHeight w:val="386" w:hRule="exact"/>
        </w:trPr>
        <w:tc>
          <w:tcPr>
            <w:tcW w:w="12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11" w:right="0"/>
              <w:jc w:val="left"/>
              <w:rPr>
                <w:rFonts w:ascii="Times New Roman" w:hAnsi="Times New Roman" w:cs="Times New Roman" w:eastAsia="Times New Roman" w:hint="default"/>
                <w:sz w:val="21"/>
                <w:szCs w:val="21"/>
              </w:rPr>
            </w:pPr>
            <w:r>
              <w:rPr>
                <w:rFonts w:ascii="Times New Roman"/>
                <w:sz w:val="21"/>
              </w:rPr>
              <w:t>33.63%</w:t>
            </w: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z w:val="21"/>
              </w:rPr>
              <w:t>45.93%</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94" w:right="0"/>
              <w:jc w:val="left"/>
              <w:rPr>
                <w:rFonts w:ascii="Times New Roman" w:hAnsi="Times New Roman" w:cs="Times New Roman" w:eastAsia="Times New Roman" w:hint="default"/>
                <w:sz w:val="21"/>
                <w:szCs w:val="21"/>
              </w:rPr>
            </w:pPr>
            <w:r>
              <w:rPr>
                <w:rFonts w:ascii="Times New Roman"/>
                <w:sz w:val="21"/>
              </w:rPr>
              <w:t>-12.31%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50" w:footer="979" w:top="1200" w:bottom="1160" w:left="980" w:right="980"/>
        </w:sectPr>
      </w:pPr>
    </w:p>
    <w:p>
      <w:pPr>
        <w:spacing w:line="240" w:lineRule="auto" w:before="5"/>
        <w:rPr>
          <w:rFonts w:ascii="宋体" w:hAnsi="宋体" w:cs="宋体" w:eastAsia="宋体" w:hint="default"/>
          <w:b/>
          <w:bCs/>
          <w:sz w:val="3"/>
          <w:szCs w:val="3"/>
        </w:rPr>
      </w:pPr>
    </w:p>
    <w:tbl>
      <w:tblPr>
        <w:tblW w:w="0" w:type="auto"/>
        <w:jc w:val="left"/>
        <w:tblInd w:w="290" w:type="dxa"/>
        <w:tblLayout w:type="fixed"/>
        <w:tblCellMar>
          <w:top w:w="0" w:type="dxa"/>
          <w:left w:w="0" w:type="dxa"/>
          <w:bottom w:w="0" w:type="dxa"/>
          <w:right w:w="0" w:type="dxa"/>
        </w:tblCellMar>
        <w:tblLook w:val="01E0"/>
      </w:tblPr>
      <w:tblGrid>
        <w:gridCol w:w="1231"/>
        <w:gridCol w:w="2170"/>
        <w:gridCol w:w="2297"/>
        <w:gridCol w:w="1226"/>
        <w:gridCol w:w="2590"/>
      </w:tblGrid>
      <w:tr>
        <w:trPr>
          <w:trHeight w:val="391" w:hRule="exact"/>
        </w:trPr>
        <w:tc>
          <w:tcPr>
            <w:tcW w:w="1231" w:type="dxa"/>
            <w:tcBorders>
              <w:top w:val="single" w:sz="10"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17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30"/>
              <w:ind w:right="95"/>
              <w:jc w:val="right"/>
              <w:rPr>
                <w:rFonts w:ascii="Times New Roman" w:hAnsi="Times New Roman" w:cs="Times New Roman" w:eastAsia="Times New Roman" w:hint="default"/>
                <w:sz w:val="21"/>
                <w:szCs w:val="21"/>
              </w:rPr>
            </w:pPr>
            <w:r>
              <w:rPr>
                <w:rFonts w:ascii="Times New Roman"/>
                <w:sz w:val="21"/>
              </w:rPr>
              <w:t>13.75%</w:t>
            </w:r>
          </w:p>
        </w:tc>
        <w:tc>
          <w:tcPr>
            <w:tcW w:w="229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z w:val="21"/>
              </w:rPr>
              <w:t>13.22%</w:t>
            </w:r>
          </w:p>
        </w:tc>
        <w:tc>
          <w:tcPr>
            <w:tcW w:w="122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z w:val="21"/>
              </w:rPr>
              <w:t>0.53%</w:t>
            </w:r>
          </w:p>
        </w:tc>
        <w:tc>
          <w:tcPr>
            <w:tcW w:w="259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77" w:hRule="exact"/>
        </w:trPr>
        <w:tc>
          <w:tcPr>
            <w:tcW w:w="12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5"/>
              <w:jc w:val="right"/>
              <w:rPr>
                <w:rFonts w:ascii="Times New Roman" w:hAnsi="Times New Roman" w:cs="Times New Roman" w:eastAsia="Times New Roman" w:hint="default"/>
                <w:sz w:val="21"/>
                <w:szCs w:val="21"/>
              </w:rPr>
            </w:pPr>
            <w:r>
              <w:rPr>
                <w:rFonts w:ascii="Times New Roman"/>
                <w:sz w:val="21"/>
              </w:rPr>
              <w:t>2.85%</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z w:val="21"/>
              </w:rPr>
              <w:t>5.14%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spacing w:val="-1"/>
                <w:sz w:val="21"/>
              </w:rPr>
              <w:t>-2.29%</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12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5"/>
              <w:jc w:val="right"/>
              <w:rPr>
                <w:rFonts w:ascii="Times New Roman" w:hAnsi="Times New Roman" w:cs="Times New Roman" w:eastAsia="Times New Roman" w:hint="default"/>
                <w:sz w:val="21"/>
                <w:szCs w:val="21"/>
              </w:rPr>
            </w:pPr>
            <w:r>
              <w:rPr>
                <w:rFonts w:ascii="Times New Roman"/>
                <w:sz w:val="21"/>
              </w:rPr>
              <w:t>10.08%</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z w:val="21"/>
              </w:rPr>
              <w:t>12.09%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spacing w:val="-1"/>
                <w:sz w:val="21"/>
              </w:rPr>
              <w:t>-2.02%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2"/>
        <w:rPr>
          <w:rFonts w:ascii="宋体" w:hAnsi="宋体" w:cs="宋体" w:eastAsia="宋体" w:hint="default"/>
          <w:b/>
          <w:bCs/>
          <w:sz w:val="15"/>
          <w:szCs w:val="15"/>
        </w:rPr>
      </w:pPr>
    </w:p>
    <w:p>
      <w:pPr>
        <w:pStyle w:val="BodyText"/>
        <w:spacing w:line="338" w:lineRule="auto" w:before="36"/>
        <w:ind w:left="652" w:right="0" w:hanging="8"/>
        <w:jc w:val="left"/>
      </w:pPr>
      <w:r>
        <w:rPr>
          <w:rFonts w:ascii="Times New Roman" w:hAnsi="Times New Roman" w:cs="Times New Roman" w:eastAsia="Times New Roman" w:hint="default"/>
          <w:b/>
          <w:bCs/>
        </w:rPr>
        <w:t>3</w:t>
      </w:r>
      <w:r>
        <w:rPr>
          <w:rFonts w:ascii="宋体" w:hAnsi="宋体" w:cs="宋体" w:eastAsia="宋体" w:hint="default"/>
          <w:b/>
          <w:bCs/>
        </w:rPr>
        <w:t>、金融资产投资情况</w:t>
      </w:r>
      <w:r>
        <w:rPr>
          <w:rFonts w:ascii="宋体" w:hAnsi="宋体" w:cs="宋体" w:eastAsia="宋体" w:hint="default"/>
          <w:b/>
          <w:bCs/>
          <w:w w:val="100"/>
        </w:rPr>
        <w:t> </w:t>
      </w:r>
      <w:r>
        <w:rPr/>
        <w:t>报告期内处置了可供出售金融资产</w:t>
      </w:r>
      <w:r>
        <w:rPr>
          <w:rFonts w:ascii="Times New Roman" w:hAnsi="Times New Roman" w:cs="Times New Roman" w:eastAsia="Times New Roman" w:hint="default"/>
        </w:rPr>
        <w:t>323,342</w:t>
      </w:r>
      <w:r>
        <w:rPr/>
        <w:t>元，比去年同期可供出售金融资产同比减少</w:t>
      </w:r>
      <w:r>
        <w:rPr>
          <w:rFonts w:ascii="Times New Roman" w:hAnsi="Times New Roman" w:cs="Times New Roman" w:eastAsia="Times New Roman" w:hint="default"/>
        </w:rPr>
        <w:t>100%</w:t>
      </w:r>
      <w:r>
        <w:rPr/>
        <w:t>，主要系</w:t>
      </w:r>
    </w:p>
    <w:p>
      <w:pPr>
        <w:pStyle w:val="BodyText"/>
        <w:spacing w:line="240" w:lineRule="auto" w:before="22"/>
        <w:ind w:left="232" w:right="0"/>
        <w:jc w:val="left"/>
      </w:pPr>
      <w:r>
        <w:rPr/>
        <w:t>香港</w:t>
      </w:r>
      <w:r>
        <w:rPr>
          <w:rFonts w:ascii="Times New Roman" w:hAnsi="Times New Roman" w:cs="Times New Roman" w:eastAsia="Times New Roman" w:hint="default"/>
        </w:rPr>
        <w:t>Infrasys</w:t>
      </w:r>
      <w:r>
        <w:rPr/>
        <w:t>转让了高尔夫球会籍所致。</w:t>
      </w:r>
    </w:p>
    <w:p>
      <w:pPr>
        <w:spacing w:line="240" w:lineRule="auto" w:before="3"/>
        <w:rPr>
          <w:rFonts w:ascii="宋体" w:hAnsi="宋体" w:cs="宋体" w:eastAsia="宋体" w:hint="default"/>
          <w:sz w:val="30"/>
          <w:szCs w:val="30"/>
        </w:rPr>
      </w:pPr>
    </w:p>
    <w:p>
      <w:pPr>
        <w:pStyle w:val="Heading4"/>
        <w:spacing w:line="240" w:lineRule="auto"/>
        <w:ind w:left="645" w:right="0"/>
        <w:jc w:val="left"/>
        <w:rPr>
          <w:b w:val="0"/>
          <w:bCs w:val="0"/>
        </w:rPr>
      </w:pPr>
      <w:r>
        <w:rPr>
          <w:rFonts w:ascii="Times New Roman" w:hAnsi="Times New Roman" w:cs="Times New Roman" w:eastAsia="Times New Roman" w:hint="default"/>
        </w:rPr>
        <w:t>4</w:t>
      </w:r>
      <w:r>
        <w:rPr/>
        <w:t>、主要资产的计量</w:t>
      </w:r>
      <w:r>
        <w:rPr>
          <w:b w:val="0"/>
          <w:bCs w:val="0"/>
        </w:rPr>
      </w:r>
    </w:p>
    <w:p>
      <w:pPr>
        <w:pStyle w:val="BodyText"/>
        <w:spacing w:line="240" w:lineRule="auto" w:before="119"/>
        <w:ind w:left="652" w:right="0"/>
        <w:jc w:val="left"/>
      </w:pPr>
      <w:r>
        <w:rPr/>
        <w:t>（</w:t>
      </w:r>
      <w:r>
        <w:rPr>
          <w:rFonts w:ascii="Times New Roman" w:hAnsi="Times New Roman" w:cs="Times New Roman" w:eastAsia="Times New Roman" w:hint="default"/>
        </w:rPr>
        <w:t>1</w:t>
      </w:r>
      <w:r>
        <w:rPr/>
        <w:t>）报告期内，本公司在对会计要素进行计量时，一般采用历史成本计量。</w:t>
      </w:r>
    </w:p>
    <w:p>
      <w:pPr>
        <w:pStyle w:val="BodyText"/>
        <w:spacing w:line="240" w:lineRule="auto" w:before="117"/>
        <w:ind w:left="652" w:right="0"/>
        <w:jc w:val="left"/>
      </w:pPr>
      <w:r>
        <w:rPr/>
        <w:t>（</w:t>
      </w:r>
      <w:r>
        <w:rPr>
          <w:rFonts w:ascii="Times New Roman" w:hAnsi="Times New Roman" w:cs="Times New Roman" w:eastAsia="Times New Roman" w:hint="default"/>
        </w:rPr>
        <w:t>2</w:t>
      </w:r>
      <w:r>
        <w:rPr/>
        <w:t>）报告期内，采用公允价值计量的主要报表项目：</w:t>
      </w:r>
    </w:p>
    <w:p>
      <w:pPr>
        <w:spacing w:line="240" w:lineRule="auto" w:before="10"/>
        <w:rPr>
          <w:rFonts w:ascii="宋体" w:hAnsi="宋体" w:cs="宋体" w:eastAsia="宋体" w:hint="default"/>
          <w:sz w:val="11"/>
          <w:szCs w:val="11"/>
        </w:rPr>
      </w:pPr>
    </w:p>
    <w:tbl>
      <w:tblPr>
        <w:tblW w:w="0" w:type="auto"/>
        <w:jc w:val="left"/>
        <w:tblInd w:w="259" w:type="dxa"/>
        <w:tblLayout w:type="fixed"/>
        <w:tblCellMar>
          <w:top w:w="0" w:type="dxa"/>
          <w:left w:w="0" w:type="dxa"/>
          <w:bottom w:w="0" w:type="dxa"/>
          <w:right w:w="0" w:type="dxa"/>
        </w:tblCellMar>
        <w:tblLook w:val="01E0"/>
      </w:tblPr>
      <w:tblGrid>
        <w:gridCol w:w="2863"/>
        <w:gridCol w:w="1206"/>
        <w:gridCol w:w="1200"/>
        <w:gridCol w:w="1558"/>
        <w:gridCol w:w="1076"/>
        <w:gridCol w:w="1685"/>
      </w:tblGrid>
      <w:tr>
        <w:trPr>
          <w:trHeight w:val="142" w:hRule="exact"/>
        </w:trPr>
        <w:tc>
          <w:tcPr>
            <w:tcW w:w="2863" w:type="dxa"/>
            <w:tcBorders>
              <w:top w:val="single" w:sz="4" w:space="0" w:color="000000"/>
              <w:left w:val="single" w:sz="4" w:space="0" w:color="000000"/>
              <w:bottom w:val="nil" w:sz="6" w:space="0" w:color="auto"/>
              <w:right w:val="single" w:sz="4" w:space="0" w:color="000000"/>
            </w:tcBorders>
            <w:shd w:val="clear" w:color="auto" w:fill="DDDDDD"/>
          </w:tcPr>
          <w:p>
            <w:pPr/>
          </w:p>
        </w:tc>
        <w:tc>
          <w:tcPr>
            <w:tcW w:w="1206" w:type="dxa"/>
            <w:tcBorders>
              <w:top w:val="single" w:sz="4" w:space="0" w:color="000000"/>
              <w:left w:val="single" w:sz="4" w:space="0" w:color="000000"/>
              <w:bottom w:val="nil" w:sz="6" w:space="0" w:color="auto"/>
              <w:right w:val="single" w:sz="4" w:space="0" w:color="000000"/>
            </w:tcBorders>
            <w:shd w:val="clear" w:color="auto" w:fill="DDDDDD"/>
          </w:tcPr>
          <w:p>
            <w:pPr/>
          </w:p>
        </w:tc>
        <w:tc>
          <w:tcPr>
            <w:tcW w:w="1200" w:type="dxa"/>
            <w:vMerge w:val="restart"/>
            <w:tcBorders>
              <w:top w:val="single" w:sz="4" w:space="0" w:color="000000"/>
              <w:left w:val="single" w:sz="4" w:space="0" w:color="000000"/>
              <w:right w:val="single" w:sz="4" w:space="0" w:color="000000"/>
            </w:tcBorders>
            <w:shd w:val="clear" w:color="auto" w:fill="DDDDDD"/>
          </w:tcPr>
          <w:p>
            <w:pPr>
              <w:pStyle w:val="TableParagraph"/>
              <w:spacing w:line="239" w:lineRule="exact"/>
              <w:ind w:left="68" w:right="0"/>
              <w:jc w:val="left"/>
              <w:rPr>
                <w:rFonts w:ascii="宋体" w:hAnsi="宋体" w:cs="宋体" w:eastAsia="宋体" w:hint="default"/>
                <w:sz w:val="21"/>
                <w:szCs w:val="21"/>
              </w:rPr>
            </w:pPr>
            <w:r>
              <w:rPr>
                <w:rFonts w:ascii="宋体" w:hAnsi="宋体" w:cs="宋体" w:eastAsia="宋体" w:hint="default"/>
                <w:sz w:val="21"/>
                <w:szCs w:val="21"/>
              </w:rPr>
              <w:t>本期公允价</w:t>
            </w:r>
          </w:p>
          <w:p>
            <w:pPr>
              <w:pStyle w:val="TableParagraph"/>
              <w:spacing w:line="273" w:lineRule="exact"/>
              <w:ind w:left="68"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558" w:type="dxa"/>
            <w:vMerge w:val="restart"/>
            <w:tcBorders>
              <w:top w:val="single" w:sz="4" w:space="0" w:color="000000"/>
              <w:left w:val="single" w:sz="4" w:space="0" w:color="000000"/>
              <w:right w:val="single" w:sz="4" w:space="0" w:color="000000"/>
            </w:tcBorders>
            <w:shd w:val="clear" w:color="auto" w:fill="DDDDDD"/>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计入权益的累计</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公允价值变动</w:t>
            </w:r>
          </w:p>
        </w:tc>
        <w:tc>
          <w:tcPr>
            <w:tcW w:w="1076" w:type="dxa"/>
            <w:vMerge w:val="restart"/>
            <w:tcBorders>
              <w:top w:val="single" w:sz="4" w:space="0" w:color="000000"/>
              <w:left w:val="single" w:sz="4" w:space="0" w:color="000000"/>
              <w:right w:val="single" w:sz="4" w:space="0" w:color="000000"/>
            </w:tcBorders>
            <w:shd w:val="clear" w:color="auto" w:fill="DDDDDD"/>
          </w:tcPr>
          <w:p>
            <w:pPr>
              <w:pStyle w:val="TableParagraph"/>
              <w:spacing w:line="239" w:lineRule="exact"/>
              <w:ind w:left="9" w:right="0"/>
              <w:jc w:val="center"/>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的减值</w:t>
            </w:r>
          </w:p>
        </w:tc>
        <w:tc>
          <w:tcPr>
            <w:tcW w:w="1685"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271" w:hRule="exact"/>
        </w:trPr>
        <w:tc>
          <w:tcPr>
            <w:tcW w:w="2863"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06"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200" w:type="dxa"/>
            <w:vMerge/>
            <w:tcBorders>
              <w:left w:val="single" w:sz="4" w:space="0" w:color="000000"/>
              <w:right w:val="single" w:sz="4" w:space="0" w:color="000000"/>
            </w:tcBorders>
            <w:shd w:val="clear" w:color="auto" w:fill="DDDDDD"/>
          </w:tcPr>
          <w:p>
            <w:pPr/>
          </w:p>
        </w:tc>
        <w:tc>
          <w:tcPr>
            <w:tcW w:w="1558" w:type="dxa"/>
            <w:vMerge/>
            <w:tcBorders>
              <w:left w:val="single" w:sz="4" w:space="0" w:color="000000"/>
              <w:right w:val="single" w:sz="4" w:space="0" w:color="000000"/>
            </w:tcBorders>
            <w:shd w:val="clear" w:color="auto" w:fill="DDDDDD"/>
          </w:tcPr>
          <w:p>
            <w:pPr/>
          </w:p>
        </w:tc>
        <w:tc>
          <w:tcPr>
            <w:tcW w:w="1076" w:type="dxa"/>
            <w:vMerge/>
            <w:tcBorders>
              <w:left w:val="single" w:sz="4" w:space="0" w:color="000000"/>
              <w:right w:val="single" w:sz="4" w:space="0" w:color="000000"/>
            </w:tcBorders>
            <w:shd w:val="clear" w:color="auto" w:fill="DDDDDD"/>
          </w:tcPr>
          <w:p>
            <w:pPr/>
          </w:p>
        </w:tc>
        <w:tc>
          <w:tcPr>
            <w:tcW w:w="1685"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146" w:hRule="exact"/>
        </w:trPr>
        <w:tc>
          <w:tcPr>
            <w:tcW w:w="2863" w:type="dxa"/>
            <w:tcBorders>
              <w:top w:val="nil" w:sz="6" w:space="0" w:color="auto"/>
              <w:left w:val="single" w:sz="4" w:space="0" w:color="000000"/>
              <w:bottom w:val="single" w:sz="4" w:space="0" w:color="000000"/>
              <w:right w:val="single" w:sz="4" w:space="0" w:color="000000"/>
            </w:tcBorders>
            <w:shd w:val="clear" w:color="auto" w:fill="DDDDDD"/>
          </w:tcPr>
          <w:p>
            <w:pPr/>
          </w:p>
        </w:tc>
        <w:tc>
          <w:tcPr>
            <w:tcW w:w="1206" w:type="dxa"/>
            <w:tcBorders>
              <w:top w:val="nil" w:sz="6" w:space="0" w:color="auto"/>
              <w:left w:val="single" w:sz="4" w:space="0" w:color="000000"/>
              <w:bottom w:val="single" w:sz="4" w:space="0" w:color="000000"/>
              <w:right w:val="single" w:sz="4" w:space="0" w:color="000000"/>
            </w:tcBorders>
            <w:shd w:val="clear" w:color="auto" w:fill="DDDDDD"/>
          </w:tcPr>
          <w:p>
            <w:pPr/>
          </w:p>
        </w:tc>
        <w:tc>
          <w:tcPr>
            <w:tcW w:w="1200" w:type="dxa"/>
            <w:vMerge/>
            <w:tcBorders>
              <w:left w:val="single" w:sz="4" w:space="0" w:color="000000"/>
              <w:bottom w:val="single" w:sz="4" w:space="0" w:color="000000"/>
              <w:right w:val="single" w:sz="4" w:space="0" w:color="000000"/>
            </w:tcBorders>
            <w:shd w:val="clear" w:color="auto" w:fill="DDDDDD"/>
          </w:tcPr>
          <w:p>
            <w:pPr/>
          </w:p>
        </w:tc>
        <w:tc>
          <w:tcPr>
            <w:tcW w:w="1558" w:type="dxa"/>
            <w:vMerge/>
            <w:tcBorders>
              <w:left w:val="single" w:sz="4" w:space="0" w:color="000000"/>
              <w:bottom w:val="single" w:sz="4" w:space="0" w:color="000000"/>
              <w:right w:val="single" w:sz="4" w:space="0" w:color="000000"/>
            </w:tcBorders>
            <w:shd w:val="clear" w:color="auto" w:fill="DDDDDD"/>
          </w:tcPr>
          <w:p>
            <w:pPr/>
          </w:p>
        </w:tc>
        <w:tc>
          <w:tcPr>
            <w:tcW w:w="1076" w:type="dxa"/>
            <w:vMerge/>
            <w:tcBorders>
              <w:left w:val="single" w:sz="4" w:space="0" w:color="000000"/>
              <w:bottom w:val="single" w:sz="4" w:space="0" w:color="000000"/>
              <w:right w:val="single" w:sz="4" w:space="0" w:color="000000"/>
            </w:tcBorders>
            <w:shd w:val="clear" w:color="auto" w:fill="DDDDDD"/>
          </w:tcPr>
          <w:p>
            <w:pPr/>
          </w:p>
        </w:tc>
        <w:tc>
          <w:tcPr>
            <w:tcW w:w="1685"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276" w:hRule="exact"/>
        </w:trPr>
        <w:tc>
          <w:tcPr>
            <w:tcW w:w="9588" w:type="dxa"/>
            <w:gridSpan w:val="6"/>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6" w:lineRule="exact"/>
              <w:ind w:left="12"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557" w:hRule="exact"/>
        </w:trPr>
        <w:tc>
          <w:tcPr>
            <w:tcW w:w="286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9" w:lineRule="exact"/>
              <w:ind w:left="12" w:right="0"/>
              <w:jc w:val="left"/>
              <w:rPr>
                <w:rFonts w:ascii="宋体" w:hAnsi="宋体" w:cs="宋体" w:eastAsia="宋体" w:hint="default"/>
                <w:sz w:val="21"/>
                <w:szCs w:val="21"/>
              </w:rPr>
            </w:pPr>
            <w:r>
              <w:rPr>
                <w:rFonts w:ascii="宋体" w:hAnsi="宋体" w:cs="宋体" w:eastAsia="宋体" w:hint="default"/>
                <w:spacing w:val="-6"/>
                <w:sz w:val="21"/>
                <w:szCs w:val="21"/>
              </w:rPr>
              <w:t>其中：</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以公允价值计量且其变</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1206" w:type="dxa"/>
            <w:tcBorders>
              <w:top w:val="single" w:sz="4" w:space="0" w:color="000000"/>
              <w:left w:val="single" w:sz="12" w:space="0" w:color="DDDDDD"/>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6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525"/>
              <w:jc w:val="right"/>
              <w:rPr>
                <w:rFonts w:ascii="宋体" w:hAnsi="宋体" w:cs="宋体" w:eastAsia="宋体" w:hint="default"/>
                <w:sz w:val="21"/>
                <w:szCs w:val="21"/>
              </w:rPr>
            </w:pPr>
            <w:r>
              <w:rPr>
                <w:rFonts w:ascii="宋体" w:hAnsi="宋体" w:cs="宋体" w:eastAsia="宋体" w:hint="default"/>
                <w:spacing w:val="-2"/>
                <w:sz w:val="21"/>
                <w:szCs w:val="21"/>
              </w:rPr>
              <w:t>其中：衍生金融资产</w:t>
            </w:r>
          </w:p>
        </w:tc>
        <w:tc>
          <w:tcPr>
            <w:tcW w:w="1206" w:type="dxa"/>
            <w:tcBorders>
              <w:top w:val="single" w:sz="4" w:space="0" w:color="000000"/>
              <w:left w:val="single" w:sz="12" w:space="0" w:color="DDDDDD"/>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286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577"/>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可供出售金融资产</w:t>
            </w:r>
          </w:p>
        </w:tc>
        <w:tc>
          <w:tcPr>
            <w:tcW w:w="1206" w:type="dxa"/>
            <w:tcBorders>
              <w:top w:val="single" w:sz="4" w:space="0" w:color="000000"/>
              <w:left w:val="single" w:sz="12" w:space="0" w:color="DDDDDD"/>
              <w:bottom w:val="single" w:sz="4" w:space="0" w:color="000000"/>
              <w:right w:val="single" w:sz="4" w:space="0" w:color="000000"/>
            </w:tcBorders>
          </w:tcPr>
          <w:p>
            <w:pPr>
              <w:pStyle w:val="TableParagraph"/>
              <w:spacing w:line="240" w:lineRule="auto" w:before="51"/>
              <w:ind w:left="217" w:right="0"/>
              <w:jc w:val="left"/>
              <w:rPr>
                <w:rFonts w:ascii="Times New Roman" w:hAnsi="Times New Roman" w:cs="Times New Roman" w:eastAsia="Times New Roman" w:hint="default"/>
                <w:sz w:val="21"/>
                <w:szCs w:val="21"/>
              </w:rPr>
            </w:pPr>
            <w:r>
              <w:rPr>
                <w:rFonts w:ascii="Times New Roman"/>
                <w:sz w:val="21"/>
              </w:rPr>
              <w:t>323,342.00</w:t>
            </w: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286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206" w:type="dxa"/>
            <w:tcBorders>
              <w:top w:val="single" w:sz="4" w:space="0" w:color="000000"/>
              <w:left w:val="single" w:sz="12" w:space="0" w:color="DDDDDD"/>
              <w:bottom w:val="single" w:sz="4" w:space="0" w:color="000000"/>
              <w:right w:val="single" w:sz="4" w:space="0" w:color="000000"/>
            </w:tcBorders>
          </w:tcPr>
          <w:p>
            <w:pPr>
              <w:pStyle w:val="TableParagraph"/>
              <w:spacing w:line="240" w:lineRule="auto" w:before="8"/>
              <w:ind w:left="217" w:right="0"/>
              <w:jc w:val="left"/>
              <w:rPr>
                <w:rFonts w:ascii="Times New Roman" w:hAnsi="Times New Roman" w:cs="Times New Roman" w:eastAsia="Times New Roman" w:hint="default"/>
                <w:sz w:val="21"/>
                <w:szCs w:val="21"/>
              </w:rPr>
            </w:pPr>
            <w:r>
              <w:rPr>
                <w:rFonts w:ascii="Times New Roman"/>
                <w:sz w:val="21"/>
              </w:rPr>
              <w:t>323,342.00</w:t>
            </w: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286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206" w:type="dxa"/>
            <w:tcBorders>
              <w:top w:val="single" w:sz="4" w:space="0" w:color="000000"/>
              <w:left w:val="single" w:sz="12" w:space="0" w:color="DDDDDD"/>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6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06" w:type="dxa"/>
            <w:tcBorders>
              <w:top w:val="single" w:sz="4" w:space="0" w:color="000000"/>
              <w:left w:val="single" w:sz="12" w:space="0" w:color="DDDDDD"/>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6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06" w:type="dxa"/>
            <w:tcBorders>
              <w:top w:val="single" w:sz="4" w:space="0" w:color="000000"/>
              <w:left w:val="single" w:sz="12" w:space="0" w:color="DDDDDD"/>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6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6" w:type="dxa"/>
            <w:tcBorders>
              <w:top w:val="single" w:sz="4" w:space="0" w:color="000000"/>
              <w:left w:val="single" w:sz="12" w:space="0" w:color="DDDDDD"/>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6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06" w:type="dxa"/>
            <w:tcBorders>
              <w:top w:val="single" w:sz="4" w:space="0" w:color="000000"/>
              <w:left w:val="single" w:sz="12" w:space="0" w:color="DDDDDD"/>
              <w:bottom w:val="single" w:sz="4" w:space="0" w:color="000000"/>
              <w:right w:val="single" w:sz="4" w:space="0" w:color="000000"/>
            </w:tcBorders>
          </w:tcPr>
          <w:p>
            <w:pPr>
              <w:pStyle w:val="TableParagraph"/>
              <w:spacing w:line="240" w:lineRule="auto" w:before="10"/>
              <w:ind w:left="217" w:right="0"/>
              <w:jc w:val="left"/>
              <w:rPr>
                <w:rFonts w:ascii="Times New Roman" w:hAnsi="Times New Roman" w:cs="Times New Roman" w:eastAsia="Times New Roman" w:hint="default"/>
                <w:sz w:val="21"/>
                <w:szCs w:val="21"/>
              </w:rPr>
            </w:pPr>
            <w:r>
              <w:rPr>
                <w:rFonts w:ascii="Times New Roman"/>
                <w:sz w:val="21"/>
              </w:rPr>
              <w:t>323,342.00</w:t>
            </w: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2"/>
        <w:rPr>
          <w:rFonts w:ascii="宋体" w:hAnsi="宋体" w:cs="宋体" w:eastAsia="宋体" w:hint="default"/>
          <w:sz w:val="15"/>
          <w:szCs w:val="15"/>
        </w:rPr>
      </w:pPr>
    </w:p>
    <w:p>
      <w:pPr>
        <w:pStyle w:val="Heading4"/>
        <w:spacing w:line="240" w:lineRule="auto" w:before="36"/>
        <w:ind w:left="645" w:right="0"/>
        <w:jc w:val="left"/>
        <w:rPr>
          <w:b w:val="0"/>
          <w:bCs w:val="0"/>
        </w:rPr>
      </w:pPr>
      <w:r>
        <w:rPr>
          <w:rFonts w:ascii="Times New Roman" w:hAnsi="Times New Roman" w:cs="Times New Roman" w:eastAsia="Times New Roman" w:hint="default"/>
        </w:rPr>
        <w:t>5</w:t>
      </w:r>
      <w:r>
        <w:rPr/>
        <w:t>、主要子公司及参股公司情况</w:t>
      </w:r>
      <w:r>
        <w:rPr>
          <w:b w:val="0"/>
          <w:bCs w:val="0"/>
        </w:rPr>
      </w:r>
    </w:p>
    <w:p>
      <w:pPr>
        <w:spacing w:line="240" w:lineRule="auto" w:before="10"/>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1243"/>
        <w:gridCol w:w="1817"/>
        <w:gridCol w:w="1896"/>
        <w:gridCol w:w="1817"/>
        <w:gridCol w:w="1754"/>
        <w:gridCol w:w="1327"/>
      </w:tblGrid>
      <w:tr>
        <w:trPr>
          <w:trHeight w:val="835" w:hRule="exact"/>
        </w:trPr>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30"/>
              <w:ind w:left="268" w:right="158" w:hanging="106"/>
              <w:jc w:val="left"/>
              <w:rPr>
                <w:rFonts w:ascii="宋体" w:hAnsi="宋体" w:cs="宋体" w:eastAsia="宋体" w:hint="default"/>
                <w:sz w:val="21"/>
                <w:szCs w:val="21"/>
              </w:rPr>
            </w:pPr>
            <w:r>
              <w:rPr>
                <w:rFonts w:ascii="宋体" w:hAnsi="宋体" w:cs="宋体" w:eastAsia="宋体" w:hint="default"/>
                <w:sz w:val="21"/>
                <w:szCs w:val="21"/>
              </w:rPr>
              <w:t>持股比例及是否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列入合并报表</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100" w:right="0" w:firstLine="79"/>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年归属于母</w:t>
            </w:r>
          </w:p>
          <w:p>
            <w:pPr>
              <w:pStyle w:val="TableParagraph"/>
              <w:spacing w:line="274" w:lineRule="exact" w:before="16"/>
              <w:ind w:left="835" w:right="91" w:hanging="735"/>
              <w:jc w:val="left"/>
              <w:rPr>
                <w:rFonts w:ascii="宋体" w:hAnsi="宋体" w:cs="宋体" w:eastAsia="宋体" w:hint="default"/>
                <w:sz w:val="21"/>
                <w:szCs w:val="21"/>
              </w:rPr>
            </w:pPr>
            <w:r>
              <w:rPr>
                <w:rFonts w:ascii="宋体" w:hAnsi="宋体" w:cs="宋体" w:eastAsia="宋体" w:hint="default"/>
                <w:sz w:val="21"/>
                <w:szCs w:val="21"/>
              </w:rPr>
              <w:t>公司所有者的净利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163" w:right="0" w:hanging="24"/>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年归属于母</w:t>
            </w:r>
          </w:p>
          <w:p>
            <w:pPr>
              <w:pStyle w:val="TableParagraph"/>
              <w:spacing w:line="274" w:lineRule="exact" w:before="16"/>
              <w:ind w:left="688" w:right="158" w:hanging="526"/>
              <w:jc w:val="left"/>
              <w:rPr>
                <w:rFonts w:ascii="宋体" w:hAnsi="宋体" w:cs="宋体" w:eastAsia="宋体" w:hint="default"/>
                <w:sz w:val="21"/>
                <w:szCs w:val="21"/>
              </w:rPr>
            </w:pPr>
            <w:r>
              <w:rPr>
                <w:rFonts w:ascii="宋体" w:hAnsi="宋体" w:cs="宋体" w:eastAsia="宋体" w:hint="default"/>
                <w:sz w:val="21"/>
                <w:szCs w:val="21"/>
              </w:rPr>
              <w:t>公司所有者的净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利润</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同比变动比例</w:t>
            </w:r>
            <w:r>
              <w:rPr>
                <w:rFonts w:ascii="Times New Roman" w:hAnsi="Times New Roman" w:cs="Times New Roman" w:eastAsia="Times New Roman" w:hint="default"/>
                <w:sz w:val="21"/>
                <w:szCs w:val="21"/>
              </w:rPr>
              <w:t>%</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对合并净利</w:t>
            </w:r>
          </w:p>
          <w:p>
            <w:pPr>
              <w:pStyle w:val="TableParagraph"/>
              <w:spacing w:line="240" w:lineRule="auto"/>
              <w:ind w:left="463" w:right="122" w:hanging="334"/>
              <w:jc w:val="left"/>
              <w:rPr>
                <w:rFonts w:ascii="Times New Roman" w:hAnsi="Times New Roman" w:cs="Times New Roman" w:eastAsia="Times New Roman" w:hint="default"/>
                <w:sz w:val="21"/>
                <w:szCs w:val="21"/>
              </w:rPr>
            </w:pPr>
            <w:r>
              <w:rPr>
                <w:rFonts w:ascii="宋体" w:hAnsi="宋体" w:cs="宋体" w:eastAsia="宋体" w:hint="default"/>
                <w:sz w:val="21"/>
                <w:szCs w:val="21"/>
              </w:rPr>
              <w:t>润的影响比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r>
      <w:tr>
        <w:trPr>
          <w:trHeight w:val="838" w:hRule="exact"/>
        </w:trPr>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北京中长</w:t>
            </w:r>
          </w:p>
          <w:p>
            <w:pPr>
              <w:pStyle w:val="TableParagraph"/>
              <w:spacing w:line="240" w:lineRule="auto"/>
              <w:ind w:left="192" w:right="187"/>
              <w:jc w:val="left"/>
              <w:rPr>
                <w:rFonts w:ascii="宋体" w:hAnsi="宋体" w:cs="宋体" w:eastAsia="宋体" w:hint="default"/>
                <w:sz w:val="21"/>
                <w:szCs w:val="21"/>
              </w:rPr>
            </w:pPr>
            <w:r>
              <w:rPr>
                <w:rFonts w:ascii="宋体" w:hAnsi="宋体" w:cs="宋体" w:eastAsia="宋体" w:hint="default"/>
                <w:sz w:val="21"/>
                <w:szCs w:val="21"/>
              </w:rPr>
              <w:t>石基软件</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100%</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80,832,900.78</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121,628,266.98</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-33.54%</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30.61%</w:t>
            </w:r>
          </w:p>
        </w:tc>
      </w:tr>
      <w:tr>
        <w:trPr>
          <w:trHeight w:val="838" w:hRule="exact"/>
        </w:trPr>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hAnsi="宋体" w:cs="宋体" w:eastAsia="宋体" w:hint="default"/>
                <w:sz w:val="21"/>
                <w:szCs w:val="21"/>
              </w:rPr>
              <w:t>上海石基</w:t>
            </w:r>
          </w:p>
          <w:p>
            <w:pPr>
              <w:pStyle w:val="TableParagraph"/>
              <w:spacing w:line="272" w:lineRule="exact" w:before="27"/>
              <w:ind w:left="192" w:right="187"/>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100%</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-3,210,375.13</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-3,691,231.26</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-13.03%</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-1.22%</w:t>
            </w:r>
          </w:p>
        </w:tc>
      </w:tr>
      <w:tr>
        <w:trPr>
          <w:trHeight w:val="838" w:hRule="exact"/>
        </w:trPr>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hAnsi="宋体" w:cs="宋体" w:eastAsia="宋体" w:hint="default"/>
                <w:sz w:val="21"/>
                <w:szCs w:val="21"/>
              </w:rPr>
              <w:t>北海石基</w:t>
            </w:r>
          </w:p>
          <w:p>
            <w:pPr>
              <w:pStyle w:val="TableParagraph"/>
              <w:spacing w:line="272" w:lineRule="exact" w:before="27"/>
              <w:ind w:left="192" w:right="187"/>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100%</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95,449,469.40</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84,391,686.26</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13.10%</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36.14%</w:t>
            </w:r>
          </w:p>
        </w:tc>
      </w:tr>
      <w:tr>
        <w:trPr>
          <w:trHeight w:val="835" w:hRule="exact"/>
        </w:trPr>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hAnsi="宋体" w:cs="宋体" w:eastAsia="宋体" w:hint="default"/>
                <w:sz w:val="21"/>
                <w:szCs w:val="21"/>
              </w:rPr>
              <w:t>杭州西软</w:t>
            </w:r>
          </w:p>
          <w:p>
            <w:pPr>
              <w:pStyle w:val="TableParagraph"/>
              <w:spacing w:line="240" w:lineRule="auto"/>
              <w:ind w:left="400" w:right="187" w:hanging="209"/>
              <w:jc w:val="left"/>
              <w:rPr>
                <w:rFonts w:ascii="宋体" w:hAnsi="宋体" w:cs="宋体" w:eastAsia="宋体" w:hint="default"/>
                <w:sz w:val="21"/>
                <w:szCs w:val="21"/>
              </w:rPr>
            </w:pP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100%</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31,301,170.63</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31,072,332.97</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0.74%</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11.85%</w:t>
            </w:r>
          </w:p>
        </w:tc>
      </w:tr>
      <w:tr>
        <w:trPr>
          <w:trHeight w:val="840" w:hRule="exact"/>
        </w:trPr>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石基昆仑</w:t>
            </w:r>
          </w:p>
          <w:p>
            <w:pPr>
              <w:pStyle w:val="TableParagraph"/>
              <w:spacing w:line="240" w:lineRule="auto"/>
              <w:ind w:left="400" w:right="187" w:hanging="209"/>
              <w:jc w:val="left"/>
              <w:rPr>
                <w:rFonts w:ascii="宋体" w:hAnsi="宋体" w:cs="宋体" w:eastAsia="宋体" w:hint="default"/>
                <w:sz w:val="21"/>
                <w:szCs w:val="21"/>
              </w:rPr>
            </w:pPr>
            <w:r>
              <w:rPr>
                <w:rFonts w:ascii="宋体" w:hAnsi="宋体" w:cs="宋体" w:eastAsia="宋体" w:hint="default"/>
                <w:sz w:val="21"/>
                <w:szCs w:val="21"/>
              </w:rPr>
              <w:t>软件有限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82.40%</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9,082,503.60</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6,340,109.02</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43.25%</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3.44%</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200" w:bottom="1160" w:left="900" w:right="900"/>
        </w:sectPr>
      </w:pPr>
    </w:p>
    <w:p>
      <w:pPr>
        <w:spacing w:line="240" w:lineRule="auto" w:before="10"/>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1243"/>
        <w:gridCol w:w="1817"/>
        <w:gridCol w:w="1896"/>
        <w:gridCol w:w="1817"/>
        <w:gridCol w:w="1754"/>
        <w:gridCol w:w="1327"/>
      </w:tblGrid>
      <w:tr>
        <w:trPr>
          <w:trHeight w:val="1106" w:hRule="exact"/>
        </w:trPr>
        <w:tc>
          <w:tcPr>
            <w:tcW w:w="1243" w:type="dxa"/>
            <w:tcBorders>
              <w:top w:val="single" w:sz="6" w:space="0" w:color="000000"/>
              <w:left w:val="single" w:sz="8" w:space="0" w:color="000000"/>
              <w:bottom w:val="single" w:sz="8" w:space="0" w:color="000000"/>
              <w:right w:val="single" w:sz="8"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焦点信息</w:t>
            </w:r>
          </w:p>
          <w:p>
            <w:pPr>
              <w:pStyle w:val="TableParagraph"/>
              <w:spacing w:line="237" w:lineRule="auto"/>
              <w:ind w:left="98" w:right="95"/>
              <w:jc w:val="center"/>
              <w:rPr>
                <w:rFonts w:ascii="宋体" w:hAnsi="宋体" w:cs="宋体" w:eastAsia="宋体" w:hint="default"/>
                <w:sz w:val="21"/>
                <w:szCs w:val="21"/>
              </w:rPr>
            </w:pPr>
            <w:r>
              <w:rPr>
                <w:rFonts w:ascii="宋体" w:hAnsi="宋体" w:cs="宋体" w:eastAsia="宋体" w:hint="default"/>
                <w:sz w:val="21"/>
                <w:szCs w:val="21"/>
              </w:rPr>
              <w:t>技术（香</w:t>
            </w:r>
            <w:r>
              <w:rPr>
                <w:rFonts w:ascii="宋体" w:hAnsi="宋体" w:cs="宋体" w:eastAsia="宋体" w:hint="default"/>
                <w:w w:val="100"/>
                <w:sz w:val="21"/>
                <w:szCs w:val="21"/>
              </w:rPr>
              <w:t> </w:t>
            </w:r>
            <w:r>
              <w:rPr>
                <w:rFonts w:ascii="宋体" w:hAnsi="宋体" w:cs="宋体" w:eastAsia="宋体" w:hint="default"/>
                <w:spacing w:val="-6"/>
                <w:sz w:val="21"/>
                <w:szCs w:val="21"/>
              </w:rPr>
              <w:t>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817"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90"/>
              <w:jc w:val="right"/>
              <w:rPr>
                <w:rFonts w:ascii="Times New Roman" w:hAnsi="Times New Roman" w:cs="Times New Roman" w:eastAsia="Times New Roman" w:hint="default"/>
                <w:sz w:val="21"/>
                <w:szCs w:val="21"/>
              </w:rPr>
            </w:pPr>
            <w:r>
              <w:rPr>
                <w:rFonts w:ascii="Times New Roman"/>
                <w:sz w:val="21"/>
              </w:rPr>
              <w:t>100%</w:t>
            </w:r>
          </w:p>
        </w:tc>
        <w:tc>
          <w:tcPr>
            <w:tcW w:w="1896"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93"/>
              <w:jc w:val="right"/>
              <w:rPr>
                <w:rFonts w:ascii="Times New Roman" w:hAnsi="Times New Roman" w:cs="Times New Roman" w:eastAsia="Times New Roman" w:hint="default"/>
                <w:sz w:val="21"/>
                <w:szCs w:val="21"/>
              </w:rPr>
            </w:pPr>
            <w:r>
              <w:rPr>
                <w:rFonts w:ascii="Times New Roman"/>
                <w:spacing w:val="-1"/>
                <w:sz w:val="21"/>
              </w:rPr>
              <w:t>17,895,361.72</w:t>
            </w:r>
          </w:p>
        </w:tc>
        <w:tc>
          <w:tcPr>
            <w:tcW w:w="1817"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93"/>
              <w:jc w:val="right"/>
              <w:rPr>
                <w:rFonts w:ascii="Times New Roman" w:hAnsi="Times New Roman" w:cs="Times New Roman" w:eastAsia="Times New Roman" w:hint="default"/>
                <w:sz w:val="21"/>
                <w:szCs w:val="21"/>
              </w:rPr>
            </w:pPr>
            <w:r>
              <w:rPr>
                <w:rFonts w:ascii="Times New Roman"/>
                <w:spacing w:val="-1"/>
                <w:sz w:val="21"/>
              </w:rPr>
              <w:t>17,247,607.16</w:t>
            </w:r>
          </w:p>
        </w:tc>
        <w:tc>
          <w:tcPr>
            <w:tcW w:w="1754"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90"/>
              <w:jc w:val="right"/>
              <w:rPr>
                <w:rFonts w:ascii="Times New Roman" w:hAnsi="Times New Roman" w:cs="Times New Roman" w:eastAsia="Times New Roman" w:hint="default"/>
                <w:sz w:val="21"/>
                <w:szCs w:val="21"/>
              </w:rPr>
            </w:pPr>
            <w:r>
              <w:rPr>
                <w:rFonts w:ascii="Times New Roman"/>
                <w:sz w:val="21"/>
              </w:rPr>
              <w:t>3.76%</w:t>
            </w:r>
          </w:p>
        </w:tc>
        <w:tc>
          <w:tcPr>
            <w:tcW w:w="1327"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90"/>
              <w:jc w:val="right"/>
              <w:rPr>
                <w:rFonts w:ascii="Times New Roman" w:hAnsi="Times New Roman" w:cs="Times New Roman" w:eastAsia="Times New Roman" w:hint="default"/>
                <w:sz w:val="21"/>
                <w:szCs w:val="21"/>
              </w:rPr>
            </w:pPr>
            <w:r>
              <w:rPr>
                <w:rFonts w:ascii="Times New Roman"/>
                <w:sz w:val="21"/>
              </w:rPr>
              <w:t>6.78%</w:t>
            </w:r>
          </w:p>
        </w:tc>
      </w:tr>
      <w:tr>
        <w:trPr>
          <w:trHeight w:val="1109" w:hRule="exact"/>
        </w:trPr>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南京银石</w:t>
            </w:r>
          </w:p>
          <w:p>
            <w:pPr>
              <w:pStyle w:val="TableParagraph"/>
              <w:spacing w:line="237" w:lineRule="auto" w:before="2"/>
              <w:ind w:left="191" w:right="187"/>
              <w:jc w:val="center"/>
              <w:rPr>
                <w:rFonts w:ascii="宋体" w:hAnsi="宋体" w:cs="宋体" w:eastAsia="宋体" w:hint="default"/>
                <w:sz w:val="21"/>
                <w:szCs w:val="21"/>
              </w:rPr>
            </w:pPr>
            <w:r>
              <w:rPr>
                <w:rFonts w:ascii="宋体" w:hAnsi="宋体" w:cs="宋体" w:eastAsia="宋体" w:hint="default"/>
                <w:sz w:val="21"/>
                <w:szCs w:val="21"/>
              </w:rPr>
              <w:t>计算机系</w:t>
            </w:r>
            <w:r>
              <w:rPr>
                <w:rFonts w:ascii="宋体" w:hAnsi="宋体" w:cs="宋体" w:eastAsia="宋体" w:hint="default"/>
                <w:w w:val="100"/>
                <w:sz w:val="21"/>
                <w:szCs w:val="21"/>
              </w:rPr>
              <w:t> </w:t>
            </w:r>
            <w:r>
              <w:rPr>
                <w:rFonts w:ascii="宋体" w:hAnsi="宋体" w:cs="宋体" w:eastAsia="宋体" w:hint="default"/>
                <w:sz w:val="21"/>
                <w:szCs w:val="21"/>
              </w:rPr>
              <w:t>统有限公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90"/>
              <w:jc w:val="right"/>
              <w:rPr>
                <w:rFonts w:ascii="Times New Roman" w:hAnsi="Times New Roman" w:cs="Times New Roman" w:eastAsia="Times New Roman" w:hint="default"/>
                <w:sz w:val="21"/>
                <w:szCs w:val="21"/>
              </w:rPr>
            </w:pPr>
            <w:r>
              <w:rPr>
                <w:rFonts w:ascii="Times New Roman"/>
                <w:sz w:val="21"/>
              </w:rPr>
              <w:t>100%</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93"/>
              <w:jc w:val="right"/>
              <w:rPr>
                <w:rFonts w:ascii="Times New Roman" w:hAnsi="Times New Roman" w:cs="Times New Roman" w:eastAsia="Times New Roman" w:hint="default"/>
                <w:sz w:val="21"/>
                <w:szCs w:val="21"/>
              </w:rPr>
            </w:pPr>
            <w:r>
              <w:rPr>
                <w:rFonts w:ascii="Times New Roman"/>
                <w:spacing w:val="-1"/>
                <w:sz w:val="21"/>
              </w:rPr>
              <w:t>19,886,237.78</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93"/>
              <w:jc w:val="right"/>
              <w:rPr>
                <w:rFonts w:ascii="Times New Roman" w:hAnsi="Times New Roman" w:cs="Times New Roman" w:eastAsia="Times New Roman" w:hint="default"/>
                <w:sz w:val="21"/>
                <w:szCs w:val="21"/>
              </w:rPr>
            </w:pPr>
            <w:r>
              <w:rPr>
                <w:rFonts w:ascii="Times New Roman"/>
                <w:spacing w:val="-1"/>
                <w:sz w:val="21"/>
              </w:rPr>
              <w:t>9,862,875.57</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90"/>
              <w:jc w:val="right"/>
              <w:rPr>
                <w:rFonts w:ascii="Times New Roman" w:hAnsi="Times New Roman" w:cs="Times New Roman" w:eastAsia="Times New Roman" w:hint="default"/>
                <w:sz w:val="21"/>
                <w:szCs w:val="21"/>
              </w:rPr>
            </w:pPr>
            <w:r>
              <w:rPr>
                <w:rFonts w:ascii="Times New Roman"/>
                <w:sz w:val="21"/>
              </w:rPr>
              <w:t>101.63%</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right="90"/>
              <w:jc w:val="right"/>
              <w:rPr>
                <w:rFonts w:ascii="Times New Roman" w:hAnsi="Times New Roman" w:cs="Times New Roman" w:eastAsia="Times New Roman" w:hint="default"/>
                <w:sz w:val="21"/>
                <w:szCs w:val="21"/>
              </w:rPr>
            </w:pPr>
            <w:r>
              <w:rPr>
                <w:rFonts w:ascii="Times New Roman"/>
                <w:sz w:val="21"/>
              </w:rPr>
              <w:t>7.53%</w:t>
            </w:r>
          </w:p>
        </w:tc>
      </w:tr>
      <w:tr>
        <w:trPr>
          <w:trHeight w:val="838" w:hRule="exact"/>
        </w:trPr>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hAnsi="宋体" w:cs="宋体" w:eastAsia="宋体" w:hint="default"/>
                <w:sz w:val="21"/>
                <w:szCs w:val="21"/>
              </w:rPr>
              <w:t>上海正品</w:t>
            </w:r>
          </w:p>
          <w:p>
            <w:pPr>
              <w:pStyle w:val="TableParagraph"/>
              <w:spacing w:line="272" w:lineRule="exact" w:before="27"/>
              <w:ind w:left="192" w:right="187"/>
              <w:jc w:val="left"/>
              <w:rPr>
                <w:rFonts w:ascii="宋体" w:hAnsi="宋体" w:cs="宋体" w:eastAsia="宋体" w:hint="default"/>
                <w:sz w:val="21"/>
                <w:szCs w:val="21"/>
              </w:rPr>
            </w:pPr>
            <w:r>
              <w:rPr>
                <w:rFonts w:ascii="宋体" w:hAnsi="宋体" w:cs="宋体" w:eastAsia="宋体" w:hint="default"/>
                <w:sz w:val="21"/>
                <w:szCs w:val="21"/>
              </w:rPr>
              <w:t>贵德软件</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70%</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703,087.44</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0.00</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w w:val="100"/>
                <w:sz w:val="21"/>
              </w:rPr>
              <w:t>-</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0.27%</w:t>
            </w:r>
          </w:p>
        </w:tc>
      </w:tr>
      <w:tr>
        <w:trPr>
          <w:trHeight w:val="322" w:hRule="exact"/>
        </w:trPr>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17"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251,940,356.22</w:t>
            </w:r>
          </w:p>
        </w:tc>
        <w:tc>
          <w:tcPr>
            <w:tcW w:w="1817"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266,851,646.70</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3"/>
              <w:jc w:val="right"/>
              <w:rPr>
                <w:rFonts w:ascii="Times New Roman" w:hAnsi="Times New Roman" w:cs="Times New Roman" w:eastAsia="Times New Roman" w:hint="default"/>
                <w:sz w:val="21"/>
                <w:szCs w:val="21"/>
              </w:rPr>
            </w:pPr>
            <w:r>
              <w:rPr>
                <w:rFonts w:ascii="Times New Roman"/>
                <w:spacing w:val="-1"/>
                <w:sz w:val="21"/>
              </w:rPr>
              <w:t>-5.59%</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0"/>
              <w:jc w:val="right"/>
              <w:rPr>
                <w:rFonts w:ascii="Times New Roman" w:hAnsi="Times New Roman" w:cs="Times New Roman" w:eastAsia="Times New Roman" w:hint="default"/>
                <w:sz w:val="21"/>
                <w:szCs w:val="21"/>
              </w:rPr>
            </w:pPr>
            <w:r>
              <w:rPr>
                <w:rFonts w:ascii="Times New Roman"/>
                <w:sz w:val="21"/>
              </w:rPr>
              <w:t>95.39%</w:t>
            </w:r>
          </w:p>
        </w:tc>
      </w:tr>
    </w:tbl>
    <w:p>
      <w:pPr>
        <w:pStyle w:val="BodyText"/>
        <w:spacing w:line="257" w:lineRule="exact"/>
        <w:ind w:left="652" w:right="0"/>
        <w:jc w:val="left"/>
      </w:pPr>
      <w:r>
        <w:rPr/>
        <w:t>（</w:t>
      </w:r>
      <w:r>
        <w:rPr>
          <w:rFonts w:ascii="Times New Roman" w:hAnsi="Times New Roman" w:cs="Times New Roman" w:eastAsia="Times New Roman" w:hint="default"/>
        </w:rPr>
        <w:t>1</w:t>
      </w:r>
      <w:r>
        <w:rPr/>
        <w:t>）北京中长石基软件有限公司</w:t>
      </w:r>
    </w:p>
    <w:p>
      <w:pPr>
        <w:pStyle w:val="BodyText"/>
        <w:spacing w:line="336" w:lineRule="auto" w:before="117"/>
        <w:ind w:left="232" w:right="0" w:firstLine="420"/>
        <w:jc w:val="left"/>
      </w:pPr>
      <w:r>
        <w:rPr>
          <w:spacing w:val="-3"/>
        </w:rPr>
        <w:t>北京中长石基软件有限公司为本公司全资子公司，成立于</w:t>
      </w:r>
      <w:r>
        <w:rPr>
          <w:rFonts w:ascii="Times New Roman" w:hAnsi="Times New Roman" w:cs="Times New Roman" w:eastAsia="Times New Roman" w:hint="default"/>
          <w:spacing w:val="-3"/>
        </w:rPr>
        <w:t>2008</w:t>
      </w:r>
      <w:r>
        <w:rPr>
          <w:spacing w:val="-3"/>
        </w:rPr>
        <w:t>年，注册资本</w:t>
      </w:r>
      <w:r>
        <w:rPr>
          <w:rFonts w:ascii="Times New Roman" w:hAnsi="Times New Roman" w:cs="Times New Roman" w:eastAsia="Times New Roman" w:hint="default"/>
          <w:spacing w:val="-3"/>
        </w:rPr>
        <w:t>1,000</w:t>
      </w:r>
      <w:r>
        <w:rPr>
          <w:spacing w:val="-3"/>
        </w:rPr>
        <w:t>万元，主要业务为软</w:t>
      </w:r>
      <w:r>
        <w:rPr>
          <w:spacing w:val="-3"/>
          <w:w w:val="100"/>
        </w:rPr>
        <w:t> </w:t>
      </w:r>
      <w:r>
        <w:rPr/>
        <w:t>件研发、销售和技术咨询。</w:t>
      </w:r>
    </w:p>
    <w:p>
      <w:pPr>
        <w:pStyle w:val="BodyText"/>
        <w:spacing w:line="336" w:lineRule="auto" w:before="49"/>
        <w:ind w:left="232" w:right="0" w:firstLine="419"/>
        <w:jc w:val="left"/>
      </w:pPr>
      <w:r>
        <w:rPr>
          <w:spacing w:val="-3"/>
        </w:rPr>
        <w:t>经武汉众环海华会计师事务所有限责任公司审计，截至</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日，该公司总资产</w:t>
      </w:r>
      <w:r>
        <w:rPr>
          <w:rFonts w:ascii="Times New Roman" w:hAnsi="Times New Roman" w:cs="Times New Roman" w:eastAsia="Times New Roman" w:hint="default"/>
          <w:spacing w:val="-3"/>
        </w:rPr>
        <w:t>31390.14</w:t>
      </w:r>
      <w:r>
        <w:rPr>
          <w:spacing w:val="-3"/>
        </w:rPr>
        <w:t>万元，</w:t>
      </w:r>
      <w:r>
        <w:rPr>
          <w:spacing w:val="-3"/>
          <w:w w:val="100"/>
        </w:rPr>
        <w:t> </w:t>
      </w:r>
      <w:r>
        <w:rPr/>
        <w:t>净资产</w:t>
      </w:r>
      <w:r>
        <w:rPr>
          <w:rFonts w:ascii="Times New Roman" w:hAnsi="Times New Roman" w:cs="Times New Roman" w:eastAsia="Times New Roman" w:hint="default"/>
        </w:rPr>
        <w:t>21,843.78</w:t>
      </w:r>
      <w:r>
        <w:rPr/>
        <w:t>万元，</w:t>
      </w:r>
      <w:r>
        <w:rPr>
          <w:rFonts w:ascii="Times New Roman" w:hAnsi="Times New Roman" w:cs="Times New Roman" w:eastAsia="Times New Roman" w:hint="default"/>
        </w:rPr>
        <w:t>2011</w:t>
      </w:r>
      <w:r>
        <w:rPr/>
        <w:t>年实现营业收入 </w:t>
      </w:r>
      <w:r>
        <w:rPr>
          <w:rFonts w:ascii="Times New Roman" w:hAnsi="Times New Roman" w:cs="Times New Roman" w:eastAsia="Times New Roman" w:hint="default"/>
        </w:rPr>
        <w:t>30,521.54</w:t>
      </w:r>
      <w:r>
        <w:rPr>
          <w:rFonts w:ascii="Times New Roman" w:hAnsi="Times New Roman" w:cs="Times New Roman" w:eastAsia="Times New Roman" w:hint="default"/>
          <w:spacing w:val="41"/>
        </w:rPr>
        <w:t> </w:t>
      </w:r>
      <w:r>
        <w:rPr/>
        <w:t>万元。</w:t>
      </w:r>
    </w:p>
    <w:p>
      <w:pPr>
        <w:pStyle w:val="BodyText"/>
        <w:spacing w:line="336" w:lineRule="auto" w:before="26"/>
        <w:ind w:left="653" w:right="0"/>
        <w:jc w:val="left"/>
      </w:pPr>
      <w:r>
        <w:rPr/>
        <w:t>（</w:t>
      </w:r>
      <w:r>
        <w:rPr>
          <w:rFonts w:ascii="Times New Roman" w:hAnsi="Times New Roman" w:cs="Times New Roman" w:eastAsia="Times New Roman" w:hint="default"/>
        </w:rPr>
        <w:t>2</w:t>
      </w:r>
      <w:r>
        <w:rPr/>
        <w:t>）上海石基信息技术有限公司</w:t>
      </w:r>
      <w:r>
        <w:rPr>
          <w:w w:val="100"/>
        </w:rPr>
        <w:t> </w:t>
      </w:r>
      <w:r>
        <w:rPr/>
        <w:t>上海石基信息技术有限公司为本公司的全资子公司，注册资本</w:t>
      </w:r>
      <w:r>
        <w:rPr>
          <w:rFonts w:ascii="Times New Roman" w:hAnsi="Times New Roman" w:cs="Times New Roman" w:eastAsia="Times New Roman" w:hint="default"/>
        </w:rPr>
        <w:t>100</w:t>
      </w:r>
      <w:r>
        <w:rPr/>
        <w:t>万元，主要负责本公司的技术支持</w:t>
      </w:r>
    </w:p>
    <w:p>
      <w:pPr>
        <w:pStyle w:val="BodyText"/>
        <w:spacing w:line="240" w:lineRule="auto" w:before="24"/>
        <w:ind w:left="233" w:right="0"/>
        <w:jc w:val="left"/>
      </w:pPr>
      <w:r>
        <w:rPr/>
        <w:t>与维护业务。</w:t>
      </w:r>
    </w:p>
    <w:p>
      <w:pPr>
        <w:pStyle w:val="BodyText"/>
        <w:spacing w:line="336" w:lineRule="auto" w:before="133"/>
        <w:ind w:left="233" w:right="0" w:firstLine="419"/>
        <w:jc w:val="left"/>
      </w:pPr>
      <w:r>
        <w:rPr>
          <w:spacing w:val="-2"/>
        </w:rPr>
        <w:t>经武汉众环海华会计师事务所有限责任公司审计，截至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日，该公司总资产</w:t>
      </w:r>
      <w:r>
        <w:rPr>
          <w:rFonts w:ascii="Times New Roman" w:hAnsi="Times New Roman" w:cs="Times New Roman" w:eastAsia="Times New Roman" w:hint="default"/>
          <w:spacing w:val="-2"/>
        </w:rPr>
        <w:t>4,314.70</w:t>
      </w:r>
      <w:r>
        <w:rPr>
          <w:spacing w:val="-2"/>
        </w:rPr>
        <w:t>万元，</w:t>
      </w:r>
      <w:r>
        <w:rPr>
          <w:w w:val="100"/>
        </w:rPr>
        <w:t> </w:t>
      </w:r>
      <w:r>
        <w:rPr/>
        <w:t>净资产</w:t>
      </w:r>
      <w:r>
        <w:rPr>
          <w:rFonts w:ascii="Times New Roman" w:hAnsi="Times New Roman" w:cs="Times New Roman" w:eastAsia="Times New Roman" w:hint="default"/>
        </w:rPr>
        <w:t>1,844.36</w:t>
      </w:r>
      <w:r>
        <w:rPr/>
        <w:t>万元，</w:t>
      </w:r>
      <w:r>
        <w:rPr>
          <w:rFonts w:ascii="Times New Roman" w:hAnsi="Times New Roman" w:cs="Times New Roman" w:eastAsia="Times New Roman" w:hint="default"/>
        </w:rPr>
        <w:t>2011</w:t>
      </w:r>
      <w:r>
        <w:rPr/>
        <w:t>年实现营业收入</w:t>
      </w:r>
      <w:r>
        <w:rPr>
          <w:rFonts w:ascii="Times New Roman" w:hAnsi="Times New Roman" w:cs="Times New Roman" w:eastAsia="Times New Roman" w:hint="default"/>
        </w:rPr>
        <w:t>1,685.88</w:t>
      </w:r>
      <w:r>
        <w:rPr/>
        <w:t>万元。</w:t>
      </w:r>
    </w:p>
    <w:p>
      <w:pPr>
        <w:pStyle w:val="BodyText"/>
        <w:spacing w:line="336" w:lineRule="auto" w:before="26"/>
        <w:ind w:left="653" w:right="0"/>
        <w:jc w:val="left"/>
      </w:pPr>
      <w:r>
        <w:rPr/>
        <w:t>（</w:t>
      </w:r>
      <w:r>
        <w:rPr>
          <w:rFonts w:ascii="Times New Roman" w:hAnsi="Times New Roman" w:cs="Times New Roman" w:eastAsia="Times New Roman" w:hint="default"/>
        </w:rPr>
        <w:t>3</w:t>
      </w:r>
      <w:r>
        <w:rPr/>
        <w:t>）北海石基信息技术有限公司</w:t>
      </w:r>
      <w:r>
        <w:rPr>
          <w:w w:val="100"/>
        </w:rPr>
        <w:t> </w:t>
      </w:r>
      <w:r>
        <w:rPr>
          <w:spacing w:val="-2"/>
        </w:rPr>
        <w:t>北海石基信息技术有限公司为本公司的全资子公司，成立于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月，注册资本</w:t>
      </w:r>
      <w:r>
        <w:rPr>
          <w:rFonts w:ascii="Times New Roman" w:hAnsi="Times New Roman" w:cs="Times New Roman" w:eastAsia="Times New Roman" w:hint="default"/>
          <w:spacing w:val="-2"/>
        </w:rPr>
        <w:t>666</w:t>
      </w:r>
      <w:r>
        <w:rPr>
          <w:spacing w:val="-2"/>
        </w:rPr>
        <w:t>万元，于</w:t>
      </w:r>
      <w:r>
        <w:rPr>
          <w:rFonts w:ascii="Times New Roman" w:hAnsi="Times New Roman" w:cs="Times New Roman" w:eastAsia="Times New Roman" w:hint="default"/>
          <w:spacing w:val="-2"/>
        </w:rPr>
        <w:t>2011</w:t>
      </w:r>
      <w:r>
        <w:rPr>
          <w:spacing w:val="-2"/>
        </w:rPr>
        <w:t>年</w:t>
      </w:r>
    </w:p>
    <w:p>
      <w:pPr>
        <w:pStyle w:val="BodyText"/>
        <w:spacing w:line="350" w:lineRule="auto" w:before="24"/>
        <w:ind w:left="233" w:right="0"/>
        <w:jc w:val="left"/>
      </w:pPr>
      <w:r>
        <w:rPr>
          <w:rFonts w:ascii="Times New Roman" w:hAnsi="Times New Roman" w:cs="Times New Roman" w:eastAsia="Times New Roman" w:hint="default"/>
          <w:spacing w:val="-5"/>
        </w:rPr>
        <w:t>7</w:t>
      </w:r>
      <w:r>
        <w:rPr>
          <w:spacing w:val="-5"/>
        </w:rPr>
        <w:t>月注册资本变更为</w:t>
      </w:r>
      <w:r>
        <w:rPr>
          <w:rFonts w:ascii="Times New Roman" w:hAnsi="Times New Roman" w:cs="Times New Roman" w:eastAsia="Times New Roman" w:hint="default"/>
          <w:spacing w:val="-5"/>
        </w:rPr>
        <w:t>11,000</w:t>
      </w:r>
      <w:r>
        <w:rPr>
          <w:spacing w:val="-5"/>
        </w:rPr>
        <w:t>万元。主要经营计算机软件开发、销售及相关的系统集成、技术服务；电子产品、</w:t>
      </w:r>
      <w:r>
        <w:rPr>
          <w:spacing w:val="-41"/>
        </w:rPr>
        <w:t> </w:t>
      </w:r>
      <w:r>
        <w:rPr>
          <w:spacing w:val="-41"/>
        </w:rPr>
      </w:r>
      <w:r>
        <w:rPr>
          <w:spacing w:val="-2"/>
        </w:rPr>
        <w:t>网络设备、网络技术的研究开发、销售及服务（以上项目不含互联网信息服务）。自营和代理各类商品和</w:t>
      </w:r>
      <w:r>
        <w:rPr>
          <w:spacing w:val="-43"/>
        </w:rPr>
        <w:t> </w:t>
      </w:r>
      <w:r>
        <w:rPr>
          <w:spacing w:val="-43"/>
        </w:rPr>
      </w:r>
      <w:r>
        <w:rPr>
          <w:spacing w:val="-2"/>
        </w:rPr>
        <w:t>技术的进出口（国家限定公司经营或者禁止进出口的商品和技术除外。※（凡涉及许可证的项目凭许可证</w:t>
      </w:r>
      <w:r>
        <w:rPr>
          <w:spacing w:val="-43"/>
        </w:rPr>
        <w:t> </w:t>
      </w:r>
      <w:r>
        <w:rPr>
          <w:spacing w:val="-43"/>
        </w:rPr>
      </w:r>
      <w:r>
        <w:rPr/>
        <w:t>在有效期限内经营）</w:t>
      </w:r>
    </w:p>
    <w:p>
      <w:pPr>
        <w:pStyle w:val="BodyText"/>
        <w:spacing w:line="336" w:lineRule="auto" w:before="36"/>
        <w:ind w:left="234" w:right="0" w:firstLine="419"/>
        <w:jc w:val="left"/>
      </w:pPr>
      <w:r>
        <w:rPr>
          <w:spacing w:val="-4"/>
        </w:rPr>
        <w:t>经武汉众环海华会计师事务所有限责任公司审计，截至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日，该公司总资产</w:t>
      </w:r>
      <w:r>
        <w:rPr>
          <w:rFonts w:ascii="Times New Roman" w:hAnsi="Times New Roman" w:cs="Times New Roman" w:eastAsia="Times New Roman" w:hint="default"/>
          <w:spacing w:val="-4"/>
        </w:rPr>
        <w:t>42,741.91</w:t>
      </w:r>
      <w:r>
        <w:rPr>
          <w:spacing w:val="-4"/>
        </w:rPr>
        <w:t>万元，</w:t>
      </w:r>
      <w:r>
        <w:rPr>
          <w:spacing w:val="-3"/>
          <w:w w:val="100"/>
        </w:rPr>
        <w:t> </w:t>
      </w:r>
      <w:r>
        <w:rPr/>
        <w:t>净资产</w:t>
      </w:r>
      <w:r>
        <w:rPr>
          <w:rFonts w:ascii="Times New Roman" w:hAnsi="Times New Roman" w:cs="Times New Roman" w:eastAsia="Times New Roman" w:hint="default"/>
        </w:rPr>
        <w:t>21,673.52</w:t>
      </w:r>
      <w:r>
        <w:rPr/>
        <w:t>万元，</w:t>
      </w:r>
      <w:r>
        <w:rPr>
          <w:rFonts w:ascii="Times New Roman" w:hAnsi="Times New Roman" w:cs="Times New Roman" w:eastAsia="Times New Roman" w:hint="default"/>
        </w:rPr>
        <w:t>2011</w:t>
      </w:r>
      <w:r>
        <w:rPr/>
        <w:t>年实现营业收入</w:t>
      </w:r>
      <w:r>
        <w:rPr>
          <w:rFonts w:ascii="Times New Roman" w:hAnsi="Times New Roman" w:cs="Times New Roman" w:eastAsia="Times New Roman" w:hint="default"/>
        </w:rPr>
        <w:t>15,514.28</w:t>
      </w:r>
      <w:r>
        <w:rPr/>
        <w:t>万元。</w:t>
      </w:r>
    </w:p>
    <w:p>
      <w:pPr>
        <w:pStyle w:val="BodyText"/>
        <w:spacing w:line="338" w:lineRule="auto" w:before="24"/>
        <w:ind w:left="654" w:right="0"/>
        <w:jc w:val="left"/>
      </w:pPr>
      <w:r>
        <w:rPr/>
        <w:t>（</w:t>
      </w:r>
      <w:r>
        <w:rPr>
          <w:rFonts w:ascii="Times New Roman" w:hAnsi="Times New Roman" w:cs="Times New Roman" w:eastAsia="Times New Roman" w:hint="default"/>
        </w:rPr>
        <w:t>4</w:t>
      </w:r>
      <w:r>
        <w:rPr/>
        <w:t>）杭州西软科技有限公司</w:t>
      </w:r>
      <w:r>
        <w:rPr>
          <w:spacing w:val="-3"/>
          <w:w w:val="100"/>
        </w:rPr>
        <w:t> </w:t>
      </w:r>
      <w:r>
        <w:rPr>
          <w:spacing w:val="-1"/>
        </w:rPr>
        <w:t>杭州西软科技有限公司，成立于</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20</w:t>
      </w:r>
      <w:r>
        <w:rPr>
          <w:spacing w:val="-1"/>
        </w:rPr>
        <w:t>日，注册资本为</w:t>
      </w:r>
      <w:r>
        <w:rPr>
          <w:rFonts w:ascii="Times New Roman" w:hAnsi="Times New Roman" w:cs="Times New Roman" w:eastAsia="Times New Roman" w:hint="default"/>
          <w:spacing w:val="-1"/>
        </w:rPr>
        <w:t>1,970</w:t>
      </w:r>
      <w:r>
        <w:rPr>
          <w:spacing w:val="-1"/>
        </w:rPr>
        <w:t>万元人民币，是本公司的控股子公</w:t>
      </w:r>
    </w:p>
    <w:p>
      <w:pPr>
        <w:pStyle w:val="BodyText"/>
        <w:spacing w:line="336" w:lineRule="auto" w:before="22"/>
        <w:ind w:left="234" w:right="227"/>
        <w:jc w:val="both"/>
      </w:pPr>
      <w:r>
        <w:rPr>
          <w:spacing w:val="-7"/>
        </w:rPr>
        <w:t>司，本公司持有其</w:t>
      </w:r>
      <w:r>
        <w:rPr>
          <w:rFonts w:ascii="Times New Roman" w:hAnsi="Times New Roman" w:cs="Times New Roman" w:eastAsia="Times New Roman" w:hint="default"/>
          <w:spacing w:val="-7"/>
        </w:rPr>
        <w:t>60% </w:t>
      </w:r>
      <w:r>
        <w:rPr>
          <w:spacing w:val="-5"/>
        </w:rPr>
        <w:t>的股份。该公司主要从事开发销售计算机软硬件及外围设备，西软科技拥有包括</w:t>
      </w:r>
      <w:r>
        <w:rPr>
          <w:rFonts w:ascii="Times New Roman" w:hAnsi="Times New Roman" w:cs="Times New Roman" w:eastAsia="Times New Roman" w:hint="default"/>
          <w:spacing w:val="-5"/>
        </w:rPr>
        <w:t>“</w:t>
      </w:r>
      <w:r>
        <w:rPr>
          <w:spacing w:val="-5"/>
        </w:rPr>
        <w:t>西</w:t>
      </w:r>
      <w:r>
        <w:rPr>
          <w:spacing w:val="-69"/>
        </w:rPr>
        <w:t> </w:t>
      </w:r>
      <w:r>
        <w:rPr>
          <w:spacing w:val="-3"/>
        </w:rPr>
        <w:t>软</w:t>
      </w:r>
      <w:r>
        <w:rPr>
          <w:rFonts w:ascii="Times New Roman" w:hAnsi="Times New Roman" w:cs="Times New Roman" w:eastAsia="Times New Roman" w:hint="default"/>
          <w:spacing w:val="-3"/>
        </w:rPr>
        <w:t>X5”</w:t>
      </w:r>
      <w:r>
        <w:rPr>
          <w:spacing w:val="-3"/>
        </w:rPr>
        <w:t>、</w:t>
      </w:r>
      <w:r>
        <w:rPr>
          <w:rFonts w:ascii="Times New Roman" w:hAnsi="Times New Roman" w:cs="Times New Roman" w:eastAsia="Times New Roman" w:hint="default"/>
          <w:spacing w:val="-3"/>
        </w:rPr>
        <w:t>“FOXHIS</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
        </w:rPr>
        <w:t>V</w:t>
      </w:r>
      <w:r>
        <w:rPr>
          <w:spacing w:val="-3"/>
        </w:rPr>
        <w:t>系列</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“Smart”</w:t>
      </w:r>
      <w:r>
        <w:rPr>
          <w:spacing w:val="-3"/>
        </w:rPr>
        <w:t>等针对不同档次酒店用户需求的较为完整的产品序列，连续多年荣获</w:t>
      </w:r>
      <w:r>
        <w:rPr>
          <w:spacing w:val="-94"/>
        </w:rPr>
        <w:t> </w:t>
      </w:r>
      <w:r>
        <w:rPr>
          <w:spacing w:val="-94"/>
        </w:rPr>
      </w:r>
      <w:r>
        <w:rPr>
          <w:spacing w:val="-1"/>
        </w:rPr>
        <w:t>中国软件行业协会</w:t>
      </w:r>
      <w:r>
        <w:rPr>
          <w:rFonts w:ascii="Times New Roman" w:hAnsi="Times New Roman" w:cs="Times New Roman" w:eastAsia="Times New Roman" w:hint="default"/>
          <w:spacing w:val="-1"/>
        </w:rPr>
        <w:t>“</w:t>
      </w:r>
      <w:r>
        <w:rPr>
          <w:spacing w:val="-1"/>
        </w:rPr>
        <w:t>年度推荐优秀软件产品</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中国优秀软件产品</w:t>
      </w:r>
      <w:r>
        <w:rPr>
          <w:rFonts w:ascii="Times New Roman" w:hAnsi="Times New Roman" w:cs="Times New Roman" w:eastAsia="Times New Roman" w:hint="default"/>
          <w:spacing w:val="-1"/>
        </w:rPr>
        <w:t>”</w:t>
      </w:r>
      <w:r>
        <w:rPr>
          <w:spacing w:val="-1"/>
        </w:rPr>
        <w:t>称号，并拥有多项软件著作权，是目前</w:t>
      </w:r>
      <w:r>
        <w:rPr>
          <w:spacing w:val="-42"/>
        </w:rPr>
        <w:t> </w:t>
      </w:r>
      <w:r>
        <w:rPr>
          <w:spacing w:val="-42"/>
        </w:rPr>
      </w:r>
      <w:r>
        <w:rPr/>
        <w:t>国内用户数量最多的酒店信息系统公司。</w:t>
      </w:r>
    </w:p>
    <w:p>
      <w:pPr>
        <w:pStyle w:val="BodyText"/>
        <w:spacing w:line="336" w:lineRule="auto" w:before="51"/>
        <w:ind w:left="234" w:right="0" w:firstLine="419"/>
        <w:jc w:val="left"/>
      </w:pPr>
      <w:r>
        <w:rPr>
          <w:spacing w:val="-4"/>
        </w:rPr>
        <w:t>经武汉众环海华会计师事务所有限责任公司审计，截至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日，该公司总资产</w:t>
      </w:r>
      <w:r>
        <w:rPr>
          <w:rFonts w:ascii="Times New Roman" w:hAnsi="Times New Roman" w:cs="Times New Roman" w:eastAsia="Times New Roman" w:hint="default"/>
          <w:spacing w:val="-4"/>
        </w:rPr>
        <w:t>11,094.15</w:t>
      </w:r>
      <w:r>
        <w:rPr>
          <w:spacing w:val="-4"/>
        </w:rPr>
        <w:t>万元，</w:t>
      </w:r>
      <w:r>
        <w:rPr>
          <w:spacing w:val="-3"/>
          <w:w w:val="100"/>
        </w:rPr>
        <w:t> </w:t>
      </w:r>
      <w:r>
        <w:rPr/>
        <w:t>净资产</w:t>
      </w:r>
      <w:r>
        <w:rPr>
          <w:rFonts w:ascii="Times New Roman" w:hAnsi="Times New Roman" w:cs="Times New Roman" w:eastAsia="Times New Roman" w:hint="default"/>
        </w:rPr>
        <w:t>9,071.54</w:t>
      </w:r>
      <w:r>
        <w:rPr/>
        <w:t>万元，</w:t>
      </w:r>
      <w:r>
        <w:rPr>
          <w:rFonts w:ascii="Times New Roman" w:hAnsi="Times New Roman" w:cs="Times New Roman" w:eastAsia="Times New Roman" w:hint="default"/>
        </w:rPr>
        <w:t>2011</w:t>
      </w:r>
      <w:r>
        <w:rPr/>
        <w:t>年实现营业收入</w:t>
      </w:r>
      <w:r>
        <w:rPr>
          <w:rFonts w:ascii="Times New Roman" w:hAnsi="Times New Roman" w:cs="Times New Roman" w:eastAsia="Times New Roman" w:hint="default"/>
        </w:rPr>
        <w:t>8,017.22</w:t>
      </w:r>
      <w:r>
        <w:rPr/>
        <w:t>万元。</w:t>
      </w:r>
    </w:p>
    <w:p>
      <w:pPr>
        <w:pStyle w:val="BodyText"/>
        <w:spacing w:line="240" w:lineRule="auto" w:before="24"/>
        <w:ind w:left="654" w:right="0"/>
        <w:jc w:val="left"/>
      </w:pPr>
      <w:r>
        <w:rPr/>
        <w:t>（</w:t>
      </w:r>
      <w:r>
        <w:rPr>
          <w:rFonts w:ascii="Times New Roman" w:hAnsi="Times New Roman" w:cs="Times New Roman" w:eastAsia="Times New Roman" w:hint="default"/>
        </w:rPr>
        <w:t>5</w:t>
      </w:r>
      <w:r>
        <w:rPr/>
        <w:t>）北京石基昆仑软件有限公司</w:t>
      </w:r>
    </w:p>
    <w:p>
      <w:pPr>
        <w:spacing w:after="0" w:line="240" w:lineRule="auto"/>
        <w:jc w:val="left"/>
        <w:sectPr>
          <w:pgSz w:w="11910" w:h="16840"/>
          <w:pgMar w:header="850" w:footer="979" w:top="1200" w:bottom="1160" w:left="900" w:right="900"/>
        </w:sectPr>
      </w:pPr>
    </w:p>
    <w:p>
      <w:pPr>
        <w:pStyle w:val="BodyText"/>
        <w:spacing w:line="336" w:lineRule="auto" w:before="30"/>
        <w:ind w:left="212" w:right="0" w:firstLine="420"/>
        <w:jc w:val="left"/>
      </w:pPr>
      <w:r>
        <w:rPr/>
        <w:pict>
          <v:group style="position:absolute;margin-left:55.200001pt;margin-top:2.843687pt;width:484.8pt;height:.1pt;mso-position-horizontal-relative:page;mso-position-vertical-relative:paragraph;z-index:-772360" coordorigin="1104,57" coordsize="9696,2">
            <v:shape style="position:absolute;left:1104;top:57;width:9696;height:2" coordorigin="1104,57" coordsize="9696,0" path="m1104,57l10800,57e" filled="false" stroked="true" strokeweight=".72pt" strokecolor="#000000">
              <v:path arrowok="t"/>
            </v:shape>
            <w10:wrap type="none"/>
          </v:group>
        </w:pict>
      </w:r>
      <w:r>
        <w:rPr/>
        <w:t>石基昆仑软件有限公司为本公司控股子公司。成立于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日，注册资本</w:t>
      </w:r>
      <w:r>
        <w:rPr>
          <w:rFonts w:ascii="Times New Roman" w:hAnsi="Times New Roman" w:cs="Times New Roman" w:eastAsia="Times New Roman" w:hint="default"/>
        </w:rPr>
        <w:t>428</w:t>
      </w:r>
      <w:r>
        <w:rPr/>
        <w:t>万元。本公司持有</w:t>
      </w:r>
      <w:r>
        <w:rPr>
          <w:w w:val="100"/>
        </w:rPr>
        <w:t> </w:t>
      </w:r>
      <w:r>
        <w:rPr/>
        <w:t>石基昆仑</w:t>
      </w:r>
      <w:r>
        <w:rPr>
          <w:rFonts w:ascii="Times New Roman" w:hAnsi="Times New Roman" w:cs="Times New Roman" w:eastAsia="Times New Roman" w:hint="default"/>
        </w:rPr>
        <w:t>82.42%</w:t>
      </w:r>
      <w:r>
        <w:rPr/>
        <w:t>的股权。</w:t>
      </w:r>
    </w:p>
    <w:p>
      <w:pPr>
        <w:pStyle w:val="BodyText"/>
        <w:spacing w:line="240" w:lineRule="auto" w:before="24"/>
        <w:ind w:left="632" w:right="0"/>
        <w:jc w:val="left"/>
        <w:rPr>
          <w:rFonts w:ascii="Times New Roman" w:hAnsi="Times New Roman" w:cs="Times New Roman" w:eastAsia="Times New Roman" w:hint="default"/>
        </w:rPr>
      </w:pPr>
      <w:r>
        <w:rPr>
          <w:spacing w:val="-6"/>
        </w:rPr>
        <w:t>石基昆仑的主要业务开发和实施酒店</w:t>
      </w:r>
      <w:r>
        <w:rPr>
          <w:rFonts w:ascii="Times New Roman" w:hAnsi="Times New Roman" w:cs="Times New Roman" w:eastAsia="Times New Roman" w:hint="default"/>
          <w:spacing w:val="-6"/>
        </w:rPr>
        <w:t>CRM</w:t>
      </w:r>
      <w:r>
        <w:rPr>
          <w:spacing w:val="-6"/>
        </w:rPr>
        <w:t>（客户关系管理系统）、</w:t>
      </w:r>
      <w:r>
        <w:rPr>
          <w:rFonts w:ascii="Times New Roman" w:hAnsi="Times New Roman" w:cs="Times New Roman" w:eastAsia="Times New Roman" w:hint="default"/>
          <w:spacing w:val="-6"/>
        </w:rPr>
        <w:t>LPS</w:t>
      </w:r>
      <w:r>
        <w:rPr>
          <w:spacing w:val="-6"/>
        </w:rPr>
        <w:t>（会员积分和管理系统）和</w:t>
      </w:r>
      <w:r>
        <w:rPr>
          <w:rFonts w:ascii="Times New Roman" w:hAnsi="Times New Roman" w:cs="Times New Roman" w:eastAsia="Times New Roman" w:hint="default"/>
          <w:spacing w:val="-6"/>
        </w:rPr>
        <w:t>CRS</w:t>
      </w:r>
      <w:r>
        <w:rPr>
          <w:rFonts w:ascii="Times New Roman" w:hAnsi="Times New Roman" w:cs="Times New Roman" w:eastAsia="Times New Roman" w:hint="default"/>
        </w:rPr>
      </w:r>
    </w:p>
    <w:p>
      <w:pPr>
        <w:pStyle w:val="BodyText"/>
        <w:spacing w:line="355" w:lineRule="auto" w:before="119"/>
        <w:ind w:left="632" w:right="0" w:hanging="421"/>
        <w:jc w:val="left"/>
      </w:pPr>
      <w:r>
        <w:rPr/>
        <w:t>（集团酒店中央预订系统），配合石基数字酒店信息系统提供中国本地酒店集团化解决方案。</w:t>
      </w:r>
      <w:r>
        <w:rPr>
          <w:w w:val="100"/>
        </w:rPr>
        <w:t> </w:t>
      </w:r>
      <w:r>
        <w:rPr>
          <w:spacing w:val="-2"/>
        </w:rPr>
        <w:t>经武汉众环海华会计师事务所有限责任公司审计，截至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日，该公司总资产</w:t>
      </w:r>
      <w:r>
        <w:rPr>
          <w:rFonts w:ascii="Times New Roman" w:hAnsi="Times New Roman" w:cs="Times New Roman" w:eastAsia="Times New Roman" w:hint="default"/>
          <w:spacing w:val="-2"/>
        </w:rPr>
        <w:t>2,347.93</w:t>
      </w:r>
      <w:r>
        <w:rPr>
          <w:spacing w:val="-2"/>
        </w:rPr>
        <w:t>万元，</w:t>
      </w:r>
    </w:p>
    <w:p>
      <w:pPr>
        <w:pStyle w:val="BodyText"/>
        <w:spacing w:line="240" w:lineRule="auto" w:before="5"/>
        <w:ind w:left="212" w:right="0"/>
        <w:jc w:val="left"/>
      </w:pPr>
      <w:r>
        <w:rPr/>
        <w:t>净资产</w:t>
      </w:r>
      <w:r>
        <w:rPr>
          <w:rFonts w:ascii="Times New Roman" w:hAnsi="Times New Roman" w:cs="Times New Roman" w:eastAsia="Times New Roman" w:hint="default"/>
        </w:rPr>
        <w:t>1,996.15</w:t>
      </w:r>
      <w:r>
        <w:rPr/>
        <w:t>万元，</w:t>
      </w:r>
      <w:r>
        <w:rPr>
          <w:rFonts w:ascii="Times New Roman" w:hAnsi="Times New Roman" w:cs="Times New Roman" w:eastAsia="Times New Roman" w:hint="default"/>
        </w:rPr>
        <w:t>2011</w:t>
      </w:r>
      <w:r>
        <w:rPr/>
        <w:t>年实现营业收入</w:t>
      </w:r>
      <w:r>
        <w:rPr>
          <w:rFonts w:ascii="Times New Roman" w:hAnsi="Times New Roman" w:cs="Times New Roman" w:eastAsia="Times New Roman" w:hint="default"/>
        </w:rPr>
        <w:t>1,312.68</w:t>
      </w:r>
      <w:r>
        <w:rPr/>
        <w:t>万元。</w:t>
      </w:r>
    </w:p>
    <w:p>
      <w:pPr>
        <w:pStyle w:val="BodyText"/>
        <w:spacing w:line="336" w:lineRule="auto" w:before="117"/>
        <w:ind w:left="632" w:right="0"/>
        <w:jc w:val="left"/>
      </w:pPr>
      <w:r>
        <w:rPr/>
        <w:t>（</w:t>
      </w:r>
      <w:r>
        <w:rPr>
          <w:rFonts w:ascii="Times New Roman" w:hAnsi="Times New Roman" w:cs="Times New Roman" w:eastAsia="Times New Roman" w:hint="default"/>
        </w:rPr>
        <w:t>6</w:t>
      </w:r>
      <w:r>
        <w:rPr/>
        <w:t>）焦点信息技术（香港）有限公司</w:t>
      </w:r>
      <w:r>
        <w:rPr>
          <w:w w:val="100"/>
        </w:rPr>
        <w:t> </w:t>
      </w:r>
      <w:r>
        <w:rPr>
          <w:spacing w:val="-3"/>
        </w:rPr>
        <w:t>焦点信息技术（香港）有限公司为本公司的全资子公司，注册资本</w:t>
      </w:r>
      <w:r>
        <w:rPr>
          <w:rFonts w:ascii="Times New Roman" w:hAnsi="Times New Roman" w:cs="Times New Roman" w:eastAsia="Times New Roman" w:hint="default"/>
          <w:spacing w:val="-3"/>
        </w:rPr>
        <w:t>3,500</w:t>
      </w:r>
      <w:r>
        <w:rPr>
          <w:spacing w:val="-3"/>
        </w:rPr>
        <w:t>万元港币，</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17</w:t>
      </w:r>
      <w:r>
        <w:rPr>
          <w:spacing w:val="-3"/>
        </w:rPr>
        <w:t>日在</w:t>
      </w:r>
    </w:p>
    <w:p>
      <w:pPr>
        <w:pStyle w:val="BodyText"/>
        <w:spacing w:line="355" w:lineRule="auto" w:before="26"/>
        <w:ind w:left="633" w:right="0" w:hanging="421"/>
        <w:jc w:val="left"/>
      </w:pPr>
      <w:r>
        <w:rPr/>
        <w:t>中国香港成立，主要从事酒店及餐饮信息管理系统经营或相关投资业务。</w:t>
      </w:r>
      <w:r>
        <w:rPr>
          <w:w w:val="100"/>
        </w:rPr>
        <w:t> </w:t>
      </w:r>
      <w:r>
        <w:rPr>
          <w:spacing w:val="-4"/>
        </w:rPr>
        <w:t>经武汉众环海华会计师事务所有限责任公司审计，截至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日，该公司总资产</w:t>
      </w:r>
      <w:r>
        <w:rPr>
          <w:rFonts w:ascii="Times New Roman" w:hAnsi="Times New Roman" w:cs="Times New Roman" w:eastAsia="Times New Roman" w:hint="default"/>
          <w:spacing w:val="-4"/>
        </w:rPr>
        <w:t>13,123.10</w:t>
      </w:r>
      <w:r>
        <w:rPr>
          <w:spacing w:val="-4"/>
        </w:rPr>
        <w:t>万元，</w:t>
      </w:r>
      <w:r>
        <w:rPr/>
      </w:r>
    </w:p>
    <w:p>
      <w:pPr>
        <w:pStyle w:val="BodyText"/>
        <w:spacing w:line="240" w:lineRule="auto" w:before="5"/>
        <w:ind w:left="213" w:right="0"/>
        <w:jc w:val="left"/>
      </w:pPr>
      <w:r>
        <w:rPr/>
        <w:t>净资产</w:t>
      </w:r>
      <w:r>
        <w:rPr>
          <w:rFonts w:ascii="Times New Roman" w:hAnsi="Times New Roman" w:cs="Times New Roman" w:eastAsia="Times New Roman" w:hint="default"/>
        </w:rPr>
        <w:t>10,713.75</w:t>
      </w:r>
      <w:r>
        <w:rPr/>
        <w:t>万元，</w:t>
      </w:r>
      <w:r>
        <w:rPr>
          <w:rFonts w:ascii="Times New Roman" w:hAnsi="Times New Roman" w:cs="Times New Roman" w:eastAsia="Times New Roman" w:hint="default"/>
        </w:rPr>
        <w:t>2011</w:t>
      </w:r>
      <w:r>
        <w:rPr/>
        <w:t>年实现营业收入</w:t>
      </w:r>
      <w:r>
        <w:rPr>
          <w:rFonts w:ascii="Times New Roman" w:hAnsi="Times New Roman" w:cs="Times New Roman" w:eastAsia="Times New Roman" w:hint="default"/>
        </w:rPr>
        <w:t>11,747.92</w:t>
      </w:r>
      <w:r>
        <w:rPr/>
        <w:t>万元。</w:t>
      </w:r>
    </w:p>
    <w:p>
      <w:pPr>
        <w:pStyle w:val="BodyText"/>
        <w:spacing w:line="338" w:lineRule="auto" w:before="117"/>
        <w:ind w:left="633" w:right="0"/>
        <w:jc w:val="left"/>
      </w:pPr>
      <w:r>
        <w:rPr/>
        <w:t>（</w:t>
      </w:r>
      <w:r>
        <w:rPr>
          <w:rFonts w:ascii="Times New Roman" w:hAnsi="Times New Roman" w:cs="Times New Roman" w:eastAsia="Times New Roman" w:hint="default"/>
        </w:rPr>
        <w:t>7</w:t>
      </w:r>
      <w:r>
        <w:rPr/>
        <w:t>）南京银石计算机系统有限公司</w:t>
      </w:r>
      <w:r>
        <w:rPr>
          <w:spacing w:val="-3"/>
          <w:w w:val="100"/>
        </w:rPr>
        <w:t> </w:t>
      </w:r>
      <w:r>
        <w:rPr>
          <w:spacing w:val="-1"/>
        </w:rPr>
        <w:t>南京银石计算机系统有限公司为本公司全资子公司，成立于</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9</w:t>
      </w:r>
      <w:r>
        <w:rPr>
          <w:spacing w:val="-1"/>
        </w:rPr>
        <w:t>月，注册资本</w:t>
      </w:r>
      <w:r>
        <w:rPr>
          <w:rFonts w:ascii="Times New Roman" w:hAnsi="Times New Roman" w:cs="Times New Roman" w:eastAsia="Times New Roman" w:hint="default"/>
          <w:spacing w:val="-1"/>
        </w:rPr>
        <w:t>3,000</w:t>
      </w:r>
      <w:r>
        <w:rPr>
          <w:spacing w:val="-1"/>
        </w:rPr>
        <w:t>万元人民币，</w:t>
      </w:r>
    </w:p>
    <w:p>
      <w:pPr>
        <w:pStyle w:val="BodyText"/>
        <w:spacing w:line="336" w:lineRule="auto" w:before="22"/>
        <w:ind w:left="213" w:right="212"/>
        <w:jc w:val="left"/>
      </w:pPr>
      <w:r>
        <w:rPr>
          <w:spacing w:val="-3"/>
        </w:rPr>
        <w:t>主要产品为：银行卡收银一体化软件（</w:t>
      </w:r>
      <w:r>
        <w:rPr>
          <w:rFonts w:ascii="Times New Roman" w:hAnsi="Times New Roman" w:cs="Times New Roman" w:eastAsia="Times New Roman" w:hint="default"/>
          <w:spacing w:val="-3"/>
        </w:rPr>
        <w:t>SOFTPOS</w:t>
      </w:r>
      <w:r>
        <w:rPr>
          <w:spacing w:val="-3"/>
        </w:rPr>
        <w:t>）、储值卡系统（</w:t>
      </w:r>
      <w:r>
        <w:rPr>
          <w:rFonts w:ascii="Times New Roman" w:hAnsi="Times New Roman" w:cs="Times New Roman" w:eastAsia="Times New Roman" w:hint="default"/>
          <w:spacing w:val="-3"/>
        </w:rPr>
        <w:t>E-PAY</w:t>
      </w:r>
      <w:r>
        <w:rPr>
          <w:spacing w:val="-3"/>
        </w:rPr>
        <w:t>）和银行前端系统软件，还有配</w:t>
      </w:r>
      <w:r>
        <w:rPr>
          <w:spacing w:val="-42"/>
        </w:rPr>
        <w:t> </w:t>
      </w:r>
      <w:r>
        <w:rPr>
          <w:spacing w:val="-42"/>
        </w:rPr>
      </w:r>
      <w:r>
        <w:rPr/>
        <w:t>套的硬件产品</w:t>
      </w:r>
      <w:r>
        <w:rPr>
          <w:rFonts w:ascii="Times New Roman" w:hAnsi="Times New Roman" w:cs="Times New Roman" w:eastAsia="Times New Roman" w:hint="default"/>
        </w:rPr>
        <w:t>SS-001</w:t>
      </w:r>
      <w:r>
        <w:rPr/>
        <w:t>、</w:t>
      </w:r>
      <w:r>
        <w:rPr>
          <w:rFonts w:ascii="Times New Roman" w:hAnsi="Times New Roman" w:cs="Times New Roman" w:eastAsia="Times New Roman" w:hint="default"/>
        </w:rPr>
        <w:t>SS-101</w:t>
      </w:r>
      <w:r>
        <w:rPr/>
        <w:t>密码键盘系列。</w:t>
      </w:r>
    </w:p>
    <w:p>
      <w:pPr>
        <w:pStyle w:val="BodyText"/>
        <w:spacing w:line="336" w:lineRule="auto" w:before="24"/>
        <w:ind w:left="213" w:right="0" w:firstLine="419"/>
        <w:jc w:val="left"/>
      </w:pPr>
      <w:r>
        <w:rPr>
          <w:spacing w:val="-2"/>
        </w:rPr>
        <w:t>经武汉众环海华会计师事务所有限责任公司审计，截至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日，该公司总资产</w:t>
      </w:r>
      <w:r>
        <w:rPr>
          <w:rFonts w:ascii="Times New Roman" w:hAnsi="Times New Roman" w:cs="Times New Roman" w:eastAsia="Times New Roman" w:hint="default"/>
          <w:spacing w:val="-2"/>
        </w:rPr>
        <w:t>9066.46</w:t>
      </w:r>
      <w:r>
        <w:rPr>
          <w:spacing w:val="-2"/>
        </w:rPr>
        <w:t>万元，</w:t>
      </w:r>
      <w:r>
        <w:rPr>
          <w:spacing w:val="-3"/>
          <w:w w:val="100"/>
        </w:rPr>
        <w:t> </w:t>
      </w:r>
      <w:r>
        <w:rPr/>
        <w:t>净资产</w:t>
      </w:r>
      <w:r>
        <w:rPr>
          <w:rFonts w:ascii="Times New Roman" w:hAnsi="Times New Roman" w:cs="Times New Roman" w:eastAsia="Times New Roman" w:hint="default"/>
        </w:rPr>
        <w:t>6,700.69</w:t>
      </w:r>
      <w:r>
        <w:rPr/>
        <w:t>万元，</w:t>
      </w:r>
      <w:r>
        <w:rPr>
          <w:rFonts w:ascii="Times New Roman" w:hAnsi="Times New Roman" w:cs="Times New Roman" w:eastAsia="Times New Roman" w:hint="default"/>
        </w:rPr>
        <w:t>2011</w:t>
      </w:r>
      <w:r>
        <w:rPr/>
        <w:t>年实现营业收入</w:t>
      </w:r>
      <w:r>
        <w:rPr>
          <w:rFonts w:ascii="Times New Roman" w:hAnsi="Times New Roman" w:cs="Times New Roman" w:eastAsia="Times New Roman" w:hint="default"/>
        </w:rPr>
        <w:t>7,225.89</w:t>
      </w:r>
      <w:r>
        <w:rPr/>
        <w:t>万元。</w:t>
      </w:r>
    </w:p>
    <w:p>
      <w:pPr>
        <w:pStyle w:val="BodyText"/>
        <w:spacing w:line="336" w:lineRule="auto" w:before="26"/>
        <w:ind w:left="633" w:right="0"/>
        <w:jc w:val="left"/>
      </w:pPr>
      <w:r>
        <w:rPr/>
        <w:t>（</w:t>
      </w:r>
      <w:r>
        <w:rPr>
          <w:rFonts w:ascii="Times New Roman" w:hAnsi="Times New Roman" w:cs="Times New Roman" w:eastAsia="Times New Roman" w:hint="default"/>
        </w:rPr>
        <w:t>8</w:t>
      </w:r>
      <w:r>
        <w:rPr/>
        <w:t>）上海正品贵德软件有限公司</w:t>
      </w:r>
      <w:r>
        <w:rPr>
          <w:w w:val="100"/>
        </w:rPr>
        <w:t> </w:t>
      </w:r>
      <w:r>
        <w:rPr/>
        <w:t>上海正品贵德软件有限公司为本公司控股子公司。成立于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日，注册资本</w:t>
      </w:r>
      <w:r>
        <w:rPr>
          <w:rFonts w:ascii="Times New Roman" w:hAnsi="Times New Roman" w:cs="Times New Roman" w:eastAsia="Times New Roman" w:hint="default"/>
        </w:rPr>
        <w:t>500</w:t>
      </w:r>
      <w:r>
        <w:rPr/>
        <w:t>万元。本公</w:t>
      </w:r>
    </w:p>
    <w:p>
      <w:pPr>
        <w:pStyle w:val="BodyText"/>
        <w:spacing w:line="336" w:lineRule="auto" w:before="24"/>
        <w:ind w:left="633" w:right="0" w:hanging="420"/>
        <w:jc w:val="left"/>
      </w:pPr>
      <w:r>
        <w:rPr/>
        <w:t>司持有正品贵德</w:t>
      </w:r>
      <w:r>
        <w:rPr>
          <w:rFonts w:ascii="Times New Roman" w:hAnsi="Times New Roman" w:cs="Times New Roman" w:eastAsia="Times New Roman" w:hint="default"/>
        </w:rPr>
        <w:t>70%</w:t>
      </w:r>
      <w:r>
        <w:rPr/>
        <w:t>的股权。</w:t>
      </w:r>
      <w:r>
        <w:rPr>
          <w:w w:val="100"/>
        </w:rPr>
        <w:t> </w:t>
      </w:r>
      <w:r>
        <w:rPr>
          <w:spacing w:val="-1"/>
        </w:rPr>
        <w:t>经武汉众环海华会计师事务所有限责任公司审计，截至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日，该公司总资产</w:t>
      </w:r>
      <w:r>
        <w:rPr>
          <w:rFonts w:ascii="Times New Roman" w:hAnsi="Times New Roman" w:cs="Times New Roman" w:eastAsia="Times New Roman" w:hint="default"/>
          <w:spacing w:val="-1"/>
        </w:rPr>
        <w:t>708.62</w:t>
      </w:r>
      <w:r>
        <w:rPr>
          <w:spacing w:val="-1"/>
        </w:rPr>
        <w:t>万元，</w:t>
      </w:r>
      <w:r>
        <w:rPr/>
      </w:r>
    </w:p>
    <w:p>
      <w:pPr>
        <w:pStyle w:val="BodyText"/>
        <w:spacing w:line="240" w:lineRule="auto" w:before="24"/>
        <w:ind w:left="213" w:right="0"/>
        <w:jc w:val="left"/>
      </w:pPr>
      <w:r>
        <w:rPr/>
        <w:t>净资产</w:t>
      </w:r>
      <w:r>
        <w:rPr>
          <w:rFonts w:ascii="Times New Roman" w:hAnsi="Times New Roman" w:cs="Times New Roman" w:eastAsia="Times New Roman" w:hint="default"/>
        </w:rPr>
        <w:t>158.56</w:t>
      </w:r>
      <w:r>
        <w:rPr/>
        <w:t>万元，</w:t>
      </w:r>
      <w:r>
        <w:rPr>
          <w:rFonts w:ascii="Times New Roman" w:hAnsi="Times New Roman" w:cs="Times New Roman" w:eastAsia="Times New Roman" w:hint="default"/>
        </w:rPr>
        <w:t>2011</w:t>
      </w:r>
      <w:r>
        <w:rPr/>
        <w:t>年实现营业收入</w:t>
      </w:r>
      <w:r>
        <w:rPr>
          <w:rFonts w:ascii="Times New Roman" w:hAnsi="Times New Roman" w:cs="Times New Roman" w:eastAsia="Times New Roman" w:hint="default"/>
        </w:rPr>
        <w:t>179.99</w:t>
      </w:r>
      <w:r>
        <w:rPr/>
        <w:t>万元。</w:t>
      </w:r>
    </w:p>
    <w:p>
      <w:pPr>
        <w:spacing w:line="240" w:lineRule="auto" w:before="5"/>
        <w:rPr>
          <w:rFonts w:ascii="宋体" w:hAnsi="宋体" w:cs="宋体" w:eastAsia="宋体" w:hint="default"/>
          <w:sz w:val="30"/>
          <w:szCs w:val="30"/>
        </w:rPr>
      </w:pPr>
    </w:p>
    <w:p>
      <w:pPr>
        <w:pStyle w:val="Heading4"/>
        <w:spacing w:line="240" w:lineRule="auto"/>
        <w:ind w:left="636" w:right="0"/>
        <w:jc w:val="left"/>
        <w:rPr>
          <w:b w:val="0"/>
          <w:bCs w:val="0"/>
        </w:rPr>
      </w:pPr>
      <w:r>
        <w:rPr>
          <w:rFonts w:ascii="Times New Roman" w:hAnsi="Times New Roman" w:cs="Times New Roman" w:eastAsia="Times New Roman" w:hint="default"/>
        </w:rPr>
        <w:t>6</w:t>
      </w:r>
      <w:r>
        <w:rPr/>
        <w:t>、偿债能力分析</w:t>
      </w:r>
      <w:r>
        <w:rPr>
          <w:b w:val="0"/>
          <w:bCs w:val="0"/>
        </w:rPr>
      </w:r>
    </w:p>
    <w:p>
      <w:pPr>
        <w:spacing w:line="240" w:lineRule="auto" w:before="9"/>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1458"/>
        <w:gridCol w:w="2755"/>
        <w:gridCol w:w="2755"/>
        <w:gridCol w:w="2755"/>
      </w:tblGrid>
      <w:tr>
        <w:trPr>
          <w:trHeight w:val="310" w:hRule="exact"/>
        </w:trPr>
        <w:tc>
          <w:tcPr>
            <w:tcW w:w="145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5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p>
        </w:tc>
        <w:tc>
          <w:tcPr>
            <w:tcW w:w="275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p>
        </w:tc>
        <w:tc>
          <w:tcPr>
            <w:tcW w:w="275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p>
        </w:tc>
      </w:tr>
      <w:tr>
        <w:trPr>
          <w:trHeight w:val="310" w:hRule="exact"/>
        </w:trPr>
        <w:tc>
          <w:tcPr>
            <w:tcW w:w="145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流动比率</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5.23</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4.44</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4.7</w:t>
            </w:r>
          </w:p>
        </w:tc>
      </w:tr>
      <w:tr>
        <w:trPr>
          <w:trHeight w:val="310" w:hRule="exact"/>
        </w:trPr>
        <w:tc>
          <w:tcPr>
            <w:tcW w:w="145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速动比率</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5.01</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4.10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4.22</w:t>
            </w:r>
          </w:p>
        </w:tc>
      </w:tr>
      <w:tr>
        <w:trPr>
          <w:trHeight w:val="310" w:hRule="exact"/>
        </w:trPr>
        <w:tc>
          <w:tcPr>
            <w:tcW w:w="145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13.59%</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15.35%</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14.25%</w:t>
            </w:r>
          </w:p>
        </w:tc>
      </w:tr>
    </w:tbl>
    <w:p>
      <w:pPr>
        <w:pStyle w:val="BodyText"/>
        <w:spacing w:line="257" w:lineRule="exact"/>
        <w:ind w:left="647" w:right="0"/>
        <w:jc w:val="left"/>
      </w:pPr>
      <w:r>
        <w:rPr>
          <w:spacing w:val="-2"/>
        </w:rPr>
        <w:t>（</w:t>
      </w:r>
      <w:r>
        <w:rPr>
          <w:rFonts w:ascii="Times New Roman" w:hAnsi="Times New Roman" w:cs="Times New Roman" w:eastAsia="Times New Roman" w:hint="default"/>
          <w:spacing w:val="-2"/>
        </w:rPr>
        <w:t>1</w:t>
      </w:r>
      <w:r>
        <w:rPr>
          <w:spacing w:val="-2"/>
        </w:rPr>
        <w:t>）公司期末现金资产占全部资产的</w:t>
      </w:r>
      <w:r>
        <w:rPr>
          <w:spacing w:val="-8"/>
        </w:rPr>
        <w:t> </w:t>
      </w:r>
      <w:r>
        <w:rPr>
          <w:rFonts w:ascii="Times New Roman" w:hAnsi="Times New Roman" w:cs="Times New Roman" w:eastAsia="Times New Roman" w:hint="default"/>
          <w:spacing w:val="-1"/>
        </w:rPr>
        <w:t>51.07%</w:t>
      </w:r>
      <w:r>
        <w:rPr>
          <w:spacing w:val="-1"/>
        </w:rPr>
        <w:t>，短期偿债能力良好；</w:t>
      </w:r>
    </w:p>
    <w:p>
      <w:pPr>
        <w:pStyle w:val="BodyText"/>
        <w:spacing w:line="240" w:lineRule="auto" w:before="119"/>
        <w:ind w:left="647" w:right="0"/>
        <w:jc w:val="left"/>
      </w:pPr>
      <w:r>
        <w:rPr>
          <w:spacing w:val="-2"/>
        </w:rPr>
        <w:t>（</w:t>
      </w:r>
      <w:r>
        <w:rPr>
          <w:rFonts w:ascii="Times New Roman" w:hAnsi="Times New Roman" w:cs="Times New Roman" w:eastAsia="Times New Roman" w:hint="default"/>
          <w:spacing w:val="-2"/>
        </w:rPr>
        <w:t>2</w:t>
      </w:r>
      <w:r>
        <w:rPr>
          <w:spacing w:val="-2"/>
        </w:rPr>
        <w:t>）公司本年度资产负债率为</w:t>
      </w:r>
      <w:r>
        <w:rPr>
          <w:spacing w:val="2"/>
        </w:rPr>
        <w:t> </w:t>
      </w:r>
      <w:r>
        <w:rPr>
          <w:rFonts w:ascii="Times New Roman" w:hAnsi="Times New Roman" w:cs="Times New Roman" w:eastAsia="Times New Roman" w:hint="default"/>
          <w:spacing w:val="-2"/>
        </w:rPr>
        <w:t>13.59%</w:t>
      </w:r>
      <w:r>
        <w:rPr>
          <w:spacing w:val="-2"/>
        </w:rPr>
        <w:t>，长期偿债能力良好。</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82"/>
        <w:ind w:left="635" w:right="0"/>
        <w:jc w:val="left"/>
        <w:rPr>
          <w:b w:val="0"/>
          <w:bCs w:val="0"/>
        </w:rPr>
      </w:pPr>
      <w:r>
        <w:rPr>
          <w:rFonts w:ascii="Times New Roman" w:hAnsi="Times New Roman" w:cs="Times New Roman" w:eastAsia="Times New Roman" w:hint="default"/>
        </w:rPr>
        <w:t>7</w:t>
      </w:r>
      <w:r>
        <w:rPr/>
        <w:t>、资产营运能力分析</w:t>
      </w:r>
      <w:r>
        <w:rPr>
          <w:b w:val="0"/>
          <w:bCs w:val="0"/>
        </w:rPr>
      </w:r>
    </w:p>
    <w:p>
      <w:pPr>
        <w:spacing w:line="240" w:lineRule="auto" w:before="10"/>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2147"/>
        <w:gridCol w:w="2066"/>
        <w:gridCol w:w="2755"/>
        <w:gridCol w:w="2755"/>
      </w:tblGrid>
      <w:tr>
        <w:trPr>
          <w:trHeight w:val="310" w:hRule="exact"/>
        </w:trPr>
        <w:tc>
          <w:tcPr>
            <w:tcW w:w="214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6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85"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p>
        </w:tc>
        <w:tc>
          <w:tcPr>
            <w:tcW w:w="275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p>
        </w:tc>
        <w:tc>
          <w:tcPr>
            <w:tcW w:w="275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p>
        </w:tc>
      </w:tr>
      <w:tr>
        <w:trPr>
          <w:trHeight w:val="310" w:hRule="exact"/>
        </w:trPr>
        <w:tc>
          <w:tcPr>
            <w:tcW w:w="21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应收账款周转率</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5.50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5.3</w:t>
            </w:r>
          </w:p>
        </w:tc>
      </w:tr>
      <w:tr>
        <w:trPr>
          <w:trHeight w:val="310" w:hRule="exact"/>
        </w:trPr>
        <w:tc>
          <w:tcPr>
            <w:tcW w:w="21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存货周转率</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5.41</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3.28</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2.28</w:t>
            </w:r>
          </w:p>
        </w:tc>
      </w:tr>
    </w:tbl>
    <w:p>
      <w:pPr>
        <w:pStyle w:val="BodyText"/>
        <w:spacing w:line="257" w:lineRule="exact"/>
        <w:ind w:left="625" w:right="0"/>
        <w:jc w:val="left"/>
      </w:pPr>
      <w:r>
        <w:rPr/>
        <w:t>（</w:t>
      </w:r>
      <w:r>
        <w:rPr>
          <w:rFonts w:ascii="Times New Roman" w:hAnsi="Times New Roman" w:cs="Times New Roman" w:eastAsia="Times New Roman" w:hint="default"/>
        </w:rPr>
        <w:t>1</w:t>
      </w:r>
      <w:r>
        <w:rPr/>
        <w:t>）由于今年完工项目较多，从而形成了项目尾款增加，导致应收账款周转率有所下降；</w:t>
      </w:r>
    </w:p>
    <w:p>
      <w:pPr>
        <w:spacing w:after="0" w:line="257" w:lineRule="exact"/>
        <w:jc w:val="left"/>
        <w:sectPr>
          <w:pgSz w:w="11910" w:h="16840"/>
          <w:pgMar w:header="850" w:footer="979" w:top="1200" w:bottom="1160" w:left="920" w:right="920"/>
        </w:sectPr>
      </w:pPr>
    </w:p>
    <w:p>
      <w:pPr>
        <w:pStyle w:val="BodyText"/>
        <w:spacing w:line="345" w:lineRule="auto" w:before="30"/>
        <w:ind w:left="212" w:right="185" w:firstLine="412"/>
        <w:jc w:val="both"/>
      </w:pPr>
      <w:r>
        <w:rPr/>
        <w:pict>
          <v:group style="position:absolute;margin-left:55.200001pt;margin-top:2.843687pt;width:484.8pt;height:.1pt;mso-position-horizontal-relative:page;mso-position-vertical-relative:paragraph;z-index:-772336" coordorigin="1104,57" coordsize="9696,2">
            <v:shape style="position:absolute;left:1104;top:57;width:9696;height:2" coordorigin="1104,57" coordsize="9696,0" path="m1104,57l10800,57e" filled="false" stroked="true" strokeweight=".72pt" strokecolor="#000000">
              <v:path arrowok="t"/>
            </v:shape>
            <w10:wrap type="none"/>
          </v:group>
        </w:pict>
      </w:r>
      <w:r>
        <w:rPr/>
        <w:t>（</w:t>
      </w:r>
      <w:r>
        <w:rPr>
          <w:rFonts w:ascii="Times New Roman" w:hAnsi="Times New Roman" w:cs="Times New Roman" w:eastAsia="Times New Roman" w:hint="default"/>
        </w:rPr>
        <w:t>2</w:t>
      </w:r>
      <w:r>
        <w:rPr/>
        <w:t>）存货资产主要是公司在报告期末已开工而未完工的系统集成项目所投入的相关硬件产品，每年</w:t>
      </w:r>
      <w:r>
        <w:rPr>
          <w:w w:val="100"/>
        </w:rPr>
        <w:t> </w:t>
      </w:r>
      <w:r>
        <w:rPr>
          <w:spacing w:val="-2"/>
        </w:rPr>
        <w:t>报告期末的存货资产金额与当时已开工而未完工的系统集成项目数量（及规模）有关，有一定的偶然性，</w:t>
      </w:r>
      <w:r>
        <w:rPr>
          <w:spacing w:val="-21"/>
        </w:rPr>
        <w:t> </w:t>
      </w:r>
      <w:r>
        <w:rPr>
          <w:spacing w:val="-21"/>
        </w:rPr>
      </w:r>
      <w:r>
        <w:rPr/>
        <w:t>公司存货周转率有所增长，主要是公司本期在建系统集成项目减少引起。</w:t>
      </w:r>
    </w:p>
    <w:p>
      <w:pPr>
        <w:pStyle w:val="Heading4"/>
        <w:spacing w:line="240" w:lineRule="auto" w:before="43"/>
        <w:ind w:left="635" w:right="0"/>
        <w:jc w:val="left"/>
        <w:rPr>
          <w:b w:val="0"/>
          <w:bCs w:val="0"/>
        </w:rPr>
      </w:pPr>
      <w:r>
        <w:rPr>
          <w:rFonts w:ascii="Times New Roman" w:hAnsi="Times New Roman" w:cs="Times New Roman" w:eastAsia="Times New Roman" w:hint="default"/>
        </w:rPr>
        <w:t>8</w:t>
      </w:r>
      <w:r>
        <w:rPr/>
        <w:t>、研发情况</w:t>
      </w:r>
      <w:r>
        <w:rPr>
          <w:b w:val="0"/>
          <w:bCs w:val="0"/>
        </w:rPr>
      </w:r>
    </w:p>
    <w:p>
      <w:pPr>
        <w:spacing w:line="240" w:lineRule="auto" w:before="11"/>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2027"/>
        <w:gridCol w:w="2186"/>
        <w:gridCol w:w="2755"/>
        <w:gridCol w:w="2755"/>
      </w:tblGrid>
      <w:tr>
        <w:trPr>
          <w:trHeight w:val="344" w:hRule="exact"/>
        </w:trPr>
        <w:tc>
          <w:tcPr>
            <w:tcW w:w="202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8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p>
        </w:tc>
        <w:tc>
          <w:tcPr>
            <w:tcW w:w="275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p>
        </w:tc>
        <w:tc>
          <w:tcPr>
            <w:tcW w:w="275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p>
        </w:tc>
      </w:tr>
      <w:tr>
        <w:trPr>
          <w:trHeight w:val="395" w:hRule="exact"/>
        </w:trPr>
        <w:tc>
          <w:tcPr>
            <w:tcW w:w="20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32"/>
              <w:ind w:left="1" w:right="0"/>
              <w:jc w:val="center"/>
              <w:rPr>
                <w:rFonts w:ascii="宋体" w:hAnsi="宋体" w:cs="宋体" w:eastAsia="宋体" w:hint="default"/>
                <w:sz w:val="21"/>
                <w:szCs w:val="21"/>
              </w:rPr>
            </w:pPr>
            <w:r>
              <w:rPr>
                <w:rFonts w:ascii="宋体" w:hAnsi="宋体" w:cs="宋体" w:eastAsia="宋体" w:hint="default"/>
                <w:sz w:val="21"/>
                <w:szCs w:val="21"/>
              </w:rPr>
              <w:t>研发支出总额</w:t>
            </w:r>
          </w:p>
        </w:tc>
        <w:tc>
          <w:tcPr>
            <w:tcW w:w="2186" w:type="dxa"/>
            <w:tcBorders>
              <w:top w:val="single" w:sz="17" w:space="0" w:color="DADADA"/>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21"/>
                <w:szCs w:val="21"/>
              </w:rPr>
            </w:pPr>
            <w:r>
              <w:rPr>
                <w:rFonts w:ascii="Times New Roman"/>
                <w:spacing w:val="-1"/>
                <w:sz w:val="21"/>
              </w:rPr>
              <w:t>53,485,416.68</w:t>
            </w:r>
          </w:p>
        </w:tc>
        <w:tc>
          <w:tcPr>
            <w:tcW w:w="2755" w:type="dxa"/>
            <w:tcBorders>
              <w:top w:val="single" w:sz="17" w:space="0" w:color="DADADA"/>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21"/>
                <w:szCs w:val="21"/>
              </w:rPr>
            </w:pPr>
            <w:r>
              <w:rPr>
                <w:rFonts w:ascii="Times New Roman"/>
                <w:spacing w:val="-1"/>
                <w:sz w:val="21"/>
              </w:rPr>
              <w:t>50,581,028.88</w:t>
            </w:r>
          </w:p>
        </w:tc>
        <w:tc>
          <w:tcPr>
            <w:tcW w:w="2755" w:type="dxa"/>
            <w:tcBorders>
              <w:top w:val="single" w:sz="17" w:space="0" w:color="DADADA"/>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pacing w:val="-1"/>
                <w:sz w:val="21"/>
              </w:rPr>
              <w:t>54,101,941.95</w:t>
            </w:r>
          </w:p>
        </w:tc>
      </w:tr>
      <w:tr>
        <w:trPr>
          <w:trHeight w:val="379" w:hRule="exact"/>
        </w:trPr>
        <w:tc>
          <w:tcPr>
            <w:tcW w:w="20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1" w:right="0"/>
              <w:jc w:val="center"/>
              <w:rPr>
                <w:rFonts w:ascii="宋体" w:hAnsi="宋体" w:cs="宋体" w:eastAsia="宋体" w:hint="default"/>
                <w:sz w:val="21"/>
                <w:szCs w:val="21"/>
              </w:rPr>
            </w:pPr>
            <w:r>
              <w:rPr>
                <w:rFonts w:ascii="宋体" w:hAnsi="宋体" w:cs="宋体" w:eastAsia="宋体" w:hint="default"/>
                <w:sz w:val="21"/>
                <w:szCs w:val="21"/>
              </w:rPr>
              <w:t>占营业收入比重</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7.42%</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8.29%</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13.31%</w:t>
            </w:r>
          </w:p>
        </w:tc>
      </w:tr>
    </w:tbl>
    <w:p>
      <w:pPr>
        <w:pStyle w:val="BodyText"/>
        <w:spacing w:line="257" w:lineRule="exact"/>
        <w:ind w:left="625" w:right="0"/>
        <w:jc w:val="left"/>
      </w:pPr>
      <w:r>
        <w:rPr/>
        <w:t>（</w:t>
      </w:r>
      <w:r>
        <w:rPr>
          <w:rFonts w:ascii="Times New Roman" w:hAnsi="Times New Roman" w:cs="Times New Roman" w:eastAsia="Times New Roman" w:hint="default"/>
        </w:rPr>
        <w:t>1</w:t>
      </w:r>
      <w:r>
        <w:rPr/>
        <w:t>）公司研发费用主要用于自有软件产品的更新和新产品的研发。</w:t>
      </w:r>
    </w:p>
    <w:p>
      <w:pPr>
        <w:pStyle w:val="BodyText"/>
        <w:spacing w:line="240" w:lineRule="auto" w:before="117"/>
        <w:ind w:left="625"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年资本化金额为</w:t>
      </w:r>
      <w:r>
        <w:rPr>
          <w:rFonts w:ascii="Times New Roman" w:hAnsi="Times New Roman" w:cs="Times New Roman" w:eastAsia="Times New Roman" w:hint="default"/>
        </w:rPr>
        <w:t>2,925</w:t>
      </w:r>
      <w:r>
        <w:rPr/>
        <w:t>万元，</w:t>
      </w:r>
      <w:r>
        <w:rPr>
          <w:rFonts w:ascii="Times New Roman" w:hAnsi="Times New Roman" w:cs="Times New Roman" w:eastAsia="Times New Roman" w:hint="default"/>
        </w:rPr>
        <w:t>2010</w:t>
      </w:r>
      <w:r>
        <w:rPr/>
        <w:t>年资本化金额</w:t>
      </w:r>
      <w:r>
        <w:rPr>
          <w:rFonts w:ascii="Times New Roman" w:hAnsi="Times New Roman" w:cs="Times New Roman" w:eastAsia="Times New Roman" w:hint="default"/>
        </w:rPr>
        <w:t>387.08</w:t>
      </w:r>
      <w:r>
        <w:rPr/>
        <w:t>万元。</w:t>
      </w:r>
    </w:p>
    <w:p>
      <w:pPr>
        <w:spacing w:line="240" w:lineRule="auto" w:before="3"/>
        <w:rPr>
          <w:rFonts w:ascii="宋体" w:hAnsi="宋体" w:cs="宋体" w:eastAsia="宋体" w:hint="default"/>
          <w:sz w:val="30"/>
          <w:szCs w:val="30"/>
        </w:rPr>
      </w:pPr>
    </w:p>
    <w:p>
      <w:pPr>
        <w:pStyle w:val="Heading4"/>
        <w:spacing w:line="240" w:lineRule="auto"/>
        <w:ind w:left="625" w:right="0"/>
        <w:jc w:val="left"/>
        <w:rPr>
          <w:b w:val="0"/>
          <w:bCs w:val="0"/>
        </w:rPr>
      </w:pPr>
      <w:r>
        <w:rPr/>
        <w:t>（三）</w:t>
      </w:r>
      <w:r>
        <w:rPr>
          <w:spacing w:val="-1"/>
        </w:rPr>
        <w:t> </w:t>
      </w:r>
      <w:r>
        <w:rPr/>
        <w:t>对公司未来发展的展望及重大风险情况分析</w:t>
      </w:r>
      <w:r>
        <w:rPr>
          <w:b w:val="0"/>
          <w:bCs w:val="0"/>
        </w:rPr>
      </w:r>
    </w:p>
    <w:p>
      <w:pPr>
        <w:spacing w:line="240" w:lineRule="auto" w:before="0"/>
        <w:rPr>
          <w:rFonts w:ascii="宋体" w:hAnsi="宋体" w:cs="宋体" w:eastAsia="宋体" w:hint="default"/>
          <w:b/>
          <w:bCs/>
          <w:sz w:val="20"/>
          <w:szCs w:val="20"/>
        </w:rPr>
      </w:pPr>
    </w:p>
    <w:p>
      <w:pPr>
        <w:spacing w:line="336" w:lineRule="auto" w:before="154"/>
        <w:ind w:left="62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、公司所处行业的发展趋势及面临的市场竞争格局</w:t>
      </w:r>
      <w:r>
        <w:rPr>
          <w:rFonts w:ascii="宋体" w:hAnsi="宋体" w:cs="宋体" w:eastAsia="宋体" w:hint="default"/>
          <w:b/>
          <w:bCs/>
          <w:w w:val="100"/>
          <w:sz w:val="21"/>
          <w:szCs w:val="21"/>
        </w:rPr>
        <w:t> </w:t>
      </w:r>
      <w:r>
        <w:rPr>
          <w:rFonts w:ascii="宋体" w:hAnsi="宋体" w:cs="宋体" w:eastAsia="宋体" w:hint="default"/>
          <w:spacing w:val="-2"/>
          <w:sz w:val="21"/>
          <w:szCs w:val="21"/>
        </w:rPr>
        <w:t>随着《国务院关于加快发展旅游业的意见》的具体落实，国家</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十二五</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发展规划明确将旅游产业定位</w:t>
      </w:r>
    </w:p>
    <w:p>
      <w:pPr>
        <w:pStyle w:val="BodyText"/>
        <w:spacing w:line="357" w:lineRule="auto" w:before="24"/>
        <w:ind w:left="212" w:right="0"/>
        <w:jc w:val="left"/>
      </w:pPr>
      <w:r>
        <w:rPr>
          <w:spacing w:val="-2"/>
        </w:rPr>
        <w:t>为国民经济的战略性支柱产业，近期七部委联合发布了《关于金融支持旅游业加快发展的若干意见》，酒</w:t>
      </w:r>
      <w:r>
        <w:rPr>
          <w:spacing w:val="-47"/>
        </w:rPr>
        <w:t> </w:t>
      </w:r>
      <w:r>
        <w:rPr>
          <w:spacing w:val="-47"/>
        </w:rPr>
      </w:r>
      <w:r>
        <w:rPr/>
        <w:t>店业做为旅游业的核心产业之一，将迎来高速发展期。</w:t>
      </w:r>
    </w:p>
    <w:p>
      <w:pPr>
        <w:pStyle w:val="BodyText"/>
        <w:spacing w:line="348" w:lineRule="auto" w:before="30"/>
        <w:ind w:left="212" w:right="0" w:firstLine="412"/>
        <w:jc w:val="left"/>
      </w:pPr>
      <w:r>
        <w:rPr>
          <w:spacing w:val="-4"/>
        </w:rPr>
        <w:t>据世界旅游组织预测，到</w:t>
      </w:r>
      <w:r>
        <w:rPr>
          <w:rFonts w:ascii="Times New Roman" w:hAnsi="Times New Roman" w:cs="Times New Roman" w:eastAsia="Times New Roman" w:hint="default"/>
          <w:spacing w:val="-4"/>
        </w:rPr>
        <w:t>2015</w:t>
      </w:r>
      <w:r>
        <w:rPr>
          <w:spacing w:val="-4"/>
        </w:rPr>
        <w:t>年，中国将成为世界上第一大入境旅游接待国和第四大出境旅游客源国。</w:t>
      </w:r>
      <w:r>
        <w:rPr>
          <w:spacing w:val="-3"/>
          <w:w w:val="100"/>
        </w:rPr>
        <w:t> </w:t>
      </w:r>
      <w:r>
        <w:rPr/>
        <w:t>根据我国旅游产业发展规划，到</w:t>
      </w:r>
      <w:r>
        <w:rPr>
          <w:rFonts w:ascii="Times New Roman" w:hAnsi="Times New Roman" w:cs="Times New Roman" w:eastAsia="Times New Roman" w:hint="default"/>
        </w:rPr>
        <w:t>2020</w:t>
      </w:r>
      <w:r>
        <w:rPr/>
        <w:t>年我国旅游总收入将超过</w:t>
      </w:r>
      <w:r>
        <w:rPr>
          <w:rFonts w:ascii="Times New Roman" w:hAnsi="Times New Roman" w:cs="Times New Roman" w:eastAsia="Times New Roman" w:hint="default"/>
        </w:rPr>
        <w:t>3.3</w:t>
      </w:r>
      <w:r>
        <w:rPr/>
        <w:t>亿元，占全国</w:t>
      </w:r>
      <w:r>
        <w:rPr>
          <w:rFonts w:ascii="Times New Roman" w:hAnsi="Times New Roman" w:cs="Times New Roman" w:eastAsia="Times New Roman" w:hint="default"/>
        </w:rPr>
        <w:t>GDP</w:t>
      </w:r>
      <w:r>
        <w:rPr/>
        <w:t>的</w:t>
      </w:r>
      <w:r>
        <w:rPr>
          <w:rFonts w:ascii="Times New Roman" w:hAnsi="Times New Roman" w:cs="Times New Roman" w:eastAsia="Times New Roman" w:hint="default"/>
        </w:rPr>
        <w:t>8%</w:t>
      </w:r>
      <w:r>
        <w:rPr/>
        <w:t>，实现由旅游大</w:t>
      </w:r>
      <w:r>
        <w:rPr>
          <w:spacing w:val="-44"/>
        </w:rPr>
        <w:t> </w:t>
      </w:r>
      <w:r>
        <w:rPr>
          <w:spacing w:val="-44"/>
        </w:rPr>
      </w:r>
      <w:r>
        <w:rPr>
          <w:spacing w:val="-2"/>
        </w:rPr>
        <w:t>国到旅游强国的历史性跨越。旅游产业和相关产品的发展必将带动整个产业的发展，成为经济结构调整中</w:t>
      </w:r>
      <w:r>
        <w:rPr>
          <w:spacing w:val="-44"/>
        </w:rPr>
        <w:t> </w:t>
      </w:r>
      <w:r>
        <w:rPr>
          <w:spacing w:val="-44"/>
        </w:rPr>
      </w:r>
      <w:r>
        <w:rPr>
          <w:spacing w:val="-2"/>
        </w:rPr>
        <w:t>重要的一部分，同时带动饭店的发展。全国开始实施新的饭店星级标准，对饭店制定了更为细致且更为人</w:t>
      </w:r>
      <w:r>
        <w:rPr>
          <w:spacing w:val="-44"/>
        </w:rPr>
        <w:t> </w:t>
      </w:r>
      <w:r>
        <w:rPr>
          <w:spacing w:val="-44"/>
        </w:rPr>
      </w:r>
      <w:r>
        <w:rPr/>
        <w:t>性化的标准，从硬件和软件上更好地规范饭店行业，促进行业的健康发展。</w:t>
      </w:r>
    </w:p>
    <w:p>
      <w:pPr>
        <w:pStyle w:val="BodyText"/>
        <w:spacing w:line="343" w:lineRule="auto" w:before="38"/>
        <w:ind w:left="213" w:right="0" w:firstLine="412"/>
        <w:jc w:val="left"/>
      </w:pPr>
      <w:r>
        <w:rPr/>
        <w:t>中国经济的转型与消费升级将为品牌酒店和连锁酒店提供巨大的市场空间。中国目前星级酒店总共不</w:t>
      </w:r>
      <w:r>
        <w:rPr>
          <w:w w:val="100"/>
        </w:rPr>
        <w:t> </w:t>
      </w:r>
      <w:r>
        <w:rPr>
          <w:spacing w:val="-2"/>
        </w:rPr>
        <w:t>到</w:t>
      </w:r>
      <w:r>
        <w:rPr>
          <w:rFonts w:ascii="Times New Roman" w:hAnsi="Times New Roman" w:cs="Times New Roman" w:eastAsia="Times New Roman" w:hint="default"/>
          <w:spacing w:val="-2"/>
        </w:rPr>
        <w:t>2</w:t>
      </w:r>
      <w:r>
        <w:rPr>
          <w:spacing w:val="-2"/>
        </w:rPr>
        <w:t>万家，客房数不到</w:t>
      </w:r>
      <w:r>
        <w:rPr>
          <w:rFonts w:ascii="Times New Roman" w:hAnsi="Times New Roman" w:cs="Times New Roman" w:eastAsia="Times New Roman" w:hint="default"/>
          <w:spacing w:val="-2"/>
        </w:rPr>
        <w:t>400</w:t>
      </w:r>
      <w:r>
        <w:rPr>
          <w:spacing w:val="-2"/>
        </w:rPr>
        <w:t>万间，但中国仅大中型城市正在营业的</w:t>
      </w:r>
      <w:r>
        <w:rPr>
          <w:rFonts w:ascii="Times New Roman" w:hAnsi="Times New Roman" w:cs="Times New Roman" w:eastAsia="Times New Roman" w:hint="default"/>
          <w:spacing w:val="-2"/>
        </w:rPr>
        <w:t>20</w:t>
      </w:r>
      <w:r>
        <w:rPr>
          <w:spacing w:val="-2"/>
        </w:rPr>
        <w:t>到</w:t>
      </w:r>
      <w:r>
        <w:rPr>
          <w:rFonts w:ascii="Times New Roman" w:hAnsi="Times New Roman" w:cs="Times New Roman" w:eastAsia="Times New Roman" w:hint="default"/>
          <w:spacing w:val="-2"/>
        </w:rPr>
        <w:t>100</w:t>
      </w:r>
      <w:r>
        <w:rPr>
          <w:spacing w:val="-2"/>
        </w:rPr>
        <w:t>间客房的旅馆招待所就有</w:t>
      </w:r>
      <w:r>
        <w:rPr>
          <w:rFonts w:ascii="Times New Roman" w:hAnsi="Times New Roman" w:cs="Times New Roman" w:eastAsia="Times New Roman" w:hint="default"/>
          <w:spacing w:val="-2"/>
        </w:rPr>
        <w:t>30</w:t>
      </w:r>
      <w:r>
        <w:rPr>
          <w:spacing w:val="-2"/>
        </w:rPr>
        <w:t>万家，</w:t>
      </w:r>
      <w:r>
        <w:rPr>
          <w:spacing w:val="-33"/>
        </w:rPr>
        <w:t> </w:t>
      </w:r>
      <w:r>
        <w:rPr>
          <w:spacing w:val="-33"/>
        </w:rPr>
      </w:r>
      <w:r>
        <w:rPr/>
        <w:t>客房将近</w:t>
      </w:r>
      <w:r>
        <w:rPr>
          <w:rFonts w:ascii="Times New Roman" w:hAnsi="Times New Roman" w:cs="Times New Roman" w:eastAsia="Times New Roman" w:hint="default"/>
        </w:rPr>
        <w:t>2000</w:t>
      </w:r>
      <w:r>
        <w:rPr/>
        <w:t>万间，随着国内客人消费水平的提高，必然逐步从招待所向品牌连锁酒店转移，按平均</w:t>
      </w:r>
      <w:r>
        <w:rPr>
          <w:rFonts w:ascii="Times New Roman" w:hAnsi="Times New Roman" w:cs="Times New Roman" w:eastAsia="Times New Roman" w:hint="default"/>
        </w:rPr>
        <w:t>200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间客房算，这相当于仅现在的旅游消费规模就有新增</w:t>
      </w:r>
      <w:r>
        <w:rPr>
          <w:rFonts w:ascii="Times New Roman" w:hAnsi="Times New Roman" w:cs="Times New Roman" w:eastAsia="Times New Roman" w:hint="default"/>
        </w:rPr>
        <w:t>10</w:t>
      </w:r>
      <w:r>
        <w:rPr/>
        <w:t>万家品牌连锁酒店的市场潜力。</w:t>
      </w:r>
    </w:p>
    <w:p>
      <w:pPr>
        <w:pStyle w:val="BodyText"/>
        <w:spacing w:line="345" w:lineRule="auto" w:before="19"/>
        <w:ind w:left="213" w:right="206" w:firstLine="412"/>
        <w:jc w:val="both"/>
      </w:pPr>
      <w:r>
        <w:rPr>
          <w:rFonts w:ascii="Times New Roman" w:hAnsi="Times New Roman" w:cs="Times New Roman" w:eastAsia="Times New Roman" w:hint="default"/>
          <w:spacing w:val="-2"/>
        </w:rPr>
        <w:t>2011</w:t>
      </w:r>
      <w:r>
        <w:rPr>
          <w:spacing w:val="-2"/>
        </w:rPr>
        <w:t>年以来，随着</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新格局的展开，中国这个潜力市场正不断地吸引着国内外的各路投资者进</w:t>
      </w:r>
      <w:r>
        <w:rPr>
          <w:w w:val="100"/>
        </w:rPr>
        <w:t> </w:t>
      </w:r>
      <w:r>
        <w:rPr>
          <w:spacing w:val="-4"/>
        </w:rPr>
        <w:t>驻发展。国际知名酒店集团全力布局中国</w:t>
      </w:r>
      <w:r>
        <w:rPr>
          <w:rFonts w:ascii="Times New Roman" w:hAnsi="Times New Roman" w:cs="Times New Roman" w:eastAsia="Times New Roman" w:hint="default"/>
          <w:spacing w:val="-4"/>
        </w:rPr>
        <w:t>, </w:t>
      </w:r>
      <w:r>
        <w:rPr>
          <w:spacing w:val="-3"/>
        </w:rPr>
        <w:t>甚至已经布局二三线城市，全球规模前</w:t>
      </w:r>
      <w:r>
        <w:rPr>
          <w:rFonts w:ascii="Times New Roman" w:hAnsi="Times New Roman" w:cs="Times New Roman" w:eastAsia="Times New Roman" w:hint="default"/>
          <w:spacing w:val="-3"/>
        </w:rPr>
        <w:t>10</w:t>
      </w:r>
      <w:r>
        <w:rPr>
          <w:spacing w:val="-3"/>
        </w:rPr>
        <w:t>名的酒店集团在未来</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13"/>
        </w:rPr>
        <w:t> </w:t>
      </w:r>
      <w:r>
        <w:rPr>
          <w:spacing w:val="-2"/>
        </w:rPr>
        <w:t>年内计划将其新开酒店数的一半放在中国。经过近</w:t>
      </w:r>
      <w:r>
        <w:rPr>
          <w:rFonts w:ascii="Times New Roman" w:hAnsi="Times New Roman" w:cs="Times New Roman" w:eastAsia="Times New Roman" w:hint="default"/>
          <w:spacing w:val="-2"/>
        </w:rPr>
        <w:t>30</w:t>
      </w:r>
      <w:r>
        <w:rPr>
          <w:spacing w:val="-2"/>
        </w:rPr>
        <w:t>年的发展，国内酒店管理集团的管理水平也已经与国</w:t>
      </w:r>
      <w:r>
        <w:rPr>
          <w:spacing w:val="-45"/>
        </w:rPr>
        <w:t> </w:t>
      </w:r>
      <w:r>
        <w:rPr>
          <w:spacing w:val="-45"/>
        </w:rPr>
      </w:r>
      <w:r>
        <w:rPr>
          <w:spacing w:val="-2"/>
        </w:rPr>
        <w:t>际接轨，随着央企酒店资产的剥离，大型国有酒店管理集团将迎来高速发展的机会。酒店业是中国开放最</w:t>
      </w:r>
      <w:r>
        <w:rPr>
          <w:spacing w:val="-43"/>
        </w:rPr>
        <w:t> </w:t>
      </w:r>
      <w:r>
        <w:rPr>
          <w:spacing w:val="-43"/>
        </w:rPr>
      </w:r>
      <w:r>
        <w:rPr>
          <w:spacing w:val="-3"/>
        </w:rPr>
        <w:t>早的行业，也是竞争最充分的行业</w:t>
      </w:r>
      <w:r>
        <w:rPr>
          <w:rFonts w:ascii="Times New Roman" w:hAnsi="Times New Roman" w:cs="Times New Roman" w:eastAsia="Times New Roman" w:hint="default"/>
          <w:spacing w:val="-3"/>
        </w:rPr>
        <w:t>,</w:t>
      </w:r>
      <w:r>
        <w:rPr>
          <w:spacing w:val="-3"/>
        </w:rPr>
        <w:t>由于酒店业良好的现金流与配套品牌提升效应，中国最具活力的民营资</w:t>
      </w:r>
      <w:r>
        <w:rPr>
          <w:spacing w:val="-50"/>
        </w:rPr>
        <w:t> </w:t>
      </w:r>
      <w:r>
        <w:rPr>
          <w:spacing w:val="-50"/>
        </w:rPr>
      </w:r>
      <w:r>
        <w:rPr>
          <w:spacing w:val="-2"/>
        </w:rPr>
        <w:t>本将成为中国酒店业的主要投资者有持有者，未来还将持续的城镇化进程将给中国民营资本带来基数巨大</w:t>
      </w:r>
      <w:r>
        <w:rPr>
          <w:spacing w:val="-43"/>
        </w:rPr>
        <w:t> </w:t>
      </w:r>
      <w:r>
        <w:rPr>
          <w:spacing w:val="-43"/>
        </w:rPr>
      </w:r>
      <w:r>
        <w:rPr>
          <w:spacing w:val="-2"/>
        </w:rPr>
        <w:t>的投资各类酒店的机会，未来的中国酒店业将迎来外资、国资、民资相互竞争，相互渗透，相互合作，百</w:t>
      </w:r>
      <w:r>
        <w:rPr>
          <w:spacing w:val="-42"/>
        </w:rPr>
        <w:t> </w:t>
      </w:r>
      <w:r>
        <w:rPr>
          <w:spacing w:val="-42"/>
        </w:rPr>
      </w:r>
      <w:r>
        <w:rPr/>
        <w:t>花齐放的春天。</w:t>
      </w:r>
    </w:p>
    <w:p>
      <w:pPr>
        <w:pStyle w:val="BodyText"/>
        <w:spacing w:line="348" w:lineRule="auto" w:before="40"/>
        <w:ind w:left="212" w:right="207" w:firstLine="412"/>
        <w:jc w:val="both"/>
      </w:pPr>
      <w:r>
        <w:rPr>
          <w:spacing w:val="-1"/>
        </w:rPr>
        <w:t>在目前国内已有的星级酒店中，连锁酒店仅占</w:t>
      </w:r>
      <w:r>
        <w:rPr>
          <w:rFonts w:ascii="Times New Roman" w:hAnsi="Times New Roman" w:cs="Times New Roman" w:eastAsia="Times New Roman" w:hint="default"/>
          <w:spacing w:val="-1"/>
        </w:rPr>
        <w:t>10%</w:t>
      </w:r>
      <w:r>
        <w:rPr>
          <w:spacing w:val="-1"/>
        </w:rPr>
        <w:t>左右，国际连锁酒店数量更少，大部分是管理水平</w:t>
      </w:r>
      <w:r>
        <w:rPr>
          <w:w w:val="100"/>
        </w:rPr>
        <w:t> </w:t>
      </w:r>
      <w:r>
        <w:rPr>
          <w:spacing w:val="-2"/>
        </w:rPr>
        <w:t>较低的单体酒店，无论是星级酒店数量还是质量均远远不能满足高速发展的中国旅游业的需求。同时，单</w:t>
      </w:r>
      <w:r>
        <w:rPr>
          <w:spacing w:val="-43"/>
        </w:rPr>
        <w:t> </w:t>
      </w:r>
      <w:r>
        <w:rPr>
          <w:spacing w:val="-43"/>
        </w:rPr>
      </w:r>
      <w:r>
        <w:rPr>
          <w:spacing w:val="-2"/>
        </w:rPr>
        <w:t>个酒店的信息化深度也有待于进一步提升。因此，经营连锁化、运营信息化是我国旅游酒店业提升服务质</w:t>
      </w:r>
    </w:p>
    <w:p>
      <w:pPr>
        <w:spacing w:after="0" w:line="348" w:lineRule="auto"/>
        <w:jc w:val="both"/>
        <w:sectPr>
          <w:pgSz w:w="11910" w:h="16840"/>
          <w:pgMar w:header="850" w:footer="979" w:top="1200" w:bottom="1160" w:left="920" w:right="920"/>
        </w:sectPr>
      </w:pPr>
    </w:p>
    <w:p>
      <w:pPr>
        <w:pStyle w:val="BodyText"/>
        <w:spacing w:line="357" w:lineRule="auto" w:before="30"/>
        <w:ind w:right="146"/>
        <w:jc w:val="both"/>
      </w:pPr>
      <w:r>
        <w:rPr/>
        <w:pict>
          <v:group style="position:absolute;margin-left:55.200001pt;margin-top:2.843687pt;width:484.8pt;height:.1pt;mso-position-horizontal-relative:page;mso-position-vertical-relative:paragraph;z-index:-772312" coordorigin="1104,57" coordsize="9696,2">
            <v:shape style="position:absolute;left:1104;top:57;width:9696;height:2" coordorigin="1104,57" coordsize="9696,0" path="m1104,57l10800,57e" filled="false" stroked="true" strokeweight=".72pt" strokecolor="#000000">
              <v:path arrowok="t"/>
            </v:shape>
            <w10:wrap type="none"/>
          </v:group>
        </w:pict>
      </w:r>
      <w:r>
        <w:rPr>
          <w:spacing w:val="-2"/>
        </w:rPr>
        <w:t>量、提高经营效益的必由之路，也是我国旅游酒店业近几年的发展趋势，经营连锁化、运营信息化必然对</w:t>
      </w:r>
      <w:r>
        <w:rPr>
          <w:spacing w:val="-50"/>
        </w:rPr>
        <w:t> </w:t>
      </w:r>
      <w:r>
        <w:rPr>
          <w:spacing w:val="-50"/>
        </w:rPr>
      </w:r>
      <w:r>
        <w:rPr>
          <w:spacing w:val="-2"/>
        </w:rPr>
        <w:t>酒店的信息管理系统提出更高的技术先进性、运行可靠性、系统扩展性（接口通用性）要求。无疑，本公</w:t>
      </w:r>
      <w:r>
        <w:rPr>
          <w:spacing w:val="-43"/>
        </w:rPr>
        <w:t> </w:t>
      </w:r>
      <w:r>
        <w:rPr>
          <w:spacing w:val="-43"/>
        </w:rPr>
      </w:r>
      <w:r>
        <w:rPr>
          <w:spacing w:val="-2"/>
        </w:rPr>
        <w:t>司产品与服务在上述各方面相比于竞争对手具有显著的优势，行业与市场的发展将有利于本公司各项竞争</w:t>
      </w:r>
      <w:r>
        <w:rPr>
          <w:spacing w:val="-43"/>
        </w:rPr>
        <w:t> </w:t>
      </w:r>
      <w:r>
        <w:rPr>
          <w:spacing w:val="-43"/>
        </w:rPr>
      </w:r>
      <w:r>
        <w:rPr/>
        <w:t>优势的充分发挥。</w:t>
      </w:r>
    </w:p>
    <w:p>
      <w:pPr>
        <w:spacing w:line="336" w:lineRule="auto" w:before="30"/>
        <w:ind w:left="572" w:right="0" w:firstLine="11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、公司近几年发展规划</w:t>
      </w:r>
      <w:r>
        <w:rPr>
          <w:rFonts w:ascii="宋体" w:hAnsi="宋体" w:cs="宋体" w:eastAsia="宋体" w:hint="default"/>
          <w:b/>
          <w:bCs/>
          <w:w w:val="100"/>
          <w:sz w:val="21"/>
          <w:szCs w:val="21"/>
        </w:rPr>
        <w:t> </w:t>
      </w:r>
      <w:r>
        <w:rPr>
          <w:rFonts w:ascii="宋体" w:hAnsi="宋体" w:cs="宋体" w:eastAsia="宋体" w:hint="default"/>
          <w:spacing w:val="-2"/>
          <w:sz w:val="21"/>
          <w:szCs w:val="21"/>
        </w:rPr>
        <w:t>在未来的两年中，公司将继续专注于酒店信息系统业务，加大新一代酒店信息管理系统研发投入，加</w:t>
      </w:r>
    </w:p>
    <w:p>
      <w:pPr>
        <w:pStyle w:val="BodyText"/>
        <w:spacing w:line="357" w:lineRule="auto" w:before="49"/>
        <w:ind w:right="125"/>
        <w:jc w:val="both"/>
      </w:pPr>
      <w:r>
        <w:rPr>
          <w:spacing w:val="-2"/>
        </w:rPr>
        <w:t>速公司内部各子公司产品的研发整合，建设国内一流的与国际接轨的酒店信息管理系统研究与开发中心，</w:t>
      </w:r>
      <w:r>
        <w:rPr>
          <w:spacing w:val="-21"/>
        </w:rPr>
        <w:t> </w:t>
      </w:r>
      <w:r>
        <w:rPr>
          <w:spacing w:val="-21"/>
        </w:rPr>
      </w:r>
      <w:r>
        <w:rPr>
          <w:spacing w:val="-2"/>
        </w:rPr>
        <w:t>通过技术、产品和服务创新进一步巩固公司在酒店信息管理系统的领导地位，使公司在目前快速发展的以</w:t>
      </w:r>
      <w:r>
        <w:rPr>
          <w:spacing w:val="-43"/>
        </w:rPr>
        <w:t> </w:t>
      </w:r>
      <w:r>
        <w:rPr>
          <w:spacing w:val="-43"/>
        </w:rPr>
      </w:r>
      <w:r>
        <w:rPr/>
        <w:t>云计算为代表的新一代系统变迁中能够继续领导中国酒店信息系统的发展。</w:t>
      </w:r>
    </w:p>
    <w:p>
      <w:pPr>
        <w:pStyle w:val="BodyText"/>
        <w:spacing w:line="357" w:lineRule="auto" w:before="30"/>
        <w:ind w:right="146" w:firstLine="420"/>
        <w:jc w:val="both"/>
      </w:pPr>
      <w:r>
        <w:rPr>
          <w:spacing w:val="-2"/>
        </w:rPr>
        <w:t>基于公司在酒店信息管理系统中强大的市场地位，公司将积极发展能够与酒店信息管理系统紧密相关</w:t>
      </w:r>
      <w:r>
        <w:rPr>
          <w:w w:val="100"/>
        </w:rPr>
        <w:t> </w:t>
      </w:r>
      <w:r>
        <w:rPr>
          <w:spacing w:val="-2"/>
        </w:rPr>
        <w:t>的或有共同的管理模式和经营特点的其它业务，使得公司的核心竞争力和控制力能够得到适当的延伸并产</w:t>
      </w:r>
      <w:r>
        <w:rPr>
          <w:spacing w:val="-43"/>
        </w:rPr>
        <w:t> </w:t>
      </w:r>
      <w:r>
        <w:rPr>
          <w:spacing w:val="-43"/>
        </w:rPr>
      </w:r>
      <w:r>
        <w:rPr>
          <w:spacing w:val="-2"/>
        </w:rPr>
        <w:t>生一定的协同效应。公司将继续坚定不移地按计划推进畅联业务，使之成为中国最主要的酒店在线分销处</w:t>
      </w:r>
      <w:r>
        <w:rPr>
          <w:spacing w:val="-42"/>
        </w:rPr>
        <w:t> </w:t>
      </w:r>
      <w:r>
        <w:rPr>
          <w:spacing w:val="-42"/>
        </w:rPr>
      </w:r>
      <w:r>
        <w:rPr/>
        <w:t>理平台。</w:t>
      </w:r>
    </w:p>
    <w:p>
      <w:pPr>
        <w:pStyle w:val="Heading4"/>
        <w:spacing w:line="240" w:lineRule="auto" w:before="30"/>
        <w:ind w:right="3480"/>
        <w:jc w:val="left"/>
        <w:rPr>
          <w:b w:val="0"/>
          <w:bCs w:val="0"/>
        </w:rPr>
      </w:pPr>
      <w:r>
        <w:rPr>
          <w:rFonts w:ascii="Times New Roman" w:hAnsi="Times New Roman" w:cs="Times New Roman" w:eastAsia="Times New Roman" w:hint="default"/>
        </w:rPr>
        <w:t>3</w:t>
      </w:r>
      <w:r>
        <w:rPr/>
        <w:t>、公司新年度经营计划</w:t>
      </w:r>
      <w:r>
        <w:rPr>
          <w:b w:val="0"/>
          <w:bCs w:val="0"/>
        </w:rPr>
      </w:r>
    </w:p>
    <w:p>
      <w:pPr>
        <w:pStyle w:val="BodyText"/>
        <w:spacing w:line="350" w:lineRule="auto" w:before="117"/>
        <w:ind w:right="146" w:firstLine="420"/>
        <w:jc w:val="both"/>
      </w:pPr>
      <w:r>
        <w:rPr>
          <w:rFonts w:ascii="Times New Roman" w:hAnsi="Times New Roman" w:cs="Times New Roman" w:eastAsia="Times New Roman" w:hint="default"/>
          <w:spacing w:val="-2"/>
        </w:rPr>
        <w:t>2012</w:t>
      </w:r>
      <w:r>
        <w:rPr>
          <w:spacing w:val="-2"/>
        </w:rPr>
        <w:t>年，公司将着力完善内部管理与控制，进一步保持传统酒店业务稳定的发展态势，继续加大基于</w:t>
      </w:r>
      <w:r>
        <w:rPr>
          <w:spacing w:val="-3"/>
          <w:w w:val="100"/>
        </w:rPr>
        <w:t> </w:t>
      </w:r>
      <w:r>
        <w:rPr>
          <w:spacing w:val="2"/>
        </w:rPr>
        <w:t>云计算的新一代酒店信息管理系统研发投入，使公司的产品和服务通过统一的开发平台从高端向低端延</w:t>
      </w:r>
      <w:r>
        <w:rPr>
          <w:spacing w:val="-28"/>
        </w:rPr>
        <w:t> </w:t>
      </w:r>
      <w:r>
        <w:rPr>
          <w:spacing w:val="-28"/>
        </w:rPr>
      </w:r>
      <w:r>
        <w:rPr>
          <w:spacing w:val="-2"/>
        </w:rPr>
        <w:t>伸，在网络化、平台化和标准化的前提下，使广大的本地中低端酒店能够使用石基信息提供的与国际酒店</w:t>
      </w:r>
      <w:r>
        <w:rPr>
          <w:spacing w:val="-45"/>
        </w:rPr>
        <w:t> </w:t>
      </w:r>
      <w:r>
        <w:rPr>
          <w:spacing w:val="-45"/>
        </w:rPr>
      </w:r>
      <w:r>
        <w:rPr>
          <w:spacing w:val="-2"/>
        </w:rPr>
        <w:t>集团兼容的酒店信息管理系统与服务；继续扩大社会餐饮软件影响力，促进餐饮信息管理系统行业的整合</w:t>
      </w:r>
      <w:r>
        <w:rPr>
          <w:spacing w:val="-43"/>
        </w:rPr>
        <w:t> </w:t>
      </w:r>
      <w:r>
        <w:rPr>
          <w:spacing w:val="-43"/>
        </w:rPr>
      </w:r>
      <w:r>
        <w:rPr>
          <w:spacing w:val="-6"/>
        </w:rPr>
        <w:t>进程；持续大力推进国际大型分销渠道与畅联的连接，提高客户的沟通效率，提升客户的满意度；加强</w:t>
      </w:r>
      <w:r>
        <w:rPr>
          <w:rFonts w:ascii="Times New Roman" w:hAnsi="Times New Roman" w:cs="Times New Roman" w:eastAsia="Times New Roman" w:hint="default"/>
          <w:spacing w:val="-6"/>
        </w:rPr>
        <w:t>PGS</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2"/>
        </w:rPr>
        <w:t>业务与南京银石业务的协同；继续优化产品和收入结构，再次实现公司各项业务的良好发展和经营效益的</w:t>
      </w:r>
      <w:r>
        <w:rPr>
          <w:spacing w:val="-43"/>
        </w:rPr>
        <w:t> </w:t>
      </w:r>
      <w:r>
        <w:rPr>
          <w:spacing w:val="-43"/>
        </w:rPr>
      </w:r>
      <w:r>
        <w:rPr/>
        <w:t>稳步提升。</w:t>
      </w:r>
    </w:p>
    <w:p>
      <w:pPr>
        <w:spacing w:line="338" w:lineRule="auto" w:before="36"/>
        <w:ind w:left="565" w:right="348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、年度重大投资计划</w:t>
      </w:r>
      <w:r>
        <w:rPr>
          <w:rFonts w:ascii="宋体" w:hAnsi="宋体" w:cs="宋体" w:eastAsia="宋体" w:hint="default"/>
          <w:b/>
          <w:bCs/>
          <w:w w:val="100"/>
          <w:sz w:val="21"/>
          <w:szCs w:val="21"/>
        </w:rPr>
        <w:t> </w:t>
      </w:r>
      <w:r>
        <w:rPr>
          <w:rFonts w:ascii="宋体" w:hAnsi="宋体" w:cs="宋体" w:eastAsia="宋体" w:hint="default"/>
          <w:spacing w:val="-2"/>
          <w:sz w:val="21"/>
          <w:szCs w:val="21"/>
        </w:rPr>
        <w:t>截止</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日，公司未安排重大投资计划。</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、资金需求及使用计划</w:t>
      </w:r>
      <w:r>
        <w:rPr>
          <w:rFonts w:ascii="宋体" w:hAnsi="宋体" w:cs="宋体" w:eastAsia="宋体" w:hint="default"/>
          <w:sz w:val="21"/>
          <w:szCs w:val="21"/>
        </w:rPr>
      </w:r>
    </w:p>
    <w:p>
      <w:pPr>
        <w:pStyle w:val="BodyText"/>
        <w:spacing w:line="355" w:lineRule="auto" w:before="22"/>
        <w:ind w:right="147" w:firstLine="420"/>
        <w:jc w:val="both"/>
      </w:pPr>
      <w:r>
        <w:rPr>
          <w:spacing w:val="-2"/>
        </w:rPr>
        <w:t>目前公司没有明确的资金使用计划，但未来将结合业务发展规划，根据业务发展的实际情况，合理筹</w:t>
      </w:r>
      <w:r>
        <w:rPr>
          <w:w w:val="100"/>
        </w:rPr>
        <w:t> </w:t>
      </w:r>
      <w:r>
        <w:rPr/>
        <w:t>集、安排和使用资金。</w:t>
      </w:r>
    </w:p>
    <w:p>
      <w:pPr>
        <w:spacing w:line="336" w:lineRule="auto" w:before="34"/>
        <w:ind w:left="572"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、公司未来发展可能面临的风险因素</w:t>
      </w:r>
      <w:r>
        <w:rPr>
          <w:rFonts w:ascii="宋体" w:hAnsi="宋体" w:cs="宋体" w:eastAsia="宋体" w:hint="default"/>
          <w:b/>
          <w:bCs/>
          <w:w w:val="100"/>
          <w:sz w:val="21"/>
          <w:szCs w:val="21"/>
        </w:rPr>
        <w:t> </w:t>
      </w:r>
      <w:r>
        <w:rPr>
          <w:rFonts w:ascii="宋体" w:hAnsi="宋体" w:cs="宋体" w:eastAsia="宋体" w:hint="default"/>
          <w:spacing w:val="-2"/>
          <w:sz w:val="21"/>
          <w:szCs w:val="21"/>
        </w:rPr>
        <w:t>酒店行业的发展有其自身的客观规律，也存在诸多风险因素。一旦我国酒店行业的发展整体放缓，或</w:t>
      </w:r>
    </w:p>
    <w:p>
      <w:pPr>
        <w:pStyle w:val="BodyText"/>
        <w:spacing w:line="355" w:lineRule="auto" w:before="49"/>
        <w:ind w:right="146"/>
        <w:jc w:val="both"/>
      </w:pPr>
      <w:r>
        <w:rPr>
          <w:spacing w:val="-2"/>
        </w:rPr>
        <w:t>者由于某些特殊性事件，如出现大规模流行性疾病等因素，造成酒店行业在一定时期的持续低迷，将会对</w:t>
      </w:r>
      <w:r>
        <w:rPr>
          <w:spacing w:val="-43"/>
        </w:rPr>
        <w:t> </w:t>
      </w:r>
      <w:r>
        <w:rPr>
          <w:spacing w:val="-43"/>
        </w:rPr>
      </w:r>
      <w:r>
        <w:rPr/>
        <w:t>本公司的业务经营产生较大的不利影响。</w:t>
      </w:r>
    </w:p>
    <w:p>
      <w:pPr>
        <w:pStyle w:val="BodyText"/>
        <w:spacing w:line="338" w:lineRule="auto" w:before="32"/>
        <w:ind w:left="572" w:right="0" w:firstLine="2"/>
        <w:jc w:val="left"/>
      </w:pPr>
      <w:r>
        <w:rPr>
          <w:rFonts w:ascii="Times New Roman" w:hAnsi="Times New Roman" w:cs="Times New Roman" w:eastAsia="Times New Roman" w:hint="default"/>
          <w:b/>
          <w:bCs/>
        </w:rPr>
        <w:t>7</w:t>
      </w:r>
      <w:r>
        <w:rPr>
          <w:rFonts w:ascii="宋体" w:hAnsi="宋体" w:cs="宋体" w:eastAsia="宋体" w:hint="default"/>
          <w:b/>
          <w:bCs/>
        </w:rPr>
        <w:t>、政策法规变化</w:t>
      </w:r>
      <w:r>
        <w:rPr>
          <w:rFonts w:ascii="宋体" w:hAnsi="宋体" w:cs="宋体" w:eastAsia="宋体" w:hint="default"/>
          <w:b/>
          <w:bCs/>
          <w:w w:val="100"/>
        </w:rPr>
        <w:t> </w:t>
      </w:r>
      <w:r>
        <w:rPr>
          <w:spacing w:val="-2"/>
        </w:rPr>
        <w:t>随着《国务院关于加快发展旅游业的意见》的具体落实，国家</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发展规划明确将旅游产业定位</w:t>
      </w:r>
    </w:p>
    <w:p>
      <w:pPr>
        <w:pStyle w:val="BodyText"/>
        <w:spacing w:line="345" w:lineRule="auto" w:before="22"/>
        <w:ind w:right="147"/>
        <w:jc w:val="both"/>
      </w:pPr>
      <w:r>
        <w:rPr>
          <w:spacing w:val="-2"/>
        </w:rPr>
        <w:t>为国民经济的战略性支柱产业，近期七部委联合发布了《关于金融支持旅游业加快发展的若干意见》。随</w:t>
      </w:r>
      <w:r>
        <w:rPr>
          <w:spacing w:val="-48"/>
        </w:rPr>
        <w:t> </w:t>
      </w:r>
      <w:r>
        <w:rPr>
          <w:spacing w:val="-48"/>
        </w:rPr>
      </w:r>
      <w:r>
        <w:rPr>
          <w:spacing w:val="-2"/>
        </w:rPr>
        <w:t>着我国居民消费升级、旅游消费大众化、多元化时代的到来，</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时期，我国旅游业处于高速增长的</w:t>
      </w:r>
      <w:r>
        <w:rPr>
          <w:spacing w:val="-18"/>
        </w:rPr>
        <w:t> </w:t>
      </w:r>
      <w:r>
        <w:rPr>
          <w:spacing w:val="-18"/>
        </w:rPr>
      </w:r>
      <w:r>
        <w:rPr/>
        <w:t>新阶段，国内旅游将成为产业发展的基础。</w:t>
      </w:r>
    </w:p>
    <w:p>
      <w:pPr>
        <w:spacing w:after="0" w:line="345" w:lineRule="auto"/>
        <w:jc w:val="both"/>
        <w:sectPr>
          <w:footerReference w:type="default" r:id="rId18"/>
          <w:pgSz w:w="11910" w:h="16840"/>
          <w:pgMar w:footer="979" w:header="850" w:top="1200" w:bottom="1160" w:left="980" w:right="980"/>
          <w:pgNumType w:start="44"/>
        </w:sectPr>
      </w:pPr>
    </w:p>
    <w:p>
      <w:pPr>
        <w:pStyle w:val="BodyText"/>
        <w:spacing w:line="336" w:lineRule="auto" w:before="30"/>
        <w:ind w:left="572" w:right="0" w:firstLine="2"/>
        <w:jc w:val="left"/>
      </w:pPr>
      <w:r>
        <w:rPr/>
        <w:pict>
          <v:group style="position:absolute;margin-left:55.200001pt;margin-top:2.843687pt;width:484.8pt;height:.1pt;mso-position-horizontal-relative:page;mso-position-vertical-relative:paragraph;z-index:-772288" coordorigin="1104,57" coordsize="9696,2">
            <v:shape style="position:absolute;left:1104;top:57;width:9696;height:2" coordorigin="1104,57" coordsize="9696,0" path="m1104,57l10800,57e" filled="false" stroked="true" strokeweight=".72pt" strokecolor="#000000">
              <v:path arrowok="t"/>
            </v:shape>
            <w10:wrap type="none"/>
          </v:group>
        </w:pict>
      </w:r>
      <w:r>
        <w:rPr>
          <w:rFonts w:ascii="Times New Roman" w:hAnsi="Times New Roman" w:cs="Times New Roman" w:eastAsia="Times New Roman" w:hint="default"/>
          <w:b/>
          <w:bCs/>
        </w:rPr>
        <w:t>8</w:t>
      </w:r>
      <w:r>
        <w:rPr>
          <w:rFonts w:ascii="宋体" w:hAnsi="宋体" w:cs="宋体" w:eastAsia="宋体" w:hint="default"/>
          <w:b/>
          <w:bCs/>
        </w:rPr>
        <w:t>、并购重组进展</w:t>
      </w:r>
      <w:r>
        <w:rPr>
          <w:rFonts w:ascii="宋体" w:hAnsi="宋体" w:cs="宋体" w:eastAsia="宋体" w:hint="default"/>
          <w:b/>
          <w:bCs/>
          <w:w w:val="100"/>
        </w:rPr>
        <w:t> </w:t>
      </w:r>
      <w:r>
        <w:rPr>
          <w:spacing w:val="-2"/>
        </w:rPr>
        <w:t>报告期内，关于公司与上海环迅电子商务有限公司（以下简称</w:t>
      </w:r>
      <w:r>
        <w:rPr>
          <w:rFonts w:ascii="Times New Roman" w:hAnsi="Times New Roman" w:cs="Times New Roman" w:eastAsia="Times New Roman" w:hint="default"/>
          <w:spacing w:val="-2"/>
        </w:rPr>
        <w:t>“</w:t>
      </w:r>
      <w:r>
        <w:rPr>
          <w:spacing w:val="-2"/>
        </w:rPr>
        <w:t>上海环迅</w:t>
      </w:r>
      <w:r>
        <w:rPr>
          <w:rFonts w:ascii="Times New Roman" w:hAnsi="Times New Roman" w:cs="Times New Roman" w:eastAsia="Times New Roman" w:hint="default"/>
          <w:spacing w:val="-2"/>
        </w:rPr>
        <w:t>”</w:t>
      </w:r>
      <w:r>
        <w:rPr>
          <w:spacing w:val="-2"/>
        </w:rPr>
        <w:t>）收购其所持有的迅付信息</w:t>
      </w:r>
    </w:p>
    <w:p>
      <w:pPr>
        <w:pStyle w:val="BodyText"/>
        <w:spacing w:line="343" w:lineRule="auto" w:before="24"/>
        <w:ind w:right="147"/>
        <w:jc w:val="both"/>
      </w:pPr>
      <w:r>
        <w:rPr>
          <w:spacing w:val="-4"/>
        </w:rPr>
        <w:t>科技有限公司（以下简称</w:t>
      </w:r>
      <w:r>
        <w:rPr>
          <w:rFonts w:ascii="Times New Roman" w:hAnsi="Times New Roman" w:cs="Times New Roman" w:eastAsia="Times New Roman" w:hint="default"/>
          <w:spacing w:val="-4"/>
        </w:rPr>
        <w:t>“</w:t>
      </w:r>
      <w:r>
        <w:rPr>
          <w:spacing w:val="-4"/>
        </w:rPr>
        <w:t>上海迅付</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15</w:t>
      </w:r>
      <w:r>
        <w:rPr>
          <w:spacing w:val="-4"/>
        </w:rPr>
        <w:t>％的股权事宜，经公司总裁办公会决议，</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18</w:t>
      </w:r>
      <w:r>
        <w:rPr>
          <w:spacing w:val="-4"/>
        </w:rPr>
        <w:t>日，公司与</w:t>
      </w:r>
      <w:r>
        <w:rPr>
          <w:spacing w:val="-22"/>
        </w:rPr>
        <w:t> </w:t>
      </w:r>
      <w:r>
        <w:rPr>
          <w:spacing w:val="-22"/>
        </w:rPr>
      </w:r>
      <w:r>
        <w:rPr>
          <w:spacing w:val="-6"/>
          <w:w w:val="100"/>
        </w:rPr>
        <w:t>全资子公司北海石基信息技术有限公司（以下简称</w:t>
      </w:r>
      <w:r>
        <w:rPr>
          <w:rFonts w:ascii="Times New Roman" w:hAnsi="Times New Roman" w:cs="Times New Roman" w:eastAsia="Times New Roman" w:hint="default"/>
          <w:spacing w:val="-6"/>
          <w:w w:val="100"/>
        </w:rPr>
        <w:t>“</w:t>
      </w:r>
      <w:r>
        <w:rPr>
          <w:spacing w:val="-6"/>
          <w:w w:val="100"/>
        </w:rPr>
        <w:t>北海石基</w:t>
      </w:r>
      <w:r>
        <w:rPr>
          <w:rFonts w:ascii="Times New Roman" w:hAnsi="Times New Roman" w:cs="Times New Roman" w:eastAsia="Times New Roman" w:hint="default"/>
          <w:spacing w:val="-6"/>
          <w:w w:val="100"/>
        </w:rPr>
        <w:t>”</w:t>
      </w:r>
      <w:r>
        <w:rPr>
          <w:spacing w:val="-6"/>
          <w:w w:val="100"/>
        </w:rPr>
        <w:t>）、上海环迅电子商务有限公司签署了《迅付</w:t>
      </w:r>
      <w:r>
        <w:rPr>
          <w:spacing w:val="-95"/>
          <w:w w:val="100"/>
        </w:rPr>
        <w:t> </w:t>
      </w:r>
      <w:r>
        <w:rPr>
          <w:spacing w:val="-95"/>
          <w:w w:val="100"/>
        </w:rPr>
      </w:r>
      <w:r>
        <w:rPr>
          <w:spacing w:val="-2"/>
          <w:w w:val="100"/>
        </w:rPr>
        <w:t>信息科技有限公司股权转让三方协议》，将公司持有的迅付信息科技有限公司</w:t>
      </w:r>
      <w:r>
        <w:rPr>
          <w:rFonts w:ascii="Times New Roman" w:hAnsi="Times New Roman" w:cs="Times New Roman" w:eastAsia="Times New Roman" w:hint="default"/>
          <w:spacing w:val="-2"/>
          <w:w w:val="100"/>
        </w:rPr>
        <w:t>15%</w:t>
      </w:r>
      <w:r>
        <w:rPr>
          <w:spacing w:val="-2"/>
          <w:w w:val="100"/>
        </w:rPr>
        <w:t>的股权以</w:t>
      </w:r>
      <w:r>
        <w:rPr>
          <w:rFonts w:ascii="Times New Roman" w:hAnsi="Times New Roman" w:cs="Times New Roman" w:eastAsia="Times New Roman" w:hint="default"/>
          <w:spacing w:val="-2"/>
          <w:w w:val="100"/>
        </w:rPr>
        <w:t>1,575</w:t>
      </w:r>
      <w:r>
        <w:rPr>
          <w:spacing w:val="-2"/>
          <w:w w:val="100"/>
        </w:rPr>
        <w:t>万元转让</w:t>
      </w:r>
      <w:r>
        <w:rPr>
          <w:w w:val="100"/>
        </w:rPr>
        <w:t> </w:t>
      </w:r>
      <w:r>
        <w:rPr>
          <w:spacing w:val="-2"/>
        </w:rPr>
        <w:t>北海石基，公司本次转让股权不构成关联交易和重大重组，截止本报告出具日，相关工商变更登记已经完</w:t>
      </w:r>
      <w:r>
        <w:rPr>
          <w:spacing w:val="-43"/>
        </w:rPr>
        <w:t> </w:t>
      </w:r>
      <w:r>
        <w:rPr>
          <w:spacing w:val="-43"/>
        </w:rPr>
      </w:r>
      <w:r>
        <w:rPr/>
        <w:t>成。</w:t>
      </w:r>
    </w:p>
    <w:p>
      <w:pPr>
        <w:pStyle w:val="BodyText"/>
        <w:spacing w:line="338" w:lineRule="auto" w:before="43"/>
        <w:ind w:right="148" w:firstLine="420"/>
        <w:jc w:val="both"/>
      </w:pPr>
      <w:r>
        <w:rPr>
          <w:spacing w:val="-3"/>
        </w:rPr>
        <w:t>报告期内，经公司第四届董事会</w:t>
      </w:r>
      <w:r>
        <w:rPr>
          <w:rFonts w:ascii="Times New Roman" w:hAnsi="Times New Roman" w:cs="Times New Roman" w:eastAsia="Times New Roman" w:hint="default"/>
          <w:spacing w:val="-3"/>
        </w:rPr>
        <w:t>2011</w:t>
      </w:r>
      <w:r>
        <w:rPr>
          <w:spacing w:val="-3"/>
        </w:rPr>
        <w:t>年第三次临时会议审议通过，以协议价</w:t>
      </w:r>
      <w:r>
        <w:rPr>
          <w:rFonts w:ascii="Times New Roman" w:hAnsi="Times New Roman" w:cs="Times New Roman" w:eastAsia="Times New Roman" w:hint="default"/>
          <w:spacing w:val="-3"/>
        </w:rPr>
        <w:t>3,000</w:t>
      </w:r>
      <w:r>
        <w:rPr>
          <w:spacing w:val="-3"/>
        </w:rPr>
        <w:t>万元收购杨铭魁先生</w:t>
      </w:r>
      <w:r>
        <w:rPr>
          <w:w w:val="100"/>
        </w:rPr>
        <w:t> </w:t>
      </w:r>
      <w:r>
        <w:rPr>
          <w:spacing w:val="-3"/>
        </w:rPr>
        <w:t>持有的杭州西软科技有限公司</w:t>
      </w:r>
      <w:r>
        <w:rPr>
          <w:rFonts w:ascii="Times New Roman" w:hAnsi="Times New Roman" w:cs="Times New Roman" w:eastAsia="Times New Roman" w:hint="default"/>
          <w:spacing w:val="-3"/>
        </w:rPr>
        <w:t>18%</w:t>
      </w:r>
      <w:r>
        <w:rPr>
          <w:spacing w:val="-3"/>
        </w:rPr>
        <w:t>的股权。本次收购完成后，本公司持有西软科技</w:t>
      </w:r>
      <w:r>
        <w:rPr>
          <w:rFonts w:ascii="Times New Roman" w:hAnsi="Times New Roman" w:cs="Times New Roman" w:eastAsia="Times New Roman" w:hint="default"/>
          <w:spacing w:val="-3"/>
        </w:rPr>
        <w:t>100%</w:t>
      </w:r>
      <w:r>
        <w:rPr>
          <w:spacing w:val="-3"/>
        </w:rPr>
        <w:t>的股权，杨铭魁先</w:t>
      </w:r>
      <w:r>
        <w:rPr>
          <w:spacing w:val="-23"/>
        </w:rPr>
        <w:t> </w:t>
      </w:r>
      <w:r>
        <w:rPr>
          <w:spacing w:val="-23"/>
        </w:rPr>
      </w:r>
      <w:r>
        <w:rPr/>
        <w:t>生不再持有西软科技的股权。本次收购使用的是公司自有资金，不构成关联交易和重大重组。</w:t>
      </w:r>
    </w:p>
    <w:p>
      <w:pPr>
        <w:pStyle w:val="BodyText"/>
        <w:spacing w:line="336" w:lineRule="auto" w:before="47"/>
        <w:ind w:right="147" w:firstLine="419"/>
        <w:jc w:val="both"/>
      </w:pPr>
      <w:r>
        <w:rPr>
          <w:spacing w:val="-3"/>
        </w:rPr>
        <w:t>报告期内，经公司第四届董事会</w:t>
      </w:r>
      <w:r>
        <w:rPr>
          <w:rFonts w:ascii="Times New Roman" w:hAnsi="Times New Roman" w:cs="Times New Roman" w:eastAsia="Times New Roman" w:hint="default"/>
          <w:spacing w:val="-3"/>
        </w:rPr>
        <w:t>2011</w:t>
      </w:r>
      <w:r>
        <w:rPr>
          <w:spacing w:val="-3"/>
        </w:rPr>
        <w:t>年第三次会议审议通过，以协议价</w:t>
      </w:r>
      <w:r>
        <w:rPr>
          <w:rFonts w:ascii="Times New Roman" w:hAnsi="Times New Roman" w:cs="Times New Roman" w:eastAsia="Times New Roman" w:hint="default"/>
          <w:spacing w:val="-3"/>
        </w:rPr>
        <w:t>3,066</w:t>
      </w:r>
      <w:r>
        <w:rPr>
          <w:spacing w:val="-3"/>
        </w:rPr>
        <w:t>万元收购了上海正品贵德</w:t>
      </w:r>
      <w:r>
        <w:rPr>
          <w:w w:val="100"/>
        </w:rPr>
        <w:t> </w:t>
      </w:r>
      <w:r>
        <w:rPr/>
        <w:t>软件有限公司</w:t>
      </w:r>
      <w:r>
        <w:rPr>
          <w:rFonts w:ascii="Times New Roman" w:hAnsi="Times New Roman" w:cs="Times New Roman" w:eastAsia="Times New Roman" w:hint="default"/>
        </w:rPr>
        <w:t>70%</w:t>
      </w:r>
      <w:r>
        <w:rPr/>
        <w:t>的股权，本次收购使用的是公司自有资金，不构成关联交易和重大重组。</w:t>
      </w:r>
    </w:p>
    <w:p>
      <w:pPr>
        <w:pStyle w:val="BodyText"/>
        <w:spacing w:line="240" w:lineRule="auto" w:before="26"/>
        <w:ind w:left="572" w:right="3480"/>
        <w:jc w:val="left"/>
      </w:pPr>
      <w:r>
        <w:rPr/>
        <w:t>报告期内，公司未发生其他再融资、重大资产重组等事项。</w:t>
      </w:r>
    </w:p>
    <w:p>
      <w:pPr>
        <w:spacing w:line="336" w:lineRule="auto" w:before="133"/>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、董监高和重要股东变动</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报告期内，公司聘任王敏敏女士担任公司副总裁，聘任罗芳女生为公司副总裁兼董事会秘书。详细内</w:t>
      </w:r>
      <w:r>
        <w:rPr>
          <w:rFonts w:ascii="宋体" w:hAnsi="宋体" w:cs="宋体" w:eastAsia="宋体" w:hint="default"/>
          <w:sz w:val="21"/>
          <w:szCs w:val="21"/>
        </w:rPr>
      </w:r>
    </w:p>
    <w:p>
      <w:pPr>
        <w:pStyle w:val="BodyText"/>
        <w:spacing w:line="240" w:lineRule="auto" w:before="49"/>
        <w:ind w:right="0"/>
        <w:jc w:val="both"/>
      </w:pPr>
      <w:r>
        <w:rPr/>
        <w:t>容见第四节：公司董事、监事和高级人员变动情况介绍。</w:t>
      </w:r>
    </w:p>
    <w:p>
      <w:pPr>
        <w:spacing w:line="338" w:lineRule="auto" w:before="133"/>
        <w:ind w:left="565" w:right="4849" w:firstLine="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、控制权变动</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报告期内，公司控制权未发生改变。</w:t>
      </w:r>
    </w:p>
    <w:p>
      <w:pPr>
        <w:spacing w:line="240" w:lineRule="auto" w:before="11"/>
        <w:rPr>
          <w:rFonts w:ascii="宋体" w:hAnsi="宋体" w:cs="宋体" w:eastAsia="宋体" w:hint="default"/>
          <w:sz w:val="24"/>
          <w:szCs w:val="24"/>
        </w:rPr>
      </w:pPr>
    </w:p>
    <w:p>
      <w:pPr>
        <w:pStyle w:val="Heading4"/>
        <w:spacing w:line="240" w:lineRule="auto"/>
        <w:ind w:right="3480"/>
        <w:jc w:val="left"/>
        <w:rPr>
          <w:b w:val="0"/>
          <w:bCs w:val="0"/>
        </w:rPr>
      </w:pPr>
      <w:r>
        <w:rPr/>
        <w:t>四、</w:t>
      </w:r>
      <w:r>
        <w:rPr>
          <w:spacing w:val="-1"/>
        </w:rPr>
        <w:t> </w:t>
      </w:r>
      <w:r>
        <w:rPr/>
        <w:t>报告期内投资情况</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52"/>
        <w:ind w:left="572" w:right="3480"/>
        <w:jc w:val="left"/>
        <w:rPr>
          <w:b w:val="0"/>
          <w:bCs w:val="0"/>
        </w:rPr>
      </w:pPr>
      <w:r>
        <w:rPr/>
        <w:t>（一）募集资金的具体使用情况</w:t>
      </w:r>
      <w:r>
        <w:rPr>
          <w:b w:val="0"/>
          <w:bCs w:val="0"/>
        </w:rPr>
      </w:r>
    </w:p>
    <w:p>
      <w:pPr>
        <w:spacing w:line="240" w:lineRule="auto" w:before="5"/>
        <w:rPr>
          <w:rFonts w:ascii="宋体" w:hAnsi="宋体" w:cs="宋体" w:eastAsia="宋体" w:hint="default"/>
          <w:b/>
          <w:bCs/>
          <w:sz w:val="21"/>
          <w:szCs w:val="21"/>
        </w:rPr>
      </w:pPr>
    </w:p>
    <w:p>
      <w:pPr>
        <w:pStyle w:val="Heading4"/>
        <w:spacing w:line="240" w:lineRule="auto"/>
        <w:ind w:left="572" w:right="3480"/>
        <w:jc w:val="left"/>
        <w:rPr>
          <w:b w:val="0"/>
          <w:bCs w:val="0"/>
        </w:rPr>
      </w:pPr>
      <w:r>
        <w:rPr>
          <w:rFonts w:ascii="Times New Roman" w:hAnsi="Times New Roman" w:cs="Times New Roman" w:eastAsia="Times New Roman" w:hint="default"/>
        </w:rPr>
        <w:t>1</w:t>
      </w:r>
      <w:r>
        <w:rPr/>
        <w:t>、报告期内募集资金使用情况</w:t>
      </w:r>
      <w:r>
        <w:rPr>
          <w:b w:val="0"/>
          <w:bCs w:val="0"/>
        </w:rPr>
      </w:r>
    </w:p>
    <w:p>
      <w:pPr>
        <w:spacing w:line="240" w:lineRule="auto" w:before="7"/>
        <w:rPr>
          <w:rFonts w:ascii="宋体" w:hAnsi="宋体" w:cs="宋体" w:eastAsia="宋体" w:hint="default"/>
          <w:b/>
          <w:bCs/>
          <w:sz w:val="32"/>
          <w:szCs w:val="32"/>
        </w:rPr>
      </w:pPr>
    </w:p>
    <w:p>
      <w:pPr>
        <w:pStyle w:val="BodyText"/>
        <w:spacing w:line="272" w:lineRule="exact"/>
        <w:ind w:right="149" w:firstLine="412"/>
        <w:jc w:val="both"/>
      </w:pPr>
      <w:r>
        <w:rPr/>
        <w:t>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日，公司首次公开发行股票的募集资金使用完毕。报告期内，不存在募集资金使用</w:t>
      </w:r>
      <w:r>
        <w:rPr>
          <w:w w:val="100"/>
        </w:rPr>
        <w:t> </w:t>
      </w:r>
      <w:r>
        <w:rPr/>
        <w:t>情况。</w:t>
      </w:r>
    </w:p>
    <w:p>
      <w:pPr>
        <w:spacing w:line="240" w:lineRule="auto" w:before="4"/>
        <w:rPr>
          <w:rFonts w:ascii="宋体" w:hAnsi="宋体" w:cs="宋体" w:eastAsia="宋体" w:hint="default"/>
          <w:sz w:val="19"/>
          <w:szCs w:val="19"/>
        </w:rPr>
      </w:pPr>
    </w:p>
    <w:p>
      <w:pPr>
        <w:pStyle w:val="Heading4"/>
        <w:spacing w:line="240" w:lineRule="auto"/>
        <w:ind w:right="3480"/>
        <w:jc w:val="left"/>
        <w:rPr>
          <w:b w:val="0"/>
          <w:bCs w:val="0"/>
        </w:rPr>
      </w:pPr>
      <w:r>
        <w:rPr/>
        <w:t>（二）报告期内非募集资金投资情况</w:t>
      </w:r>
      <w:r>
        <w:rPr>
          <w:b w:val="0"/>
          <w:bCs w:val="0"/>
        </w:rPr>
      </w:r>
    </w:p>
    <w:p>
      <w:pPr>
        <w:spacing w:line="240" w:lineRule="auto" w:before="2"/>
        <w:rPr>
          <w:rFonts w:ascii="宋体" w:hAnsi="宋体" w:cs="宋体" w:eastAsia="宋体" w:hint="default"/>
          <w:b/>
          <w:bCs/>
          <w:sz w:val="21"/>
          <w:szCs w:val="21"/>
        </w:rPr>
      </w:pPr>
    </w:p>
    <w:p>
      <w:pPr>
        <w:pStyle w:val="Heading4"/>
        <w:spacing w:line="240" w:lineRule="auto"/>
        <w:ind w:left="572" w:right="3480"/>
        <w:jc w:val="left"/>
        <w:rPr>
          <w:b w:val="0"/>
          <w:bCs w:val="0"/>
        </w:rPr>
      </w:pPr>
      <w:r>
        <w:rPr>
          <w:rFonts w:ascii="Times New Roman" w:hAnsi="Times New Roman" w:cs="Times New Roman" w:eastAsia="Times New Roman" w:hint="default"/>
        </w:rPr>
        <w:t>1</w:t>
      </w:r>
      <w:r>
        <w:rPr/>
        <w:t>、迅付科技有限公司</w:t>
      </w:r>
      <w:r>
        <w:rPr>
          <w:rFonts w:ascii="Times New Roman" w:hAnsi="Times New Roman" w:cs="Times New Roman" w:eastAsia="Times New Roman" w:hint="default"/>
        </w:rPr>
        <w:t>15%</w:t>
      </w:r>
      <w:r>
        <w:rPr/>
        <w:t>的股权转让</w:t>
      </w:r>
      <w:r>
        <w:rPr>
          <w:b w:val="0"/>
          <w:bCs w:val="0"/>
        </w:rPr>
      </w:r>
    </w:p>
    <w:p>
      <w:pPr>
        <w:pStyle w:val="BodyText"/>
        <w:spacing w:line="338" w:lineRule="auto" w:before="117"/>
        <w:ind w:right="147" w:firstLine="419"/>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日，公司与上海环迅电子商务有限公司（以下简称</w:t>
      </w:r>
      <w:r>
        <w:rPr>
          <w:rFonts w:ascii="Times New Roman" w:hAnsi="Times New Roman" w:cs="Times New Roman" w:eastAsia="Times New Roman" w:hint="default"/>
          <w:spacing w:val="-2"/>
        </w:rPr>
        <w:t>“</w:t>
      </w:r>
      <w:r>
        <w:rPr>
          <w:spacing w:val="-2"/>
        </w:rPr>
        <w:t>上海环迅</w:t>
      </w:r>
      <w:r>
        <w:rPr>
          <w:rFonts w:ascii="Times New Roman" w:hAnsi="Times New Roman" w:cs="Times New Roman" w:eastAsia="Times New Roman" w:hint="default"/>
          <w:spacing w:val="-2"/>
        </w:rPr>
        <w:t>”</w:t>
      </w:r>
      <w:r>
        <w:rPr>
          <w:spacing w:val="-2"/>
        </w:rPr>
        <w:t>）签署了股权转让协议，</w:t>
      </w:r>
      <w:r>
        <w:rPr>
          <w:w w:val="100"/>
        </w:rPr>
        <w:t> </w:t>
      </w:r>
      <w:r>
        <w:rPr>
          <w:spacing w:val="-3"/>
        </w:rPr>
        <w:t>以</w:t>
      </w:r>
      <w:r>
        <w:rPr>
          <w:rFonts w:ascii="Times New Roman" w:hAnsi="Times New Roman" w:cs="Times New Roman" w:eastAsia="Times New Roman" w:hint="default"/>
          <w:spacing w:val="-3"/>
        </w:rPr>
        <w:t>1,575</w:t>
      </w:r>
      <w:r>
        <w:rPr>
          <w:spacing w:val="-3"/>
        </w:rPr>
        <w:t>万元收购其所持有的迅付信息科技有限公司（以下简称</w:t>
      </w:r>
      <w:r>
        <w:rPr>
          <w:rFonts w:ascii="Times New Roman" w:hAnsi="Times New Roman" w:cs="Times New Roman" w:eastAsia="Times New Roman" w:hint="default"/>
          <w:spacing w:val="-3"/>
        </w:rPr>
        <w:t>“</w:t>
      </w:r>
      <w:r>
        <w:rPr>
          <w:spacing w:val="-3"/>
        </w:rPr>
        <w:t>上海迅付</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15</w:t>
      </w:r>
      <w:r>
        <w:rPr>
          <w:spacing w:val="-3"/>
        </w:rPr>
        <w:t>％的股权，公司本次对外投</w:t>
      </w:r>
      <w:r>
        <w:rPr>
          <w:spacing w:val="-24"/>
        </w:rPr>
        <w:t> </w:t>
      </w:r>
      <w:r>
        <w:rPr>
          <w:spacing w:val="-24"/>
        </w:rPr>
      </w:r>
      <w:r>
        <w:rPr>
          <w:spacing w:val="-2"/>
        </w:rPr>
        <w:t>资使用的是公司自有资金，不构成关联交易及重大重组。该项投资经公司第四届董事会</w:t>
      </w:r>
      <w:r>
        <w:rPr>
          <w:rFonts w:ascii="Times New Roman" w:hAnsi="Times New Roman" w:cs="Times New Roman" w:eastAsia="Times New Roman" w:hint="default"/>
          <w:spacing w:val="-2"/>
        </w:rPr>
        <w:t>2010</w:t>
      </w:r>
      <w:r>
        <w:rPr>
          <w:spacing w:val="-2"/>
        </w:rPr>
        <w:t>年第一次临时</w:t>
      </w:r>
      <w:r>
        <w:rPr>
          <w:spacing w:val="-40"/>
        </w:rPr>
        <w:t> </w:t>
      </w:r>
      <w:r>
        <w:rPr>
          <w:spacing w:val="-40"/>
        </w:rPr>
      </w:r>
      <w:r>
        <w:rPr>
          <w:spacing w:val="-2"/>
        </w:rPr>
        <w:t>会议审议通过，详细内容查看公司</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日刊登于《中国证券报》、《证券时报》及巨潮资讯网的</w:t>
      </w:r>
    </w:p>
    <w:p>
      <w:pPr>
        <w:pStyle w:val="BodyText"/>
        <w:spacing w:line="336" w:lineRule="auto" w:before="22"/>
        <w:ind w:left="572" w:right="0" w:hanging="420"/>
        <w:jc w:val="left"/>
      </w:pPr>
      <w:r>
        <w:rPr/>
        <w:t>《第四届董事会</w:t>
      </w:r>
      <w:r>
        <w:rPr>
          <w:rFonts w:ascii="Times New Roman" w:hAnsi="Times New Roman" w:cs="Times New Roman" w:eastAsia="Times New Roman" w:hint="default"/>
        </w:rPr>
        <w:t>2010</w:t>
      </w:r>
      <w:r>
        <w:rPr/>
        <w:t>年第一次临时会议决议公告》（</w:t>
      </w:r>
      <w:r>
        <w:rPr>
          <w:rFonts w:ascii="Times New Roman" w:hAnsi="Times New Roman" w:cs="Times New Roman" w:eastAsia="Times New Roman" w:hint="default"/>
        </w:rPr>
        <w:t>2010-51</w:t>
      </w:r>
      <w:r>
        <w:rPr/>
        <w:t>）。</w:t>
      </w:r>
      <w:r>
        <w:rPr>
          <w:spacing w:val="-3"/>
          <w:w w:val="100"/>
        </w:rPr>
        <w:t> </w:t>
      </w:r>
      <w:r>
        <w:rPr>
          <w:spacing w:val="-6"/>
        </w:rPr>
        <w:t>经公司总裁办公会决议，</w:t>
      </w: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2</w:t>
      </w:r>
      <w:r>
        <w:rPr>
          <w:spacing w:val="-6"/>
        </w:rPr>
        <w:t>月</w:t>
      </w:r>
      <w:r>
        <w:rPr>
          <w:rFonts w:ascii="Times New Roman" w:hAnsi="Times New Roman" w:cs="Times New Roman" w:eastAsia="Times New Roman" w:hint="default"/>
          <w:spacing w:val="-6"/>
        </w:rPr>
        <w:t>18</w:t>
      </w:r>
      <w:r>
        <w:rPr>
          <w:spacing w:val="-6"/>
        </w:rPr>
        <w:t>日，公司与全资子公司北海石基信息技术有限公司（以下简称</w:t>
      </w:r>
      <w:r>
        <w:rPr>
          <w:rFonts w:ascii="Times New Roman" w:hAnsi="Times New Roman" w:cs="Times New Roman" w:eastAsia="Times New Roman" w:hint="default"/>
          <w:spacing w:val="-6"/>
        </w:rPr>
        <w:t>“</w:t>
      </w:r>
      <w:r>
        <w:rPr>
          <w:spacing w:val="-6"/>
        </w:rPr>
        <w:t>北</w:t>
      </w:r>
    </w:p>
    <w:p>
      <w:pPr>
        <w:pStyle w:val="BodyText"/>
        <w:spacing w:line="240" w:lineRule="auto" w:before="26"/>
        <w:ind w:right="0"/>
        <w:jc w:val="both"/>
      </w:pPr>
      <w:r>
        <w:rPr/>
        <w:t>海石基</w:t>
      </w:r>
      <w:r>
        <w:rPr>
          <w:rFonts w:ascii="Times New Roman" w:hAnsi="Times New Roman" w:cs="Times New Roman" w:eastAsia="Times New Roman" w:hint="default"/>
        </w:rPr>
        <w:t>”</w:t>
      </w:r>
      <w:r>
        <w:rPr/>
        <w:t>）、上海环迅电子商务有限公司签署了《迅付信息科技有限公司股权转让三方协议》，将公司持</w:t>
      </w:r>
    </w:p>
    <w:p>
      <w:pPr>
        <w:spacing w:after="0" w:line="240" w:lineRule="auto"/>
        <w:jc w:val="both"/>
        <w:sectPr>
          <w:footerReference w:type="default" r:id="rId19"/>
          <w:pgSz w:w="11910" w:h="16840"/>
          <w:pgMar w:footer="979" w:header="850" w:top="1200" w:bottom="1160" w:left="980" w:right="980"/>
          <w:pgNumType w:start="45"/>
        </w:sectPr>
      </w:pPr>
    </w:p>
    <w:p>
      <w:pPr>
        <w:pStyle w:val="BodyText"/>
        <w:spacing w:line="336" w:lineRule="auto" w:before="30"/>
        <w:ind w:left="212" w:right="0"/>
        <w:jc w:val="left"/>
      </w:pPr>
      <w:r>
        <w:rPr/>
        <w:pict>
          <v:group style="position:absolute;margin-left:55.200001pt;margin-top:2.843687pt;width:484.8pt;height:.1pt;mso-position-horizontal-relative:page;mso-position-vertical-relative:paragraph;z-index:-772264" coordorigin="1104,57" coordsize="9696,2">
            <v:shape style="position:absolute;left:1104;top:57;width:9696;height:2" coordorigin="1104,57" coordsize="9696,0" path="m1104,57l10800,57e" filled="false" stroked="true" strokeweight=".72pt" strokecolor="#000000">
              <v:path arrowok="t"/>
            </v:shape>
            <w10:wrap type="none"/>
          </v:group>
        </w:pict>
      </w:r>
      <w:r>
        <w:rPr>
          <w:spacing w:val="-3"/>
        </w:rPr>
        <w:t>有的迅付信息科技有限公司</w:t>
      </w:r>
      <w:r>
        <w:rPr>
          <w:rFonts w:ascii="Times New Roman" w:hAnsi="Times New Roman" w:cs="Times New Roman" w:eastAsia="Times New Roman" w:hint="default"/>
          <w:spacing w:val="-3"/>
        </w:rPr>
        <w:t>15%</w:t>
      </w:r>
      <w:r>
        <w:rPr>
          <w:spacing w:val="-3"/>
        </w:rPr>
        <w:t>的股权以</w:t>
      </w:r>
      <w:r>
        <w:rPr>
          <w:rFonts w:ascii="Times New Roman" w:hAnsi="Times New Roman" w:cs="Times New Roman" w:eastAsia="Times New Roman" w:hint="default"/>
          <w:spacing w:val="-3"/>
        </w:rPr>
        <w:t>1,575</w:t>
      </w:r>
      <w:r>
        <w:rPr>
          <w:spacing w:val="-3"/>
        </w:rPr>
        <w:t>万元转让北海石基，公司本次转让股权不构成关联交易和重 </w:t>
      </w:r>
      <w:r>
        <w:rPr/>
        <w:t>大重组，截止本报告出具日，相关工商变更登记已经完成。</w:t>
      </w:r>
    </w:p>
    <w:p>
      <w:pPr>
        <w:pStyle w:val="Heading4"/>
        <w:spacing w:line="240" w:lineRule="auto" w:before="49"/>
        <w:ind w:left="632" w:right="0"/>
        <w:jc w:val="left"/>
        <w:rPr>
          <w:b w:val="0"/>
          <w:bCs w:val="0"/>
        </w:rPr>
      </w:pPr>
      <w:r>
        <w:rPr>
          <w:rFonts w:ascii="Times New Roman" w:hAnsi="Times New Roman" w:cs="Times New Roman" w:eastAsia="Times New Roman" w:hint="default"/>
        </w:rPr>
        <w:t>2</w:t>
      </w:r>
      <w:r>
        <w:rPr/>
        <w:t>、投资</w:t>
      </w:r>
      <w:r>
        <w:rPr>
          <w:rFonts w:ascii="Times New Roman" w:hAnsi="Times New Roman" w:cs="Times New Roman" w:eastAsia="Times New Roman" w:hint="default"/>
        </w:rPr>
        <w:t>10,334</w:t>
      </w:r>
      <w:r>
        <w:rPr/>
        <w:t>万元向全资子公司北海石基信息技术有限公司增加注册资本</w:t>
      </w:r>
      <w:r>
        <w:rPr>
          <w:b w:val="0"/>
          <w:bCs w:val="0"/>
        </w:rPr>
      </w:r>
    </w:p>
    <w:p>
      <w:pPr>
        <w:pStyle w:val="BodyText"/>
        <w:spacing w:line="336" w:lineRule="auto" w:before="119"/>
        <w:ind w:left="212" w:right="309" w:firstLine="412"/>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日，经公司第四届董事会</w:t>
      </w:r>
      <w:r>
        <w:rPr>
          <w:rFonts w:ascii="Times New Roman" w:hAnsi="Times New Roman" w:cs="Times New Roman" w:eastAsia="Times New Roman" w:hint="default"/>
        </w:rPr>
        <w:t>2011</w:t>
      </w:r>
      <w:r>
        <w:rPr/>
        <w:t>年第二次临时会议审议通过，公司以自有资金向北海石基</w:t>
      </w:r>
      <w:r>
        <w:rPr>
          <w:w w:val="100"/>
        </w:rPr>
        <w:t> </w:t>
      </w:r>
      <w:r>
        <w:rPr>
          <w:spacing w:val="-1"/>
        </w:rPr>
        <w:t>增资</w:t>
      </w:r>
      <w:r>
        <w:rPr>
          <w:rFonts w:ascii="Times New Roman" w:hAnsi="Times New Roman" w:cs="Times New Roman" w:eastAsia="Times New Roman" w:hint="default"/>
          <w:spacing w:val="-1"/>
        </w:rPr>
        <w:t>10,334</w:t>
      </w:r>
      <w:r>
        <w:rPr>
          <w:spacing w:val="-1"/>
        </w:rPr>
        <w:t>万元，本次增资完成后，北海石基注册资本变更为</w:t>
      </w:r>
      <w:r>
        <w:rPr>
          <w:rFonts w:ascii="Times New Roman" w:hAnsi="Times New Roman" w:cs="Times New Roman" w:eastAsia="Times New Roman" w:hint="default"/>
          <w:spacing w:val="-1"/>
        </w:rPr>
        <w:t>11,000</w:t>
      </w:r>
      <w:r>
        <w:rPr>
          <w:spacing w:val="-1"/>
        </w:rPr>
        <w:t>万元，公司持有其</w:t>
      </w:r>
      <w:r>
        <w:rPr>
          <w:rFonts w:ascii="Times New Roman" w:hAnsi="Times New Roman" w:cs="Times New Roman" w:eastAsia="Times New Roman" w:hint="default"/>
          <w:spacing w:val="-1"/>
        </w:rPr>
        <w:t>100%</w:t>
      </w:r>
      <w:r>
        <w:rPr>
          <w:spacing w:val="-1"/>
        </w:rPr>
        <w:t>的股权。详见</w:t>
      </w:r>
      <w:r>
        <w:rPr>
          <w:spacing w:val="-46"/>
        </w:rPr>
        <w:t> </w:t>
      </w:r>
      <w:r>
        <w:rPr>
          <w:spacing w:val="-46"/>
        </w:rPr>
      </w:r>
      <w:r>
        <w:rPr>
          <w:spacing w:val="-2"/>
        </w:rPr>
        <w:t>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日刊登于《中国证券报》、《证券时报》及巨潮资讯网（</w:t>
      </w:r>
      <w:hyperlink r:id="rId12">
        <w:r>
          <w:rPr>
            <w:rFonts w:ascii="Times New Roman" w:hAnsi="Times New Roman" w:cs="Times New Roman" w:eastAsia="Times New Roman" w:hint="default"/>
            <w:spacing w:val="-2"/>
          </w:rPr>
          <w:t>http://www.cninfo.com.cn</w:t>
        </w:r>
      </w:hyperlink>
      <w:r>
        <w:rPr>
          <w:spacing w:val="-2"/>
        </w:rPr>
        <w:t>）的</w:t>
      </w:r>
      <w:r>
        <w:rPr/>
      </w:r>
    </w:p>
    <w:p>
      <w:pPr>
        <w:pStyle w:val="BodyText"/>
        <w:spacing w:line="240" w:lineRule="auto" w:before="24"/>
        <w:ind w:left="212" w:right="0"/>
        <w:jc w:val="left"/>
      </w:pPr>
      <w:r>
        <w:rPr/>
        <w:t>《关于向全资子公司北海石基信息技术有限公司增资的议案》（</w:t>
      </w:r>
      <w:r>
        <w:rPr>
          <w:rFonts w:ascii="Times New Roman" w:hAnsi="Times New Roman" w:cs="Times New Roman" w:eastAsia="Times New Roman" w:hint="default"/>
        </w:rPr>
        <w:t>2011-11</w:t>
      </w:r>
      <w:r>
        <w:rPr/>
        <w:t>）。</w:t>
      </w:r>
    </w:p>
    <w:p>
      <w:pPr>
        <w:pStyle w:val="Heading4"/>
        <w:spacing w:line="240" w:lineRule="auto" w:before="117"/>
        <w:ind w:left="632" w:right="0"/>
        <w:jc w:val="left"/>
        <w:rPr>
          <w:b w:val="0"/>
          <w:bCs w:val="0"/>
        </w:rPr>
      </w:pPr>
      <w:r>
        <w:rPr>
          <w:rFonts w:ascii="Times New Roman" w:hAnsi="Times New Roman" w:cs="Times New Roman" w:eastAsia="Times New Roman" w:hint="default"/>
        </w:rPr>
        <w:t>3</w:t>
      </w:r>
      <w:r>
        <w:rPr/>
        <w:t>、投资</w:t>
      </w:r>
      <w:r>
        <w:rPr>
          <w:rFonts w:ascii="Times New Roman" w:hAnsi="Times New Roman" w:cs="Times New Roman" w:eastAsia="Times New Roman" w:hint="default"/>
        </w:rPr>
        <w:t>3,000</w:t>
      </w:r>
      <w:r>
        <w:rPr/>
        <w:t>万元增持杭州西软科技有限公司</w:t>
      </w:r>
      <w:r>
        <w:rPr>
          <w:rFonts w:ascii="Times New Roman" w:hAnsi="Times New Roman" w:cs="Times New Roman" w:eastAsia="Times New Roman" w:hint="default"/>
        </w:rPr>
        <w:t>18%</w:t>
      </w:r>
      <w:r>
        <w:rPr/>
        <w:t>的股权</w:t>
      </w:r>
      <w:r>
        <w:rPr>
          <w:b w:val="0"/>
          <w:bCs w:val="0"/>
        </w:rPr>
      </w:r>
    </w:p>
    <w:p>
      <w:pPr>
        <w:pStyle w:val="BodyText"/>
        <w:spacing w:line="338" w:lineRule="auto" w:before="119"/>
        <w:ind w:left="213" w:right="203" w:firstLine="412"/>
        <w:jc w:val="both"/>
      </w:pP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30</w:t>
      </w:r>
      <w:r>
        <w:rPr>
          <w:spacing w:val="-4"/>
        </w:rPr>
        <w:t>日，经公司第四届董事会</w:t>
      </w:r>
      <w:r>
        <w:rPr>
          <w:rFonts w:ascii="Times New Roman" w:hAnsi="Times New Roman" w:cs="Times New Roman" w:eastAsia="Times New Roman" w:hint="default"/>
          <w:spacing w:val="-4"/>
        </w:rPr>
        <w:t>2011</w:t>
      </w:r>
      <w:r>
        <w:rPr>
          <w:spacing w:val="-4"/>
        </w:rPr>
        <w:t>年第三次临时会议审议通过后，公司与杨铭魁先生签订《股</w:t>
      </w:r>
      <w:r>
        <w:rPr>
          <w:w w:val="100"/>
        </w:rPr>
        <w:t> </w:t>
      </w:r>
      <w:r>
        <w:rPr>
          <w:spacing w:val="-2"/>
        </w:rPr>
        <w:t>权转让协议》，以协议价</w:t>
      </w:r>
      <w:r>
        <w:rPr>
          <w:rFonts w:ascii="Times New Roman" w:hAnsi="Times New Roman" w:cs="Times New Roman" w:eastAsia="Times New Roman" w:hint="default"/>
          <w:spacing w:val="-2"/>
        </w:rPr>
        <w:t>3,000</w:t>
      </w:r>
      <w:r>
        <w:rPr>
          <w:spacing w:val="-2"/>
        </w:rPr>
        <w:t>万元收购杨铭魁先生持有的杭州西软科技有限公司（以下简称</w:t>
      </w:r>
      <w:r>
        <w:rPr>
          <w:rFonts w:ascii="Times New Roman" w:hAnsi="Times New Roman" w:cs="Times New Roman" w:eastAsia="Times New Roman" w:hint="default"/>
          <w:spacing w:val="-2"/>
        </w:rPr>
        <w:t>“</w:t>
      </w:r>
      <w:r>
        <w:rPr>
          <w:spacing w:val="-2"/>
        </w:rPr>
        <w:t>西软科技</w:t>
      </w:r>
      <w:r>
        <w:rPr>
          <w:rFonts w:ascii="Times New Roman" w:hAnsi="Times New Roman" w:cs="Times New Roman" w:eastAsia="Times New Roman" w:hint="default"/>
          <w:spacing w:val="-2"/>
        </w:rPr>
        <w:t>”</w:t>
      </w:r>
      <w:r>
        <w:rPr>
          <w:spacing w:val="-2"/>
        </w:rPr>
        <w:t>）</w:t>
      </w:r>
      <w:r>
        <w:rPr>
          <w:spacing w:val="-19"/>
        </w:rPr>
        <w:t> </w:t>
      </w:r>
      <w:r>
        <w:rPr>
          <w:rFonts w:ascii="Times New Roman" w:hAnsi="Times New Roman" w:cs="Times New Roman" w:eastAsia="Times New Roman" w:hint="default"/>
          <w:spacing w:val="-5"/>
        </w:rPr>
        <w:t>18%</w:t>
      </w:r>
      <w:r>
        <w:rPr>
          <w:spacing w:val="-5"/>
        </w:rPr>
        <w:t>的股权。本次收购完成后，本公司将持有西软科技</w:t>
      </w:r>
      <w:r>
        <w:rPr>
          <w:rFonts w:ascii="Times New Roman" w:hAnsi="Times New Roman" w:cs="Times New Roman" w:eastAsia="Times New Roman" w:hint="default"/>
          <w:spacing w:val="-5"/>
        </w:rPr>
        <w:t>100%</w:t>
      </w:r>
      <w:r>
        <w:rPr>
          <w:spacing w:val="-5"/>
        </w:rPr>
        <w:t>的股权，杨铭魁先生不再持有西软科技的股权。</w:t>
      </w:r>
      <w:r>
        <w:rPr>
          <w:spacing w:val="-30"/>
        </w:rPr>
        <w:t> </w:t>
      </w:r>
      <w:r>
        <w:rPr>
          <w:spacing w:val="-30"/>
        </w:rPr>
      </w:r>
      <w:r>
        <w:rPr>
          <w:spacing w:val="-4"/>
        </w:rPr>
        <w:t>详见公司于</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31</w:t>
      </w:r>
      <w:r>
        <w:rPr>
          <w:spacing w:val="-4"/>
        </w:rPr>
        <w:t>日刊登于《中国证券报》、《证券时报》及巨潮资讯网（</w:t>
      </w:r>
      <w:hyperlink r:id="rId12">
        <w:r>
          <w:rPr>
            <w:rFonts w:ascii="Times New Roman" w:hAnsi="Times New Roman" w:cs="Times New Roman" w:eastAsia="Times New Roman" w:hint="default"/>
            <w:spacing w:val="-4"/>
          </w:rPr>
          <w:t>http://www.cninfo.com.cn</w:t>
        </w:r>
      </w:hyperlink>
      <w:r>
        <w:rPr>
          <w:spacing w:val="-4"/>
        </w:rPr>
        <w:t>）</w:t>
      </w:r>
      <w:r>
        <w:rPr>
          <w:spacing w:val="-8"/>
        </w:rPr>
        <w:t> </w:t>
      </w:r>
      <w:r>
        <w:rPr/>
        <w:t>的《关于增持控股子公司杭州西软科技有限公司股权的公告》（</w:t>
      </w:r>
      <w:r>
        <w:rPr>
          <w:rFonts w:ascii="Times New Roman" w:hAnsi="Times New Roman" w:cs="Times New Roman" w:eastAsia="Times New Roman" w:hint="default"/>
        </w:rPr>
        <w:t>2011-13</w:t>
      </w:r>
      <w:r>
        <w:rPr/>
        <w:t>）。</w:t>
      </w:r>
    </w:p>
    <w:p>
      <w:pPr>
        <w:pStyle w:val="BodyText"/>
        <w:spacing w:line="336" w:lineRule="auto" w:before="22"/>
        <w:ind w:left="213" w:right="0" w:firstLine="412"/>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日，西软科技以上股权转让事宜已经完成工商变更登记，变更后企业法人营业执照注册</w:t>
      </w:r>
      <w:r>
        <w:rPr>
          <w:w w:val="100"/>
        </w:rPr>
        <w:t> </w:t>
      </w:r>
      <w:r>
        <w:rPr/>
        <w:t>号为：</w:t>
      </w:r>
      <w:r>
        <w:rPr>
          <w:rFonts w:ascii="Times New Roman" w:hAnsi="Times New Roman" w:cs="Times New Roman" w:eastAsia="Times New Roman" w:hint="default"/>
        </w:rPr>
        <w:t>330108000036043</w:t>
      </w:r>
      <w:r>
        <w:rPr/>
        <w:t>，法定代表人为赖德源。</w:t>
      </w:r>
    </w:p>
    <w:p>
      <w:pPr>
        <w:pStyle w:val="Heading4"/>
        <w:spacing w:line="240" w:lineRule="auto" w:before="24"/>
        <w:ind w:left="633" w:right="0"/>
        <w:jc w:val="left"/>
        <w:rPr>
          <w:b w:val="0"/>
          <w:bCs w:val="0"/>
        </w:rPr>
      </w:pPr>
      <w:r>
        <w:rPr>
          <w:rFonts w:ascii="Times New Roman" w:hAnsi="Times New Roman" w:cs="Times New Roman" w:eastAsia="Times New Roman" w:hint="default"/>
        </w:rPr>
        <w:t>4</w:t>
      </w:r>
      <w:r>
        <w:rPr/>
        <w:t>、投资</w:t>
      </w:r>
      <w:r>
        <w:rPr>
          <w:rFonts w:ascii="Times New Roman" w:hAnsi="Times New Roman" w:cs="Times New Roman" w:eastAsia="Times New Roman" w:hint="default"/>
        </w:rPr>
        <w:t>3,066</w:t>
      </w:r>
      <w:r>
        <w:rPr/>
        <w:t>万收购上海正品贵德有限责任公司</w:t>
      </w:r>
      <w:r>
        <w:rPr>
          <w:rFonts w:ascii="Times New Roman" w:hAnsi="Times New Roman" w:cs="Times New Roman" w:eastAsia="Times New Roman" w:hint="default"/>
        </w:rPr>
        <w:t>70%</w:t>
      </w:r>
      <w:r>
        <w:rPr/>
        <w:t>的股权</w:t>
      </w:r>
      <w:r>
        <w:rPr>
          <w:b w:val="0"/>
          <w:bCs w:val="0"/>
        </w:rPr>
      </w:r>
    </w:p>
    <w:p>
      <w:pPr>
        <w:pStyle w:val="BodyText"/>
        <w:spacing w:line="240" w:lineRule="auto" w:before="117"/>
        <w:ind w:left="632"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日，经公司第四届董事会第三次会议审议通过后，公司签署上海正品贵德软件有限公</w:t>
      </w:r>
    </w:p>
    <w:p>
      <w:pPr>
        <w:pStyle w:val="BodyText"/>
        <w:spacing w:line="240" w:lineRule="auto" w:before="119"/>
        <w:ind w:left="212" w:right="0"/>
        <w:jc w:val="left"/>
      </w:pPr>
      <w:r>
        <w:rPr/>
        <w:t>司股权转让框架协议，以 </w:t>
      </w:r>
      <w:r>
        <w:rPr>
          <w:rFonts w:ascii="Times New Roman" w:hAnsi="Times New Roman" w:cs="Times New Roman" w:eastAsia="Times New Roman" w:hint="default"/>
        </w:rPr>
        <w:t>3,066</w:t>
      </w:r>
      <w:r>
        <w:rPr>
          <w:rFonts w:ascii="Times New Roman" w:hAnsi="Times New Roman" w:cs="Times New Roman" w:eastAsia="Times New Roman" w:hint="default"/>
          <w:spacing w:val="-10"/>
        </w:rPr>
        <w:t> </w:t>
      </w:r>
      <w:r>
        <w:rPr/>
        <w:t>万元收购其所持有的上海正品贵德软件有限公司（以下简称</w:t>
      </w:r>
      <w:r>
        <w:rPr>
          <w:rFonts w:ascii="Times New Roman" w:hAnsi="Times New Roman" w:cs="Times New Roman" w:eastAsia="Times New Roman" w:hint="default"/>
        </w:rPr>
        <w:t>“</w:t>
      </w:r>
      <w:r>
        <w:rPr/>
        <w:t>正品贵德</w:t>
      </w:r>
      <w:r>
        <w:rPr>
          <w:rFonts w:ascii="Times New Roman" w:hAnsi="Times New Roman" w:cs="Times New Roman" w:eastAsia="Times New Roman" w:hint="default"/>
        </w:rPr>
        <w:t>”</w:t>
      </w:r>
      <w:r>
        <w:rPr/>
        <w:t>）</w:t>
      </w:r>
    </w:p>
    <w:p>
      <w:pPr>
        <w:pStyle w:val="BodyText"/>
        <w:spacing w:line="240" w:lineRule="auto" w:before="117"/>
        <w:ind w:left="212" w:right="0"/>
        <w:jc w:val="left"/>
        <w:rPr>
          <w:rFonts w:ascii="Times New Roman" w:hAnsi="Times New Roman" w:cs="Times New Roman" w:eastAsia="Times New Roman" w:hint="default"/>
        </w:rPr>
      </w:pPr>
      <w:r>
        <w:rPr>
          <w:rFonts w:ascii="Times New Roman" w:hAnsi="Times New Roman" w:cs="Times New Roman" w:eastAsia="Times New Roman" w:hint="default"/>
        </w:rPr>
        <w:t>70</w:t>
      </w:r>
      <w:r>
        <w:rPr/>
        <w:t>％的股权。本次对外投资使用的是公司自有资金，不构成关联交易及重大重组。详见公司于 </w:t>
      </w:r>
      <w:r>
        <w:rPr>
          <w:rFonts w:ascii="Times New Roman" w:hAnsi="Times New Roman" w:cs="Times New Roman" w:eastAsia="Times New Roman" w:hint="default"/>
        </w:rPr>
        <w:t>2011  </w:t>
      </w:r>
      <w:r>
        <w:rPr/>
        <w:t>年</w:t>
      </w:r>
      <w:r>
        <w:rPr>
          <w:spacing w:val="-32"/>
        </w:rPr>
        <w:t> </w:t>
      </w:r>
      <w:r>
        <w:rPr>
          <w:rFonts w:ascii="Times New Roman" w:hAnsi="Times New Roman" w:cs="Times New Roman" w:eastAsia="Times New Roman" w:hint="default"/>
        </w:rPr>
        <w:t>8</w:t>
      </w:r>
    </w:p>
    <w:p>
      <w:pPr>
        <w:pStyle w:val="BodyText"/>
        <w:spacing w:line="336" w:lineRule="auto" w:before="117"/>
        <w:ind w:left="212" w:right="312"/>
        <w:jc w:val="left"/>
      </w:pPr>
      <w:r>
        <w:rPr/>
        <w:t>月 </w:t>
      </w:r>
      <w:r>
        <w:rPr>
          <w:rFonts w:ascii="Times New Roman" w:hAnsi="Times New Roman" w:cs="Times New Roman" w:eastAsia="Times New Roman" w:hint="default"/>
        </w:rPr>
        <w:t>20 </w:t>
      </w:r>
      <w:r>
        <w:rPr>
          <w:spacing w:val="-2"/>
        </w:rPr>
        <w:t>日刊登于《中国证券报》、《证券时报》及巨潮资讯网（</w:t>
      </w:r>
      <w:hyperlink r:id="rId12">
        <w:r>
          <w:rPr>
            <w:rFonts w:ascii="Times New Roman" w:hAnsi="Times New Roman" w:cs="Times New Roman" w:eastAsia="Times New Roman" w:hint="default"/>
            <w:spacing w:val="-2"/>
          </w:rPr>
          <w:t>http://www.cninfo.com.cn</w:t>
        </w:r>
      </w:hyperlink>
      <w:r>
        <w:rPr>
          <w:spacing w:val="-2"/>
        </w:rPr>
        <w:t>）的《第四届董事</w:t>
      </w:r>
      <w:r>
        <w:rPr>
          <w:spacing w:val="-94"/>
        </w:rPr>
        <w:t> </w:t>
      </w:r>
      <w:r>
        <w:rPr>
          <w:spacing w:val="-94"/>
        </w:rPr>
      </w:r>
      <w:r>
        <w:rPr/>
        <w:t>会第三次会议决议公告》（</w:t>
      </w:r>
      <w:r>
        <w:rPr>
          <w:rFonts w:ascii="Times New Roman" w:hAnsi="Times New Roman" w:cs="Times New Roman" w:eastAsia="Times New Roman" w:hint="default"/>
        </w:rPr>
        <w:t>2011-21</w:t>
      </w:r>
      <w:r>
        <w:rPr/>
        <w:t>）。</w:t>
      </w:r>
    </w:p>
    <w:p>
      <w:pPr>
        <w:pStyle w:val="BodyText"/>
        <w:spacing w:line="338" w:lineRule="auto" w:before="24"/>
        <w:ind w:left="212" w:right="0" w:firstLine="419"/>
        <w:jc w:val="left"/>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日，正品贵德以上股权转让事项已经完成工商变更登记，变更后企业法人营业执照注册</w:t>
      </w:r>
      <w:r>
        <w:rPr>
          <w:w w:val="100"/>
        </w:rPr>
        <w:t> </w:t>
      </w:r>
      <w:r>
        <w:rPr/>
        <w:t>号为：</w:t>
      </w:r>
      <w:r>
        <w:rPr>
          <w:rFonts w:ascii="Times New Roman" w:hAnsi="Times New Roman" w:cs="Times New Roman" w:eastAsia="Times New Roman" w:hint="default"/>
        </w:rPr>
        <w:t>310114000718154</w:t>
      </w:r>
      <w:r>
        <w:rPr/>
        <w:t>，法定代表人为关东玉。</w:t>
      </w:r>
    </w:p>
    <w:p>
      <w:pPr>
        <w:spacing w:line="240" w:lineRule="auto" w:before="12"/>
        <w:rPr>
          <w:rFonts w:ascii="宋体" w:hAnsi="宋体" w:cs="宋体" w:eastAsia="宋体" w:hint="default"/>
          <w:sz w:val="22"/>
          <w:szCs w:val="22"/>
        </w:rPr>
      </w:pPr>
    </w:p>
    <w:p>
      <w:pPr>
        <w:pStyle w:val="Heading4"/>
        <w:spacing w:line="240" w:lineRule="auto"/>
        <w:ind w:left="625" w:right="0"/>
        <w:jc w:val="left"/>
        <w:rPr>
          <w:b w:val="0"/>
          <w:bCs w:val="0"/>
        </w:rPr>
      </w:pPr>
      <w:r>
        <w:rPr/>
        <w:t>五、</w:t>
      </w:r>
      <w:r>
        <w:rPr>
          <w:spacing w:val="-2"/>
        </w:rPr>
        <w:t> </w:t>
      </w:r>
      <w:r>
        <w:rPr/>
        <w:t>报告期财务会计报告审计情况</w:t>
      </w:r>
      <w:r>
        <w:rPr>
          <w:b w:val="0"/>
          <w:bCs w:val="0"/>
        </w:rPr>
      </w:r>
    </w:p>
    <w:p>
      <w:pPr>
        <w:spacing w:line="240" w:lineRule="auto" w:before="0"/>
        <w:rPr>
          <w:rFonts w:ascii="宋体" w:hAnsi="宋体" w:cs="宋体" w:eastAsia="宋体" w:hint="default"/>
          <w:b/>
          <w:bCs/>
          <w:sz w:val="20"/>
          <w:szCs w:val="20"/>
        </w:rPr>
      </w:pPr>
    </w:p>
    <w:p>
      <w:pPr>
        <w:pStyle w:val="BodyText"/>
        <w:spacing w:line="338" w:lineRule="auto" w:before="152"/>
        <w:ind w:left="212" w:right="0" w:firstLine="420"/>
        <w:jc w:val="left"/>
      </w:pPr>
      <w:r>
        <w:rPr>
          <w:spacing w:val="2"/>
        </w:rPr>
        <w:t>武汉众环海华会计师事务所对本公司</w:t>
      </w:r>
      <w:r>
        <w:rPr>
          <w:rFonts w:ascii="Times New Roman" w:hAnsi="Times New Roman" w:cs="Times New Roman" w:eastAsia="Times New Roman" w:hint="default"/>
          <w:spacing w:val="2"/>
        </w:rPr>
        <w:t>2011</w:t>
      </w:r>
      <w:r>
        <w:rPr>
          <w:spacing w:val="2"/>
        </w:rPr>
        <w:t>年度财务报告出具了标准无保留意见的审计报告。</w:t>
      </w:r>
      <w:r>
        <w:rPr>
          <w:rFonts w:ascii="Times New Roman" w:hAnsi="Times New Roman" w:cs="Times New Roman" w:eastAsia="Times New Roman" w:hint="default"/>
          <w:spacing w:val="2"/>
        </w:rPr>
        <w:t>2011</w:t>
      </w:r>
      <w:r>
        <w:rPr>
          <w:spacing w:val="2"/>
        </w:rPr>
        <w:t>年</w:t>
      </w:r>
      <w:r>
        <w:rPr>
          <w:w w:val="100"/>
        </w:rPr>
        <w:t> </w:t>
      </w:r>
      <w:r>
        <w:rPr/>
        <w:t>度，本公司未做出会计政策、会计估计变更情况。</w:t>
      </w:r>
    </w:p>
    <w:p>
      <w:pPr>
        <w:spacing w:line="240" w:lineRule="auto" w:before="12"/>
        <w:rPr>
          <w:rFonts w:ascii="宋体" w:hAnsi="宋体" w:cs="宋体" w:eastAsia="宋体" w:hint="default"/>
          <w:sz w:val="24"/>
          <w:szCs w:val="24"/>
        </w:rPr>
      </w:pPr>
    </w:p>
    <w:p>
      <w:pPr>
        <w:pStyle w:val="Heading4"/>
        <w:spacing w:line="240" w:lineRule="auto"/>
        <w:ind w:left="625" w:right="0"/>
        <w:jc w:val="left"/>
        <w:rPr>
          <w:b w:val="0"/>
          <w:bCs w:val="0"/>
        </w:rPr>
      </w:pPr>
      <w:r>
        <w:rPr/>
        <w:t>六、 董事会日常工作情况</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50"/>
        <w:ind w:left="625" w:right="0"/>
        <w:jc w:val="left"/>
        <w:rPr>
          <w:b w:val="0"/>
          <w:bCs w:val="0"/>
        </w:rPr>
      </w:pPr>
      <w:r>
        <w:rPr/>
        <w:t>（一） 董事会的会议情况及决议内容</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00" w:type="dxa"/>
        <w:tblLayout w:type="fixed"/>
        <w:tblCellMar>
          <w:top w:w="0" w:type="dxa"/>
          <w:left w:w="0" w:type="dxa"/>
          <w:bottom w:w="0" w:type="dxa"/>
          <w:right w:w="0" w:type="dxa"/>
        </w:tblCellMar>
        <w:tblLook w:val="01E0"/>
      </w:tblPr>
      <w:tblGrid>
        <w:gridCol w:w="1308"/>
        <w:gridCol w:w="1440"/>
        <w:gridCol w:w="3960"/>
        <w:gridCol w:w="1920"/>
        <w:gridCol w:w="1320"/>
      </w:tblGrid>
      <w:tr>
        <w:trPr>
          <w:trHeight w:val="420"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议案</w:t>
            </w:r>
            <w:r>
              <w:rPr>
                <w:rFonts w:ascii="宋体" w:hAnsi="宋体" w:cs="宋体" w:eastAsia="宋体" w:hint="default"/>
                <w:sz w:val="21"/>
                <w:szCs w:val="21"/>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b/>
                <w:bCs/>
                <w:sz w:val="21"/>
                <w:szCs w:val="21"/>
              </w:rPr>
              <w:t>披露媒体名称</w:t>
            </w:r>
            <w:r>
              <w:rPr>
                <w:rFonts w:ascii="宋体" w:hAnsi="宋体" w:cs="宋体" w:eastAsia="宋体" w:hint="default"/>
                <w:sz w:val="21"/>
                <w:szCs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r>
      <w:tr>
        <w:trPr>
          <w:trHeight w:val="826"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2011-1-24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会第一次临</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关于聘任王敏敏女士为公司副总裁</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中国证券报、证券</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时报、巨潮资讯网</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2011-1-25</w:t>
            </w:r>
          </w:p>
        </w:tc>
      </w:tr>
    </w:tbl>
    <w:p>
      <w:pPr>
        <w:spacing w:after="0" w:line="235" w:lineRule="exact"/>
        <w:jc w:val="left"/>
        <w:rPr>
          <w:rFonts w:ascii="Times New Roman" w:hAnsi="Times New Roman" w:cs="Times New Roman" w:eastAsia="Times New Roman" w:hint="default"/>
          <w:sz w:val="21"/>
          <w:szCs w:val="21"/>
        </w:rPr>
        <w:sectPr>
          <w:pgSz w:w="11910" w:h="16840"/>
          <w:pgMar w:header="850" w:footer="979" w:top="1200" w:bottom="1160" w:left="920" w:right="820"/>
        </w:sectPr>
      </w:pPr>
    </w:p>
    <w:tbl>
      <w:tblPr>
        <w:tblW w:w="0" w:type="auto"/>
        <w:jc w:val="left"/>
        <w:tblInd w:w="100" w:type="dxa"/>
        <w:tblLayout w:type="fixed"/>
        <w:tblCellMar>
          <w:top w:w="0" w:type="dxa"/>
          <w:left w:w="0" w:type="dxa"/>
          <w:bottom w:w="0" w:type="dxa"/>
          <w:right w:w="0" w:type="dxa"/>
        </w:tblCellMar>
        <w:tblLook w:val="01E0"/>
      </w:tblPr>
      <w:tblGrid>
        <w:gridCol w:w="1308"/>
        <w:gridCol w:w="1440"/>
        <w:gridCol w:w="3960"/>
        <w:gridCol w:w="1920"/>
        <w:gridCol w:w="1320"/>
      </w:tblGrid>
      <w:tr>
        <w:trPr>
          <w:trHeight w:val="430" w:hRule="exact"/>
        </w:trPr>
        <w:tc>
          <w:tcPr>
            <w:tcW w:w="1308" w:type="dxa"/>
            <w:tcBorders>
              <w:top w:val="single" w:sz="10" w:space="0" w:color="000000"/>
              <w:left w:val="single" w:sz="4" w:space="0" w:color="000000"/>
              <w:bottom w:val="single" w:sz="4" w:space="0" w:color="000000"/>
              <w:right w:val="single" w:sz="4" w:space="0" w:color="000000"/>
            </w:tcBorders>
          </w:tcPr>
          <w:p>
            <w:pPr/>
          </w:p>
        </w:tc>
        <w:tc>
          <w:tcPr>
            <w:tcW w:w="1440"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时会议</w:t>
            </w:r>
          </w:p>
        </w:tc>
        <w:tc>
          <w:tcPr>
            <w:tcW w:w="3960" w:type="dxa"/>
            <w:tcBorders>
              <w:top w:val="single" w:sz="10" w:space="0" w:color="000000"/>
              <w:left w:val="single" w:sz="4" w:space="0" w:color="000000"/>
              <w:bottom w:val="single" w:sz="4" w:space="0" w:color="000000"/>
              <w:right w:val="single" w:sz="4" w:space="0" w:color="000000"/>
            </w:tcBorders>
          </w:tcPr>
          <w:p>
            <w:pPr/>
          </w:p>
        </w:tc>
        <w:tc>
          <w:tcPr>
            <w:tcW w:w="1920" w:type="dxa"/>
            <w:tcBorders>
              <w:top w:val="single" w:sz="10" w:space="0" w:color="000000"/>
              <w:left w:val="single" w:sz="4" w:space="0" w:color="000000"/>
              <w:bottom w:val="single" w:sz="4" w:space="0" w:color="000000"/>
              <w:right w:val="single" w:sz="4" w:space="0" w:color="000000"/>
            </w:tcBorders>
          </w:tcPr>
          <w:p>
            <w:pPr/>
          </w:p>
        </w:tc>
        <w:tc>
          <w:tcPr>
            <w:tcW w:w="1320" w:type="dxa"/>
            <w:tcBorders>
              <w:top w:val="single" w:sz="10" w:space="0" w:color="000000"/>
              <w:left w:val="single" w:sz="4" w:space="0" w:color="000000"/>
              <w:bottom w:val="single" w:sz="4" w:space="0" w:color="000000"/>
              <w:right w:val="single" w:sz="4" w:space="0" w:color="000000"/>
            </w:tcBorders>
          </w:tcPr>
          <w:p>
            <w:pPr/>
          </w:p>
        </w:tc>
      </w:tr>
      <w:tr>
        <w:trPr>
          <w:trHeight w:val="420" w:hRule="exact"/>
        </w:trPr>
        <w:tc>
          <w:tcPr>
            <w:tcW w:w="1308" w:type="dxa"/>
            <w:vMerge w:val="restart"/>
            <w:tcBorders>
              <w:top w:val="single" w:sz="4" w:space="0" w:color="000000"/>
              <w:left w:val="single" w:sz="4" w:space="0" w:color="000000"/>
              <w:right w:val="single" w:sz="4" w:space="0" w:color="000000"/>
            </w:tcBorders>
          </w:tcPr>
          <w:p>
            <w:pPr>
              <w:pStyle w:val="TableParagraph"/>
              <w:spacing w:line="233" w:lineRule="exact"/>
              <w:ind w:left="264" w:right="0"/>
              <w:jc w:val="left"/>
              <w:rPr>
                <w:rFonts w:ascii="Times New Roman" w:hAnsi="Times New Roman" w:cs="Times New Roman" w:eastAsia="Times New Roman" w:hint="default"/>
                <w:sz w:val="21"/>
                <w:szCs w:val="21"/>
              </w:rPr>
            </w:pPr>
            <w:r>
              <w:rPr>
                <w:rFonts w:ascii="Times New Roman"/>
                <w:sz w:val="21"/>
              </w:rPr>
              <w:t>2011-3-7</w:t>
            </w:r>
          </w:p>
        </w:tc>
        <w:tc>
          <w:tcPr>
            <w:tcW w:w="1440" w:type="dxa"/>
            <w:vMerge w:val="restart"/>
            <w:tcBorders>
              <w:top w:val="single" w:sz="4" w:space="0" w:color="000000"/>
              <w:left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60"/>
                <w:sz w:val="21"/>
                <w:szCs w:val="21"/>
              </w:rPr>
              <w:t> </w:t>
            </w:r>
            <w:r>
              <w:rPr>
                <w:rFonts w:ascii="宋体" w:hAnsi="宋体" w:cs="宋体" w:eastAsia="宋体" w:hint="default"/>
                <w:spacing w:val="21"/>
                <w:sz w:val="21"/>
                <w:szCs w:val="21"/>
              </w:rPr>
              <w:t>四届</w:t>
            </w:r>
            <w:r>
              <w:rPr>
                <w:rFonts w:ascii="宋体" w:hAnsi="宋体" w:cs="宋体" w:eastAsia="宋体" w:hint="default"/>
                <w:spacing w:val="-60"/>
                <w:sz w:val="21"/>
                <w:szCs w:val="21"/>
              </w:rPr>
              <w:t> </w:t>
            </w:r>
            <w:r>
              <w:rPr>
                <w:rFonts w:ascii="宋体" w:hAnsi="宋体" w:cs="宋体" w:eastAsia="宋体" w:hint="default"/>
                <w:sz w:val="21"/>
                <w:szCs w:val="21"/>
              </w:rPr>
              <w:t>董</w:t>
            </w:r>
            <w:r>
              <w:rPr>
                <w:rFonts w:ascii="宋体" w:hAnsi="宋体" w:cs="宋体" w:eastAsia="宋体" w:hint="default"/>
                <w:spacing w:val="-63"/>
                <w:sz w:val="21"/>
                <w:szCs w:val="21"/>
              </w:rPr>
              <w:t> </w:t>
            </w:r>
            <w:r>
              <w:rPr>
                <w:rFonts w:ascii="宋体" w:hAnsi="宋体" w:cs="宋体" w:eastAsia="宋体" w:hint="default"/>
                <w:sz w:val="21"/>
                <w:szCs w:val="21"/>
              </w:rPr>
              <w:t>事</w:t>
            </w:r>
          </w:p>
          <w:p>
            <w:pPr>
              <w:pStyle w:val="TableParagraph"/>
              <w:spacing w:line="355" w:lineRule="auto" w:before="133"/>
              <w:ind w:left="103" w:right="98"/>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60"/>
                <w:sz w:val="21"/>
                <w:szCs w:val="21"/>
              </w:rPr>
              <w:t> </w:t>
            </w:r>
            <w:r>
              <w:rPr>
                <w:rFonts w:ascii="宋体" w:hAnsi="宋体" w:cs="宋体" w:eastAsia="宋体" w:hint="default"/>
                <w:spacing w:val="21"/>
                <w:sz w:val="21"/>
                <w:szCs w:val="21"/>
              </w:rPr>
              <w:t>第二</w:t>
            </w:r>
            <w:r>
              <w:rPr>
                <w:rFonts w:ascii="宋体" w:hAnsi="宋体" w:cs="宋体" w:eastAsia="宋体" w:hint="default"/>
                <w:spacing w:val="-60"/>
                <w:sz w:val="21"/>
                <w:szCs w:val="21"/>
              </w:rPr>
              <w:t> </w:t>
            </w:r>
            <w:r>
              <w:rPr>
                <w:rFonts w:ascii="宋体" w:hAnsi="宋体" w:cs="宋体" w:eastAsia="宋体" w:hint="default"/>
                <w:sz w:val="21"/>
                <w:szCs w:val="21"/>
              </w:rPr>
              <w:t>次</w:t>
            </w:r>
            <w:r>
              <w:rPr>
                <w:rFonts w:ascii="宋体" w:hAnsi="宋体" w:cs="宋体" w:eastAsia="宋体" w:hint="default"/>
                <w:spacing w:val="-63"/>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议</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年度董事会工作报告》</w:t>
            </w:r>
          </w:p>
        </w:tc>
        <w:tc>
          <w:tcPr>
            <w:tcW w:w="1920" w:type="dxa"/>
            <w:vMerge w:val="restart"/>
            <w:tcBorders>
              <w:top w:val="single" w:sz="4" w:space="0" w:color="000000"/>
              <w:left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中国证券报、证券</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时报、巨潮资讯网</w:t>
            </w:r>
          </w:p>
        </w:tc>
        <w:tc>
          <w:tcPr>
            <w:tcW w:w="1320" w:type="dxa"/>
            <w:vMerge w:val="restart"/>
            <w:tcBorders>
              <w:top w:val="single" w:sz="4" w:space="0" w:color="000000"/>
              <w:left w:val="single" w:sz="4" w:space="0" w:color="000000"/>
              <w:right w:val="single" w:sz="4" w:space="0" w:color="000000"/>
            </w:tcBorders>
          </w:tcPr>
          <w:p>
            <w:pPr>
              <w:pStyle w:val="TableParagraph"/>
              <w:spacing w:line="233" w:lineRule="exact"/>
              <w:ind w:left="103" w:right="0"/>
              <w:jc w:val="left"/>
              <w:rPr>
                <w:rFonts w:ascii="Times New Roman" w:hAnsi="Times New Roman" w:cs="Times New Roman" w:eastAsia="Times New Roman" w:hint="default"/>
                <w:sz w:val="21"/>
                <w:szCs w:val="21"/>
              </w:rPr>
            </w:pPr>
            <w:r>
              <w:rPr>
                <w:rFonts w:ascii="Times New Roman"/>
                <w:sz w:val="21"/>
              </w:rPr>
              <w:t>2011-3-9</w:t>
            </w:r>
          </w:p>
        </w:tc>
      </w:tr>
      <w:tr>
        <w:trPr>
          <w:trHeight w:val="418" w:hRule="exact"/>
        </w:trPr>
        <w:tc>
          <w:tcPr>
            <w:tcW w:w="130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年年度报告及摘要》</w:t>
            </w:r>
          </w:p>
        </w:tc>
        <w:tc>
          <w:tcPr>
            <w:tcW w:w="19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r>
      <w:tr>
        <w:trPr>
          <w:trHeight w:val="420" w:hRule="exact"/>
        </w:trPr>
        <w:tc>
          <w:tcPr>
            <w:tcW w:w="130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年度总裁工作报告》</w:t>
            </w:r>
          </w:p>
        </w:tc>
        <w:tc>
          <w:tcPr>
            <w:tcW w:w="19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r>
      <w:tr>
        <w:trPr>
          <w:trHeight w:val="418" w:hRule="exact"/>
        </w:trPr>
        <w:tc>
          <w:tcPr>
            <w:tcW w:w="130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年度利润分配预案》</w:t>
            </w:r>
          </w:p>
        </w:tc>
        <w:tc>
          <w:tcPr>
            <w:tcW w:w="19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r>
      <w:tr>
        <w:trPr>
          <w:trHeight w:val="418" w:hRule="exact"/>
        </w:trPr>
        <w:tc>
          <w:tcPr>
            <w:tcW w:w="130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年度财务决算报告》</w:t>
            </w:r>
          </w:p>
        </w:tc>
        <w:tc>
          <w:tcPr>
            <w:tcW w:w="19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r>
      <w:tr>
        <w:trPr>
          <w:trHeight w:val="828" w:hRule="exact"/>
        </w:trPr>
        <w:tc>
          <w:tcPr>
            <w:tcW w:w="130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关于公司《</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年度募集资金存放与使用</w:t>
            </w:r>
          </w:p>
          <w:p>
            <w:pPr>
              <w:pStyle w:val="TableParagraph"/>
              <w:spacing w:line="240" w:lineRule="auto" w:before="119"/>
              <w:ind w:left="103" w:right="0"/>
              <w:jc w:val="left"/>
              <w:rPr>
                <w:rFonts w:ascii="宋体" w:hAnsi="宋体" w:cs="宋体" w:eastAsia="宋体" w:hint="default"/>
                <w:sz w:val="21"/>
                <w:szCs w:val="21"/>
              </w:rPr>
            </w:pPr>
            <w:r>
              <w:rPr>
                <w:rFonts w:ascii="宋体" w:hAnsi="宋体" w:cs="宋体" w:eastAsia="宋体" w:hint="default"/>
                <w:sz w:val="21"/>
                <w:szCs w:val="21"/>
              </w:rPr>
              <w:t>情况的专项报告》</w:t>
            </w:r>
          </w:p>
        </w:tc>
        <w:tc>
          <w:tcPr>
            <w:tcW w:w="19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r>
      <w:tr>
        <w:trPr>
          <w:trHeight w:val="826" w:hRule="exact"/>
        </w:trPr>
        <w:tc>
          <w:tcPr>
            <w:tcW w:w="130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关于公司《</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年度内部控制自我评价报</w:t>
            </w:r>
          </w:p>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9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r>
      <w:tr>
        <w:trPr>
          <w:trHeight w:val="420" w:hRule="exact"/>
        </w:trPr>
        <w:tc>
          <w:tcPr>
            <w:tcW w:w="130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关于公司《高级管理人员</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年度薪酬》</w:t>
            </w:r>
          </w:p>
        </w:tc>
        <w:tc>
          <w:tcPr>
            <w:tcW w:w="19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r>
      <w:tr>
        <w:trPr>
          <w:trHeight w:val="418" w:hRule="exact"/>
        </w:trPr>
        <w:tc>
          <w:tcPr>
            <w:tcW w:w="130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关于调整公司独立董事津贴</w:t>
            </w:r>
          </w:p>
        </w:tc>
        <w:tc>
          <w:tcPr>
            <w:tcW w:w="19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r>
      <w:tr>
        <w:trPr>
          <w:trHeight w:val="828" w:hRule="exact"/>
        </w:trPr>
        <w:tc>
          <w:tcPr>
            <w:tcW w:w="130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关于续聘武汉众环会计师事务所有限责</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任公司担任公司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年度审计机构</w:t>
            </w:r>
          </w:p>
        </w:tc>
        <w:tc>
          <w:tcPr>
            <w:tcW w:w="19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r>
      <w:tr>
        <w:trPr>
          <w:trHeight w:val="418" w:hRule="exact"/>
        </w:trPr>
        <w:tc>
          <w:tcPr>
            <w:tcW w:w="130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年度股东大会</w:t>
            </w:r>
          </w:p>
        </w:tc>
        <w:tc>
          <w:tcPr>
            <w:tcW w:w="19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r>
      <w:tr>
        <w:trPr>
          <w:trHeight w:val="420" w:hRule="exact"/>
        </w:trPr>
        <w:tc>
          <w:tcPr>
            <w:tcW w:w="130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关于制订《对外投资管理制度》</w:t>
            </w:r>
          </w:p>
        </w:tc>
        <w:tc>
          <w:tcPr>
            <w:tcW w:w="19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r>
      <w:tr>
        <w:trPr>
          <w:trHeight w:val="826" w:hRule="exact"/>
        </w:trPr>
        <w:tc>
          <w:tcPr>
            <w:tcW w:w="130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关于制订《规范与关联方资金往来的管理</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制度》</w:t>
            </w:r>
          </w:p>
        </w:tc>
        <w:tc>
          <w:tcPr>
            <w:tcW w:w="19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r>
      <w:tr>
        <w:trPr>
          <w:trHeight w:val="420" w:hRule="exact"/>
        </w:trPr>
        <w:tc>
          <w:tcPr>
            <w:tcW w:w="1308"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年度社会责任报告》</w:t>
            </w:r>
          </w:p>
        </w:tc>
        <w:tc>
          <w:tcPr>
            <w:tcW w:w="1920"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r>
      <w:tr>
        <w:trPr>
          <w:trHeight w:val="123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Times New Roman" w:hAnsi="Times New Roman" w:cs="Times New Roman" w:eastAsia="Times New Roman" w:hint="default"/>
                <w:sz w:val="21"/>
                <w:szCs w:val="21"/>
              </w:rPr>
            </w:pPr>
            <w:r>
              <w:rPr>
                <w:rFonts w:ascii="Times New Roman"/>
                <w:sz w:val="21"/>
              </w:rPr>
              <w:t>2011-3-21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w:t>
            </w:r>
          </w:p>
          <w:p>
            <w:pPr>
              <w:pStyle w:val="TableParagraph"/>
              <w:spacing w:line="355" w:lineRule="auto" w:before="133"/>
              <w:ind w:left="103" w:right="271"/>
              <w:jc w:val="left"/>
              <w:rPr>
                <w:rFonts w:ascii="宋体" w:hAnsi="宋体" w:cs="宋体" w:eastAsia="宋体" w:hint="default"/>
                <w:sz w:val="21"/>
                <w:szCs w:val="21"/>
              </w:rPr>
            </w:pPr>
            <w:r>
              <w:rPr>
                <w:rFonts w:ascii="宋体" w:hAnsi="宋体" w:cs="宋体" w:eastAsia="宋体" w:hint="default"/>
                <w:sz w:val="21"/>
                <w:szCs w:val="21"/>
              </w:rPr>
              <w:t>会第二次临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时会议</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关于向全资子公司北海石基信息技术有</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限公司增资</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中国证券报、证券</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时报、巨潮资讯网</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Times New Roman" w:hAnsi="Times New Roman" w:cs="Times New Roman" w:eastAsia="Times New Roman" w:hint="default"/>
                <w:sz w:val="21"/>
                <w:szCs w:val="21"/>
              </w:rPr>
            </w:pPr>
            <w:r>
              <w:rPr>
                <w:rFonts w:ascii="Times New Roman"/>
                <w:sz w:val="21"/>
              </w:rPr>
              <w:t>2011-3-22</w:t>
            </w:r>
          </w:p>
        </w:tc>
      </w:tr>
      <w:tr>
        <w:trPr>
          <w:trHeight w:val="1236"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Times New Roman" w:hAnsi="Times New Roman" w:cs="Times New Roman" w:eastAsia="Times New Roman" w:hint="default"/>
                <w:sz w:val="21"/>
                <w:szCs w:val="21"/>
              </w:rPr>
            </w:pPr>
            <w:r>
              <w:rPr>
                <w:rFonts w:ascii="Times New Roman"/>
                <w:sz w:val="21"/>
              </w:rPr>
              <w:t>2011-3-30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w:t>
            </w:r>
          </w:p>
          <w:p>
            <w:pPr>
              <w:pStyle w:val="TableParagraph"/>
              <w:spacing w:line="355" w:lineRule="auto" w:before="133"/>
              <w:ind w:left="103" w:right="271"/>
              <w:jc w:val="left"/>
              <w:rPr>
                <w:rFonts w:ascii="宋体" w:hAnsi="宋体" w:cs="宋体" w:eastAsia="宋体" w:hint="default"/>
                <w:sz w:val="21"/>
                <w:szCs w:val="21"/>
              </w:rPr>
            </w:pPr>
            <w:r>
              <w:rPr>
                <w:rFonts w:ascii="宋体" w:hAnsi="宋体" w:cs="宋体" w:eastAsia="宋体" w:hint="default"/>
                <w:sz w:val="21"/>
                <w:szCs w:val="21"/>
              </w:rPr>
              <w:t>会第三次临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时会议</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关于增持控股子公司杭州西软科技有限</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公司股权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中国证券报、证券</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时报、巨潮资讯网</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Times New Roman" w:hAnsi="Times New Roman" w:cs="Times New Roman" w:eastAsia="Times New Roman" w:hint="default"/>
                <w:sz w:val="21"/>
                <w:szCs w:val="21"/>
              </w:rPr>
            </w:pPr>
            <w:r>
              <w:rPr>
                <w:rFonts w:ascii="Times New Roman"/>
                <w:sz w:val="21"/>
              </w:rPr>
              <w:t>2011-3-31</w:t>
            </w:r>
          </w:p>
        </w:tc>
      </w:tr>
      <w:tr>
        <w:trPr>
          <w:trHeight w:val="420" w:hRule="exact"/>
        </w:trPr>
        <w:tc>
          <w:tcPr>
            <w:tcW w:w="1308" w:type="dxa"/>
            <w:vMerge w:val="restart"/>
            <w:tcBorders>
              <w:top w:val="single" w:sz="4" w:space="0" w:color="000000"/>
              <w:left w:val="single" w:sz="4" w:space="0" w:color="000000"/>
              <w:right w:val="single" w:sz="4" w:space="0" w:color="000000"/>
            </w:tcBorders>
          </w:tcPr>
          <w:p>
            <w:pPr>
              <w:pStyle w:val="TableParagraph"/>
              <w:spacing w:line="230" w:lineRule="exact"/>
              <w:ind w:left="103" w:right="0"/>
              <w:jc w:val="left"/>
              <w:rPr>
                <w:rFonts w:ascii="Times New Roman" w:hAnsi="Times New Roman" w:cs="Times New Roman" w:eastAsia="Times New Roman" w:hint="default"/>
                <w:sz w:val="21"/>
                <w:szCs w:val="21"/>
              </w:rPr>
            </w:pPr>
            <w:r>
              <w:rPr>
                <w:rFonts w:ascii="Times New Roman"/>
                <w:sz w:val="21"/>
              </w:rPr>
              <w:t>2011-4-22</w:t>
            </w:r>
          </w:p>
        </w:tc>
        <w:tc>
          <w:tcPr>
            <w:tcW w:w="1440" w:type="dxa"/>
            <w:vMerge w:val="restart"/>
            <w:tcBorders>
              <w:top w:val="single" w:sz="4" w:space="0" w:color="000000"/>
              <w:left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w:t>
            </w:r>
          </w:p>
          <w:p>
            <w:pPr>
              <w:pStyle w:val="TableParagraph"/>
              <w:spacing w:line="355" w:lineRule="auto" w:before="135"/>
              <w:ind w:left="103" w:right="271"/>
              <w:jc w:val="left"/>
              <w:rPr>
                <w:rFonts w:ascii="宋体" w:hAnsi="宋体" w:cs="宋体" w:eastAsia="宋体" w:hint="default"/>
                <w:sz w:val="21"/>
                <w:szCs w:val="21"/>
              </w:rPr>
            </w:pPr>
            <w:r>
              <w:rPr>
                <w:rFonts w:ascii="宋体" w:hAnsi="宋体" w:cs="宋体" w:eastAsia="宋体" w:hint="default"/>
                <w:sz w:val="21"/>
                <w:szCs w:val="21"/>
              </w:rPr>
              <w:t>会第四次临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时会议</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关于调整股票期权激励计划激励对象</w:t>
            </w:r>
          </w:p>
        </w:tc>
        <w:tc>
          <w:tcPr>
            <w:tcW w:w="1920" w:type="dxa"/>
            <w:vMerge w:val="restart"/>
            <w:tcBorders>
              <w:top w:val="single" w:sz="4" w:space="0" w:color="000000"/>
              <w:left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中国证券报、证券</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时报、巨潮资讯网</w:t>
            </w:r>
          </w:p>
        </w:tc>
        <w:tc>
          <w:tcPr>
            <w:tcW w:w="1320" w:type="dxa"/>
            <w:vMerge w:val="restart"/>
            <w:tcBorders>
              <w:top w:val="single" w:sz="4" w:space="0" w:color="000000"/>
              <w:left w:val="single" w:sz="4" w:space="0" w:color="000000"/>
              <w:right w:val="single" w:sz="4" w:space="0" w:color="000000"/>
            </w:tcBorders>
          </w:tcPr>
          <w:p>
            <w:pPr>
              <w:pStyle w:val="TableParagraph"/>
              <w:spacing w:line="230" w:lineRule="exact"/>
              <w:ind w:left="103" w:right="0"/>
              <w:jc w:val="left"/>
              <w:rPr>
                <w:rFonts w:ascii="Times New Roman" w:hAnsi="Times New Roman" w:cs="Times New Roman" w:eastAsia="Times New Roman" w:hint="default"/>
                <w:sz w:val="21"/>
                <w:szCs w:val="21"/>
              </w:rPr>
            </w:pPr>
            <w:r>
              <w:rPr>
                <w:rFonts w:ascii="Times New Roman"/>
                <w:sz w:val="21"/>
              </w:rPr>
              <w:t>2011-4-25</w:t>
            </w:r>
          </w:p>
        </w:tc>
      </w:tr>
      <w:tr>
        <w:trPr>
          <w:trHeight w:val="418" w:hRule="exact"/>
        </w:trPr>
        <w:tc>
          <w:tcPr>
            <w:tcW w:w="130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关于调整股票期权数量和行权价格</w:t>
            </w:r>
          </w:p>
        </w:tc>
        <w:tc>
          <w:tcPr>
            <w:tcW w:w="19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r>
      <w:tr>
        <w:trPr>
          <w:trHeight w:val="828" w:hRule="exact"/>
        </w:trPr>
        <w:tc>
          <w:tcPr>
            <w:tcW w:w="130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关于公司股票期权激励计划已授予的股</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票期权第一个行权期可行权</w:t>
            </w:r>
          </w:p>
        </w:tc>
        <w:tc>
          <w:tcPr>
            <w:tcW w:w="19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r>
      <w:tr>
        <w:trPr>
          <w:trHeight w:val="418" w:hRule="exact"/>
        </w:trPr>
        <w:tc>
          <w:tcPr>
            <w:tcW w:w="1308"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年第一季度报告正文及全文</w:t>
            </w:r>
          </w:p>
        </w:tc>
        <w:tc>
          <w:tcPr>
            <w:tcW w:w="1920"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r>
      <w:tr>
        <w:trPr>
          <w:trHeight w:val="828" w:hRule="exact"/>
        </w:trPr>
        <w:tc>
          <w:tcPr>
            <w:tcW w:w="1308" w:type="dxa"/>
            <w:vMerge w:val="restart"/>
            <w:tcBorders>
              <w:top w:val="single" w:sz="4" w:space="0" w:color="000000"/>
              <w:left w:val="single" w:sz="4" w:space="0" w:color="000000"/>
              <w:right w:val="single" w:sz="4" w:space="0" w:color="000000"/>
            </w:tcBorders>
          </w:tcPr>
          <w:p>
            <w:pPr>
              <w:pStyle w:val="TableParagraph"/>
              <w:spacing w:line="230" w:lineRule="exact"/>
              <w:ind w:left="103" w:right="0"/>
              <w:jc w:val="left"/>
              <w:rPr>
                <w:rFonts w:ascii="Times New Roman" w:hAnsi="Times New Roman" w:cs="Times New Roman" w:eastAsia="Times New Roman" w:hint="default"/>
                <w:sz w:val="21"/>
                <w:szCs w:val="21"/>
              </w:rPr>
            </w:pPr>
            <w:r>
              <w:rPr>
                <w:rFonts w:ascii="Times New Roman"/>
                <w:sz w:val="21"/>
              </w:rPr>
              <w:t>2011-6-17</w:t>
            </w:r>
          </w:p>
        </w:tc>
        <w:tc>
          <w:tcPr>
            <w:tcW w:w="1440" w:type="dxa"/>
            <w:vMerge w:val="restart"/>
            <w:tcBorders>
              <w:top w:val="single" w:sz="4" w:space="0" w:color="000000"/>
              <w:left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w:t>
            </w:r>
          </w:p>
          <w:p>
            <w:pPr>
              <w:pStyle w:val="TableParagraph"/>
              <w:spacing w:line="357" w:lineRule="auto" w:before="133"/>
              <w:ind w:left="103" w:right="271"/>
              <w:jc w:val="left"/>
              <w:rPr>
                <w:rFonts w:ascii="宋体" w:hAnsi="宋体" w:cs="宋体" w:eastAsia="宋体" w:hint="default"/>
                <w:sz w:val="21"/>
                <w:szCs w:val="21"/>
              </w:rPr>
            </w:pPr>
            <w:r>
              <w:rPr>
                <w:rFonts w:ascii="宋体" w:hAnsi="宋体" w:cs="宋体" w:eastAsia="宋体" w:hint="default"/>
                <w:sz w:val="21"/>
                <w:szCs w:val="21"/>
              </w:rPr>
              <w:t>会第五次临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时会议</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关于聘任罗芳女士为公司副总裁兼董事</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会秘书</w:t>
            </w:r>
          </w:p>
        </w:tc>
        <w:tc>
          <w:tcPr>
            <w:tcW w:w="1920" w:type="dxa"/>
            <w:vMerge w:val="restart"/>
            <w:tcBorders>
              <w:top w:val="single" w:sz="4" w:space="0" w:color="000000"/>
              <w:left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中国证券报、证券</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时报、巨潮资讯网</w:t>
            </w:r>
          </w:p>
        </w:tc>
        <w:tc>
          <w:tcPr>
            <w:tcW w:w="1320" w:type="dxa"/>
            <w:vMerge w:val="restart"/>
            <w:tcBorders>
              <w:top w:val="single" w:sz="4" w:space="0" w:color="000000"/>
              <w:left w:val="single" w:sz="4" w:space="0" w:color="000000"/>
              <w:right w:val="single" w:sz="4" w:space="0" w:color="000000"/>
            </w:tcBorders>
          </w:tcPr>
          <w:p>
            <w:pPr>
              <w:pStyle w:val="TableParagraph"/>
              <w:spacing w:line="230" w:lineRule="exact"/>
              <w:ind w:left="103" w:right="0"/>
              <w:jc w:val="left"/>
              <w:rPr>
                <w:rFonts w:ascii="Times New Roman" w:hAnsi="Times New Roman" w:cs="Times New Roman" w:eastAsia="Times New Roman" w:hint="default"/>
                <w:sz w:val="21"/>
                <w:szCs w:val="21"/>
              </w:rPr>
            </w:pPr>
            <w:r>
              <w:rPr>
                <w:rFonts w:ascii="Times New Roman"/>
                <w:sz w:val="21"/>
              </w:rPr>
              <w:t>2011-6-18</w:t>
            </w:r>
          </w:p>
        </w:tc>
      </w:tr>
      <w:tr>
        <w:trPr>
          <w:trHeight w:val="418" w:hRule="exact"/>
        </w:trPr>
        <w:tc>
          <w:tcPr>
            <w:tcW w:w="130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关于制定子公司管理制度</w:t>
            </w:r>
          </w:p>
        </w:tc>
        <w:tc>
          <w:tcPr>
            <w:tcW w:w="19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r>
      <w:tr>
        <w:trPr>
          <w:trHeight w:val="418" w:hRule="exact"/>
        </w:trPr>
        <w:tc>
          <w:tcPr>
            <w:tcW w:w="1308"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关于用自有资金进行投资理财事项</w:t>
            </w:r>
          </w:p>
        </w:tc>
        <w:tc>
          <w:tcPr>
            <w:tcW w:w="1920"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r>
    </w:tbl>
    <w:p>
      <w:pPr>
        <w:spacing w:after="0"/>
        <w:sectPr>
          <w:pgSz w:w="11910" w:h="16840"/>
          <w:pgMar w:header="850" w:footer="979" w:top="1260" w:bottom="1160" w:left="920" w:right="820"/>
        </w:sectPr>
      </w:pPr>
    </w:p>
    <w:p>
      <w:pPr>
        <w:spacing w:line="240" w:lineRule="auto" w:before="5"/>
        <w:rPr>
          <w:rFonts w:ascii="宋体" w:hAnsi="宋体" w:cs="宋体" w:eastAsia="宋体" w:hint="default"/>
          <w:b/>
          <w:bCs/>
          <w:sz w:val="3"/>
          <w:szCs w:val="3"/>
        </w:rPr>
      </w:pPr>
    </w:p>
    <w:tbl>
      <w:tblPr>
        <w:tblW w:w="0" w:type="auto"/>
        <w:jc w:val="left"/>
        <w:tblInd w:w="100" w:type="dxa"/>
        <w:tblLayout w:type="fixed"/>
        <w:tblCellMar>
          <w:top w:w="0" w:type="dxa"/>
          <w:left w:w="0" w:type="dxa"/>
          <w:bottom w:w="0" w:type="dxa"/>
          <w:right w:w="0" w:type="dxa"/>
        </w:tblCellMar>
        <w:tblLook w:val="01E0"/>
      </w:tblPr>
      <w:tblGrid>
        <w:gridCol w:w="1308"/>
        <w:gridCol w:w="1440"/>
        <w:gridCol w:w="3960"/>
        <w:gridCol w:w="1920"/>
        <w:gridCol w:w="1320"/>
      </w:tblGrid>
      <w:tr>
        <w:trPr>
          <w:trHeight w:val="430" w:hRule="exact"/>
        </w:trPr>
        <w:tc>
          <w:tcPr>
            <w:tcW w:w="1308" w:type="dxa"/>
            <w:vMerge w:val="restart"/>
            <w:tcBorders>
              <w:top w:val="single" w:sz="10" w:space="0" w:color="000000"/>
              <w:left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2011-8-18</w:t>
            </w:r>
          </w:p>
        </w:tc>
        <w:tc>
          <w:tcPr>
            <w:tcW w:w="1440" w:type="dxa"/>
            <w:vMerge w:val="restart"/>
            <w:tcBorders>
              <w:top w:val="single" w:sz="10" w:space="0" w:color="000000"/>
              <w:left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w:t>
            </w:r>
          </w:p>
          <w:p>
            <w:pPr>
              <w:pStyle w:val="TableParagraph"/>
              <w:spacing w:line="357" w:lineRule="auto" w:before="133"/>
              <w:ind w:left="103" w:right="271"/>
              <w:jc w:val="left"/>
              <w:rPr>
                <w:rFonts w:ascii="宋体" w:hAnsi="宋体" w:cs="宋体" w:eastAsia="宋体" w:hint="default"/>
                <w:sz w:val="21"/>
                <w:szCs w:val="21"/>
              </w:rPr>
            </w:pPr>
            <w:r>
              <w:rPr>
                <w:rFonts w:ascii="宋体" w:hAnsi="宋体" w:cs="宋体" w:eastAsia="宋体" w:hint="default"/>
                <w:sz w:val="21"/>
                <w:szCs w:val="21"/>
              </w:rPr>
              <w:t>会第三次会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w:t>
            </w:r>
          </w:p>
        </w:tc>
        <w:tc>
          <w:tcPr>
            <w:tcW w:w="3960" w:type="dxa"/>
            <w:tcBorders>
              <w:top w:val="single" w:sz="10"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年半年度报告全文及摘要</w:t>
            </w:r>
          </w:p>
        </w:tc>
        <w:tc>
          <w:tcPr>
            <w:tcW w:w="1920" w:type="dxa"/>
            <w:vMerge w:val="restart"/>
            <w:tcBorders>
              <w:top w:val="single" w:sz="10" w:space="0" w:color="000000"/>
              <w:left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中国证券报、证券</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时报、巨潮资讯网</w:t>
            </w:r>
          </w:p>
        </w:tc>
        <w:tc>
          <w:tcPr>
            <w:tcW w:w="1320" w:type="dxa"/>
            <w:vMerge w:val="restart"/>
            <w:tcBorders>
              <w:top w:val="single" w:sz="10" w:space="0" w:color="000000"/>
              <w:left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2011-8-20</w:t>
            </w:r>
          </w:p>
        </w:tc>
      </w:tr>
      <w:tr>
        <w:trPr>
          <w:trHeight w:val="420" w:hRule="exact"/>
        </w:trPr>
        <w:tc>
          <w:tcPr>
            <w:tcW w:w="130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关于向银行申请综合授信额度</w:t>
            </w:r>
          </w:p>
        </w:tc>
        <w:tc>
          <w:tcPr>
            <w:tcW w:w="1920"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r>
      <w:tr>
        <w:trPr>
          <w:trHeight w:val="826" w:hRule="exact"/>
        </w:trPr>
        <w:tc>
          <w:tcPr>
            <w:tcW w:w="1308"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关于签署</w:t>
            </w:r>
            <w:r>
              <w:rPr>
                <w:rFonts w:ascii="Times New Roman" w:hAnsi="Times New Roman" w:cs="Times New Roman" w:eastAsia="Times New Roman" w:hint="default"/>
                <w:sz w:val="21"/>
                <w:szCs w:val="21"/>
              </w:rPr>
              <w:t>&lt;</w:t>
            </w:r>
            <w:r>
              <w:rPr>
                <w:rFonts w:ascii="宋体" w:hAnsi="宋体" w:cs="宋体" w:eastAsia="宋体" w:hint="default"/>
                <w:sz w:val="21"/>
                <w:szCs w:val="21"/>
              </w:rPr>
              <w:t>上海正品贵德软件有限公司股</w:t>
            </w:r>
          </w:p>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权转让框架协议</w:t>
            </w:r>
            <w:r>
              <w:rPr>
                <w:rFonts w:ascii="Times New Roman" w:hAnsi="Times New Roman" w:cs="Times New Roman" w:eastAsia="Times New Roman" w:hint="default"/>
                <w:sz w:val="21"/>
                <w:szCs w:val="21"/>
              </w:rPr>
              <w:t>&gt;</w:t>
            </w:r>
            <w:r>
              <w:rPr>
                <w:rFonts w:ascii="宋体" w:hAnsi="宋体" w:cs="宋体" w:eastAsia="宋体" w:hint="default"/>
                <w:sz w:val="21"/>
                <w:szCs w:val="21"/>
              </w:rPr>
              <w:t>及相关事项</w:t>
            </w:r>
          </w:p>
        </w:tc>
        <w:tc>
          <w:tcPr>
            <w:tcW w:w="1920"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r>
      <w:tr>
        <w:trPr>
          <w:trHeight w:val="1236"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2011-9-28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w:t>
            </w:r>
          </w:p>
          <w:p>
            <w:pPr>
              <w:pStyle w:val="TableParagraph"/>
              <w:spacing w:line="355" w:lineRule="auto" w:before="133"/>
              <w:ind w:left="103" w:right="271"/>
              <w:jc w:val="left"/>
              <w:rPr>
                <w:rFonts w:ascii="宋体" w:hAnsi="宋体" w:cs="宋体" w:eastAsia="宋体" w:hint="default"/>
                <w:sz w:val="21"/>
                <w:szCs w:val="21"/>
              </w:rPr>
            </w:pPr>
            <w:r>
              <w:rPr>
                <w:rFonts w:ascii="宋体" w:hAnsi="宋体" w:cs="宋体" w:eastAsia="宋体" w:hint="default"/>
                <w:sz w:val="21"/>
                <w:szCs w:val="21"/>
              </w:rPr>
              <w:t>会第六次临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时会议</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北京中长石基信息技术股份有限公司内</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部控制规则落实情况自查表及整改计划</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中国证券报、证券</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时报、巨潮资讯网</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2011-9-29</w:t>
            </w:r>
          </w:p>
        </w:tc>
      </w:tr>
      <w:tr>
        <w:trPr>
          <w:trHeight w:val="1236"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2011-10-27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w:t>
            </w:r>
          </w:p>
          <w:p>
            <w:pPr>
              <w:pStyle w:val="TableParagraph"/>
              <w:spacing w:line="355" w:lineRule="auto" w:before="135"/>
              <w:ind w:left="103" w:right="271"/>
              <w:jc w:val="left"/>
              <w:rPr>
                <w:rFonts w:ascii="宋体" w:hAnsi="宋体" w:cs="宋体" w:eastAsia="宋体" w:hint="default"/>
                <w:sz w:val="21"/>
                <w:szCs w:val="21"/>
              </w:rPr>
            </w:pPr>
            <w:r>
              <w:rPr>
                <w:rFonts w:ascii="宋体" w:hAnsi="宋体" w:cs="宋体" w:eastAsia="宋体" w:hint="default"/>
                <w:sz w:val="21"/>
                <w:szCs w:val="21"/>
              </w:rPr>
              <w:t>会第七次临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时会议</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年第三季度报告正文及全文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中国证券报、证券</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时报、巨潮资讯网</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2011-10-28</w:t>
            </w:r>
          </w:p>
        </w:tc>
      </w:tr>
      <w:tr>
        <w:trPr>
          <w:trHeight w:val="1236"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2011-12-27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w:t>
            </w:r>
          </w:p>
          <w:p>
            <w:pPr>
              <w:pStyle w:val="TableParagraph"/>
              <w:spacing w:line="357" w:lineRule="auto" w:before="133"/>
              <w:ind w:left="103" w:right="271"/>
              <w:jc w:val="left"/>
              <w:rPr>
                <w:rFonts w:ascii="宋体" w:hAnsi="宋体" w:cs="宋体" w:eastAsia="宋体" w:hint="default"/>
                <w:sz w:val="21"/>
                <w:szCs w:val="21"/>
              </w:rPr>
            </w:pPr>
            <w:r>
              <w:rPr>
                <w:rFonts w:ascii="宋体" w:hAnsi="宋体" w:cs="宋体" w:eastAsia="宋体" w:hint="default"/>
                <w:sz w:val="21"/>
                <w:szCs w:val="21"/>
              </w:rPr>
              <w:t>会第八次临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时会议</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《关于修订</w:t>
            </w:r>
            <w:r>
              <w:rPr>
                <w:rFonts w:ascii="Times New Roman" w:hAnsi="Times New Roman" w:cs="Times New Roman" w:eastAsia="Times New Roman" w:hint="default"/>
                <w:sz w:val="21"/>
                <w:szCs w:val="21"/>
              </w:rPr>
              <w:t>&lt;</w:t>
            </w:r>
            <w:r>
              <w:rPr>
                <w:rFonts w:ascii="宋体" w:hAnsi="宋体" w:cs="宋体" w:eastAsia="宋体" w:hint="default"/>
                <w:sz w:val="21"/>
                <w:szCs w:val="21"/>
              </w:rPr>
              <w:t>内幕信息知情人登记管理制</w:t>
            </w:r>
          </w:p>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中国证券报、证券</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时报、巨潮资讯网</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2011-12-28</w:t>
            </w:r>
          </w:p>
        </w:tc>
      </w:tr>
    </w:tbl>
    <w:p>
      <w:pPr>
        <w:spacing w:line="240" w:lineRule="auto" w:before="4"/>
        <w:rPr>
          <w:rFonts w:ascii="宋体" w:hAnsi="宋体" w:cs="宋体" w:eastAsia="宋体" w:hint="default"/>
          <w:b/>
          <w:bCs/>
          <w:sz w:val="22"/>
          <w:szCs w:val="22"/>
        </w:rPr>
      </w:pPr>
    </w:p>
    <w:p>
      <w:pPr>
        <w:pStyle w:val="BodyText"/>
        <w:spacing w:line="355" w:lineRule="auto" w:before="36"/>
        <w:ind w:left="212" w:right="314" w:firstLine="412"/>
        <w:jc w:val="both"/>
      </w:pPr>
      <w:r>
        <w:rPr>
          <w:spacing w:val="-2"/>
        </w:rPr>
        <w:t>报告期内，本公司董事会共召开十次会议，会议的通知、召开、表决程序以及会议的提案、议案等符</w:t>
      </w:r>
      <w:r>
        <w:rPr>
          <w:spacing w:val="-3"/>
          <w:w w:val="100"/>
        </w:rPr>
        <w:t> </w:t>
      </w:r>
      <w:r>
        <w:rPr/>
        <w:t>合《公司法》、《公司章程》、《董事会议事规则》等法律、法规的规定和监管部门的规范要求。</w:t>
      </w:r>
    </w:p>
    <w:p>
      <w:pPr>
        <w:pStyle w:val="BodyText"/>
        <w:spacing w:line="338" w:lineRule="auto" w:before="32"/>
        <w:ind w:left="212" w:right="308" w:firstLine="419"/>
        <w:jc w:val="both"/>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24</w:t>
      </w:r>
      <w:r>
        <w:rPr>
          <w:spacing w:val="-2"/>
        </w:rPr>
        <w:t>日以通讯表决的方式召开了第四届董事会第一次临时会议，审议通过了关于聘</w:t>
      </w:r>
      <w:r>
        <w:rPr>
          <w:w w:val="100"/>
        </w:rPr>
        <w:t> </w:t>
      </w:r>
      <w:r>
        <w:rPr/>
        <w:t>任王敏敏女士为公司副总裁的议案，该次会议决议公告刊登于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日的《中国证券报》、《证券</w:t>
      </w:r>
      <w:r>
        <w:rPr>
          <w:spacing w:val="-28"/>
        </w:rPr>
        <w:t> </w:t>
      </w:r>
      <w:r>
        <w:rPr>
          <w:spacing w:val="-28"/>
        </w:rPr>
      </w:r>
      <w:r>
        <w:rPr/>
        <w:t>时报》及巨潮资讯网</w:t>
      </w:r>
      <w:r>
        <w:rPr>
          <w:spacing w:val="-21"/>
        </w:rPr>
        <w:t> </w:t>
      </w:r>
      <w:r>
        <w:rPr>
          <w:rFonts w:ascii="Times New Roman" w:hAnsi="Times New Roman" w:cs="Times New Roman" w:eastAsia="Times New Roman" w:hint="default"/>
        </w:rPr>
        <w:t>(www.cninfo.com.cn)</w:t>
      </w:r>
      <w:r>
        <w:rPr/>
        <w:t>。</w:t>
      </w:r>
    </w:p>
    <w:p>
      <w:pPr>
        <w:pStyle w:val="BodyText"/>
        <w:spacing w:line="240" w:lineRule="auto" w:before="22"/>
        <w:ind w:left="632" w:right="0"/>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日以现场表决的方式召开了第四届董事会第二次会议，审议通过了：关于公司</w:t>
      </w:r>
    </w:p>
    <w:p>
      <w:pPr>
        <w:pStyle w:val="BodyText"/>
        <w:spacing w:line="338" w:lineRule="auto" w:before="117"/>
        <w:ind w:left="212" w:right="312"/>
        <w:jc w:val="both"/>
      </w:pPr>
      <w:r>
        <w:rPr>
          <w:spacing w:val="-2"/>
        </w:rPr>
        <w:t>《</w:t>
      </w:r>
      <w:r>
        <w:rPr>
          <w:rFonts w:ascii="Times New Roman" w:hAnsi="Times New Roman" w:cs="Times New Roman" w:eastAsia="Times New Roman" w:hint="default"/>
          <w:spacing w:val="-2"/>
        </w:rPr>
        <w:t>2010</w:t>
      </w:r>
      <w:r>
        <w:rPr>
          <w:spacing w:val="-2"/>
        </w:rPr>
        <w:t>年度董事会工作报告》的议案，关于公司《</w:t>
      </w:r>
      <w:r>
        <w:rPr>
          <w:rFonts w:ascii="Times New Roman" w:hAnsi="Times New Roman" w:cs="Times New Roman" w:eastAsia="Times New Roman" w:hint="default"/>
          <w:spacing w:val="-2"/>
        </w:rPr>
        <w:t>2010</w:t>
      </w:r>
      <w:r>
        <w:rPr>
          <w:spacing w:val="-2"/>
        </w:rPr>
        <w:t>年年度报告及摘要》的议案，关于公司《</w:t>
      </w:r>
      <w:r>
        <w:rPr>
          <w:rFonts w:ascii="Times New Roman" w:hAnsi="Times New Roman" w:cs="Times New Roman" w:eastAsia="Times New Roman" w:hint="default"/>
          <w:spacing w:val="-2"/>
        </w:rPr>
        <w:t>2010</w:t>
      </w:r>
      <w:r>
        <w:rPr>
          <w:spacing w:val="-2"/>
        </w:rPr>
        <w:t>年度</w:t>
      </w:r>
      <w:r>
        <w:rPr>
          <w:spacing w:val="-37"/>
        </w:rPr>
        <w:t> </w:t>
      </w:r>
      <w:r>
        <w:rPr>
          <w:spacing w:val="-2"/>
        </w:rPr>
        <w:t>总裁工作报告》等</w:t>
      </w:r>
      <w:r>
        <w:rPr>
          <w:rFonts w:ascii="Times New Roman" w:hAnsi="Times New Roman" w:cs="Times New Roman" w:eastAsia="Times New Roman" w:hint="default"/>
          <w:spacing w:val="-2"/>
        </w:rPr>
        <w:t>14</w:t>
      </w:r>
      <w:r>
        <w:rPr>
          <w:spacing w:val="-2"/>
        </w:rPr>
        <w:t>项议案，该次会议决议公告刊登于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spacing w:val="-2"/>
        </w:rPr>
        <w:t>日的《中国证券报》、《证券时报》及</w:t>
      </w:r>
      <w:r>
        <w:rPr>
          <w:spacing w:val="-43"/>
        </w:rPr>
        <w:t> </w:t>
      </w:r>
      <w:r>
        <w:rPr>
          <w:spacing w:val="-43"/>
        </w:rPr>
      </w:r>
      <w:r>
        <w:rPr/>
        <w:t>巨潮资讯网</w:t>
      </w:r>
      <w:r>
        <w:rPr>
          <w:spacing w:val="-22"/>
        </w:rPr>
        <w:t> </w:t>
      </w:r>
      <w:r>
        <w:rPr>
          <w:rFonts w:ascii="Times New Roman" w:hAnsi="Times New Roman" w:cs="Times New Roman" w:eastAsia="Times New Roman" w:hint="default"/>
        </w:rPr>
        <w:t>(www.cninfo.com.cn)</w:t>
      </w:r>
      <w:r>
        <w:rPr/>
        <w:t>。</w:t>
      </w:r>
    </w:p>
    <w:p>
      <w:pPr>
        <w:pStyle w:val="BodyText"/>
        <w:spacing w:line="336" w:lineRule="auto" w:before="22"/>
        <w:ind w:left="213" w:right="307" w:firstLine="419"/>
        <w:jc w:val="both"/>
      </w:pP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21</w:t>
      </w:r>
      <w:r>
        <w:rPr>
          <w:spacing w:val="-2"/>
        </w:rPr>
        <w:t>日以通讯表决的方式召开了第四届董事会第二次临时会议，审议通过了关于向</w:t>
      </w:r>
      <w:r>
        <w:rPr>
          <w:w w:val="100"/>
        </w:rPr>
        <w:t> </w:t>
      </w:r>
      <w:r>
        <w:rPr/>
        <w:t>全资子公司北海石基信息技术有限公司增资的议案，该次会议决议公告刊登于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日的《中国证</w:t>
      </w:r>
      <w:r>
        <w:rPr>
          <w:spacing w:val="-28"/>
        </w:rPr>
        <w:t> </w:t>
      </w:r>
      <w:r>
        <w:rPr>
          <w:spacing w:val="-28"/>
        </w:rPr>
      </w:r>
      <w:r>
        <w:rPr/>
        <w:t>券报》、《证券时报》及巨潮资讯网</w:t>
      </w:r>
      <w:r>
        <w:rPr>
          <w:spacing w:val="-24"/>
        </w:rPr>
        <w:t> </w:t>
      </w:r>
      <w:r>
        <w:rPr>
          <w:rFonts w:ascii="Times New Roman" w:hAnsi="Times New Roman" w:cs="Times New Roman" w:eastAsia="Times New Roman" w:hint="default"/>
        </w:rPr>
        <w:t>(www.cninfo.com.cn)</w:t>
      </w:r>
      <w:r>
        <w:rPr/>
        <w:t>。</w:t>
      </w:r>
    </w:p>
    <w:p>
      <w:pPr>
        <w:pStyle w:val="BodyText"/>
        <w:spacing w:line="338" w:lineRule="auto" w:before="24"/>
        <w:ind w:left="213" w:right="307" w:firstLine="419"/>
        <w:jc w:val="both"/>
      </w:pP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30</w:t>
      </w:r>
      <w:r>
        <w:rPr>
          <w:spacing w:val="-2"/>
        </w:rPr>
        <w:t>日以通讯表决的方式召开了第四届董事会第三次临时会议，审议通过了关于增</w:t>
      </w:r>
      <w:r>
        <w:rPr>
          <w:w w:val="100"/>
        </w:rPr>
        <w:t> </w:t>
      </w:r>
      <w:r>
        <w:rPr/>
        <w:t>持控股子公司杭州西软科技有限公司股权的议案，该次会议决议公告刊登于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日的《中国证券</w:t>
      </w:r>
      <w:r>
        <w:rPr>
          <w:spacing w:val="-29"/>
        </w:rPr>
        <w:t> </w:t>
      </w:r>
      <w:r>
        <w:rPr>
          <w:spacing w:val="-29"/>
        </w:rPr>
      </w:r>
      <w:r>
        <w:rPr/>
        <w:t>报》、《证券时报》及巨潮资讯网</w:t>
      </w:r>
      <w:r>
        <w:rPr>
          <w:spacing w:val="-24"/>
        </w:rPr>
        <w:t> </w:t>
      </w:r>
      <w:r>
        <w:rPr>
          <w:rFonts w:ascii="Times New Roman" w:hAnsi="Times New Roman" w:cs="Times New Roman" w:eastAsia="Times New Roman" w:hint="default"/>
        </w:rPr>
        <w:t>(www.cninfo.com.cn)</w:t>
      </w:r>
      <w:r>
        <w:rPr/>
        <w:t>。</w:t>
      </w:r>
    </w:p>
    <w:p>
      <w:pPr>
        <w:pStyle w:val="BodyText"/>
        <w:spacing w:line="336" w:lineRule="auto" w:before="22"/>
        <w:ind w:left="634" w:right="0" w:hanging="1"/>
        <w:jc w:val="left"/>
      </w:pPr>
      <w:r>
        <w:rPr>
          <w:rFonts w:ascii="Times New Roman" w:hAnsi="Times New Roman" w:cs="Times New Roman" w:eastAsia="Times New Roman" w:hint="default"/>
        </w:rPr>
        <w:t>5</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日以通讯表决的方式召开了第四届董事会第四次临时会议，审议通过了</w:t>
      </w:r>
      <w:r>
        <w:rPr>
          <w:spacing w:val="-3"/>
          <w:w w:val="100"/>
        </w:rPr>
        <w:t> </w:t>
      </w:r>
      <w:r>
        <w:rPr>
          <w:spacing w:val="-2"/>
        </w:rPr>
        <w:t>关于调整股票期权激励计划激励对象的议案，关于调整股票期权数量和行权价格的议案等</w:t>
      </w:r>
      <w:r>
        <w:rPr>
          <w:rFonts w:ascii="Times New Roman" w:hAnsi="Times New Roman" w:cs="Times New Roman" w:eastAsia="Times New Roman" w:hint="default"/>
          <w:spacing w:val="-2"/>
        </w:rPr>
        <w:t>4</w:t>
      </w:r>
      <w:r>
        <w:rPr>
          <w:spacing w:val="-2"/>
        </w:rPr>
        <w:t>项议案</w:t>
      </w:r>
      <w:r>
        <w:rPr/>
      </w:r>
    </w:p>
    <w:p>
      <w:pPr>
        <w:pStyle w:val="BodyText"/>
        <w:spacing w:line="240" w:lineRule="auto" w:before="26"/>
        <w:ind w:left="634" w:right="0"/>
        <w:jc w:val="left"/>
      </w:pPr>
      <w:r>
        <w:rPr/>
        <w:t>该</w:t>
      </w:r>
      <w:r>
        <w:rPr>
          <w:spacing w:val="-70"/>
        </w:rPr>
        <w:t> </w:t>
      </w:r>
      <w:r>
        <w:rPr>
          <w:spacing w:val="20"/>
        </w:rPr>
        <w:t>次会议决</w:t>
      </w:r>
      <w:r>
        <w:rPr>
          <w:spacing w:val="-70"/>
        </w:rPr>
        <w:t> </w:t>
      </w:r>
      <w:r>
        <w:rPr>
          <w:spacing w:val="20"/>
        </w:rPr>
        <w:t>议公告刊</w:t>
      </w:r>
      <w:r>
        <w:rPr>
          <w:spacing w:val="-70"/>
        </w:rPr>
        <w:t> </w:t>
      </w:r>
      <w:r>
        <w:rPr/>
        <w:t>登</w:t>
      </w:r>
      <w:r>
        <w:rPr>
          <w:spacing w:val="-73"/>
        </w:rPr>
        <w:t> </w:t>
      </w:r>
      <w:r>
        <w:rPr/>
        <w:t>于</w:t>
      </w:r>
      <w:r>
        <w:rPr>
          <w:spacing w:val="-7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w:t>
      </w:r>
      <w:r>
        <w:rPr>
          <w:spacing w:val="-70"/>
        </w:rPr>
        <w:t> </w:t>
      </w:r>
      <w:r>
        <w:rPr>
          <w:rFonts w:ascii="Times New Roman" w:hAnsi="Times New Roman" w:cs="Times New Roman" w:eastAsia="Times New Roman" w:hint="default"/>
        </w:rPr>
        <w:t>4</w:t>
      </w:r>
      <w:r>
        <w:rPr>
          <w:rFonts w:ascii="Times New Roman" w:hAnsi="Times New Roman" w:cs="Times New Roman" w:eastAsia="Times New Roman" w:hint="default"/>
          <w:spacing w:val="-20"/>
        </w:rPr>
        <w:t> </w:t>
      </w:r>
      <w:r>
        <w:rPr/>
        <w:t>月</w:t>
      </w:r>
      <w:r>
        <w:rPr>
          <w:spacing w:val="-70"/>
        </w:rPr>
        <w:t> </w:t>
      </w:r>
      <w:r>
        <w:rPr>
          <w:rFonts w:ascii="Times New Roman" w:hAnsi="Times New Roman" w:cs="Times New Roman" w:eastAsia="Times New Roman" w:hint="default"/>
        </w:rPr>
        <w:t>25</w:t>
      </w:r>
      <w:r>
        <w:rPr>
          <w:rFonts w:ascii="Times New Roman" w:hAnsi="Times New Roman" w:cs="Times New Roman" w:eastAsia="Times New Roman" w:hint="default"/>
          <w:spacing w:val="-18"/>
        </w:rPr>
        <w:t> </w:t>
      </w:r>
      <w:r>
        <w:rPr>
          <w:spacing w:val="13"/>
        </w:rPr>
        <w:t>日的</w:t>
      </w:r>
      <w:r>
        <w:rPr>
          <w:spacing w:val="-73"/>
        </w:rPr>
        <w:t> </w:t>
      </w:r>
      <w:r>
        <w:rPr>
          <w:spacing w:val="13"/>
        </w:rPr>
        <w:t>《中</w:t>
      </w:r>
      <w:r>
        <w:rPr>
          <w:spacing w:val="-70"/>
        </w:rPr>
        <w:t> </w:t>
      </w:r>
      <w:r>
        <w:rPr>
          <w:spacing w:val="20"/>
        </w:rPr>
        <w:t>国证券报</w:t>
      </w:r>
      <w:r>
        <w:rPr>
          <w:spacing w:val="-70"/>
        </w:rPr>
        <w:t> </w:t>
      </w:r>
      <w:r>
        <w:rPr>
          <w:spacing w:val="20"/>
        </w:rPr>
        <w:t>》、《证</w:t>
      </w:r>
      <w:r>
        <w:rPr>
          <w:spacing w:val="-70"/>
        </w:rPr>
        <w:t> </w:t>
      </w:r>
      <w:r>
        <w:rPr>
          <w:spacing w:val="13"/>
        </w:rPr>
        <w:t>券时</w:t>
      </w:r>
      <w:r>
        <w:rPr>
          <w:spacing w:val="-70"/>
        </w:rPr>
        <w:t> </w:t>
      </w:r>
      <w:r>
        <w:rPr>
          <w:spacing w:val="20"/>
        </w:rPr>
        <w:t>报》及巨</w:t>
      </w:r>
      <w:r>
        <w:rPr>
          <w:spacing w:val="-70"/>
        </w:rPr>
        <w:t> </w:t>
      </w:r>
      <w:r>
        <w:rPr>
          <w:spacing w:val="20"/>
        </w:rPr>
        <w:t>潮资讯网</w:t>
      </w:r>
      <w:r>
        <w:rPr>
          <w:spacing w:val="-77"/>
        </w:rPr>
        <w:t> </w:t>
      </w:r>
      <w:r>
        <w:rPr/>
      </w:r>
    </w:p>
    <w:p>
      <w:pPr>
        <w:pStyle w:val="BodyText"/>
        <w:spacing w:line="336" w:lineRule="auto" w:before="117"/>
        <w:ind w:left="634" w:right="0" w:hanging="421"/>
        <w:jc w:val="left"/>
      </w:pPr>
      <w:r>
        <w:rPr>
          <w:rFonts w:ascii="Times New Roman" w:hAnsi="Times New Roman" w:cs="Times New Roman" w:eastAsia="Times New Roman" w:hint="default"/>
        </w:rPr>
        <w:t>(www.cninfo.com.cn)</w:t>
      </w:r>
      <w:r>
        <w:rPr/>
        <w:t>。</w:t>
      </w:r>
      <w:r>
        <w:rPr>
          <w:w w:val="100"/>
        </w:rPr>
        <w:t> </w:t>
      </w:r>
      <w:r>
        <w:rPr>
          <w:rFonts w:ascii="Times New Roman" w:hAnsi="Times New Roman" w:cs="Times New Roman" w:eastAsia="Times New Roman" w:hint="default"/>
          <w:spacing w:val="-2"/>
        </w:rPr>
        <w:t>6</w:t>
      </w:r>
      <w:r>
        <w:rPr>
          <w:spacing w:val="-2"/>
        </w:rPr>
        <w:t>、公司于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17</w:t>
      </w:r>
      <w:r>
        <w:rPr>
          <w:spacing w:val="-2"/>
        </w:rPr>
        <w:t>日以通讯表决的方式召开了第四届董事会第五次临时会议，审议通过了关于聘</w:t>
      </w:r>
    </w:p>
    <w:p>
      <w:pPr>
        <w:pStyle w:val="BodyText"/>
        <w:spacing w:line="240" w:lineRule="auto" w:before="24"/>
        <w:ind w:left="215" w:right="0"/>
        <w:jc w:val="both"/>
      </w:pPr>
      <w:r>
        <w:rPr/>
        <w:t>任罗芳女士为公司副总裁兼董事会秘书的议案，关于制定子公司管理制度的议案，关于用自有资金进行投</w:t>
      </w:r>
    </w:p>
    <w:p>
      <w:pPr>
        <w:spacing w:after="0" w:line="240" w:lineRule="auto"/>
        <w:jc w:val="both"/>
        <w:sectPr>
          <w:pgSz w:w="11910" w:h="16840"/>
          <w:pgMar w:header="850" w:footer="979" w:top="1200" w:bottom="1160" w:left="920" w:right="820"/>
        </w:sectPr>
      </w:pPr>
    </w:p>
    <w:p>
      <w:pPr>
        <w:pStyle w:val="BodyText"/>
        <w:spacing w:line="336" w:lineRule="auto" w:before="30"/>
        <w:ind w:right="0"/>
        <w:jc w:val="left"/>
      </w:pPr>
      <w:r>
        <w:rPr/>
        <w:pict>
          <v:group style="position:absolute;margin-left:55.200001pt;margin-top:2.843687pt;width:484.8pt;height:.1pt;mso-position-horizontal-relative:page;mso-position-vertical-relative:paragraph;z-index:-772240" coordorigin="1104,57" coordsize="9696,2">
            <v:shape style="position:absolute;left:1104;top:57;width:9696;height:2" coordorigin="1104,57" coordsize="9696,0" path="m1104,57l10800,57e" filled="false" stroked="true" strokeweight=".72pt" strokecolor="#000000">
              <v:path arrowok="t"/>
            </v:shape>
            <w10:wrap type="none"/>
          </v:group>
        </w:pict>
      </w:r>
      <w:r>
        <w:rPr/>
        <w:t>资理财事项的议案，该次会议决议公告刊登于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日的《中国证券报》、《证券时报》及巨潮资</w:t>
      </w:r>
      <w:r>
        <w:rPr>
          <w:spacing w:val="-29"/>
        </w:rPr>
        <w:t> </w:t>
      </w:r>
      <w:r>
        <w:rPr>
          <w:spacing w:val="-29"/>
        </w:rPr>
      </w:r>
      <w:r>
        <w:rPr/>
        <w:t>讯网</w:t>
      </w:r>
      <w:r>
        <w:rPr>
          <w:spacing w:val="-20"/>
        </w:rPr>
        <w:t> </w:t>
      </w:r>
      <w:r>
        <w:rPr>
          <w:rFonts w:ascii="Times New Roman" w:hAnsi="Times New Roman" w:cs="Times New Roman" w:eastAsia="Times New Roman" w:hint="default"/>
        </w:rPr>
        <w:t>(www.cninfo.com.cn)</w:t>
      </w:r>
      <w:r>
        <w:rPr/>
        <w:t>。</w:t>
      </w:r>
    </w:p>
    <w:p>
      <w:pPr>
        <w:pStyle w:val="BodyText"/>
        <w:spacing w:line="338" w:lineRule="auto" w:before="24"/>
        <w:ind w:left="153" w:right="149" w:firstLine="419"/>
        <w:jc w:val="both"/>
      </w:pPr>
      <w:r>
        <w:rPr>
          <w:rFonts w:ascii="Times New Roman" w:hAnsi="Times New Roman" w:cs="Times New Roman" w:eastAsia="Times New Roman" w:hint="default"/>
          <w:spacing w:val="-2"/>
        </w:rPr>
        <w:t>7</w:t>
      </w:r>
      <w:r>
        <w:rPr>
          <w:spacing w:val="-2"/>
        </w:rPr>
        <w:t>、公司于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日以现场表决的方式召开了第四届董事会第三次会议，审议通过了《</w:t>
      </w:r>
      <w:r>
        <w:rPr>
          <w:rFonts w:ascii="Times New Roman" w:hAnsi="Times New Roman" w:cs="Times New Roman" w:eastAsia="Times New Roman" w:hint="default"/>
          <w:spacing w:val="-2"/>
        </w:rPr>
        <w:t>2011</w:t>
      </w:r>
      <w:r>
        <w:rPr>
          <w:spacing w:val="-2"/>
        </w:rPr>
        <w:t>年半</w:t>
      </w:r>
      <w:r>
        <w:rPr>
          <w:w w:val="100"/>
        </w:rPr>
        <w:t> </w:t>
      </w:r>
      <w:r>
        <w:rPr>
          <w:spacing w:val="-9"/>
          <w:w w:val="100"/>
        </w:rPr>
        <w:t>年度报告全文及摘要》、《关于向银行申请综合授信额度的议案》、《关于签署</w:t>
      </w:r>
      <w:r>
        <w:rPr>
          <w:rFonts w:ascii="Times New Roman" w:hAnsi="Times New Roman" w:cs="Times New Roman" w:eastAsia="Times New Roman" w:hint="default"/>
          <w:spacing w:val="-9"/>
          <w:w w:val="100"/>
        </w:rPr>
        <w:t>&lt;</w:t>
      </w:r>
      <w:r>
        <w:rPr>
          <w:spacing w:val="-9"/>
          <w:w w:val="100"/>
        </w:rPr>
        <w:t>上海正品贵德软件有限公司</w:t>
      </w:r>
      <w:r>
        <w:rPr>
          <w:spacing w:val="-85"/>
          <w:w w:val="100"/>
        </w:rPr>
        <w:t> </w:t>
      </w:r>
      <w:r>
        <w:rPr>
          <w:spacing w:val="-85"/>
          <w:w w:val="100"/>
        </w:rPr>
      </w:r>
      <w:r>
        <w:rPr>
          <w:spacing w:val="-7"/>
          <w:w w:val="100"/>
        </w:rPr>
        <w:t>股权转让框架协议</w:t>
      </w:r>
      <w:r>
        <w:rPr>
          <w:rFonts w:ascii="Times New Roman" w:hAnsi="Times New Roman" w:cs="Times New Roman" w:eastAsia="Times New Roman" w:hint="default"/>
          <w:spacing w:val="-7"/>
          <w:w w:val="100"/>
        </w:rPr>
        <w:t>&gt;</w:t>
      </w:r>
      <w:r>
        <w:rPr>
          <w:spacing w:val="-7"/>
          <w:w w:val="100"/>
        </w:rPr>
        <w:t>及相关事项的议案》，该次会议决议公告刊登于</w:t>
      </w:r>
      <w:r>
        <w:rPr>
          <w:rFonts w:ascii="Times New Roman" w:hAnsi="Times New Roman" w:cs="Times New Roman" w:eastAsia="Times New Roman" w:hint="default"/>
          <w:spacing w:val="-7"/>
          <w:w w:val="100"/>
        </w:rPr>
        <w:t>2011</w:t>
      </w:r>
      <w:r>
        <w:rPr>
          <w:spacing w:val="-7"/>
          <w:w w:val="100"/>
        </w:rPr>
        <w:t>年</w:t>
      </w:r>
      <w:r>
        <w:rPr>
          <w:rFonts w:ascii="Times New Roman" w:hAnsi="Times New Roman" w:cs="Times New Roman" w:eastAsia="Times New Roman" w:hint="default"/>
          <w:spacing w:val="-7"/>
          <w:w w:val="100"/>
        </w:rPr>
        <w:t>8</w:t>
      </w:r>
      <w:r>
        <w:rPr>
          <w:spacing w:val="-7"/>
          <w:w w:val="100"/>
        </w:rPr>
        <w:t>月</w:t>
      </w:r>
      <w:r>
        <w:rPr>
          <w:rFonts w:ascii="Times New Roman" w:hAnsi="Times New Roman" w:cs="Times New Roman" w:eastAsia="Times New Roman" w:hint="default"/>
          <w:spacing w:val="-7"/>
          <w:w w:val="100"/>
        </w:rPr>
        <w:t>20</w:t>
      </w:r>
      <w:r>
        <w:rPr>
          <w:spacing w:val="-7"/>
          <w:w w:val="100"/>
        </w:rPr>
        <w:t>日的《中国证券报》、《证</w:t>
      </w:r>
      <w:r>
        <w:rPr>
          <w:spacing w:val="-66"/>
          <w:w w:val="100"/>
        </w:rPr>
        <w:t> </w:t>
      </w:r>
      <w:r>
        <w:rPr>
          <w:spacing w:val="-66"/>
          <w:w w:val="100"/>
        </w:rPr>
      </w:r>
      <w:r>
        <w:rPr/>
        <w:t>券时报》及巨潮资讯网</w:t>
      </w:r>
      <w:r>
        <w:rPr>
          <w:spacing w:val="-23"/>
        </w:rPr>
        <w:t> </w:t>
      </w:r>
      <w:r>
        <w:rPr>
          <w:rFonts w:ascii="Times New Roman" w:hAnsi="Times New Roman" w:cs="Times New Roman" w:eastAsia="Times New Roman" w:hint="default"/>
        </w:rPr>
        <w:t>(www.cninfo.com.cn)</w:t>
      </w:r>
      <w:r>
        <w:rPr/>
        <w:t>。</w:t>
      </w:r>
    </w:p>
    <w:p>
      <w:pPr>
        <w:pStyle w:val="BodyText"/>
        <w:spacing w:line="348" w:lineRule="auto" w:before="22"/>
        <w:ind w:left="154" w:right="146" w:firstLine="419"/>
        <w:jc w:val="both"/>
      </w:pPr>
      <w:r>
        <w:rPr>
          <w:rFonts w:ascii="Times New Roman" w:hAnsi="Times New Roman" w:cs="Times New Roman" w:eastAsia="Times New Roman" w:hint="default"/>
          <w:spacing w:val="-2"/>
        </w:rPr>
        <w:t>8</w:t>
      </w:r>
      <w:r>
        <w:rPr>
          <w:spacing w:val="-2"/>
        </w:rPr>
        <w:t>、公司于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日以通讯表决的方式召开了第四届董事会第六次临时会议，审议通过了《北京</w:t>
      </w:r>
      <w:r>
        <w:rPr>
          <w:w w:val="100"/>
        </w:rPr>
        <w:t> </w:t>
      </w:r>
      <w:r>
        <w:rPr>
          <w:spacing w:val="2"/>
        </w:rPr>
        <w:t>中长石基信息技术股份有限公司内部控制规则落实情况自查表及整改计划》，该次会议决议公告刊登于</w:t>
      </w:r>
      <w:r>
        <w:rPr>
          <w:spacing w:val="-26"/>
        </w:rPr>
        <w:t> </w:t>
      </w:r>
      <w:r>
        <w:rPr>
          <w:spacing w:val="-26"/>
        </w:rPr>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29</w:t>
      </w:r>
      <w:r>
        <w:rPr>
          <w:spacing w:val="-2"/>
        </w:rPr>
        <w:t>日的《中国证券报》、《证券时报》及巨潮资讯网</w:t>
      </w:r>
      <w:r>
        <w:rPr>
          <w:spacing w:val="73"/>
        </w:rPr>
        <w:t> </w:t>
      </w:r>
      <w:r>
        <w:rPr>
          <w:rFonts w:ascii="Times New Roman" w:hAnsi="Times New Roman" w:cs="Times New Roman" w:eastAsia="Times New Roman" w:hint="default"/>
          <w:spacing w:val="-2"/>
        </w:rPr>
        <w:t>(www.cninfo.com.cn)</w:t>
      </w:r>
      <w:r>
        <w:rPr>
          <w:spacing w:val="-2"/>
        </w:rPr>
        <w:t>。</w:t>
      </w:r>
    </w:p>
    <w:p>
      <w:pPr>
        <w:pStyle w:val="BodyText"/>
        <w:spacing w:line="336" w:lineRule="auto" w:before="12"/>
        <w:ind w:left="155" w:right="145" w:firstLine="419"/>
        <w:jc w:val="both"/>
      </w:pPr>
      <w:r>
        <w:rPr>
          <w:rFonts w:ascii="Times New Roman" w:hAnsi="Times New Roman" w:cs="Times New Roman" w:eastAsia="Times New Roman" w:hint="default"/>
          <w:spacing w:val="-4"/>
        </w:rPr>
        <w:t>9</w:t>
      </w:r>
      <w:r>
        <w:rPr>
          <w:spacing w:val="-4"/>
        </w:rPr>
        <w:t>、公司于</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27</w:t>
      </w:r>
      <w:r>
        <w:rPr>
          <w:spacing w:val="-4"/>
        </w:rPr>
        <w:t>日以通讯表决的方式召开了第四届董事会第七次临时会议，审议通过了《</w:t>
      </w:r>
      <w:r>
        <w:rPr>
          <w:rFonts w:ascii="Times New Roman" w:hAnsi="Times New Roman" w:cs="Times New Roman" w:eastAsia="Times New Roman" w:hint="default"/>
          <w:spacing w:val="-4"/>
        </w:rPr>
        <w:t>2011</w:t>
      </w:r>
      <w:r>
        <w:rPr>
          <w:rFonts w:ascii="Times New Roman" w:hAnsi="Times New Roman" w:cs="Times New Roman" w:eastAsia="Times New Roman" w:hint="default"/>
          <w:w w:val="100"/>
        </w:rPr>
        <w:t> </w:t>
      </w:r>
      <w:r>
        <w:rPr>
          <w:spacing w:val="-2"/>
        </w:rPr>
        <w:t>年第三季度报告正文及全文》的议案，该次会议决议公告刊登于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日的《中国证券报》、《证</w:t>
      </w:r>
      <w:r>
        <w:rPr>
          <w:spacing w:val="-41"/>
        </w:rPr>
        <w:t> </w:t>
      </w:r>
      <w:r>
        <w:rPr>
          <w:spacing w:val="-41"/>
        </w:rPr>
      </w:r>
      <w:r>
        <w:rPr/>
        <w:t>券时报》及巨潮资讯网</w:t>
      </w:r>
      <w:r>
        <w:rPr>
          <w:spacing w:val="-23"/>
        </w:rPr>
        <w:t> </w:t>
      </w:r>
      <w:r>
        <w:rPr>
          <w:rFonts w:ascii="Times New Roman" w:hAnsi="Times New Roman" w:cs="Times New Roman" w:eastAsia="Times New Roman" w:hint="default"/>
        </w:rPr>
        <w:t>(www.cninfo.com.cn)</w:t>
      </w:r>
      <w:r>
        <w:rPr/>
        <w:t>。</w:t>
      </w:r>
    </w:p>
    <w:p>
      <w:pPr>
        <w:pStyle w:val="BodyText"/>
        <w:spacing w:line="336" w:lineRule="auto" w:before="26"/>
        <w:ind w:left="156" w:right="146" w:firstLine="419"/>
        <w:jc w:val="both"/>
      </w:pPr>
      <w:r>
        <w:rPr>
          <w:rFonts w:ascii="Times New Roman" w:hAnsi="Times New Roman" w:cs="Times New Roman" w:eastAsia="Times New Roman" w:hint="default"/>
          <w:spacing w:val="-3"/>
        </w:rPr>
        <w:t>10</w:t>
      </w:r>
      <w:r>
        <w:rPr>
          <w:spacing w:val="-3"/>
        </w:rPr>
        <w:t>、公司于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27</w:t>
      </w:r>
      <w:r>
        <w:rPr>
          <w:spacing w:val="-3"/>
        </w:rPr>
        <w:t>日以通讯表决的方式召开了《关于修订</w:t>
      </w:r>
      <w:r>
        <w:rPr>
          <w:rFonts w:ascii="Times New Roman" w:hAnsi="Times New Roman" w:cs="Times New Roman" w:eastAsia="Times New Roman" w:hint="default"/>
          <w:spacing w:val="-3"/>
        </w:rPr>
        <w:t>&lt;</w:t>
      </w:r>
      <w:r>
        <w:rPr>
          <w:spacing w:val="-3"/>
        </w:rPr>
        <w:t>内幕信息知情人登记管理制度</w:t>
      </w:r>
      <w:r>
        <w:rPr>
          <w:rFonts w:ascii="Times New Roman" w:hAnsi="Times New Roman" w:cs="Times New Roman" w:eastAsia="Times New Roman" w:hint="default"/>
          <w:spacing w:val="-3"/>
        </w:rPr>
        <w:t>&gt;</w:t>
      </w:r>
      <w:r>
        <w:rPr>
          <w:spacing w:val="-3"/>
        </w:rPr>
        <w:t>的议</w:t>
      </w:r>
      <w:r>
        <w:rPr>
          <w:spacing w:val="-3"/>
          <w:w w:val="100"/>
        </w:rPr>
        <w:t> </w:t>
      </w:r>
      <w:r>
        <w:rPr>
          <w:spacing w:val="12"/>
        </w:rPr>
        <w:t>案》，</w:t>
      </w:r>
      <w:r>
        <w:rPr>
          <w:spacing w:val="-75"/>
        </w:rPr>
        <w:t> </w:t>
      </w:r>
      <w:r>
        <w:rPr>
          <w:spacing w:val="16"/>
        </w:rPr>
        <w:t>该次会议决议公告刊登于</w:t>
      </w:r>
      <w:r>
        <w:rPr>
          <w:spacing w:val="-7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4"/>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月</w:t>
      </w:r>
      <w:r>
        <w:rPr>
          <w:spacing w:val="-75"/>
        </w:rPr>
        <w:t> </w:t>
      </w:r>
      <w:r>
        <w:rPr>
          <w:rFonts w:ascii="Times New Roman" w:hAnsi="Times New Roman" w:cs="Times New Roman" w:eastAsia="Times New Roman" w:hint="default"/>
        </w:rPr>
        <w:t>28</w:t>
      </w:r>
      <w:r>
        <w:rPr>
          <w:rFonts w:ascii="Times New Roman" w:hAnsi="Times New Roman" w:cs="Times New Roman" w:eastAsia="Times New Roman" w:hint="default"/>
          <w:spacing w:val="-24"/>
        </w:rPr>
        <w:t> </w:t>
      </w:r>
      <w:r>
        <w:rPr>
          <w:spacing w:val="17"/>
        </w:rPr>
        <w:t>日的《中国证券报》、《证券时报》及巨潮资讯网</w:t>
      </w:r>
      <w:r>
        <w:rPr>
          <w:spacing w:val="-95"/>
        </w:rPr>
        <w:t> </w:t>
      </w:r>
      <w:r>
        <w:rPr>
          <w:spacing w:val="-95"/>
        </w:rPr>
      </w:r>
      <w:r>
        <w:rPr>
          <w:rFonts w:ascii="Times New Roman" w:hAnsi="Times New Roman" w:cs="Times New Roman" w:eastAsia="Times New Roman" w:hint="default"/>
        </w:rPr>
        <w:t>(www.cninfo.com.cn)</w:t>
      </w:r>
      <w:r>
        <w:rPr/>
        <w:t>。</w:t>
      </w:r>
    </w:p>
    <w:p>
      <w:pPr>
        <w:spacing w:line="240" w:lineRule="auto" w:before="1"/>
        <w:rPr>
          <w:rFonts w:ascii="宋体" w:hAnsi="宋体" w:cs="宋体" w:eastAsia="宋体" w:hint="default"/>
          <w:sz w:val="23"/>
          <w:szCs w:val="23"/>
        </w:rPr>
      </w:pPr>
    </w:p>
    <w:p>
      <w:pPr>
        <w:pStyle w:val="Heading4"/>
        <w:spacing w:line="240" w:lineRule="auto"/>
        <w:ind w:right="3480"/>
        <w:jc w:val="left"/>
        <w:rPr>
          <w:b w:val="0"/>
          <w:bCs w:val="0"/>
        </w:rPr>
      </w:pPr>
      <w:r>
        <w:rPr/>
        <w:t>（二） 董事会对股东大会决议的执行情况</w:t>
      </w:r>
      <w:r>
        <w:rPr>
          <w:b w:val="0"/>
          <w:bCs w:val="0"/>
        </w:rPr>
      </w:r>
    </w:p>
    <w:p>
      <w:pPr>
        <w:spacing w:line="240" w:lineRule="auto" w:before="0"/>
        <w:rPr>
          <w:rFonts w:ascii="宋体" w:hAnsi="宋体" w:cs="宋体" w:eastAsia="宋体" w:hint="default"/>
          <w:b/>
          <w:bCs/>
          <w:sz w:val="20"/>
          <w:szCs w:val="20"/>
        </w:rPr>
      </w:pPr>
    </w:p>
    <w:p>
      <w:pPr>
        <w:pStyle w:val="BodyText"/>
        <w:spacing w:line="355" w:lineRule="auto" w:before="154"/>
        <w:ind w:right="152" w:firstLine="419"/>
        <w:jc w:val="both"/>
      </w:pPr>
      <w:r>
        <w:rPr>
          <w:spacing w:val="-3"/>
        </w:rPr>
        <w:t>报告期内，董事会根据《公司法》等有关法律、法规的规定，严格遵守《公司章程》规定的权限，忠</w:t>
      </w:r>
      <w:r>
        <w:rPr>
          <w:w w:val="100"/>
        </w:rPr>
        <w:t> </w:t>
      </w:r>
      <w:r>
        <w:rPr/>
        <w:t>实、有效的执行股东大会各项决议。</w:t>
      </w:r>
    </w:p>
    <w:p>
      <w:pPr>
        <w:pStyle w:val="BodyText"/>
        <w:spacing w:line="240" w:lineRule="auto" w:before="32"/>
        <w:ind w:left="572" w:right="3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年度利润分配方案的执行情况如下：</w:t>
      </w:r>
    </w:p>
    <w:p>
      <w:pPr>
        <w:pStyle w:val="BodyText"/>
        <w:spacing w:line="240" w:lineRule="auto" w:before="117"/>
        <w:ind w:left="572" w:right="0"/>
        <w:jc w:val="left"/>
      </w:pPr>
      <w:r>
        <w:rPr/>
        <w:t>根据公司 </w:t>
      </w:r>
      <w:r>
        <w:rPr>
          <w:rFonts w:ascii="Times New Roman" w:hAnsi="Times New Roman" w:cs="Times New Roman" w:eastAsia="Times New Roman" w:hint="default"/>
        </w:rPr>
        <w:t>2010 </w:t>
      </w:r>
      <w:r>
        <w:rPr/>
        <w:t>年度股东大会决议，公司 </w:t>
      </w:r>
      <w:r>
        <w:rPr>
          <w:rFonts w:ascii="Times New Roman" w:hAnsi="Times New Roman" w:cs="Times New Roman" w:eastAsia="Times New Roman" w:hint="default"/>
        </w:rPr>
        <w:t>2010 </w:t>
      </w:r>
      <w:r>
        <w:rPr/>
        <w:t>年度利润分配方案为：以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9"/>
        </w:rPr>
        <w:t> </w:t>
      </w:r>
      <w:r>
        <w:rPr/>
        <w:t>日总股本</w:t>
      </w:r>
    </w:p>
    <w:p>
      <w:pPr>
        <w:pStyle w:val="BodyText"/>
        <w:spacing w:line="240" w:lineRule="auto" w:before="119"/>
        <w:ind w:right="0"/>
        <w:jc w:val="left"/>
      </w:pPr>
      <w:r>
        <w:rPr>
          <w:rFonts w:ascii="Times New Roman" w:hAnsi="Times New Roman" w:cs="Times New Roman" w:eastAsia="Times New Roman" w:hint="default"/>
        </w:rPr>
        <w:t>224,000,000</w:t>
      </w:r>
      <w:r>
        <w:rPr>
          <w:rFonts w:ascii="Times New Roman" w:hAnsi="Times New Roman" w:cs="Times New Roman" w:eastAsia="Times New Roman" w:hint="default"/>
          <w:spacing w:val="2"/>
        </w:rPr>
        <w:t> </w:t>
      </w:r>
      <w:r>
        <w:rPr/>
        <w:t>为基数，向全体股东向全体股东每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股派人民币现金</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元（含税，扣税后，个人股东、投资</w:t>
      </w:r>
    </w:p>
    <w:p>
      <w:pPr>
        <w:pStyle w:val="BodyText"/>
        <w:spacing w:line="240" w:lineRule="auto" w:before="117"/>
        <w:ind w:right="0"/>
        <w:jc w:val="left"/>
        <w:rPr>
          <w:rFonts w:ascii="Times New Roman" w:hAnsi="Times New Roman" w:cs="Times New Roman" w:eastAsia="Times New Roman" w:hint="default"/>
        </w:rPr>
      </w:pPr>
      <w:r>
        <w:rPr/>
        <w:t>基金、合格境外机构投资者实际每 </w:t>
      </w:r>
      <w:r>
        <w:rPr>
          <w:rFonts w:ascii="Times New Roman" w:hAnsi="Times New Roman" w:cs="Times New Roman" w:eastAsia="Times New Roman" w:hint="default"/>
        </w:rPr>
        <w:t>10  </w:t>
      </w:r>
      <w:r>
        <w:rPr/>
        <w:t>股派发人民币现金 </w:t>
      </w:r>
      <w:r>
        <w:rPr>
          <w:rFonts w:ascii="Times New Roman" w:hAnsi="Times New Roman" w:cs="Times New Roman" w:eastAsia="Times New Roman" w:hint="default"/>
        </w:rPr>
        <w:t>0.9  </w:t>
      </w:r>
      <w:r>
        <w:rPr/>
        <w:t>元） </w:t>
      </w:r>
      <w:r>
        <w:rPr>
          <w:spacing w:val="-3"/>
        </w:rPr>
        <w:t>，同时，以资本公积向全体股东每</w:t>
      </w:r>
      <w:r>
        <w:rPr>
          <w:spacing w:val="-45"/>
        </w:rPr>
        <w:t> </w:t>
      </w:r>
      <w:r>
        <w:rPr>
          <w:rFonts w:ascii="Times New Roman" w:hAnsi="Times New Roman" w:cs="Times New Roman" w:eastAsia="Times New Roman" w:hint="default"/>
        </w:rPr>
        <w:t>10</w:t>
      </w:r>
    </w:p>
    <w:p>
      <w:pPr>
        <w:pStyle w:val="BodyText"/>
        <w:spacing w:line="240" w:lineRule="auto" w:before="117"/>
        <w:ind w:left="153" w:right="0"/>
        <w:jc w:val="left"/>
      </w:pPr>
      <w:r>
        <w:rPr/>
        <w:t>股转增</w:t>
      </w:r>
      <w:r>
        <w:rPr>
          <w:spacing w:val="-3"/>
        </w:rPr>
        <w:t> </w:t>
      </w:r>
      <w:r>
        <w:rPr>
          <w:rFonts w:ascii="Times New Roman" w:hAnsi="Times New Roman" w:cs="Times New Roman" w:eastAsia="Times New Roman" w:hint="default"/>
        </w:rPr>
        <w:t>3.8</w:t>
      </w:r>
      <w:r>
        <w:rPr>
          <w:rFonts w:ascii="Times New Roman" w:hAnsi="Times New Roman" w:cs="Times New Roman" w:eastAsia="Times New Roman" w:hint="default"/>
          <w:spacing w:val="50"/>
        </w:rPr>
        <w:t> </w:t>
      </w:r>
      <w:r>
        <w:rPr/>
        <w:t>股。本次转增后，公司总股本由</w:t>
      </w:r>
      <w:r>
        <w:rPr>
          <w:spacing w:val="-54"/>
        </w:rPr>
        <w:t> </w:t>
      </w:r>
      <w:r>
        <w:rPr>
          <w:rFonts w:ascii="Times New Roman" w:hAnsi="Times New Roman" w:cs="Times New Roman" w:eastAsia="Times New Roman" w:hint="default"/>
        </w:rPr>
        <w:t>22,400</w:t>
      </w:r>
      <w:r>
        <w:rPr>
          <w:rFonts w:ascii="Times New Roman" w:hAnsi="Times New Roman" w:cs="Times New Roman" w:eastAsia="Times New Roman" w:hint="default"/>
          <w:spacing w:val="-4"/>
        </w:rPr>
        <w:t> </w:t>
      </w:r>
      <w:r>
        <w:rPr/>
        <w:t>万元增至</w:t>
      </w:r>
      <w:r>
        <w:rPr>
          <w:spacing w:val="-54"/>
        </w:rPr>
        <w:t> </w:t>
      </w:r>
      <w:r>
        <w:rPr>
          <w:rFonts w:ascii="Times New Roman" w:hAnsi="Times New Roman" w:cs="Times New Roman" w:eastAsia="Times New Roman" w:hint="default"/>
        </w:rPr>
        <w:t>30,912</w:t>
      </w:r>
      <w:r>
        <w:rPr>
          <w:rFonts w:ascii="Times New Roman" w:hAnsi="Times New Roman" w:cs="Times New Roman" w:eastAsia="Times New Roman" w:hint="default"/>
          <w:spacing w:val="-1"/>
        </w:rPr>
        <w:t> </w:t>
      </w:r>
      <w:r>
        <w:rPr/>
        <w:t>万元。</w:t>
      </w:r>
    </w:p>
    <w:p>
      <w:pPr>
        <w:pStyle w:val="BodyText"/>
        <w:spacing w:line="240" w:lineRule="auto" w:before="117"/>
        <w:ind w:left="573" w:right="0"/>
        <w:jc w:val="left"/>
      </w:pPr>
      <w:r>
        <w:rPr/>
        <w:t>公司于</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spacing w:val="-5"/>
        </w:rPr>
        <w:t>日在《中国证券报》、《证券时报》及巨潮资讯网</w:t>
      </w:r>
      <w:r>
        <w:rPr>
          <w:spacing w:val="4"/>
        </w:rPr>
        <w:t> </w:t>
      </w:r>
      <w:r>
        <w:rPr>
          <w:rFonts w:ascii="Times New Roman" w:hAnsi="Times New Roman" w:cs="Times New Roman" w:eastAsia="Times New Roman" w:hint="default"/>
        </w:rPr>
        <w:t>(www.cninfo.com.cn)</w:t>
      </w:r>
      <w:r>
        <w:rPr/>
        <w:t>上刊登</w:t>
      </w:r>
    </w:p>
    <w:p>
      <w:pPr>
        <w:pStyle w:val="BodyText"/>
        <w:spacing w:line="240" w:lineRule="auto" w:before="117"/>
        <w:ind w:left="153" w:right="0"/>
        <w:jc w:val="left"/>
      </w:pPr>
      <w:r>
        <w:rPr>
          <w:w w:val="100"/>
        </w:rPr>
        <w:t>了《</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年</w:t>
      </w:r>
      <w:r>
        <w:rPr>
          <w:spacing w:val="-3"/>
          <w:w w:val="100"/>
        </w:rPr>
        <w:t>度</w:t>
      </w:r>
      <w:r>
        <w:rPr>
          <w:w w:val="100"/>
        </w:rPr>
        <w:t>权</w:t>
      </w:r>
      <w:r>
        <w:rPr>
          <w:spacing w:val="-3"/>
          <w:w w:val="100"/>
        </w:rPr>
        <w:t>益</w:t>
      </w:r>
      <w:r>
        <w:rPr>
          <w:w w:val="100"/>
        </w:rPr>
        <w:t>分</w:t>
      </w:r>
      <w:r>
        <w:rPr>
          <w:spacing w:val="-3"/>
          <w:w w:val="100"/>
        </w:rPr>
        <w:t>派实</w:t>
      </w:r>
      <w:r>
        <w:rPr>
          <w:spacing w:val="-1"/>
          <w:w w:val="100"/>
        </w:rPr>
        <w:t>施</w:t>
      </w:r>
      <w:r>
        <w:rPr>
          <w:w w:val="100"/>
        </w:rPr>
        <w:t>公</w:t>
      </w:r>
      <w:r>
        <w:rPr>
          <w:spacing w:val="-3"/>
          <w:w w:val="100"/>
        </w:rPr>
        <w:t>告</w:t>
      </w:r>
      <w:r>
        <w:rPr>
          <w:spacing w:val="-106"/>
          <w:w w:val="100"/>
        </w:rPr>
        <w:t>》</w:t>
      </w:r>
      <w:r>
        <w:rPr>
          <w:spacing w:val="-3"/>
          <w:w w:val="100"/>
        </w:rPr>
        <w:t>，</w:t>
      </w:r>
      <w:r>
        <w:rPr>
          <w:w w:val="100"/>
        </w:rPr>
        <w:t>股</w:t>
      </w:r>
      <w:r>
        <w:rPr>
          <w:spacing w:val="-3"/>
          <w:w w:val="100"/>
        </w:rPr>
        <w:t>权</w:t>
      </w:r>
      <w:r>
        <w:rPr>
          <w:w w:val="100"/>
        </w:rPr>
        <w:t>登</w:t>
      </w:r>
      <w:r>
        <w:rPr>
          <w:spacing w:val="-3"/>
          <w:w w:val="100"/>
        </w:rPr>
        <w:t>记</w:t>
      </w:r>
      <w:r>
        <w:rPr>
          <w:w w:val="100"/>
        </w:rPr>
        <w:t>日为</w:t>
      </w:r>
      <w:r>
        <w:rPr>
          <w:spacing w:val="-55"/>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3"/>
        </w:rPr>
        <w:t> </w:t>
      </w:r>
      <w:r>
        <w:rPr>
          <w:w w:val="100"/>
        </w:rPr>
        <w:t>日</w:t>
      </w:r>
      <w:r>
        <w:rPr>
          <w:spacing w:val="-3"/>
          <w:w w:val="100"/>
        </w:rPr>
        <w:t>，</w:t>
      </w:r>
      <w:r>
        <w:rPr>
          <w:w w:val="100"/>
        </w:rPr>
        <w:t>除</w:t>
      </w:r>
      <w:r>
        <w:rPr>
          <w:spacing w:val="-3"/>
          <w:w w:val="100"/>
        </w:rPr>
        <w:t>权除</w:t>
      </w:r>
      <w:r>
        <w:rPr>
          <w:w w:val="100"/>
        </w:rPr>
        <w:t>息</w:t>
      </w:r>
      <w:r>
        <w:rPr>
          <w:spacing w:val="-3"/>
          <w:w w:val="100"/>
        </w:rPr>
        <w:t>日</w:t>
      </w:r>
      <w:r>
        <w:rPr>
          <w:w w:val="100"/>
        </w:rPr>
        <w:t>为</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3"/>
        </w:rPr>
        <w:t> </w:t>
      </w:r>
      <w:r>
        <w:rPr>
          <w:spacing w:val="-3"/>
          <w:w w:val="100"/>
        </w:rPr>
        <w:t>日。</w:t>
      </w:r>
      <w:r>
        <w:rPr>
          <w:w w:val="100"/>
        </w:rPr>
      </w:r>
    </w:p>
    <w:p>
      <w:pPr>
        <w:spacing w:line="240" w:lineRule="auto" w:before="5"/>
        <w:rPr>
          <w:rFonts w:ascii="宋体" w:hAnsi="宋体" w:cs="宋体" w:eastAsia="宋体" w:hint="default"/>
          <w:sz w:val="30"/>
          <w:szCs w:val="30"/>
        </w:rPr>
      </w:pPr>
    </w:p>
    <w:p>
      <w:pPr>
        <w:pStyle w:val="Heading4"/>
        <w:spacing w:line="240" w:lineRule="auto"/>
        <w:ind w:right="3480"/>
        <w:jc w:val="left"/>
        <w:rPr>
          <w:b w:val="0"/>
          <w:bCs w:val="0"/>
        </w:rPr>
      </w:pPr>
      <w:r>
        <w:rPr/>
        <w:t>（三）董事会审计委员会履职情况汇总报告</w:t>
      </w:r>
      <w:r>
        <w:rPr>
          <w:b w:val="0"/>
          <w:bCs w:val="0"/>
        </w:rPr>
      </w:r>
    </w:p>
    <w:p>
      <w:pPr>
        <w:spacing w:line="240" w:lineRule="auto" w:before="0"/>
        <w:rPr>
          <w:rFonts w:ascii="宋体" w:hAnsi="宋体" w:cs="宋体" w:eastAsia="宋体" w:hint="default"/>
          <w:b/>
          <w:bCs/>
          <w:sz w:val="20"/>
          <w:szCs w:val="20"/>
        </w:rPr>
      </w:pPr>
    </w:p>
    <w:p>
      <w:pPr>
        <w:pStyle w:val="BodyText"/>
        <w:spacing w:line="336" w:lineRule="auto" w:before="152"/>
        <w:ind w:right="149" w:firstLine="419"/>
        <w:jc w:val="both"/>
      </w:pPr>
      <w:r>
        <w:rPr/>
        <w:t>公司董事会审计委员会由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名董事组成，其中两名为公司独立董事，主席由具有专业会计背景的独立</w:t>
      </w:r>
      <w:r>
        <w:rPr>
          <w:w w:val="100"/>
        </w:rPr>
        <w:t> </w:t>
      </w:r>
      <w:r>
        <w:rPr/>
        <w:t>董事担任。</w:t>
      </w:r>
    </w:p>
    <w:p>
      <w:pPr>
        <w:pStyle w:val="BodyText"/>
        <w:spacing w:line="355" w:lineRule="auto" w:before="51"/>
        <w:ind w:right="154" w:firstLine="420"/>
        <w:jc w:val="both"/>
      </w:pPr>
      <w:r>
        <w:rPr>
          <w:spacing w:val="-2"/>
          <w:w w:val="100"/>
        </w:rPr>
        <w:t>根据中国证监会、深圳证券交易所及公司《董事会审计委员会工作细则》，公司董事会审计委员会本</w:t>
      </w:r>
      <w:r>
        <w:rPr>
          <w:w w:val="100"/>
        </w:rPr>
        <w:t> </w:t>
      </w:r>
      <w:r>
        <w:rPr>
          <w:spacing w:val="-2"/>
        </w:rPr>
        <w:t>着勤勉尽责的原则，</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2"/>
        </w:rPr>
        <w:t>年年度报告期间及报告期内，履行了以下工作职责：</w:t>
      </w:r>
      <w:r>
        <w:rPr/>
      </w:r>
    </w:p>
    <w:p>
      <w:pPr>
        <w:pStyle w:val="BodyText"/>
        <w:spacing w:line="240" w:lineRule="auto" w:before="5"/>
        <w:ind w:left="572" w:right="3480"/>
        <w:jc w:val="left"/>
      </w:pPr>
      <w:r>
        <w:rPr>
          <w:rFonts w:ascii="Times New Roman" w:hAnsi="Times New Roman" w:cs="Times New Roman" w:eastAsia="Times New Roman" w:hint="default"/>
        </w:rPr>
        <w:t>1</w:t>
      </w:r>
      <w:r>
        <w:rPr/>
        <w:t>、与年审注册会计师沟通</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年度审计工作计划</w:t>
      </w:r>
    </w:p>
    <w:p>
      <w:pPr>
        <w:pStyle w:val="BodyText"/>
        <w:spacing w:line="240" w:lineRule="auto" w:before="117"/>
        <w:ind w:left="572"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spacing w:val="-4"/>
        </w:rPr>
        <w:t>日，公司董事会审计委员会召开了</w:t>
      </w:r>
      <w:r>
        <w:rPr>
          <w:spacing w:val="-43"/>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0"/>
        </w:rPr>
        <w:t> </w:t>
      </w:r>
      <w:r>
        <w:rPr>
          <w:spacing w:val="-4"/>
        </w:rPr>
        <w:t>年年报工作第一次工作会议，会计师向审计委</w:t>
      </w:r>
      <w:r>
        <w:rPr/>
      </w:r>
    </w:p>
    <w:p>
      <w:pPr>
        <w:spacing w:after="0" w:line="240" w:lineRule="auto"/>
        <w:jc w:val="left"/>
        <w:sectPr>
          <w:footerReference w:type="default" r:id="rId20"/>
          <w:pgSz w:w="11910" w:h="16840"/>
          <w:pgMar w:footer="979" w:header="850" w:top="1200" w:bottom="1160" w:left="980" w:right="980"/>
          <w:pgNumType w:start="49"/>
        </w:sectPr>
      </w:pPr>
    </w:p>
    <w:p>
      <w:pPr>
        <w:pStyle w:val="BodyText"/>
        <w:spacing w:line="355" w:lineRule="auto" w:before="30"/>
        <w:ind w:right="0"/>
        <w:jc w:val="left"/>
      </w:pPr>
      <w:r>
        <w:rPr/>
        <w:pict>
          <v:group style="position:absolute;margin-left:55.200001pt;margin-top:2.843687pt;width:484.8pt;height:.1pt;mso-position-horizontal-relative:page;mso-position-vertical-relative:paragraph;z-index:-772216" coordorigin="1104,57" coordsize="9696,2">
            <v:shape style="position:absolute;left:1104;top:57;width:9696;height:2" coordorigin="1104,57" coordsize="9696,0" path="m1104,57l10800,57e" filled="false" stroked="true" strokeweight=".72pt" strokecolor="#000000">
              <v:path arrowok="t"/>
            </v:shape>
            <w10:wrap type="none"/>
          </v:group>
        </w:pict>
      </w:r>
      <w:r>
        <w:rPr>
          <w:spacing w:val="-2"/>
        </w:rPr>
        <w:t>员会汇报了审计计划、人员安排和预审情况，审计委员会委员就预审中的问题、审计过程中需要注意的问</w:t>
      </w:r>
      <w:r>
        <w:rPr>
          <w:spacing w:val="-43"/>
        </w:rPr>
        <w:t> </w:t>
      </w:r>
      <w:r>
        <w:rPr>
          <w:spacing w:val="-43"/>
        </w:rPr>
      </w:r>
      <w:r>
        <w:rPr>
          <w:spacing w:val="-5"/>
        </w:rPr>
        <w:t>题等事项与会计师进行了沟通，并要求会计师注意审计过程中的细节，按照计划的进度完成年报审计工作。</w:t>
      </w:r>
      <w:r>
        <w:rPr/>
      </w:r>
    </w:p>
    <w:p>
      <w:pPr>
        <w:pStyle w:val="BodyText"/>
        <w:spacing w:line="240" w:lineRule="auto" w:before="32"/>
        <w:ind w:left="572" w:right="0"/>
        <w:jc w:val="left"/>
      </w:pPr>
      <w:r>
        <w:rPr>
          <w:rFonts w:ascii="Times New Roman" w:hAnsi="Times New Roman" w:cs="Times New Roman" w:eastAsia="Times New Roman" w:hint="default"/>
        </w:rPr>
        <w:t>2</w:t>
      </w:r>
      <w:r>
        <w:rPr/>
        <w:t>、审计进场前审阅公司编制的财务会计报表</w:t>
      </w:r>
    </w:p>
    <w:p>
      <w:pPr>
        <w:pStyle w:val="BodyText"/>
        <w:spacing w:line="336" w:lineRule="auto" w:before="119"/>
        <w:ind w:right="207" w:firstLine="4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月，董事会审计委员会认真审阅了公司管理层提交的未经审计的</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年度财务报表，经与</w:t>
      </w:r>
      <w:r>
        <w:rPr>
          <w:w w:val="100"/>
        </w:rPr>
        <w:t> </w:t>
      </w:r>
      <w:r>
        <w:rPr/>
        <w:t>公司管理层就有关资料进行询问交流后，发表意见如下：</w:t>
      </w:r>
    </w:p>
    <w:p>
      <w:pPr>
        <w:pStyle w:val="BodyText"/>
        <w:spacing w:line="355" w:lineRule="auto" w:before="49"/>
        <w:ind w:right="0" w:firstLine="420"/>
        <w:jc w:val="left"/>
      </w:pPr>
      <w:r>
        <w:rPr/>
        <w:t>公司财务会计报表依照公司新企业会计准则、会计政策、企业会计制度以及财政部发布的有关规定要</w:t>
      </w:r>
      <w:r>
        <w:rPr>
          <w:w w:val="100"/>
        </w:rPr>
        <w:t> </w:t>
      </w:r>
      <w:r>
        <w:rPr>
          <w:spacing w:val="-2"/>
        </w:rPr>
        <w:t>求，未发现重大错报和漏报情况，所包含的信息能从重大方面反映出公司</w:t>
      </w:r>
      <w:r>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5"/>
        </w:rPr>
        <w:t> </w:t>
      </w:r>
      <w:r>
        <w:rPr>
          <w:spacing w:val="-2"/>
        </w:rPr>
        <w:t>年度财务状况和经营成果，</w:t>
      </w:r>
    </w:p>
    <w:p>
      <w:pPr>
        <w:pStyle w:val="BodyText"/>
        <w:spacing w:line="338" w:lineRule="auto" w:before="5"/>
        <w:ind w:left="572" w:right="0" w:hanging="421"/>
        <w:jc w:val="left"/>
      </w:pPr>
      <w:r>
        <w:rPr/>
        <w:t>同意以此财务报表为基础，展开</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年年度报告审计工作。</w:t>
      </w:r>
      <w:r>
        <w:rPr>
          <w:spacing w:val="-3"/>
          <w:w w:val="100"/>
        </w:rPr>
        <w:t> </w:t>
      </w:r>
      <w:r>
        <w:rPr>
          <w:spacing w:val="-2"/>
        </w:rPr>
        <w:t>基于本次财务报表的审阅时间距离审计报告出具日尚有一段时间，提请公司财务部及审计机构关注公</w:t>
      </w:r>
    </w:p>
    <w:p>
      <w:pPr>
        <w:pStyle w:val="BodyText"/>
        <w:spacing w:line="355" w:lineRule="auto" w:before="47"/>
        <w:ind w:right="0"/>
        <w:jc w:val="left"/>
      </w:pPr>
      <w:r>
        <w:rPr>
          <w:spacing w:val="-2"/>
        </w:rPr>
        <w:t>司内部财务控制制度的执行情况，以保证财务报表的公允性、真实性及完整性，提高公司财务信息披露质</w:t>
      </w:r>
      <w:r>
        <w:rPr>
          <w:spacing w:val="-43"/>
        </w:rPr>
        <w:t> </w:t>
      </w:r>
      <w:r>
        <w:rPr>
          <w:spacing w:val="-43"/>
        </w:rPr>
      </w:r>
      <w:r>
        <w:rPr/>
        <w:t>量。</w:t>
      </w:r>
    </w:p>
    <w:p>
      <w:pPr>
        <w:pStyle w:val="BodyText"/>
        <w:spacing w:line="338" w:lineRule="auto" w:before="32"/>
        <w:ind w:left="572" w:right="0"/>
        <w:jc w:val="left"/>
      </w:pPr>
      <w:r>
        <w:rPr>
          <w:rFonts w:ascii="Times New Roman" w:hAnsi="Times New Roman" w:cs="Times New Roman" w:eastAsia="Times New Roman" w:hint="default"/>
        </w:rPr>
        <w:t>3</w:t>
      </w:r>
      <w:r>
        <w:rPr/>
        <w:t>、审计期间保持与会计师事务所的沟通并审阅经初步审计后的财务报表</w:t>
      </w:r>
      <w:r>
        <w:rPr>
          <w:w w:val="100"/>
        </w:rPr>
        <w:t> </w:t>
      </w:r>
      <w:r>
        <w:rPr>
          <w:spacing w:val="-3"/>
        </w:rPr>
        <w:t>公司年审注册会计师进场后，董事会审计委员会与年审注册会计师于</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t>日召开了第二次</w:t>
      </w:r>
    </w:p>
    <w:p>
      <w:pPr>
        <w:pStyle w:val="BodyText"/>
        <w:spacing w:line="355" w:lineRule="auto" w:before="22"/>
        <w:ind w:right="207"/>
        <w:jc w:val="both"/>
      </w:pPr>
      <w:r>
        <w:rPr>
          <w:spacing w:val="-2"/>
        </w:rPr>
        <w:t>年度报告工作会议，注册会计师向审计委员会汇报了审计中的调整事项，审计委员会就审计过程中发现的</w:t>
      </w:r>
      <w:r>
        <w:rPr>
          <w:spacing w:val="-43"/>
        </w:rPr>
        <w:t> </w:t>
      </w:r>
      <w:r>
        <w:rPr>
          <w:spacing w:val="-43"/>
        </w:rPr>
      </w:r>
      <w:r>
        <w:rPr>
          <w:spacing w:val="-2"/>
        </w:rPr>
        <w:t>问题、审计调整事项以及审计进度进行了沟通和交流，并认真审阅了经武汉众环海华会计师事务所初步审</w:t>
      </w:r>
      <w:r>
        <w:rPr>
          <w:spacing w:val="-43"/>
        </w:rPr>
        <w:t> </w:t>
      </w:r>
      <w:r>
        <w:rPr>
          <w:spacing w:val="-43"/>
        </w:rPr>
      </w:r>
      <w:r>
        <w:rPr/>
        <w:t>计的</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年度财务报告，发表如下审核意见：</w:t>
      </w:r>
    </w:p>
    <w:p>
      <w:pPr>
        <w:pStyle w:val="BodyText"/>
        <w:spacing w:line="357" w:lineRule="auto" w:before="5"/>
        <w:ind w:right="207" w:firstLine="420"/>
        <w:jc w:val="both"/>
      </w:pPr>
      <w:r>
        <w:rPr>
          <w:spacing w:val="-2"/>
        </w:rPr>
        <w:t>保持原有的审议意见，并认为公司已严格按照新企业会计准则处理了资产负债日期后事项，公司财务</w:t>
      </w:r>
      <w:r>
        <w:rPr>
          <w:w w:val="100"/>
        </w:rPr>
        <w:t> </w:t>
      </w:r>
      <w:r>
        <w:rPr>
          <w:spacing w:val="-2"/>
        </w:rPr>
        <w:t>报表已经按照新企业会计准则及公司有关财务制度的规定编制，同意年审注册会计师对公司财务会计报表</w:t>
      </w:r>
      <w:r>
        <w:rPr>
          <w:spacing w:val="-43"/>
        </w:rPr>
        <w:t> </w:t>
      </w:r>
      <w:r>
        <w:rPr>
          <w:spacing w:val="-43"/>
        </w:rPr>
      </w:r>
      <w:r>
        <w:rPr/>
        <w:t>出具的初步审计报告，并以该审计报告为基础制作公司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7"/>
        </w:rPr>
        <w:t> </w:t>
      </w:r>
      <w:r>
        <w:rPr/>
        <w:t>年年度报告和摘要，同时请审计项目组按照</w:t>
      </w:r>
    </w:p>
    <w:p>
      <w:pPr>
        <w:pStyle w:val="BodyText"/>
        <w:spacing w:line="240" w:lineRule="auto" w:before="3"/>
        <w:ind w:right="0"/>
        <w:jc w:val="both"/>
      </w:pPr>
      <w:r>
        <w:rPr/>
        <w:t>审计计划尽快完成审计工作，以保证公司</w:t>
      </w:r>
      <w:r>
        <w:rPr>
          <w:spacing w:val="-56"/>
        </w:rPr>
        <w:t> </w:t>
      </w:r>
      <w:r>
        <w:rPr>
          <w:rFonts w:ascii="Times New Roman" w:hAnsi="Times New Roman" w:cs="Times New Roman" w:eastAsia="Times New Roman" w:hint="default"/>
          <w:spacing w:val="-3"/>
        </w:rPr>
        <w:t>2011 </w:t>
      </w:r>
      <w:r>
        <w:rPr/>
        <w:t>年年度报告如期披露。</w:t>
      </w:r>
    </w:p>
    <w:p>
      <w:pPr>
        <w:pStyle w:val="BodyText"/>
        <w:spacing w:line="240" w:lineRule="auto" w:before="117"/>
        <w:ind w:left="572" w:right="0"/>
        <w:jc w:val="left"/>
      </w:pPr>
      <w:r>
        <w:rPr>
          <w:rFonts w:ascii="Times New Roman" w:hAnsi="Times New Roman" w:cs="Times New Roman" w:eastAsia="Times New Roman" w:hint="default"/>
        </w:rPr>
        <w:t>4</w:t>
      </w:r>
      <w:r>
        <w:rPr/>
        <w:t>、审阅公司</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年度审计报告</w:t>
      </w:r>
    </w:p>
    <w:p>
      <w:pPr>
        <w:pStyle w:val="BodyText"/>
        <w:spacing w:line="240" w:lineRule="auto" w:before="117"/>
        <w:ind w:left="572"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日，董事会审计委员会召开了年报工作第三次工作会议，认真审阅了经武汉众环海华</w:t>
      </w:r>
    </w:p>
    <w:p>
      <w:pPr>
        <w:pStyle w:val="BodyText"/>
        <w:spacing w:line="240" w:lineRule="auto" w:before="119"/>
        <w:ind w:right="0"/>
        <w:jc w:val="both"/>
      </w:pPr>
      <w:r>
        <w:rPr/>
        <w:t>会计师事务所出具的</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年年度审计报告，同时审议通过了以下决议：</w:t>
      </w:r>
    </w:p>
    <w:p>
      <w:pPr>
        <w:pStyle w:val="BodyText"/>
        <w:spacing w:line="336" w:lineRule="auto" w:before="117"/>
        <w:ind w:right="206" w:firstLine="420"/>
        <w:jc w:val="left"/>
      </w:pPr>
      <w:r>
        <w:rPr/>
        <w:t>（</w:t>
      </w:r>
      <w:r>
        <w:rPr>
          <w:rFonts w:ascii="Times New Roman" w:hAnsi="Times New Roman" w:cs="Times New Roman" w:eastAsia="Times New Roman" w:hint="default"/>
        </w:rPr>
        <w:t>1</w:t>
      </w:r>
      <w:r>
        <w:rPr/>
        <w:t>）审议通过了武汉众环海华会计师事务所有限责任公司出具的公司</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年审计报告，并出具如下</w:t>
      </w:r>
      <w:r>
        <w:rPr>
          <w:w w:val="100"/>
        </w:rPr>
        <w:t> </w:t>
      </w:r>
      <w:r>
        <w:rPr/>
        <w:t>审阅意见：</w:t>
      </w:r>
    </w:p>
    <w:p>
      <w:pPr>
        <w:pStyle w:val="BodyText"/>
        <w:spacing w:line="240" w:lineRule="auto" w:before="49"/>
        <w:ind w:left="572" w:right="0"/>
        <w:jc w:val="left"/>
      </w:pPr>
      <w:r>
        <w:rPr/>
        <w:t>武汉众环海华会计师事务所有限责任公司出具的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1"/>
        </w:rPr>
        <w:t> </w:t>
      </w:r>
      <w:r>
        <w:rPr/>
        <w:t>年年度审计报告严格按照新企业会计准则及公</w:t>
      </w:r>
    </w:p>
    <w:p>
      <w:pPr>
        <w:pStyle w:val="BodyText"/>
        <w:spacing w:line="240" w:lineRule="auto" w:before="119"/>
        <w:ind w:right="0"/>
        <w:jc w:val="both"/>
      </w:pPr>
      <w:r>
        <w:rPr/>
        <w:t>司有关财务制度的规定编制，公允地反映了公司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0"/>
        </w:rPr>
        <w:t> </w:t>
      </w:r>
      <w:r>
        <w:rPr/>
        <w:t>年度的财务状况和经营成果，同意以该审计报告为</w:t>
      </w:r>
    </w:p>
    <w:p>
      <w:pPr>
        <w:pStyle w:val="BodyText"/>
        <w:spacing w:line="240" w:lineRule="auto" w:before="117"/>
        <w:ind w:right="0"/>
        <w:jc w:val="both"/>
      </w:pPr>
      <w:r>
        <w:rPr/>
        <w:t>基础制作公司</w:t>
      </w:r>
      <w:r>
        <w:rPr>
          <w:spacing w:val="-53"/>
        </w:rPr>
        <w:t> </w:t>
      </w:r>
      <w:r>
        <w:rPr>
          <w:rFonts w:ascii="Times New Roman" w:hAnsi="Times New Roman" w:cs="Times New Roman" w:eastAsia="Times New Roman" w:hint="default"/>
          <w:spacing w:val="-3"/>
        </w:rPr>
        <w:t>2011 </w:t>
      </w:r>
      <w:r>
        <w:rPr/>
        <w:t>年年度报告和摘要。</w:t>
      </w:r>
    </w:p>
    <w:p>
      <w:pPr>
        <w:pStyle w:val="BodyText"/>
        <w:spacing w:line="240" w:lineRule="auto" w:before="117"/>
        <w:ind w:left="572" w:right="0"/>
        <w:jc w:val="left"/>
      </w:pPr>
      <w:r>
        <w:rPr>
          <w:w w:val="100"/>
        </w:rPr>
        <w:t>（</w:t>
      </w:r>
      <w:r>
        <w:rPr>
          <w:rFonts w:ascii="Times New Roman" w:hAnsi="Times New Roman" w:cs="Times New Roman" w:eastAsia="Times New Roman" w:hint="default"/>
          <w:w w:val="100"/>
        </w:rPr>
        <w:t>2</w:t>
      </w:r>
      <w:r>
        <w:rPr>
          <w:spacing w:val="-3"/>
          <w:w w:val="100"/>
        </w:rPr>
        <w:t>）</w:t>
      </w:r>
      <w:r>
        <w:rPr>
          <w:w w:val="100"/>
        </w:rPr>
        <w:t>审</w:t>
      </w:r>
      <w:r>
        <w:rPr>
          <w:spacing w:val="-3"/>
          <w:w w:val="100"/>
        </w:rPr>
        <w:t>议</w:t>
      </w:r>
      <w:r>
        <w:rPr>
          <w:w w:val="100"/>
        </w:rPr>
        <w:t>通</w:t>
      </w:r>
      <w:r>
        <w:rPr>
          <w:spacing w:val="-3"/>
          <w:w w:val="100"/>
        </w:rPr>
        <w:t>过</w:t>
      </w:r>
      <w:r>
        <w:rPr>
          <w:w w:val="100"/>
        </w:rPr>
        <w:t>了</w:t>
      </w:r>
      <w:r>
        <w:rPr>
          <w:spacing w:val="-3"/>
          <w:w w:val="100"/>
        </w:rPr>
        <w:t>《</w:t>
      </w:r>
      <w:r>
        <w:rPr>
          <w:w w:val="100"/>
        </w:rPr>
        <w:t>关</w:t>
      </w:r>
      <w:r>
        <w:rPr>
          <w:spacing w:val="-3"/>
          <w:w w:val="100"/>
        </w:rPr>
        <w:t>于会</w:t>
      </w:r>
      <w:r>
        <w:rPr>
          <w:w w:val="100"/>
        </w:rPr>
        <w:t>计师</w:t>
      </w:r>
      <w:r>
        <w:rPr>
          <w:spacing w:val="-3"/>
          <w:w w:val="100"/>
        </w:rPr>
        <w:t>事</w:t>
      </w:r>
      <w:r>
        <w:rPr>
          <w:w w:val="100"/>
        </w:rPr>
        <w:t>务</w:t>
      </w:r>
      <w:r>
        <w:rPr>
          <w:spacing w:val="-3"/>
          <w:w w:val="100"/>
        </w:rPr>
        <w:t>所</w:t>
      </w:r>
      <w:r>
        <w:rPr>
          <w:w w:val="100"/>
        </w:rPr>
        <w:t>从</w:t>
      </w:r>
      <w:r>
        <w:rPr>
          <w:spacing w:val="-3"/>
          <w:w w:val="100"/>
        </w:rPr>
        <w:t>事</w:t>
      </w:r>
      <w:r>
        <w:rPr>
          <w:w w:val="100"/>
        </w:rPr>
        <w:t>本</w:t>
      </w:r>
      <w:r>
        <w:rPr>
          <w:spacing w:val="-3"/>
          <w:w w:val="100"/>
        </w:rPr>
        <w:t>年</w:t>
      </w:r>
      <w:r>
        <w:rPr>
          <w:w w:val="100"/>
        </w:rPr>
        <w:t>度</w:t>
      </w:r>
      <w:r>
        <w:rPr>
          <w:spacing w:val="-3"/>
          <w:w w:val="100"/>
        </w:rPr>
        <w:t>审</w:t>
      </w:r>
      <w:r>
        <w:rPr>
          <w:w w:val="100"/>
        </w:rPr>
        <w:t>计工</w:t>
      </w:r>
      <w:r>
        <w:rPr>
          <w:spacing w:val="-3"/>
          <w:w w:val="100"/>
        </w:rPr>
        <w:t>作</w:t>
      </w:r>
      <w:r>
        <w:rPr>
          <w:w w:val="100"/>
        </w:rPr>
        <w:t>的</w:t>
      </w:r>
      <w:r>
        <w:rPr>
          <w:spacing w:val="-3"/>
          <w:w w:val="100"/>
        </w:rPr>
        <w:t>总</w:t>
      </w:r>
      <w:r>
        <w:rPr>
          <w:w w:val="100"/>
        </w:rPr>
        <w:t>结</w:t>
      </w:r>
      <w:r>
        <w:rPr>
          <w:spacing w:val="-108"/>
          <w:w w:val="100"/>
        </w:rPr>
        <w:t>》</w:t>
      </w:r>
      <w:r>
        <w:rPr>
          <w:w w:val="100"/>
        </w:rPr>
        <w:t>；</w:t>
      </w:r>
    </w:p>
    <w:p>
      <w:pPr>
        <w:pStyle w:val="BodyText"/>
        <w:spacing w:line="338" w:lineRule="auto" w:before="117"/>
        <w:ind w:left="572" w:right="0" w:hanging="1"/>
        <w:jc w:val="left"/>
      </w:pPr>
      <w:r>
        <w:rPr>
          <w:spacing w:val="-2"/>
          <w:w w:val="100"/>
        </w:rPr>
        <w:t>（</w:t>
      </w:r>
      <w:r>
        <w:rPr>
          <w:rFonts w:ascii="Times New Roman" w:hAnsi="Times New Roman" w:cs="Times New Roman" w:eastAsia="Times New Roman" w:hint="default"/>
          <w:spacing w:val="-2"/>
          <w:w w:val="100"/>
        </w:rPr>
        <w:t>3</w:t>
      </w:r>
      <w:r>
        <w:rPr>
          <w:spacing w:val="-2"/>
          <w:w w:val="100"/>
        </w:rPr>
        <w:t>）审议通过了《关于续聘</w:t>
      </w:r>
      <w:r>
        <w:rPr>
          <w:spacing w:val="-54"/>
          <w:w w:val="100"/>
        </w:rPr>
        <w:t> </w:t>
      </w:r>
      <w:r>
        <w:rPr>
          <w:rFonts w:ascii="Times New Roman" w:hAnsi="Times New Roman" w:cs="Times New Roman" w:eastAsia="Times New Roman" w:hint="default"/>
          <w:spacing w:val="-1"/>
          <w:w w:val="100"/>
        </w:rPr>
        <w:t>2012 </w:t>
      </w:r>
      <w:r>
        <w:rPr>
          <w:spacing w:val="-7"/>
          <w:w w:val="100"/>
        </w:rPr>
        <w:t>年度审计机构的议案》，并提交董事会审议。</w:t>
      </w:r>
      <w:r>
        <w:rPr>
          <w:spacing w:val="-96"/>
          <w:w w:val="100"/>
        </w:rPr>
        <w:t> </w:t>
      </w:r>
      <w:r>
        <w:rPr>
          <w:spacing w:val="-96"/>
          <w:w w:val="100"/>
        </w:rPr>
      </w:r>
      <w:r>
        <w:rPr>
          <w:rFonts w:ascii="Times New Roman" w:hAnsi="Times New Roman" w:cs="Times New Roman" w:eastAsia="Times New Roman" w:hint="default"/>
        </w:rPr>
        <w:t>5</w:t>
      </w:r>
      <w:r>
        <w:rPr/>
        <w:t>、报告期内董事会审计委员会其他履职情况</w:t>
      </w:r>
      <w:r>
        <w:rPr>
          <w:spacing w:val="-3"/>
          <w:w w:val="100"/>
        </w:rPr>
        <w:t> </w:t>
      </w:r>
      <w:r>
        <w:rPr>
          <w:spacing w:val="-4"/>
        </w:rPr>
        <w:t>报告期内，董事会审计委员会在公司内审部的协助下，定期检查公司财务状况，通过召开会议的形式</w:t>
      </w:r>
      <w:r>
        <w:rPr/>
      </w:r>
    </w:p>
    <w:p>
      <w:pPr>
        <w:pStyle w:val="BodyText"/>
        <w:spacing w:line="240" w:lineRule="auto" w:before="47"/>
        <w:ind w:right="0"/>
        <w:jc w:val="both"/>
      </w:pPr>
      <w:r>
        <w:rPr/>
        <w:t>审核了公司</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年第一季度报告、半年度报告、第三季度报告并出具了审核意见。</w:t>
      </w:r>
    </w:p>
    <w:p>
      <w:pPr>
        <w:spacing w:line="240" w:lineRule="auto" w:before="2"/>
        <w:rPr>
          <w:rFonts w:ascii="宋体" w:hAnsi="宋体" w:cs="宋体" w:eastAsia="宋体" w:hint="default"/>
          <w:sz w:val="30"/>
          <w:szCs w:val="30"/>
        </w:rPr>
      </w:pPr>
    </w:p>
    <w:p>
      <w:pPr>
        <w:pStyle w:val="Heading4"/>
        <w:spacing w:line="240" w:lineRule="auto"/>
        <w:ind w:right="0"/>
        <w:jc w:val="left"/>
        <w:rPr>
          <w:b w:val="0"/>
          <w:bCs w:val="0"/>
        </w:rPr>
      </w:pPr>
      <w:r>
        <w:rPr/>
        <w:t>（三）董事会薪酬委员会履职情况汇总报告</w:t>
      </w:r>
      <w:r>
        <w:rPr>
          <w:b w:val="0"/>
          <w:bCs w:val="0"/>
        </w:rPr>
      </w:r>
    </w:p>
    <w:p>
      <w:pPr>
        <w:spacing w:after="0" w:line="240" w:lineRule="auto"/>
        <w:jc w:val="left"/>
        <w:sectPr>
          <w:footerReference w:type="default" r:id="rId21"/>
          <w:pgSz w:w="11910" w:h="16840"/>
          <w:pgMar w:footer="979" w:header="850" w:top="1200" w:bottom="1160" w:left="980" w:right="920"/>
          <w:pgNumType w:start="50"/>
        </w:sectPr>
      </w:pPr>
    </w:p>
    <w:p>
      <w:pPr>
        <w:pStyle w:val="BodyText"/>
        <w:spacing w:line="336" w:lineRule="auto" w:before="30"/>
        <w:ind w:left="572" w:right="0"/>
        <w:jc w:val="left"/>
      </w:pPr>
      <w:r>
        <w:rPr/>
        <w:pict>
          <v:group style="position:absolute;margin-left:55.200001pt;margin-top:2.843687pt;width:484.8pt;height:.1pt;mso-position-horizontal-relative:page;mso-position-vertical-relative:paragraph;z-index:-772192" coordorigin="1104,57" coordsize="9696,2">
            <v:shape style="position:absolute;left:1104;top:57;width:9696;height:2" coordorigin="1104,57" coordsize="9696,0" path="m1104,57l10800,57e" filled="false" stroked="true" strokeweight=".72pt" strokecolor="#000000">
              <v:path arrowok="t"/>
            </v:shape>
            <w10:wrap type="none"/>
          </v:group>
        </w:pict>
      </w:r>
      <w:r>
        <w:rPr/>
        <w:t>董事会薪酬委员会成员由</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名董事组成，其中两名为公司独立董事，主席由独立董事担任。</w:t>
      </w:r>
      <w:r>
        <w:rPr>
          <w:w w:val="100"/>
        </w:rPr>
        <w:t> </w:t>
      </w:r>
      <w:r>
        <w:rPr>
          <w:spacing w:val="-2"/>
        </w:rPr>
        <w:t>根据中国证监会、深圳证券交易所有关规定及公司《董事会薪酬委员会工作细则》，公司董事会薪酬</w:t>
      </w:r>
    </w:p>
    <w:p>
      <w:pPr>
        <w:pStyle w:val="BodyText"/>
        <w:spacing w:line="240" w:lineRule="auto" w:before="49"/>
        <w:ind w:right="3480"/>
        <w:jc w:val="left"/>
      </w:pPr>
      <w:r>
        <w:rPr/>
        <w:t>委员会本着勤勉尽责的原则，</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年度履行了以下工作职责：</w:t>
      </w:r>
    </w:p>
    <w:p>
      <w:pPr>
        <w:pStyle w:val="BodyText"/>
        <w:spacing w:line="336" w:lineRule="auto" w:before="119"/>
        <w:ind w:right="150" w:firstLine="419"/>
        <w:jc w:val="both"/>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日，董事会薪酬委员会召开了</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spacing w:val="-4"/>
        </w:rPr>
        <w:t>年第一次会议，审议并通过了公司《关于调整公</w:t>
      </w:r>
      <w:r>
        <w:rPr>
          <w:w w:val="100"/>
        </w:rPr>
        <w:t> </w:t>
      </w:r>
      <w:r>
        <w:rPr/>
        <w:t>司独立董事津贴的议案》，提交董事会审议；</w:t>
      </w:r>
    </w:p>
    <w:p>
      <w:pPr>
        <w:pStyle w:val="BodyText"/>
        <w:spacing w:line="336" w:lineRule="auto" w:before="49"/>
        <w:ind w:right="152" w:firstLine="419"/>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 </w:t>
      </w:r>
      <w:r>
        <w:rPr/>
        <w:t>年</w:t>
      </w:r>
      <w:r>
        <w:rPr>
          <w:spacing w:val="-50"/>
        </w:rPr>
        <w:t> </w:t>
      </w:r>
      <w:r>
        <w:rPr>
          <w:rFonts w:ascii="Times New Roman" w:hAnsi="Times New Roman" w:cs="Times New Roman" w:eastAsia="Times New Roman" w:hint="default"/>
        </w:rPr>
        <w:t>4 </w:t>
      </w:r>
      <w:r>
        <w:rPr/>
        <w:t>月</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日，董事会薪酬委员会召开了</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年第二次会议，审议并通过了《关于公司股票</w:t>
      </w:r>
      <w:r>
        <w:rPr>
          <w:spacing w:val="-3"/>
          <w:w w:val="100"/>
        </w:rPr>
        <w:t> </w:t>
      </w:r>
      <w:r>
        <w:rPr/>
        <w:t>期权激励计划已授予的股票期权第一个行权期可行权的议案》，提交董事会审议。</w:t>
      </w:r>
    </w:p>
    <w:p>
      <w:pPr>
        <w:pStyle w:val="BodyText"/>
        <w:spacing w:line="240" w:lineRule="auto" w:before="49"/>
        <w:ind w:left="572" w:right="0"/>
        <w:jc w:val="left"/>
      </w:pPr>
      <w:r>
        <w:rPr>
          <w:rFonts w:ascii="Times New Roman" w:hAnsi="Times New Roman" w:cs="Times New Roman" w:eastAsia="Times New Roman" w:hint="default"/>
          <w:spacing w:val="-3"/>
        </w:rPr>
        <w:t>3</w:t>
      </w:r>
      <w:r>
        <w:rPr>
          <w:spacing w:val="-3"/>
        </w:rPr>
        <w:t>、董事会薪酬委员会于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日召开了</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spacing w:val="-3"/>
        </w:rPr>
        <w:t>年年报工作第一次会议，听取了公司管理层就</w:t>
      </w:r>
      <w:r>
        <w:rPr/>
      </w:r>
    </w:p>
    <w:p>
      <w:pPr>
        <w:pStyle w:val="BodyText"/>
        <w:spacing w:line="240" w:lineRule="auto" w:before="119"/>
        <w:ind w:left="153" w:right="0"/>
        <w:jc w:val="left"/>
      </w:pPr>
      <w:r>
        <w:rPr>
          <w:rFonts w:ascii="Times New Roman" w:hAnsi="Times New Roman" w:cs="Times New Roman" w:eastAsia="Times New Roman" w:hint="default"/>
        </w:rPr>
        <w:t>2011 </w:t>
      </w:r>
      <w:r>
        <w:rPr>
          <w:rFonts w:ascii="Times New Roman" w:hAnsi="Times New Roman" w:cs="Times New Roman" w:eastAsia="Times New Roman" w:hint="default"/>
          <w:spacing w:val="38"/>
        </w:rPr>
        <w:t> </w:t>
      </w:r>
      <w:r>
        <w:rPr>
          <w:spacing w:val="-4"/>
        </w:rPr>
        <w:t>年主要业务经营情况和经营目标完成情况的汇报，并依据公司董事、监事及高管人员的岗位职责，对</w:t>
      </w:r>
    </w:p>
    <w:p>
      <w:pPr>
        <w:pStyle w:val="BodyText"/>
        <w:spacing w:line="336" w:lineRule="auto" w:before="117"/>
        <w:ind w:left="573" w:right="0" w:hanging="420"/>
        <w:jc w:val="left"/>
      </w:pPr>
      <w:r>
        <w:rPr/>
        <w:t>公司董事、监事及高管人员</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年度薪酬进行了审核，并出具如下审核意见：</w:t>
      </w:r>
      <w:r>
        <w:rPr>
          <w:spacing w:val="-3"/>
          <w:w w:val="100"/>
        </w:rPr>
        <w:t> </w:t>
      </w:r>
      <w:r>
        <w:rPr>
          <w:spacing w:val="-2"/>
        </w:rPr>
        <w:t>报告期内，公司管理层超额完成了董事会制定的经营业绩目标，石基信息董事、监事及高管人员薪酬</w:t>
      </w:r>
    </w:p>
    <w:p>
      <w:pPr>
        <w:pStyle w:val="BodyText"/>
        <w:spacing w:line="338" w:lineRule="auto" w:before="49"/>
        <w:ind w:left="153" w:right="143" w:hanging="1"/>
        <w:jc w:val="left"/>
      </w:pPr>
      <w:r>
        <w:rPr/>
        <w:t>收入执行了股东大会、董事会批准的有关规定，公司 </w:t>
      </w:r>
      <w:r>
        <w:rPr>
          <w:rFonts w:ascii="Times New Roman" w:hAnsi="Times New Roman" w:cs="Times New Roman" w:eastAsia="Times New Roman" w:hint="default"/>
        </w:rPr>
        <w:t>2011</w:t>
      </w:r>
      <w:r>
        <w:rPr>
          <w:rFonts w:ascii="Times New Roman" w:hAnsi="Times New Roman" w:cs="Times New Roman" w:eastAsia="Times New Roman" w:hint="default"/>
          <w:spacing w:val="23"/>
        </w:rPr>
        <w:t> </w:t>
      </w:r>
      <w:r>
        <w:rPr/>
        <w:t>年年度报告中披露的有关董事、监事及高管人</w:t>
      </w:r>
      <w:r>
        <w:rPr>
          <w:w w:val="100"/>
        </w:rPr>
        <w:t> </w:t>
      </w:r>
      <w:r>
        <w:rPr/>
        <w:t>员薪酬收入情况真实、客观。</w:t>
      </w:r>
    </w:p>
    <w:p>
      <w:pPr>
        <w:spacing w:line="240" w:lineRule="auto" w:before="11"/>
        <w:rPr>
          <w:rFonts w:ascii="宋体" w:hAnsi="宋体" w:cs="宋体" w:eastAsia="宋体" w:hint="default"/>
          <w:sz w:val="24"/>
          <w:szCs w:val="24"/>
        </w:rPr>
      </w:pPr>
    </w:p>
    <w:p>
      <w:pPr>
        <w:pStyle w:val="Heading4"/>
        <w:spacing w:line="240" w:lineRule="auto"/>
        <w:ind w:right="3480"/>
        <w:jc w:val="left"/>
        <w:rPr>
          <w:b w:val="0"/>
          <w:bCs w:val="0"/>
        </w:rPr>
      </w:pPr>
      <w:r>
        <w:rPr/>
        <w:t>（四）董事会提名委员会履职情况汇总报告</w:t>
      </w:r>
      <w:r>
        <w:rPr>
          <w:b w:val="0"/>
          <w:bCs w:val="0"/>
        </w:rPr>
      </w:r>
    </w:p>
    <w:p>
      <w:pPr>
        <w:spacing w:line="240" w:lineRule="auto" w:before="0"/>
        <w:rPr>
          <w:rFonts w:ascii="宋体" w:hAnsi="宋体" w:cs="宋体" w:eastAsia="宋体" w:hint="default"/>
          <w:b/>
          <w:bCs/>
          <w:sz w:val="20"/>
          <w:szCs w:val="20"/>
        </w:rPr>
      </w:pPr>
    </w:p>
    <w:p>
      <w:pPr>
        <w:pStyle w:val="BodyText"/>
        <w:spacing w:line="338" w:lineRule="auto" w:before="152"/>
        <w:ind w:left="572" w:right="0"/>
        <w:jc w:val="left"/>
      </w:pPr>
      <w:r>
        <w:rPr/>
        <w:t>董事会提名委员会成员由</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名董事组成，其中两名为公司独立董事，主席由独立董事担任。</w:t>
      </w:r>
      <w:r>
        <w:rPr>
          <w:w w:val="100"/>
        </w:rPr>
        <w:t> </w:t>
      </w:r>
      <w:r>
        <w:rPr>
          <w:spacing w:val="-2"/>
        </w:rPr>
        <w:t>根据中国证监会、深圳证券交易所有关规定及公司《董事会提名委员会工作细则》，公司董事会提名</w:t>
      </w:r>
    </w:p>
    <w:p>
      <w:pPr>
        <w:pStyle w:val="BodyText"/>
        <w:spacing w:line="240" w:lineRule="auto" w:before="47"/>
        <w:ind w:right="3480"/>
        <w:jc w:val="left"/>
      </w:pPr>
      <w:r>
        <w:rPr/>
        <w:t>委员会本着勤勉尽责的原则，</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年度履行了以下工作职责：</w:t>
      </w:r>
    </w:p>
    <w:p>
      <w:pPr>
        <w:pStyle w:val="BodyText"/>
        <w:spacing w:line="345" w:lineRule="auto" w:before="117"/>
        <w:ind w:right="146" w:firstLine="419"/>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 </w:t>
      </w:r>
      <w:r>
        <w:rPr/>
        <w:t>年</w:t>
      </w:r>
      <w:r>
        <w:rPr>
          <w:spacing w:val="-50"/>
        </w:rPr>
        <w:t> </w:t>
      </w:r>
      <w:r>
        <w:rPr>
          <w:rFonts w:ascii="Times New Roman" w:hAnsi="Times New Roman" w:cs="Times New Roman" w:eastAsia="Times New Roman" w:hint="default"/>
        </w:rPr>
        <w:t>1 </w:t>
      </w:r>
      <w:r>
        <w:rPr/>
        <w:t>月</w:t>
      </w:r>
      <w:r>
        <w:rPr>
          <w:spacing w:val="-50"/>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日，董事会提名委员会召开了</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年第一次会议，对公司副总裁王敏敏女士的相</w:t>
      </w:r>
      <w:r>
        <w:rPr>
          <w:spacing w:val="-3"/>
          <w:w w:val="100"/>
        </w:rPr>
        <w:t> </w:t>
      </w:r>
      <w:r>
        <w:rPr>
          <w:spacing w:val="-2"/>
        </w:rPr>
        <w:t>关资料进行了审查，并出具了如下审核意见：王敏敏女士具备行使公司副总裁职权的相关任职条件，建议</w:t>
      </w:r>
      <w:r>
        <w:rPr>
          <w:spacing w:val="-42"/>
        </w:rPr>
        <w:t> </w:t>
      </w:r>
      <w:r>
        <w:rPr>
          <w:spacing w:val="-42"/>
        </w:rPr>
      </w:r>
      <w:r>
        <w:rPr/>
        <w:t>公司董事会聘任王敏敏女士为公司副总裁。</w:t>
      </w:r>
    </w:p>
    <w:p>
      <w:pPr>
        <w:pStyle w:val="BodyText"/>
        <w:spacing w:line="345" w:lineRule="auto" w:before="43"/>
        <w:ind w:right="127" w:firstLine="420"/>
        <w:jc w:val="both"/>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4"/>
        </w:rPr>
        <w:t>日，董事会提名委员会召开了</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spacing w:val="-3"/>
        </w:rPr>
        <w:t>年第二次会议，对公司副总裁兼董事会秘书罗芳</w:t>
      </w:r>
      <w:r>
        <w:rPr>
          <w:spacing w:val="-3"/>
          <w:w w:val="100"/>
        </w:rPr>
        <w:t> </w:t>
      </w:r>
      <w:r>
        <w:rPr>
          <w:spacing w:val="-2"/>
        </w:rPr>
        <w:t>女士的相关资料进行了审查，并出具了如下审核意见：罗芳女士具备行使公司副总裁兼董事会秘书职权的</w:t>
      </w:r>
      <w:r>
        <w:rPr>
          <w:spacing w:val="-44"/>
        </w:rPr>
        <w:t> </w:t>
      </w:r>
      <w:r>
        <w:rPr>
          <w:spacing w:val="-44"/>
        </w:rPr>
      </w:r>
      <w:r>
        <w:rPr>
          <w:spacing w:val="-2"/>
        </w:rPr>
        <w:t>相关任职条件，根据公司实际岗位缺失情况，建议公司董事会聘任罗芳女士为公司副总裁兼董事会秘书。</w:t>
      </w:r>
    </w:p>
    <w:p>
      <w:pPr>
        <w:spacing w:line="240" w:lineRule="auto" w:before="5"/>
        <w:rPr>
          <w:rFonts w:ascii="宋体" w:hAnsi="宋体" w:cs="宋体" w:eastAsia="宋体" w:hint="default"/>
          <w:sz w:val="24"/>
          <w:szCs w:val="24"/>
        </w:rPr>
      </w:pPr>
    </w:p>
    <w:p>
      <w:pPr>
        <w:pStyle w:val="Heading4"/>
        <w:spacing w:line="240" w:lineRule="auto"/>
        <w:ind w:right="3480"/>
        <w:jc w:val="left"/>
        <w:rPr>
          <w:b w:val="0"/>
          <w:bCs w:val="0"/>
        </w:rPr>
      </w:pPr>
      <w:r>
        <w:rPr/>
        <w:t>七、</w:t>
      </w:r>
      <w:r>
        <w:rPr>
          <w:spacing w:val="-1"/>
        </w:rPr>
        <w:t> </w:t>
      </w:r>
      <w:r>
        <w:rPr>
          <w:rFonts w:ascii="Times New Roman" w:hAnsi="Times New Roman" w:cs="Times New Roman" w:eastAsia="Times New Roman" w:hint="default"/>
        </w:rPr>
        <w:t>2011</w:t>
      </w:r>
      <w:r>
        <w:rPr/>
        <w:t>年度利润分配预案</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2" w:right="0"/>
        <w:jc w:val="left"/>
      </w:pPr>
      <w:r>
        <w:rPr>
          <w:spacing w:val="18"/>
        </w:rPr>
        <w:t>经武汉众环海华会计师事务有限责任公司审计，公司 </w:t>
      </w:r>
      <w:r>
        <w:rPr>
          <w:rFonts w:ascii="Times New Roman" w:hAnsi="Times New Roman" w:cs="Times New Roman" w:eastAsia="Times New Roman" w:hint="default"/>
        </w:rPr>
        <w:t>2011   </w:t>
      </w:r>
      <w:r>
        <w:rPr>
          <w:rFonts w:ascii="Times New Roman" w:hAnsi="Times New Roman" w:cs="Times New Roman" w:eastAsia="Times New Roman" w:hint="default"/>
          <w:spacing w:val="14"/>
        </w:rPr>
        <w:t> </w:t>
      </w:r>
      <w:r>
        <w:rPr>
          <w:spacing w:val="18"/>
        </w:rPr>
        <w:t>年度归属于母公司股东净利润为</w:t>
      </w:r>
      <w:r>
        <w:rPr>
          <w:spacing w:val="-84"/>
        </w:rPr>
        <w:t> </w:t>
      </w:r>
      <w:r>
        <w:rPr/>
      </w:r>
    </w:p>
    <w:p>
      <w:pPr>
        <w:pStyle w:val="BodyText"/>
        <w:spacing w:line="240" w:lineRule="auto" w:before="117"/>
        <w:ind w:right="0"/>
        <w:jc w:val="left"/>
        <w:rPr>
          <w:rFonts w:ascii="Times New Roman" w:hAnsi="Times New Roman" w:cs="Times New Roman" w:eastAsia="Times New Roman" w:hint="default"/>
        </w:rPr>
      </w:pPr>
      <w:r>
        <w:rPr>
          <w:rFonts w:ascii="Times New Roman" w:hAnsi="Times New Roman" w:cs="Times New Roman" w:eastAsia="Times New Roman" w:hint="default"/>
          <w:w w:val="100"/>
        </w:rPr>
        <w:t>264,1</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3,70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.63</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元</w:t>
      </w:r>
      <w:r>
        <w:rPr>
          <w:spacing w:val="-108"/>
          <w:w w:val="100"/>
        </w:rPr>
        <w:t>，</w:t>
      </w:r>
      <w:r>
        <w:rPr>
          <w:w w:val="100"/>
        </w:rPr>
        <w:t>加</w:t>
      </w:r>
      <w:r>
        <w:rPr>
          <w:spacing w:val="-3"/>
          <w:w w:val="100"/>
        </w:rPr>
        <w:t>上年</w:t>
      </w:r>
      <w:r>
        <w:rPr>
          <w:w w:val="100"/>
        </w:rPr>
        <w:t>初未</w:t>
      </w:r>
      <w:r>
        <w:rPr>
          <w:spacing w:val="-3"/>
          <w:w w:val="100"/>
        </w:rPr>
        <w:t>分</w:t>
      </w:r>
      <w:r>
        <w:rPr>
          <w:w w:val="100"/>
        </w:rPr>
        <w:t>配</w:t>
      </w:r>
      <w:r>
        <w:rPr>
          <w:spacing w:val="-3"/>
          <w:w w:val="100"/>
        </w:rPr>
        <w:t>利</w:t>
      </w:r>
      <w:r>
        <w:rPr>
          <w:w w:val="100"/>
        </w:rPr>
        <w:t>润</w:t>
      </w:r>
      <w:r>
        <w:rPr>
          <w:spacing w:val="-58"/>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2,20</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37</w:t>
      </w:r>
      <w:r>
        <w:rPr>
          <w:rFonts w:ascii="Times New Roman" w:hAnsi="Times New Roman" w:cs="Times New Roman" w:eastAsia="Times New Roman" w:hint="default"/>
          <w:spacing w:val="-5"/>
        </w:rPr>
        <w:t> </w:t>
      </w:r>
      <w:r>
        <w:rPr>
          <w:w w:val="100"/>
        </w:rPr>
        <w:t>元</w:t>
      </w:r>
      <w:r>
        <w:rPr>
          <w:spacing w:val="-108"/>
          <w:w w:val="100"/>
        </w:rPr>
        <w:t>，</w:t>
      </w:r>
      <w:r>
        <w:rPr>
          <w:w w:val="100"/>
        </w:rPr>
        <w:t>扣</w:t>
      </w:r>
      <w:r>
        <w:rPr>
          <w:spacing w:val="-3"/>
          <w:w w:val="100"/>
        </w:rPr>
        <w:t>除</w:t>
      </w:r>
      <w:r>
        <w:rPr>
          <w:w w:val="100"/>
        </w:rPr>
        <w:t>支付</w:t>
      </w:r>
      <w:r>
        <w:rPr>
          <w:spacing w:val="-58"/>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010</w:t>
      </w:r>
      <w:r>
        <w:rPr>
          <w:rFonts w:ascii="Times New Roman" w:hAnsi="Times New Roman" w:cs="Times New Roman" w:eastAsia="Times New Roman" w:hint="default"/>
          <w:spacing w:val="-7"/>
        </w:rPr>
        <w:t> </w:t>
      </w:r>
      <w:r>
        <w:rPr>
          <w:w w:val="100"/>
        </w:rPr>
        <w:t>年</w:t>
      </w:r>
      <w:r>
        <w:rPr>
          <w:spacing w:val="-3"/>
          <w:w w:val="100"/>
        </w:rPr>
        <w:t>度</w:t>
      </w:r>
      <w:r>
        <w:rPr>
          <w:w w:val="100"/>
        </w:rPr>
        <w:t>股东</w:t>
      </w:r>
      <w:r>
        <w:rPr>
          <w:spacing w:val="-3"/>
          <w:w w:val="100"/>
        </w:rPr>
        <w:t>现</w:t>
      </w:r>
      <w:r>
        <w:rPr>
          <w:w w:val="100"/>
        </w:rPr>
        <w:t>金</w:t>
      </w:r>
      <w:r>
        <w:rPr>
          <w:spacing w:val="-3"/>
          <w:w w:val="100"/>
        </w:rPr>
        <w:t>红</w:t>
      </w:r>
      <w:r>
        <w:rPr>
          <w:w w:val="100"/>
        </w:rPr>
        <w:t>利</w:t>
      </w:r>
      <w:r>
        <w:rPr>
          <w:spacing w:val="-58"/>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,400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p>
    <w:p>
      <w:pPr>
        <w:pStyle w:val="BodyText"/>
        <w:spacing w:line="240" w:lineRule="auto" w:before="117"/>
        <w:ind w:right="0"/>
        <w:jc w:val="left"/>
      </w:pPr>
      <w:r>
        <w:rPr/>
        <w:t>元、本年度提取的盈余公积 </w:t>
      </w:r>
      <w:r>
        <w:rPr>
          <w:rFonts w:ascii="Times New Roman" w:hAnsi="Times New Roman" w:cs="Times New Roman" w:eastAsia="Times New Roman" w:hint="default"/>
        </w:rPr>
        <w:t>8,946,833.34 </w:t>
      </w:r>
      <w:r>
        <w:rPr/>
        <w:t>元，本年度可供全体股东分配的利润为 </w:t>
      </w:r>
      <w:r>
        <w:rPr>
          <w:rFonts w:ascii="Times New Roman" w:hAnsi="Times New Roman" w:cs="Times New Roman" w:eastAsia="Times New Roman" w:hint="default"/>
        </w:rPr>
        <w:t>744,859,074.66</w:t>
      </w:r>
      <w:r>
        <w:rPr>
          <w:rFonts w:ascii="Times New Roman" w:hAnsi="Times New Roman" w:cs="Times New Roman" w:eastAsia="Times New Roman" w:hint="default"/>
          <w:spacing w:val="-5"/>
        </w:rPr>
        <w:t> </w:t>
      </w:r>
      <w:r>
        <w:rPr/>
        <w:t>元。</w:t>
      </w:r>
    </w:p>
    <w:p>
      <w:pPr>
        <w:pStyle w:val="BodyText"/>
        <w:spacing w:line="240" w:lineRule="auto" w:before="117"/>
        <w:ind w:left="573" w:right="0"/>
        <w:jc w:val="left"/>
      </w:pPr>
      <w:r>
        <w:rPr/>
        <w:t>公司拟以</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日总股本</w:t>
      </w:r>
      <w:r>
        <w:rPr>
          <w:spacing w:val="-52"/>
        </w:rPr>
        <w:t> </w:t>
      </w:r>
      <w:r>
        <w:rPr>
          <w:rFonts w:ascii="Times New Roman" w:hAnsi="Times New Roman" w:cs="Times New Roman" w:eastAsia="Times New Roman" w:hint="default"/>
        </w:rPr>
        <w:t>309,120,000.00 </w:t>
      </w:r>
      <w:r>
        <w:rPr>
          <w:rFonts w:ascii="Times New Roman" w:hAnsi="Times New Roman" w:cs="Times New Roman" w:eastAsia="Times New Roman" w:hint="default"/>
          <w:spacing w:val="1"/>
        </w:rPr>
        <w:t> </w:t>
      </w:r>
      <w:r>
        <w:rPr>
          <w:spacing w:val="-4"/>
        </w:rPr>
        <w:t>为基数，向全体股东按每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股派发现金股利人民</w:t>
      </w:r>
    </w:p>
    <w:p>
      <w:pPr>
        <w:pStyle w:val="BodyText"/>
        <w:spacing w:line="240" w:lineRule="auto" w:before="119"/>
        <w:ind w:left="153" w:right="0"/>
        <w:jc w:val="left"/>
      </w:pPr>
      <w:r>
        <w:rPr/>
        <w:t>币</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元（含税），共计派发</w:t>
      </w:r>
      <w:r>
        <w:rPr>
          <w:spacing w:val="-49"/>
        </w:rPr>
        <w:t> </w:t>
      </w:r>
      <w:r>
        <w:rPr>
          <w:rFonts w:ascii="Times New Roman" w:hAnsi="Times New Roman" w:cs="Times New Roman" w:eastAsia="Times New Roman" w:hint="default"/>
        </w:rPr>
        <w:t>92,736,000</w:t>
      </w:r>
      <w:r>
        <w:rPr>
          <w:rFonts w:ascii="Times New Roman" w:hAnsi="Times New Roman" w:cs="Times New Roman" w:eastAsia="Times New Roman" w:hint="default"/>
          <w:spacing w:val="3"/>
        </w:rPr>
        <w:t> </w:t>
      </w:r>
      <w:r>
        <w:rPr/>
        <w:t>元，剩余未分配利润</w:t>
      </w:r>
      <w:r>
        <w:rPr>
          <w:spacing w:val="-49"/>
        </w:rPr>
        <w:t> </w:t>
      </w:r>
      <w:r>
        <w:rPr>
          <w:rFonts w:ascii="Times New Roman" w:hAnsi="Times New Roman" w:cs="Times New Roman" w:eastAsia="Times New Roman" w:hint="default"/>
        </w:rPr>
        <w:t>652,123,074.66</w:t>
      </w:r>
      <w:r>
        <w:rPr>
          <w:rFonts w:ascii="Times New Roman" w:hAnsi="Times New Roman" w:cs="Times New Roman" w:eastAsia="Times New Roman" w:hint="default"/>
          <w:spacing w:val="1"/>
        </w:rPr>
        <w:t> </w:t>
      </w:r>
      <w:r>
        <w:rPr/>
        <w:t>元结转至下一年度。此项利润</w:t>
      </w:r>
    </w:p>
    <w:p>
      <w:pPr>
        <w:pStyle w:val="BodyText"/>
        <w:spacing w:line="336" w:lineRule="auto" w:before="117"/>
        <w:ind w:left="573" w:right="5264" w:hanging="421"/>
        <w:jc w:val="left"/>
      </w:pPr>
      <w:r>
        <w:rPr/>
        <w:t>分配预案需提交公司</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年年度股东大会审议。</w:t>
      </w:r>
      <w:r>
        <w:rPr>
          <w:w w:val="100"/>
        </w:rPr>
        <w:t> </w:t>
      </w:r>
      <w:r>
        <w:rPr/>
        <w:t>公司前三年现金分红情况如下：</w:t>
      </w:r>
    </w:p>
    <w:p>
      <w:pPr>
        <w:spacing w:after="0" w:line="336" w:lineRule="auto"/>
        <w:jc w:val="left"/>
        <w:sectPr>
          <w:pgSz w:w="11910" w:h="16840"/>
          <w:pgMar w:header="850" w:footer="979" w:top="1200" w:bottom="1160" w:left="980" w:right="980"/>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628"/>
        <w:gridCol w:w="2340"/>
        <w:gridCol w:w="2340"/>
        <w:gridCol w:w="2340"/>
      </w:tblGrid>
      <w:tr>
        <w:trPr>
          <w:trHeight w:val="290" w:hRule="exact"/>
        </w:trPr>
        <w:tc>
          <w:tcPr>
            <w:tcW w:w="2628" w:type="dxa"/>
            <w:tcBorders>
              <w:top w:val="single" w:sz="10" w:space="0" w:color="000000"/>
              <w:left w:val="single" w:sz="4" w:space="0" w:color="000000"/>
              <w:bottom w:val="single" w:sz="4" w:space="0" w:color="000000"/>
              <w:right w:val="single" w:sz="4" w:space="0" w:color="000000"/>
            </w:tcBorders>
            <w:shd w:val="clear" w:color="auto" w:fill="E1E1E1"/>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10" w:space="0" w:color="000000"/>
              <w:left w:val="single" w:sz="4" w:space="0" w:color="000000"/>
              <w:bottom w:val="single" w:sz="4" w:space="0" w:color="000000"/>
              <w:right w:val="single" w:sz="4" w:space="0" w:color="000000"/>
            </w:tcBorders>
            <w:shd w:val="clear" w:color="auto" w:fill="E1E1E1"/>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2010</w:t>
            </w:r>
          </w:p>
        </w:tc>
        <w:tc>
          <w:tcPr>
            <w:tcW w:w="2340" w:type="dxa"/>
            <w:tcBorders>
              <w:top w:val="single" w:sz="10" w:space="0" w:color="000000"/>
              <w:left w:val="single" w:sz="4" w:space="0" w:color="000000"/>
              <w:bottom w:val="single" w:sz="4" w:space="0" w:color="000000"/>
              <w:right w:val="single" w:sz="4" w:space="0" w:color="000000"/>
            </w:tcBorders>
            <w:shd w:val="clear" w:color="auto" w:fill="E1E1E1"/>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340" w:type="dxa"/>
            <w:tcBorders>
              <w:top w:val="single" w:sz="10" w:space="0" w:color="000000"/>
              <w:left w:val="single" w:sz="4" w:space="0" w:color="000000"/>
              <w:bottom w:val="single" w:sz="4" w:space="0" w:color="000000"/>
              <w:right w:val="single" w:sz="4" w:space="0" w:color="000000"/>
            </w:tcBorders>
            <w:shd w:val="clear" w:color="auto" w:fill="E1E1E1"/>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622" w:hRule="exact"/>
        </w:trPr>
        <w:tc>
          <w:tcPr>
            <w:tcW w:w="2628" w:type="dxa"/>
            <w:tcBorders>
              <w:top w:val="single" w:sz="4" w:space="0" w:color="000000"/>
              <w:left w:val="single" w:sz="4" w:space="0" w:color="000000"/>
              <w:bottom w:val="single" w:sz="4" w:space="0" w:color="000000"/>
              <w:right w:val="single" w:sz="4" w:space="0" w:color="000000"/>
            </w:tcBorders>
            <w:shd w:val="clear" w:color="auto" w:fill="E1E1E1"/>
          </w:tcPr>
          <w:p>
            <w:pPr>
              <w:pStyle w:val="TableParagraph"/>
              <w:spacing w:line="272" w:lineRule="exact" w:before="27"/>
              <w:ind w:left="468" w:right="148" w:hanging="315"/>
              <w:jc w:val="left"/>
              <w:rPr>
                <w:rFonts w:ascii="宋体" w:hAnsi="宋体" w:cs="宋体" w:eastAsia="宋体" w:hint="default"/>
                <w:sz w:val="21"/>
                <w:szCs w:val="21"/>
              </w:rPr>
            </w:pPr>
            <w:r>
              <w:rPr>
                <w:rFonts w:ascii="宋体" w:hAnsi="宋体" w:cs="宋体" w:eastAsia="宋体" w:hint="default"/>
                <w:spacing w:val="-2"/>
                <w:sz w:val="21"/>
                <w:szCs w:val="21"/>
              </w:rPr>
              <w:t>是否进行利润分配（填否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需说明详细原因）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8" w:hRule="exact"/>
        </w:trPr>
        <w:tc>
          <w:tcPr>
            <w:tcW w:w="2628" w:type="dxa"/>
            <w:tcBorders>
              <w:top w:val="single" w:sz="4" w:space="0" w:color="000000"/>
              <w:left w:val="single" w:sz="4" w:space="0" w:color="000000"/>
              <w:bottom w:val="single" w:sz="4" w:space="0" w:color="000000"/>
              <w:right w:val="single" w:sz="4" w:space="0" w:color="000000"/>
            </w:tcBorders>
            <w:shd w:val="clear" w:color="auto" w:fill="E1E1E1"/>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利润分配方式</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派发现金股利，同时公</w:t>
            </w:r>
          </w:p>
          <w:p>
            <w:pPr>
              <w:pStyle w:val="TableParagraph"/>
              <w:spacing w:line="28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积金转增股本（每</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10</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股转增股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3.8</w:t>
            </w:r>
            <w:r>
              <w:rPr>
                <w:rFonts w:ascii="宋体" w:hAnsi="宋体" w:cs="宋体" w:eastAsia="宋体" w:hint="default"/>
                <w:sz w:val="21"/>
                <w:szCs w:val="21"/>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派发现金股利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派发现金股利，同时公</w:t>
            </w:r>
          </w:p>
          <w:p>
            <w:pPr>
              <w:pStyle w:val="TableParagraph"/>
              <w:spacing w:line="28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积金转增股本（每</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10</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股转增股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p>
        </w:tc>
      </w:tr>
      <w:tr>
        <w:trPr>
          <w:trHeight w:val="2189" w:hRule="exact"/>
        </w:trPr>
        <w:tc>
          <w:tcPr>
            <w:tcW w:w="2628" w:type="dxa"/>
            <w:tcBorders>
              <w:top w:val="single" w:sz="4" w:space="0" w:color="000000"/>
              <w:left w:val="single" w:sz="4" w:space="0" w:color="000000"/>
              <w:bottom w:val="single" w:sz="4" w:space="0" w:color="000000"/>
              <w:right w:val="single" w:sz="4" w:space="0" w:color="000000"/>
            </w:tcBorders>
            <w:shd w:val="clear" w:color="auto" w:fill="E1E1E1"/>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现金分红情况</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 </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年年度股东</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大会决议，以 </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p>
          <w:p>
            <w:pPr>
              <w:pStyle w:val="TableParagraph"/>
              <w:spacing w:line="272"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r>
              <w:rPr>
                <w:rFonts w:ascii="宋体" w:hAnsi="宋体" w:cs="宋体" w:eastAsia="宋体" w:hint="default"/>
                <w:spacing w:val="-85"/>
                <w:sz w:val="21"/>
                <w:szCs w:val="21"/>
              </w:rPr>
              <w:t> </w:t>
            </w:r>
            <w:r>
              <w:rPr>
                <w:rFonts w:ascii="宋体" w:hAnsi="宋体" w:cs="宋体" w:eastAsia="宋体" w:hint="default"/>
                <w:spacing w:val="36"/>
                <w:sz w:val="21"/>
                <w:szCs w:val="21"/>
              </w:rPr>
              <w:t>总股本</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30" w:lineRule="auto"/>
              <w:ind w:left="102" w:right="99"/>
              <w:jc w:val="both"/>
              <w:rPr>
                <w:rFonts w:ascii="宋体" w:hAnsi="宋体" w:cs="宋体" w:eastAsia="宋体" w:hint="default"/>
                <w:sz w:val="21"/>
                <w:szCs w:val="21"/>
              </w:rPr>
            </w:pPr>
            <w:r>
              <w:rPr>
                <w:rFonts w:ascii="Times New Roman" w:hAnsi="Times New Roman" w:cs="Times New Roman" w:eastAsia="Times New Roman" w:hint="default"/>
                <w:sz w:val="21"/>
                <w:szCs w:val="21"/>
              </w:rPr>
              <w:t>224,00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万股为基数，向</w:t>
            </w:r>
            <w:r>
              <w:rPr>
                <w:rFonts w:ascii="宋体" w:hAnsi="宋体" w:cs="宋体" w:eastAsia="宋体" w:hint="default"/>
                <w:spacing w:val="-3"/>
                <w:w w:val="100"/>
                <w:sz w:val="21"/>
                <w:szCs w:val="21"/>
              </w:rPr>
              <w:t> </w:t>
            </w:r>
            <w:r>
              <w:rPr>
                <w:rFonts w:ascii="宋体" w:hAnsi="宋体" w:cs="宋体" w:eastAsia="宋体" w:hint="default"/>
                <w:sz w:val="21"/>
                <w:szCs w:val="21"/>
              </w:rPr>
              <w:t>全体股东向全体股东每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股派人民币现金</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元</w:t>
            </w:r>
          </w:p>
          <w:p>
            <w:pPr>
              <w:pStyle w:val="TableParagraph"/>
              <w:spacing w:line="272" w:lineRule="exact" w:before="12"/>
              <w:ind w:left="102" w:right="101"/>
              <w:jc w:val="both"/>
              <w:rPr>
                <w:rFonts w:ascii="宋体" w:hAnsi="宋体" w:cs="宋体" w:eastAsia="宋体" w:hint="default"/>
                <w:sz w:val="21"/>
                <w:szCs w:val="21"/>
              </w:rPr>
            </w:pPr>
            <w:r>
              <w:rPr>
                <w:rFonts w:ascii="宋体" w:hAnsi="宋体" w:cs="宋体" w:eastAsia="宋体" w:hint="default"/>
                <w:spacing w:val="-9"/>
                <w:sz w:val="21"/>
                <w:szCs w:val="21"/>
              </w:rPr>
              <w:t>（含税），</w:t>
            </w:r>
            <w:r>
              <w:rPr>
                <w:rFonts w:ascii="宋体" w:hAnsi="宋体" w:cs="宋体" w:eastAsia="宋体" w:hint="default"/>
                <w:spacing w:val="-40"/>
                <w:sz w:val="21"/>
                <w:szCs w:val="21"/>
              </w:rPr>
              <w:t> </w:t>
            </w:r>
            <w:r>
              <w:rPr>
                <w:rFonts w:ascii="宋体" w:hAnsi="宋体" w:cs="宋体" w:eastAsia="宋体" w:hint="default"/>
                <w:sz w:val="21"/>
                <w:szCs w:val="21"/>
              </w:rPr>
              <w:t>共计派发现</w:t>
            </w:r>
            <w:r>
              <w:rPr>
                <w:rFonts w:ascii="宋体" w:hAnsi="宋体" w:cs="宋体" w:eastAsia="宋体" w:hint="default"/>
                <w:spacing w:val="-3"/>
                <w:w w:val="100"/>
                <w:sz w:val="21"/>
                <w:szCs w:val="21"/>
              </w:rPr>
              <w:t> </w:t>
            </w:r>
            <w:r>
              <w:rPr>
                <w:rFonts w:ascii="宋体" w:hAnsi="宋体" w:cs="宋体" w:eastAsia="宋体" w:hint="default"/>
                <w:sz w:val="21"/>
                <w:szCs w:val="21"/>
              </w:rPr>
              <w:t>金红利</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2,240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 </w:t>
            </w: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年年度股东</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大会决议，以 </w:t>
            </w: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r>
              <w:rPr>
                <w:rFonts w:ascii="宋体" w:hAnsi="宋体" w:cs="宋体" w:eastAsia="宋体" w:hint="default"/>
                <w:spacing w:val="-85"/>
                <w:sz w:val="21"/>
                <w:szCs w:val="21"/>
              </w:rPr>
              <w:t> </w:t>
            </w:r>
            <w:r>
              <w:rPr>
                <w:rFonts w:ascii="宋体" w:hAnsi="宋体" w:cs="宋体" w:eastAsia="宋体" w:hint="default"/>
                <w:spacing w:val="36"/>
                <w:sz w:val="21"/>
                <w:szCs w:val="21"/>
              </w:rPr>
              <w:t>总股本</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2"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224,00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万股为基数，向</w:t>
            </w:r>
          </w:p>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全体股东每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股派发</w:t>
            </w:r>
          </w:p>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现金股利人民币</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元</w:t>
            </w:r>
          </w:p>
          <w:p>
            <w:pPr>
              <w:pStyle w:val="TableParagraph"/>
              <w:spacing w:line="272" w:lineRule="exact" w:before="19"/>
              <w:ind w:left="102" w:right="99"/>
              <w:jc w:val="left"/>
              <w:rPr>
                <w:rFonts w:ascii="宋体" w:hAnsi="宋体" w:cs="宋体" w:eastAsia="宋体" w:hint="default"/>
                <w:sz w:val="21"/>
                <w:szCs w:val="21"/>
              </w:rPr>
            </w:pPr>
            <w:r>
              <w:rPr>
                <w:rFonts w:ascii="宋体" w:hAnsi="宋体" w:cs="宋体" w:eastAsia="宋体" w:hint="default"/>
                <w:sz w:val="21"/>
                <w:szCs w:val="21"/>
              </w:rPr>
              <w:t>（含税），共计派发现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金红利</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6,720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 </w:t>
            </w:r>
            <w:r>
              <w:rPr>
                <w:rFonts w:ascii="Times New Roman" w:hAnsi="Times New Roman" w:cs="Times New Roman" w:eastAsia="Times New Roman" w:hint="default"/>
                <w:sz w:val="21"/>
                <w:szCs w:val="21"/>
              </w:rPr>
              <w:t>2008 </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年年度股东</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大会决议，以 </w:t>
            </w:r>
            <w:r>
              <w:rPr>
                <w:rFonts w:ascii="Times New Roman" w:hAnsi="Times New Roman" w:cs="Times New Roman" w:eastAsia="Times New Roman" w:hint="default"/>
                <w:sz w:val="21"/>
                <w:szCs w:val="21"/>
              </w:rPr>
              <w:t>2008 </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r>
              <w:rPr>
                <w:rFonts w:ascii="宋体" w:hAnsi="宋体" w:cs="宋体" w:eastAsia="宋体" w:hint="default"/>
                <w:spacing w:val="-85"/>
                <w:sz w:val="21"/>
                <w:szCs w:val="21"/>
              </w:rPr>
              <w:t> </w:t>
            </w:r>
            <w:r>
              <w:rPr>
                <w:rFonts w:ascii="宋体" w:hAnsi="宋体" w:cs="宋体" w:eastAsia="宋体" w:hint="default"/>
                <w:spacing w:val="36"/>
                <w:sz w:val="21"/>
                <w:szCs w:val="21"/>
              </w:rPr>
              <w:t>总股本</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2"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112,00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万股为基数，向</w:t>
            </w:r>
          </w:p>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全体股东每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股派发</w:t>
            </w:r>
          </w:p>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现金股利人民币</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元</w:t>
            </w:r>
          </w:p>
          <w:p>
            <w:pPr>
              <w:pStyle w:val="TableParagraph"/>
              <w:spacing w:line="272" w:lineRule="exact" w:before="19"/>
              <w:ind w:left="102" w:right="99"/>
              <w:jc w:val="left"/>
              <w:rPr>
                <w:rFonts w:ascii="宋体" w:hAnsi="宋体" w:cs="宋体" w:eastAsia="宋体" w:hint="default"/>
                <w:sz w:val="21"/>
                <w:szCs w:val="21"/>
              </w:rPr>
            </w:pPr>
            <w:r>
              <w:rPr>
                <w:rFonts w:ascii="宋体" w:hAnsi="宋体" w:cs="宋体" w:eastAsia="宋体" w:hint="default"/>
                <w:sz w:val="21"/>
                <w:szCs w:val="21"/>
              </w:rPr>
              <w:t>（含税），共计派发现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金红利</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3,360 </w:t>
            </w:r>
            <w:r>
              <w:rPr>
                <w:rFonts w:ascii="宋体" w:hAnsi="宋体" w:cs="宋体" w:eastAsia="宋体" w:hint="default"/>
                <w:sz w:val="21"/>
                <w:szCs w:val="21"/>
              </w:rPr>
              <w:t>万元。</w:t>
            </w:r>
          </w:p>
        </w:tc>
      </w:tr>
      <w:tr>
        <w:trPr>
          <w:trHeight w:val="826" w:hRule="exact"/>
        </w:trPr>
        <w:tc>
          <w:tcPr>
            <w:tcW w:w="2628" w:type="dxa"/>
            <w:tcBorders>
              <w:top w:val="single" w:sz="4" w:space="0" w:color="000000"/>
              <w:left w:val="single" w:sz="4" w:space="0" w:color="000000"/>
              <w:bottom w:val="single" w:sz="4" w:space="0" w:color="000000"/>
              <w:right w:val="single" w:sz="4" w:space="0" w:color="000000"/>
            </w:tcBorders>
            <w:shd w:val="clear" w:color="auto" w:fill="E1E1E1"/>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占合并报表中归属于上市</w:t>
            </w:r>
          </w:p>
          <w:p>
            <w:pPr>
              <w:pStyle w:val="TableParagraph"/>
              <w:spacing w:line="240" w:lineRule="auto"/>
              <w:ind w:left="259" w:right="254"/>
              <w:jc w:val="center"/>
              <w:rPr>
                <w:rFonts w:ascii="Times New Roman" w:hAnsi="Times New Roman" w:cs="Times New Roman" w:eastAsia="Times New Roman" w:hint="default"/>
                <w:sz w:val="21"/>
                <w:szCs w:val="21"/>
              </w:rPr>
            </w:pPr>
            <w:r>
              <w:rPr>
                <w:rFonts w:ascii="宋体" w:hAnsi="宋体" w:cs="宋体" w:eastAsia="宋体" w:hint="default"/>
                <w:spacing w:val="-2"/>
                <w:sz w:val="21"/>
                <w:szCs w:val="21"/>
              </w:rPr>
              <w:t>公司股东的净利润的比</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10.47%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51.04%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23.63%</w:t>
            </w:r>
          </w:p>
        </w:tc>
      </w:tr>
      <w:tr>
        <w:trPr>
          <w:trHeight w:val="302" w:hRule="exact"/>
        </w:trPr>
        <w:tc>
          <w:tcPr>
            <w:tcW w:w="2628" w:type="dxa"/>
            <w:tcBorders>
              <w:top w:val="single" w:sz="4" w:space="0" w:color="000000"/>
              <w:left w:val="single" w:sz="4" w:space="0" w:color="000000"/>
              <w:bottom w:val="single" w:sz="4" w:space="0" w:color="000000"/>
              <w:right w:val="single" w:sz="4" w:space="0" w:color="000000"/>
            </w:tcBorders>
            <w:shd w:val="clear" w:color="auto" w:fill="E1E1E1"/>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2,240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6,720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3,360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4"/>
        <w:spacing w:line="240" w:lineRule="auto" w:before="36"/>
        <w:ind w:left="525" w:right="622"/>
        <w:jc w:val="left"/>
        <w:rPr>
          <w:b w:val="0"/>
          <w:bCs w:val="0"/>
        </w:rPr>
      </w:pPr>
      <w:r>
        <w:rPr/>
        <w:t>八、</w:t>
      </w:r>
      <w:r>
        <w:rPr>
          <w:spacing w:val="-5"/>
        </w:rPr>
        <w:t> </w:t>
      </w:r>
      <w:r>
        <w:rPr/>
        <w:t>内幕信息知情人登记管理制度的建立和执行情况</w:t>
      </w:r>
      <w:r>
        <w:rPr>
          <w:b w:val="0"/>
          <w:bCs w:val="0"/>
        </w:rPr>
      </w:r>
    </w:p>
    <w:p>
      <w:pPr>
        <w:spacing w:line="240" w:lineRule="auto" w:before="0"/>
        <w:rPr>
          <w:rFonts w:ascii="宋体" w:hAnsi="宋体" w:cs="宋体" w:eastAsia="宋体" w:hint="default"/>
          <w:b/>
          <w:bCs/>
          <w:sz w:val="20"/>
          <w:szCs w:val="20"/>
        </w:rPr>
      </w:pPr>
    </w:p>
    <w:p>
      <w:pPr>
        <w:pStyle w:val="BodyText"/>
        <w:spacing w:line="348" w:lineRule="auto" w:before="154"/>
        <w:ind w:left="112" w:right="129" w:firstLine="412"/>
        <w:jc w:val="both"/>
      </w:pPr>
      <w:r>
        <w:rPr>
          <w:spacing w:val="-2"/>
        </w:rPr>
        <w:t>公司已根据中国证监会发布的《关于上市公司建立内幕信息知情人登记管理制度的规定》（证监会公</w:t>
      </w:r>
      <w:r>
        <w:rPr>
          <w:spacing w:val="-3"/>
          <w:w w:val="100"/>
        </w:rPr>
        <w:t> </w:t>
      </w:r>
      <w:r>
        <w:rPr>
          <w:spacing w:val="-2"/>
        </w:rPr>
        <w:t>告</w:t>
      </w:r>
      <w:r>
        <w:rPr>
          <w:rFonts w:ascii="Times New Roman" w:hAnsi="Times New Roman" w:cs="Times New Roman" w:eastAsia="Times New Roman" w:hint="default"/>
          <w:spacing w:val="-2"/>
        </w:rPr>
        <w:t>[2011]30</w:t>
      </w:r>
      <w:r>
        <w:rPr>
          <w:spacing w:val="-2"/>
        </w:rPr>
        <w:t>号）及深圳证券交易所相关文件的要求，修订了《内幕信息知情人登记管理制度》。公司内幕</w:t>
      </w:r>
      <w:r>
        <w:rPr>
          <w:spacing w:val="-12"/>
        </w:rPr>
        <w:t> </w:t>
      </w:r>
      <w:r>
        <w:rPr>
          <w:spacing w:val="-12"/>
        </w:rPr>
      </w:r>
      <w:r>
        <w:rPr>
          <w:spacing w:val="-2"/>
        </w:rPr>
        <w:t>信息知情人在获悉内幕信息后，及时做好登记工作，建立内幕知情人档案，同时签订《内幕知情人保密协</w:t>
      </w:r>
      <w:r>
        <w:rPr>
          <w:spacing w:val="-47"/>
        </w:rPr>
        <w:t> </w:t>
      </w:r>
      <w:r>
        <w:rPr>
          <w:spacing w:val="-47"/>
        </w:rPr>
      </w:r>
      <w:r>
        <w:rPr/>
        <w:t>议》及《重大事项进程备忘录》。</w:t>
      </w:r>
    </w:p>
    <w:p>
      <w:pPr>
        <w:spacing w:line="240" w:lineRule="auto" w:before="5"/>
        <w:rPr>
          <w:rFonts w:ascii="宋体" w:hAnsi="宋体" w:cs="宋体" w:eastAsia="宋体" w:hint="default"/>
          <w:sz w:val="24"/>
          <w:szCs w:val="24"/>
        </w:rPr>
      </w:pPr>
    </w:p>
    <w:p>
      <w:pPr>
        <w:pStyle w:val="BodyText"/>
        <w:spacing w:line="602" w:lineRule="auto"/>
        <w:ind w:left="525" w:right="622"/>
        <w:jc w:val="left"/>
      </w:pPr>
      <w:r>
        <w:rPr/>
        <w:t>（一）报告期内自查内幕信息知情人买卖本公司股票及其衍生品种的情况</w:t>
      </w:r>
      <w:r>
        <w:rPr>
          <w:w w:val="100"/>
        </w:rPr>
        <w:t> </w:t>
      </w:r>
      <w:r>
        <w:rPr>
          <w:spacing w:val="-2"/>
        </w:rPr>
        <w:t>报告期内，公司不存在内幕信息知情人买卖本公司股票及其衍生品种的情况</w:t>
      </w:r>
    </w:p>
    <w:p>
      <w:pPr>
        <w:pStyle w:val="BodyText"/>
        <w:spacing w:line="240" w:lineRule="auto" w:before="97"/>
        <w:ind w:left="525" w:right="622"/>
        <w:jc w:val="left"/>
      </w:pPr>
      <w:r>
        <w:rPr/>
        <w:t>（二）外部信息使用人管理制度的建立和执行情况。</w:t>
      </w:r>
    </w:p>
    <w:p>
      <w:pPr>
        <w:spacing w:line="240" w:lineRule="auto" w:before="0"/>
        <w:rPr>
          <w:rFonts w:ascii="宋体" w:hAnsi="宋体" w:cs="宋体" w:eastAsia="宋体" w:hint="default"/>
          <w:sz w:val="20"/>
          <w:szCs w:val="20"/>
        </w:rPr>
      </w:pPr>
    </w:p>
    <w:p>
      <w:pPr>
        <w:pStyle w:val="BodyText"/>
        <w:spacing w:line="355" w:lineRule="auto" w:before="154"/>
        <w:ind w:left="112" w:right="114" w:firstLine="412"/>
        <w:jc w:val="both"/>
      </w:pPr>
      <w:r>
        <w:rPr>
          <w:spacing w:val="-2"/>
        </w:rPr>
        <w:t>报告期内，公司严格执行《内幕信息知情人登记管理制度》中对于外部信息使用人管理制度的规定，</w:t>
      </w:r>
      <w:r>
        <w:rPr>
          <w:w w:val="100"/>
        </w:rPr>
        <w:t> </w:t>
      </w:r>
      <w:r>
        <w:rPr>
          <w:spacing w:val="-2"/>
        </w:rPr>
        <w:t>中介机构作为可以获取公司内幕信息的知情人，按照内幕信息知情人管理，填写本公司内幕知情人档案并</w:t>
      </w:r>
      <w:r>
        <w:rPr>
          <w:spacing w:val="-43"/>
        </w:rPr>
        <w:t> </w:t>
      </w:r>
      <w:r>
        <w:rPr>
          <w:spacing w:val="-43"/>
        </w:rPr>
      </w:r>
      <w:r>
        <w:rPr/>
        <w:t>且向董事会备案。</w:t>
      </w:r>
    </w:p>
    <w:p>
      <w:pPr>
        <w:spacing w:line="240" w:lineRule="auto" w:before="12"/>
        <w:rPr>
          <w:rFonts w:ascii="宋体" w:hAnsi="宋体" w:cs="宋体" w:eastAsia="宋体" w:hint="default"/>
          <w:sz w:val="23"/>
          <w:szCs w:val="23"/>
        </w:rPr>
      </w:pPr>
    </w:p>
    <w:p>
      <w:pPr>
        <w:pStyle w:val="BodyText"/>
        <w:spacing w:line="602" w:lineRule="auto"/>
        <w:ind w:left="525" w:right="622"/>
        <w:jc w:val="left"/>
        <w:rPr>
          <w:rFonts w:ascii="宋体" w:hAnsi="宋体" w:cs="宋体" w:eastAsia="宋体" w:hint="default"/>
        </w:rPr>
      </w:pPr>
      <w:r>
        <w:rPr/>
        <w:t>（三）董事、监事和高级管理人员违规买卖公司股票的情况</w:t>
      </w:r>
      <w:r>
        <w:rPr>
          <w:w w:val="100"/>
        </w:rPr>
        <w:t> </w:t>
      </w:r>
      <w:r>
        <w:rPr>
          <w:spacing w:val="-2"/>
        </w:rPr>
        <w:t>报告期内，公司不存在董事、监事和高级管理人员违规买卖公司股票的情况。</w:t>
      </w:r>
      <w:r>
        <w:rPr>
          <w:spacing w:val="-42"/>
        </w:rPr>
        <w:t> </w:t>
      </w:r>
      <w:r>
        <w:rPr>
          <w:spacing w:val="-42"/>
        </w:rPr>
      </w:r>
      <w:r>
        <w:rPr>
          <w:rFonts w:ascii="宋体" w:hAnsi="宋体" w:cs="宋体" w:eastAsia="宋体" w:hint="default"/>
          <w:b/>
          <w:bCs/>
        </w:rPr>
        <w:t>九、其他披露事项</w:t>
      </w:r>
      <w:r>
        <w:rPr>
          <w:rFonts w:ascii="宋体" w:hAnsi="宋体" w:cs="宋体" w:eastAsia="宋体" w:hint="default"/>
        </w:rPr>
      </w:r>
    </w:p>
    <w:p>
      <w:pPr>
        <w:pStyle w:val="Heading4"/>
        <w:spacing w:line="240" w:lineRule="auto" w:before="97"/>
        <w:ind w:left="525" w:right="622"/>
        <w:jc w:val="left"/>
        <w:rPr>
          <w:b w:val="0"/>
          <w:bCs w:val="0"/>
        </w:rPr>
      </w:pPr>
      <w:r>
        <w:rPr/>
        <w:t>（一）投资者关系管理工作</w:t>
      </w:r>
      <w:r>
        <w:rPr>
          <w:b w:val="0"/>
          <w:bCs w:val="0"/>
        </w:rPr>
      </w:r>
    </w:p>
    <w:p>
      <w:pPr>
        <w:spacing w:after="0" w:line="240" w:lineRule="auto"/>
        <w:jc w:val="left"/>
        <w:sectPr>
          <w:pgSz w:w="11910" w:h="16840"/>
          <w:pgMar w:header="850" w:footer="979" w:top="1200" w:bottom="1160" w:left="1020" w:right="1000"/>
        </w:sectPr>
      </w:pPr>
    </w:p>
    <w:p>
      <w:pPr>
        <w:pStyle w:val="BodyText"/>
        <w:spacing w:line="240" w:lineRule="auto" w:before="30"/>
        <w:ind w:left="572" w:right="0"/>
        <w:jc w:val="left"/>
      </w:pPr>
      <w:r>
        <w:rPr/>
        <w:pict>
          <v:group style="position:absolute;margin-left:55.200001pt;margin-top:2.843687pt;width:484.8pt;height:.1pt;mso-position-horizontal-relative:page;mso-position-vertical-relative:paragraph;z-index:-772168" coordorigin="1104,57" coordsize="9696,2">
            <v:shape style="position:absolute;left:1104;top:57;width:9696;height:2" coordorigin="1104,57" coordsize="9696,0" path="m1104,57l10800,57e" filled="false" stroked="true" strokeweight=".72pt" strokecolor="#000000">
              <v:path arrowok="t"/>
            </v:shape>
            <w10:wrap type="none"/>
          </v:group>
        </w:pict>
      </w:r>
      <w:r>
        <w:rPr/>
        <w:t>公司董事会秘书为投资者关系管理负责人，公司证券部负责投资者关系管理的日常事务。</w:t>
      </w:r>
    </w:p>
    <w:p>
      <w:pPr>
        <w:pStyle w:val="BodyText"/>
        <w:spacing w:line="348" w:lineRule="auto" w:before="133"/>
        <w:ind w:right="188" w:firstLine="420"/>
        <w:jc w:val="both"/>
      </w:pPr>
      <w:r>
        <w:rPr>
          <w:rFonts w:ascii="Times New Roman" w:hAnsi="Times New Roman" w:cs="Times New Roman" w:eastAsia="Times New Roman" w:hint="default"/>
          <w:spacing w:val="-2"/>
        </w:rPr>
        <w:t>2011</w:t>
      </w:r>
      <w:r>
        <w:rPr>
          <w:spacing w:val="-2"/>
        </w:rPr>
        <w:t>年度，公司按照中国证监会、深圳证券交易所及公司内部有关制度的规定，积极开展投资者关系</w:t>
      </w:r>
      <w:r>
        <w:rPr>
          <w:w w:val="100"/>
        </w:rPr>
        <w:t> </w:t>
      </w:r>
      <w:r>
        <w:rPr>
          <w:spacing w:val="-2"/>
        </w:rPr>
        <w:t>管理工作，以年报说明会、投资者见面会、热线电话、投资者关系互动平台等多种形式与广大投资者进行</w:t>
      </w:r>
      <w:r>
        <w:rPr>
          <w:spacing w:val="-49"/>
        </w:rPr>
        <w:t> </w:t>
      </w:r>
      <w:r>
        <w:rPr>
          <w:spacing w:val="-49"/>
        </w:rPr>
      </w:r>
      <w:r>
        <w:rPr>
          <w:spacing w:val="-2"/>
        </w:rPr>
        <w:t>联系与沟通，关注各类媒体关于公司的相关报道。报告期内，以现场调研、年报说明会的形式接待投资者</w:t>
      </w:r>
      <w:r>
        <w:rPr>
          <w:spacing w:val="-47"/>
        </w:rPr>
        <w:t> </w:t>
      </w:r>
      <w:r>
        <w:rPr>
          <w:spacing w:val="-47"/>
        </w:rPr>
      </w:r>
      <w:r>
        <w:rPr>
          <w:spacing w:val="-2"/>
        </w:rPr>
        <w:t>累积</w:t>
      </w:r>
      <w:r>
        <w:rPr>
          <w:rFonts w:ascii="Times New Roman" w:hAnsi="Times New Roman" w:cs="Times New Roman" w:eastAsia="Times New Roman" w:hint="default"/>
          <w:spacing w:val="-2"/>
        </w:rPr>
        <w:t>10</w:t>
      </w:r>
      <w:r>
        <w:rPr>
          <w:spacing w:val="-2"/>
        </w:rPr>
        <w:t>余次，共计</w:t>
      </w:r>
      <w:r>
        <w:rPr>
          <w:rFonts w:ascii="Times New Roman" w:hAnsi="Times New Roman" w:cs="Times New Roman" w:eastAsia="Times New Roman" w:hint="default"/>
          <w:spacing w:val="-2"/>
        </w:rPr>
        <w:t>90</w:t>
      </w:r>
      <w:r>
        <w:rPr>
          <w:spacing w:val="-2"/>
        </w:rPr>
        <w:t>余人。同时，积极做好投资者关系活动档案的建立和保管工作，合理、妥善地安排个</w:t>
      </w:r>
      <w:r>
        <w:rPr>
          <w:spacing w:val="-39"/>
        </w:rPr>
        <w:t> </w:t>
      </w:r>
      <w:r>
        <w:rPr>
          <w:spacing w:val="-39"/>
        </w:rPr>
      </w:r>
      <w:r>
        <w:rPr>
          <w:spacing w:val="-2"/>
        </w:rPr>
        <w:t>人投资者、机构投资者、行业分析师等相关人员到公司进行调研，并将调研纪要报深圳证券交易所备案，</w:t>
      </w:r>
      <w:r>
        <w:rPr>
          <w:spacing w:val="-25"/>
        </w:rPr>
        <w:t> </w:t>
      </w:r>
      <w:r>
        <w:rPr>
          <w:spacing w:val="-25"/>
        </w:rPr>
      </w:r>
      <w:r>
        <w:rPr/>
        <w:t>同时切实做好相关信息的保密工作。</w:t>
      </w:r>
    </w:p>
    <w:p>
      <w:pPr>
        <w:pStyle w:val="BodyText"/>
        <w:spacing w:line="357" w:lineRule="auto" w:before="38"/>
        <w:ind w:right="207" w:firstLine="420"/>
        <w:jc w:val="both"/>
      </w:pPr>
      <w:r>
        <w:rPr>
          <w:spacing w:val="-2"/>
        </w:rPr>
        <w:t>公司把投资者关系管理作为一项长期、持续的工作来开展，不断学习先进的投资者关系管理经验，以</w:t>
      </w:r>
      <w:r>
        <w:rPr>
          <w:w w:val="100"/>
        </w:rPr>
        <w:t> </w:t>
      </w:r>
      <w:r>
        <w:rPr>
          <w:spacing w:val="-2"/>
        </w:rPr>
        <w:t>更好的方式和途径使广大投资者能够平等地获取公司经营管理、未来发展等情况，力求维护与投资者的良</w:t>
      </w:r>
      <w:r>
        <w:rPr>
          <w:spacing w:val="-43"/>
        </w:rPr>
        <w:t> </w:t>
      </w:r>
      <w:r>
        <w:rPr>
          <w:spacing w:val="-43"/>
        </w:rPr>
      </w:r>
      <w:r>
        <w:rPr/>
        <w:t>好互动关系，树立公司在资本市场的良好形象。</w:t>
      </w:r>
    </w:p>
    <w:p>
      <w:pPr>
        <w:pStyle w:val="BodyText"/>
        <w:spacing w:line="692" w:lineRule="exact"/>
        <w:ind w:left="565" w:right="0"/>
        <w:jc w:val="left"/>
      </w:pPr>
      <w:r>
        <w:rPr>
          <w:rFonts w:ascii="宋体" w:hAnsi="宋体" w:cs="宋体" w:eastAsia="宋体" w:hint="default"/>
          <w:b/>
          <w:bCs/>
        </w:rPr>
        <w:t>（二）公司信息披露媒体</w:t>
      </w:r>
      <w:r>
        <w:rPr>
          <w:rFonts w:ascii="宋体" w:hAnsi="宋体" w:cs="宋体" w:eastAsia="宋体" w:hint="default"/>
          <w:b/>
          <w:bCs/>
          <w:w w:val="100"/>
        </w:rPr>
        <w:t> </w:t>
      </w:r>
      <w:r>
        <w:rPr>
          <w:spacing w:val="-7"/>
          <w:w w:val="100"/>
        </w:rPr>
        <w:t>报告期内，公司指定信息披露媒体为《中国证券报》、《证券时报》和巨潮资讯网</w:t>
      </w:r>
      <w:r>
        <w:rPr>
          <w:rFonts w:ascii="Times New Roman" w:hAnsi="Times New Roman" w:cs="Times New Roman" w:eastAsia="Times New Roman" w:hint="default"/>
          <w:spacing w:val="-7"/>
          <w:w w:val="100"/>
        </w:rPr>
        <w:t>(www.cninfo.com.cn)</w:t>
      </w:r>
      <w:r>
        <w:rPr>
          <w:spacing w:val="-7"/>
          <w:w w:val="100"/>
        </w:rPr>
        <w:t>，</w:t>
      </w:r>
    </w:p>
    <w:p>
      <w:pPr>
        <w:pStyle w:val="BodyText"/>
        <w:spacing w:line="240" w:lineRule="auto" w:before="22"/>
        <w:ind w:right="0"/>
        <w:jc w:val="left"/>
      </w:pPr>
      <w:r>
        <w:rPr/>
        <w:t>未发生变更。</w:t>
      </w:r>
    </w:p>
    <w:p>
      <w:pPr>
        <w:spacing w:after="0" w:line="240" w:lineRule="auto"/>
        <w:jc w:val="left"/>
        <w:sectPr>
          <w:pgSz w:w="11910" w:h="16840"/>
          <w:pgMar w:header="850" w:footer="979" w:top="1200" w:bottom="1160" w:left="980" w:right="920"/>
        </w:sectPr>
      </w:pPr>
    </w:p>
    <w:p>
      <w:pPr>
        <w:pStyle w:val="Heading1"/>
        <w:spacing w:line="240" w:lineRule="auto" w:before="15"/>
        <w:ind w:right="1416"/>
        <w:jc w:val="center"/>
        <w:rPr>
          <w:b w:val="0"/>
          <w:bCs w:val="0"/>
        </w:rPr>
      </w:pPr>
      <w:r>
        <w:rPr/>
        <w:pict>
          <v:group style="position:absolute;margin-left:55.200001pt;margin-top:2.821592pt;width:484.8pt;height:.1pt;mso-position-horizontal-relative:page;mso-position-vertical-relative:paragraph;z-index:-772144" coordorigin="1104,56" coordsize="9696,2">
            <v:shape style="position:absolute;left:1104;top:56;width:9696;height:2" coordorigin="1104,56" coordsize="9696,0" path="m1104,56l10800,56e" filled="false" stroked="true" strokeweight=".72pt" strokecolor="#000000">
              <v:path arrowok="t"/>
            </v:shape>
            <w10:wrap type="none"/>
          </v:group>
        </w:pict>
      </w:r>
      <w:bookmarkStart w:name="第八节 监事会工作报告" w:id="16"/>
      <w:bookmarkEnd w:id="16"/>
      <w:r>
        <w:rPr>
          <w:b w:val="0"/>
          <w:bCs w:val="0"/>
        </w:rPr>
      </w:r>
      <w:bookmarkStart w:name="_bookmark7" w:id="17"/>
      <w:bookmarkEnd w:id="17"/>
      <w:r>
        <w:rPr>
          <w:b w:val="0"/>
          <w:bCs w:val="0"/>
        </w:rPr>
      </w:r>
      <w:r>
        <w:rPr/>
        <w:t>第八节</w:t>
      </w:r>
      <w:r>
        <w:rPr>
          <w:spacing w:val="-1"/>
        </w:rPr>
        <w:t> </w:t>
      </w:r>
      <w:r>
        <w:rPr/>
        <w:t>监事会工作报告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pStyle w:val="Heading4"/>
        <w:spacing w:line="240" w:lineRule="auto"/>
        <w:ind w:right="3480"/>
        <w:jc w:val="left"/>
        <w:rPr>
          <w:b w:val="0"/>
          <w:bCs w:val="0"/>
        </w:rPr>
      </w:pPr>
      <w:r>
        <w:rPr/>
        <w:t>一、监事会的工作情况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2"/>
        <w:ind w:left="572" w:right="0"/>
        <w:jc w:val="left"/>
      </w:pPr>
      <w:r>
        <w:rPr/>
        <w:t>报告期内，公司监事会共召开了</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次会议，各次会议情况如下：</w:t>
      </w:r>
    </w:p>
    <w:p>
      <w:pPr>
        <w:pStyle w:val="BodyText"/>
        <w:spacing w:line="336" w:lineRule="auto" w:before="119"/>
        <w:ind w:right="146" w:firstLine="419"/>
        <w:jc w:val="both"/>
      </w:pPr>
      <w:r>
        <w:rPr/>
        <w:t>（一）</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23"/>
        </w:rPr>
        <w:t> </w:t>
      </w:r>
      <w:r>
        <w:rPr/>
        <w:t>日，公司第四届监事会第二次会议在公司会议室召开，会议审议通过了《</w:t>
      </w:r>
      <w:r>
        <w:rPr>
          <w:rFonts w:ascii="Times New Roman" w:hAnsi="Times New Roman" w:cs="Times New Roman" w:eastAsia="Times New Roman" w:hint="default"/>
        </w:rPr>
        <w:t>2010</w:t>
      </w:r>
      <w:r>
        <w:rPr>
          <w:rFonts w:ascii="Times New Roman" w:hAnsi="Times New Roman" w:cs="Times New Roman" w:eastAsia="Times New Roman" w:hint="default"/>
          <w:w w:val="100"/>
        </w:rPr>
        <w:t> </w:t>
      </w:r>
      <w:r>
        <w:rPr>
          <w:spacing w:val="-16"/>
          <w:w w:val="100"/>
        </w:rPr>
        <w:t>年年度报告及摘要》，《</w:t>
      </w:r>
      <w:r>
        <w:rPr>
          <w:rFonts w:ascii="Times New Roman" w:hAnsi="Times New Roman" w:cs="Times New Roman" w:eastAsia="Times New Roman" w:hint="default"/>
          <w:spacing w:val="-16"/>
          <w:w w:val="100"/>
        </w:rPr>
        <w:t>2010</w:t>
      </w:r>
      <w:r>
        <w:rPr>
          <w:rFonts w:ascii="Times New Roman" w:hAnsi="Times New Roman" w:cs="Times New Roman" w:eastAsia="Times New Roman" w:hint="default"/>
          <w:spacing w:val="-1"/>
          <w:w w:val="100"/>
        </w:rPr>
        <w:t> </w:t>
      </w:r>
      <w:r>
        <w:rPr>
          <w:spacing w:val="-15"/>
          <w:w w:val="100"/>
        </w:rPr>
        <w:t>年度监事会工作报告》，《关于公司</w:t>
      </w:r>
      <w:r>
        <w:rPr>
          <w:spacing w:val="-53"/>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w w:val="100"/>
        </w:rPr>
        <w:t> </w:t>
      </w:r>
      <w:r>
        <w:rPr>
          <w:spacing w:val="-15"/>
          <w:w w:val="100"/>
        </w:rPr>
        <w:t>年度利润分配的预案》，《</w:t>
      </w:r>
      <w:r>
        <w:rPr>
          <w:rFonts w:ascii="Times New Roman" w:hAnsi="Times New Roman" w:cs="Times New Roman" w:eastAsia="Times New Roman" w:hint="default"/>
          <w:spacing w:val="-15"/>
          <w:w w:val="100"/>
        </w:rPr>
        <w:t>2010</w:t>
      </w:r>
      <w:r>
        <w:rPr>
          <w:rFonts w:ascii="Times New Roman" w:hAnsi="Times New Roman" w:cs="Times New Roman" w:eastAsia="Times New Roman" w:hint="default"/>
          <w:w w:val="100"/>
        </w:rPr>
        <w:t> </w:t>
      </w:r>
      <w:r>
        <w:rPr>
          <w:spacing w:val="-2"/>
          <w:w w:val="100"/>
        </w:rPr>
        <w:t>年度财</w:t>
      </w:r>
      <w:r>
        <w:rPr>
          <w:w w:val="100"/>
        </w:rPr>
        <w:t> </w:t>
      </w:r>
      <w:r>
        <w:rPr>
          <w:spacing w:val="-18"/>
          <w:w w:val="100"/>
        </w:rPr>
        <w:t>务决算报告》，《董事会关于</w:t>
      </w:r>
      <w:r>
        <w:rPr>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34"/>
          <w:w w:val="100"/>
        </w:rPr>
        <w:t> </w:t>
      </w:r>
      <w:r>
        <w:rPr>
          <w:spacing w:val="-8"/>
          <w:w w:val="100"/>
        </w:rPr>
        <w:t>年度内部控制自我评价报告》，《关于续聘武汉众环会计师事务所有限责</w:t>
      </w:r>
    </w:p>
    <w:p>
      <w:pPr>
        <w:pStyle w:val="BodyText"/>
        <w:spacing w:line="240" w:lineRule="auto" w:before="24"/>
        <w:ind w:left="153" w:right="0"/>
        <w:jc w:val="both"/>
      </w:pPr>
      <w:r>
        <w:rPr/>
        <w:t>任公司担任公司</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年度审计机构的议案》共</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项议案，</w:t>
      </w:r>
      <w:r>
        <w:rPr>
          <w:spacing w:val="-14"/>
        </w:rPr>
        <w:t> </w:t>
      </w:r>
      <w:r>
        <w:rPr/>
        <w:t>《第四届监事会第二次会议决议公告》刊登于</w:t>
      </w:r>
    </w:p>
    <w:p>
      <w:pPr>
        <w:pStyle w:val="BodyText"/>
        <w:spacing w:line="240" w:lineRule="auto" w:before="119"/>
        <w:ind w:left="153"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日的《中国证券报》、《证券时报》及巨潮资讯网</w:t>
      </w:r>
      <w:r>
        <w:rPr>
          <w:spacing w:val="-9"/>
        </w:rPr>
        <w:t> </w:t>
      </w:r>
      <w:r>
        <w:rPr>
          <w:rFonts w:ascii="Times New Roman" w:hAnsi="Times New Roman" w:cs="Times New Roman" w:eastAsia="Times New Roman" w:hint="default"/>
        </w:rPr>
        <w:t>(www.cninfo.com.cn)</w:t>
      </w:r>
      <w:r>
        <w:rPr/>
        <w:t>。</w:t>
      </w:r>
    </w:p>
    <w:p>
      <w:pPr>
        <w:pStyle w:val="BodyText"/>
        <w:spacing w:line="343" w:lineRule="auto" w:before="117"/>
        <w:ind w:left="154" w:right="145" w:firstLine="419"/>
        <w:jc w:val="both"/>
      </w:pPr>
      <w:r>
        <w:rPr/>
        <w:t>（二）</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日，公司第四届监事会第三次会议在公司会议室召开，会议审议通过了《关于</w:t>
      </w:r>
      <w:r>
        <w:rPr>
          <w:w w:val="100"/>
        </w:rPr>
        <w:t> </w:t>
      </w:r>
      <w:r>
        <w:rPr>
          <w:spacing w:val="-7"/>
          <w:w w:val="100"/>
        </w:rPr>
        <w:t>调整股票期权激励对象的议案》，《关于公司股票期权激励计划已授予的股票期权第一个行权期可行权的议</w:t>
      </w:r>
      <w:r>
        <w:rPr>
          <w:spacing w:val="-73"/>
          <w:w w:val="100"/>
        </w:rPr>
        <w:t> </w:t>
      </w:r>
      <w:r>
        <w:rPr>
          <w:spacing w:val="-73"/>
          <w:w w:val="100"/>
        </w:rPr>
      </w:r>
      <w:r>
        <w:rPr>
          <w:spacing w:val="-2"/>
          <w:w w:val="100"/>
        </w:rPr>
        <w:t>案》以及《</w:t>
      </w:r>
      <w:r>
        <w:rPr>
          <w:rFonts w:ascii="Times New Roman" w:hAnsi="Times New Roman" w:cs="Times New Roman" w:eastAsia="Times New Roman" w:hint="default"/>
          <w:spacing w:val="-2"/>
          <w:w w:val="100"/>
        </w:rPr>
        <w:t>2011</w:t>
      </w:r>
      <w:r>
        <w:rPr>
          <w:rFonts w:ascii="Times New Roman" w:hAnsi="Times New Roman" w:cs="Times New Roman" w:eastAsia="Times New Roman" w:hint="default"/>
          <w:w w:val="100"/>
        </w:rPr>
        <w:t> </w:t>
      </w:r>
      <w:r>
        <w:rPr>
          <w:spacing w:val="-7"/>
          <w:w w:val="100"/>
        </w:rPr>
        <w:t>年第一季度季度报告正文及全文》，《第四届监事会第十五次会议决议公告》刊登于</w:t>
      </w:r>
      <w:r>
        <w:rPr>
          <w:spacing w:val="-9"/>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w w:val="100"/>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t>日的《中国证券报》、《证券时报》及巨潮资讯网</w:t>
      </w:r>
      <w:r>
        <w:rPr>
          <w:spacing w:val="-9"/>
        </w:rPr>
        <w:t> </w:t>
      </w:r>
      <w:r>
        <w:rPr>
          <w:rFonts w:ascii="Times New Roman" w:hAnsi="Times New Roman" w:cs="Times New Roman" w:eastAsia="Times New Roman" w:hint="default"/>
        </w:rPr>
        <w:t>(www.cninfo.com.cn)</w:t>
      </w:r>
      <w:r>
        <w:rPr/>
        <w:t>。</w:t>
      </w:r>
    </w:p>
    <w:p>
      <w:pPr>
        <w:pStyle w:val="BodyText"/>
        <w:spacing w:line="336" w:lineRule="auto" w:before="19"/>
        <w:ind w:left="154" w:right="146" w:firstLine="420"/>
        <w:jc w:val="both"/>
      </w:pPr>
      <w:r>
        <w:rPr/>
        <w:t>（三）</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日，公司第四届监事会第四次会议在公司会议室召开，会议审议通过了《</w:t>
      </w:r>
      <w:r>
        <w:rPr>
          <w:rFonts w:ascii="Times New Roman" w:hAnsi="Times New Roman" w:cs="Times New Roman" w:eastAsia="Times New Roman" w:hint="default"/>
        </w:rPr>
        <w:t>2011</w:t>
      </w:r>
      <w:r>
        <w:rPr>
          <w:rFonts w:ascii="Times New Roman" w:hAnsi="Times New Roman" w:cs="Times New Roman" w:eastAsia="Times New Roman" w:hint="default"/>
          <w:w w:val="100"/>
        </w:rPr>
        <w:t> </w:t>
      </w:r>
      <w:r>
        <w:rPr>
          <w:spacing w:val="-7"/>
          <w:w w:val="100"/>
        </w:rPr>
        <w:t>年半年度报告全文及摘要》，并发表了审核意见。</w:t>
      </w:r>
    </w:p>
    <w:p>
      <w:pPr>
        <w:pStyle w:val="BodyText"/>
        <w:spacing w:line="336" w:lineRule="auto" w:before="49"/>
        <w:ind w:left="155" w:right="155" w:firstLine="419"/>
        <w:jc w:val="both"/>
      </w:pPr>
      <w:r>
        <w:rPr>
          <w:spacing w:val="-5"/>
        </w:rPr>
        <w:t>（四）</w:t>
      </w:r>
      <w:r>
        <w:rPr>
          <w:rFonts w:ascii="Times New Roman" w:hAnsi="Times New Roman" w:cs="Times New Roman" w:eastAsia="Times New Roman" w:hint="default"/>
          <w:spacing w:val="-5"/>
        </w:rPr>
        <w:t>2011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29"/>
        </w:rPr>
        <w:t> </w:t>
      </w:r>
      <w:r>
        <w:rPr>
          <w:spacing w:val="-4"/>
        </w:rPr>
        <w:t>日，公司第四届监事会第五次会议在公司会议室召开，会议审议通过了《</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8"/>
          <w:w w:val="100"/>
        </w:rPr>
        <w:t> </w:t>
      </w:r>
      <w:r>
        <w:rPr>
          <w:spacing w:val="-6"/>
          <w:w w:val="100"/>
        </w:rPr>
        <w:t>年第三季度季度报告正文及全文》，并发表了审核意见。</w:t>
      </w:r>
    </w:p>
    <w:p>
      <w:pPr>
        <w:spacing w:line="692" w:lineRule="exact" w:before="19"/>
        <w:ind w:left="572" w:right="0" w:hanging="8"/>
        <w:jc w:val="left"/>
        <w:rPr>
          <w:rFonts w:ascii="宋体" w:hAnsi="宋体" w:cs="宋体" w:eastAsia="宋体" w:hint="default"/>
          <w:sz w:val="21"/>
          <w:szCs w:val="21"/>
        </w:rPr>
      </w:pPr>
      <w:r>
        <w:rPr>
          <w:rFonts w:ascii="宋体" w:hAnsi="宋体" w:cs="宋体" w:eastAsia="宋体" w:hint="default"/>
          <w:b/>
          <w:bCs/>
          <w:sz w:val="21"/>
          <w:szCs w:val="21"/>
        </w:rPr>
        <w:t>二、监事会对有关事项的独立意见</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报告期内，本公司监事会按照《公司法》、《公司章程》的相关规定，认真开展监督工作，对报告期</w:t>
      </w:r>
      <w:r>
        <w:rPr>
          <w:rFonts w:ascii="宋体" w:hAnsi="宋体" w:cs="宋体" w:eastAsia="宋体" w:hint="default"/>
          <w:sz w:val="21"/>
          <w:szCs w:val="21"/>
        </w:rPr>
      </w:r>
    </w:p>
    <w:p>
      <w:pPr>
        <w:pStyle w:val="BodyText"/>
        <w:spacing w:line="240" w:lineRule="auto" w:before="24"/>
        <w:ind w:right="0"/>
        <w:jc w:val="both"/>
      </w:pPr>
      <w:r>
        <w:rPr/>
        <w:t>内的有关情况发表如下独立意见：</w:t>
      </w:r>
    </w:p>
    <w:p>
      <w:pPr>
        <w:spacing w:line="692" w:lineRule="exact" w:before="103"/>
        <w:ind w:left="572" w:right="0" w:hanging="8"/>
        <w:jc w:val="left"/>
        <w:rPr>
          <w:rFonts w:ascii="宋体" w:hAnsi="宋体" w:cs="宋体" w:eastAsia="宋体" w:hint="default"/>
          <w:sz w:val="21"/>
          <w:szCs w:val="21"/>
        </w:rPr>
      </w:pPr>
      <w:r>
        <w:rPr>
          <w:rFonts w:ascii="宋体" w:hAnsi="宋体" w:cs="宋体" w:eastAsia="宋体" w:hint="default"/>
          <w:b/>
          <w:bCs/>
          <w:sz w:val="21"/>
          <w:szCs w:val="21"/>
        </w:rPr>
        <w:t>（一）公司依法运作情况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报告期内，公司依照《公司法》和《公司章程》及有关政策法规规范运作，不存在违法违规经营。公</w:t>
      </w:r>
    </w:p>
    <w:p>
      <w:pPr>
        <w:pStyle w:val="BodyText"/>
        <w:spacing w:line="357" w:lineRule="auto" w:before="24"/>
        <w:ind w:right="146"/>
        <w:jc w:val="both"/>
      </w:pPr>
      <w:r>
        <w:rPr>
          <w:spacing w:val="-2"/>
        </w:rPr>
        <w:t>司进一步健全和完善了内部控制制度，各项决策程序合法，董事会运作规范、决策合理，认真执行股东大</w:t>
      </w:r>
      <w:r>
        <w:rPr>
          <w:spacing w:val="-47"/>
        </w:rPr>
        <w:t> </w:t>
      </w:r>
      <w:r>
        <w:rPr>
          <w:spacing w:val="-47"/>
        </w:rPr>
      </w:r>
      <w:r>
        <w:rPr>
          <w:spacing w:val="-2"/>
        </w:rPr>
        <w:t>会的各项决议。公司董事及高级管理人员在履行公司职务时遵守国家法律法规、公司章程和内部制度的规</w:t>
      </w:r>
      <w:r>
        <w:rPr>
          <w:spacing w:val="-43"/>
        </w:rPr>
        <w:t> </w:t>
      </w:r>
      <w:r>
        <w:rPr>
          <w:spacing w:val="-43"/>
        </w:rPr>
      </w:r>
      <w:r>
        <w:rPr/>
        <w:t>定，没有出现违反法律、法规、公司章程或损害公司利益的行为。</w:t>
      </w:r>
    </w:p>
    <w:p>
      <w:pPr>
        <w:spacing w:line="688" w:lineRule="exact" w:before="3"/>
        <w:ind w:left="572" w:right="0" w:hanging="8"/>
        <w:jc w:val="left"/>
        <w:rPr>
          <w:rFonts w:ascii="宋体" w:hAnsi="宋体" w:cs="宋体" w:eastAsia="宋体" w:hint="default"/>
          <w:sz w:val="21"/>
          <w:szCs w:val="21"/>
        </w:rPr>
      </w:pPr>
      <w:r>
        <w:rPr>
          <w:rFonts w:ascii="宋体" w:hAnsi="宋体" w:cs="宋体" w:eastAsia="宋体" w:hint="default"/>
          <w:b/>
          <w:bCs/>
          <w:sz w:val="21"/>
          <w:szCs w:val="21"/>
        </w:rPr>
        <w:t>（二）检查公司财务情况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报告期内，公司监事会对公司财务状况实施了有效的监督和检查，认为公司的财务体系完善、制度健</w:t>
      </w:r>
      <w:r>
        <w:rPr>
          <w:rFonts w:ascii="宋体" w:hAnsi="宋体" w:cs="宋体" w:eastAsia="宋体" w:hint="default"/>
          <w:sz w:val="21"/>
          <w:szCs w:val="21"/>
        </w:rPr>
      </w:r>
    </w:p>
    <w:p>
      <w:pPr>
        <w:pStyle w:val="BodyText"/>
        <w:spacing w:line="355" w:lineRule="auto" w:before="27"/>
        <w:ind w:right="125"/>
        <w:jc w:val="both"/>
      </w:pPr>
      <w:r>
        <w:rPr>
          <w:spacing w:val="-2"/>
        </w:rPr>
        <w:t>全；财务状况良好，资产质量优良，收入、费用和利润的确认与计量真实准确；公司定期财务报告真实、</w:t>
      </w:r>
      <w:r>
        <w:rPr>
          <w:spacing w:val="-21"/>
        </w:rPr>
        <w:t> </w:t>
      </w:r>
      <w:r>
        <w:rPr>
          <w:spacing w:val="-21"/>
        </w:rPr>
      </w:r>
      <w:r>
        <w:rPr>
          <w:spacing w:val="-2"/>
        </w:rPr>
        <w:t>客观、完整地反映了公司的财务状况、经营成果和现金流量情况，不存在虚假记载、误导性陈述或者重大</w:t>
      </w:r>
      <w:r>
        <w:rPr>
          <w:spacing w:val="-50"/>
        </w:rPr>
        <w:t> </w:t>
      </w:r>
      <w:r>
        <w:rPr>
          <w:spacing w:val="-50"/>
        </w:rPr>
      </w:r>
      <w:r>
        <w:rPr/>
        <w:t>遗漏。</w:t>
      </w:r>
    </w:p>
    <w:p>
      <w:pPr>
        <w:spacing w:after="0" w:line="355" w:lineRule="auto"/>
        <w:jc w:val="both"/>
        <w:sectPr>
          <w:pgSz w:w="11910" w:h="16840"/>
          <w:pgMar w:header="850" w:footer="979" w:top="1200" w:bottom="1160" w:left="980" w:right="980"/>
        </w:sectPr>
      </w:pPr>
    </w:p>
    <w:p>
      <w:pPr>
        <w:pStyle w:val="Heading4"/>
        <w:spacing w:line="240" w:lineRule="auto" w:before="27"/>
        <w:ind w:right="0"/>
        <w:jc w:val="left"/>
        <w:rPr>
          <w:b w:val="0"/>
          <w:bCs w:val="0"/>
        </w:rPr>
      </w:pPr>
      <w:r>
        <w:rPr/>
        <w:pict>
          <v:group style="position:absolute;margin-left:55.200001pt;margin-top:2.813682pt;width:484.8pt;height:.1pt;mso-position-horizontal-relative:page;mso-position-vertical-relative:paragraph;z-index:-772120" coordorigin="1104,56" coordsize="9696,2">
            <v:shape style="position:absolute;left:1104;top:56;width:9696;height:2" coordorigin="1104,56" coordsize="9696,0" path="m1104,56l10800,56e" filled="false" stroked="true" strokeweight=".72pt" strokecolor="#000000">
              <v:path arrowok="t"/>
            </v:shape>
            <w10:wrap type="none"/>
          </v:group>
        </w:pict>
      </w:r>
      <w:r>
        <w:rPr/>
        <w:t>（四）公司收购、出售资产的核查</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54"/>
        <w:ind w:left="572" w:right="0"/>
        <w:jc w:val="left"/>
        <w:rPr>
          <w:b w:val="0"/>
          <w:bCs w:val="0"/>
        </w:rPr>
      </w:pPr>
      <w:r>
        <w:rPr>
          <w:rFonts w:ascii="Times New Roman" w:hAnsi="Times New Roman" w:cs="Times New Roman" w:eastAsia="Times New Roman" w:hint="default"/>
        </w:rPr>
        <w:t>1</w:t>
      </w:r>
      <w:r>
        <w:rPr/>
        <w:t>、迅付科技有限公司</w:t>
      </w:r>
      <w:r>
        <w:rPr>
          <w:rFonts w:ascii="Times New Roman" w:hAnsi="Times New Roman" w:cs="Times New Roman" w:eastAsia="Times New Roman" w:hint="default"/>
        </w:rPr>
        <w:t>15%</w:t>
      </w:r>
      <w:r>
        <w:rPr/>
        <w:t>的股权转让</w:t>
      </w:r>
      <w:r>
        <w:rPr>
          <w:b w:val="0"/>
          <w:bCs w:val="0"/>
        </w:rPr>
      </w:r>
    </w:p>
    <w:p>
      <w:pPr>
        <w:pStyle w:val="BodyText"/>
        <w:spacing w:line="340" w:lineRule="auto" w:before="117"/>
        <w:ind w:right="207" w:firstLine="420"/>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日，公司与上海环迅电子商务有限公司（以下简称</w:t>
      </w:r>
      <w:r>
        <w:rPr>
          <w:rFonts w:ascii="Times New Roman" w:hAnsi="Times New Roman" w:cs="Times New Roman" w:eastAsia="Times New Roman" w:hint="default"/>
          <w:spacing w:val="-2"/>
        </w:rPr>
        <w:t>“</w:t>
      </w:r>
      <w:r>
        <w:rPr>
          <w:spacing w:val="-2"/>
        </w:rPr>
        <w:t>上海环迅</w:t>
      </w:r>
      <w:r>
        <w:rPr>
          <w:rFonts w:ascii="Times New Roman" w:hAnsi="Times New Roman" w:cs="Times New Roman" w:eastAsia="Times New Roman" w:hint="default"/>
          <w:spacing w:val="-2"/>
        </w:rPr>
        <w:t>”</w:t>
      </w:r>
      <w:r>
        <w:rPr>
          <w:spacing w:val="-2"/>
        </w:rPr>
        <w:t>）签署了股权转让协议，</w:t>
      </w:r>
      <w:r>
        <w:rPr>
          <w:w w:val="100"/>
        </w:rPr>
        <w:t> </w:t>
      </w:r>
      <w:r>
        <w:rPr>
          <w:spacing w:val="-3"/>
        </w:rPr>
        <w:t>以</w:t>
      </w:r>
      <w:r>
        <w:rPr>
          <w:rFonts w:ascii="Times New Roman" w:hAnsi="Times New Roman" w:cs="Times New Roman" w:eastAsia="Times New Roman" w:hint="default"/>
          <w:spacing w:val="-3"/>
        </w:rPr>
        <w:t>1,575</w:t>
      </w:r>
      <w:r>
        <w:rPr>
          <w:spacing w:val="-3"/>
        </w:rPr>
        <w:t>万元收购其所持有的迅付信息科技有限公司（以下简称</w:t>
      </w:r>
      <w:r>
        <w:rPr>
          <w:rFonts w:ascii="Times New Roman" w:hAnsi="Times New Roman" w:cs="Times New Roman" w:eastAsia="Times New Roman" w:hint="default"/>
          <w:spacing w:val="-3"/>
        </w:rPr>
        <w:t>“</w:t>
      </w:r>
      <w:r>
        <w:rPr>
          <w:spacing w:val="-3"/>
        </w:rPr>
        <w:t>上海迅付</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15</w:t>
      </w:r>
      <w:r>
        <w:rPr>
          <w:spacing w:val="-3"/>
        </w:rPr>
        <w:t>％的股权事宜，经公司总裁</w:t>
      </w:r>
      <w:r>
        <w:rPr>
          <w:spacing w:val="-25"/>
        </w:rPr>
        <w:t> </w:t>
      </w:r>
      <w:r>
        <w:rPr>
          <w:spacing w:val="-25"/>
        </w:rPr>
      </w:r>
      <w:r>
        <w:rPr>
          <w:spacing w:val="-4"/>
        </w:rPr>
        <w:t>办公会决议，</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18</w:t>
      </w:r>
      <w:r>
        <w:rPr>
          <w:spacing w:val="-4"/>
        </w:rPr>
        <w:t>日，公司与全资子公司北海石基信息技术有限公司（以下简称</w:t>
      </w:r>
      <w:r>
        <w:rPr>
          <w:rFonts w:ascii="Times New Roman" w:hAnsi="Times New Roman" w:cs="Times New Roman" w:eastAsia="Times New Roman" w:hint="default"/>
          <w:spacing w:val="-4"/>
        </w:rPr>
        <w:t>“</w:t>
      </w:r>
      <w:r>
        <w:rPr>
          <w:spacing w:val="-4"/>
        </w:rPr>
        <w:t>北海石基</w:t>
      </w:r>
      <w:r>
        <w:rPr>
          <w:rFonts w:ascii="Times New Roman" w:hAnsi="Times New Roman" w:cs="Times New Roman" w:eastAsia="Times New Roman" w:hint="default"/>
          <w:spacing w:val="-4"/>
        </w:rPr>
        <w:t>”</w:t>
      </w:r>
      <w:r>
        <w:rPr>
          <w:spacing w:val="-4"/>
        </w:rPr>
        <w:t>）、上</w:t>
      </w:r>
      <w:r>
        <w:rPr>
          <w:spacing w:val="-43"/>
        </w:rPr>
        <w:t> </w:t>
      </w:r>
      <w:r>
        <w:rPr>
          <w:spacing w:val="-2"/>
        </w:rPr>
        <w:t>海环迅电子商务有限公司签署了《迅付信息科技有限公司股权转让三方协议》，将公司持有的迅付信息科</w:t>
      </w:r>
      <w:r>
        <w:rPr>
          <w:spacing w:val="-43"/>
        </w:rPr>
        <w:t> </w:t>
      </w:r>
      <w:r>
        <w:rPr>
          <w:spacing w:val="-43"/>
        </w:rPr>
      </w:r>
      <w:r>
        <w:rPr>
          <w:spacing w:val="-3"/>
        </w:rPr>
        <w:t>技有限公司</w:t>
      </w:r>
      <w:r>
        <w:rPr>
          <w:rFonts w:ascii="Times New Roman" w:hAnsi="Times New Roman" w:cs="Times New Roman" w:eastAsia="Times New Roman" w:hint="default"/>
          <w:spacing w:val="-3"/>
        </w:rPr>
        <w:t>15%</w:t>
      </w:r>
      <w:r>
        <w:rPr>
          <w:spacing w:val="-3"/>
        </w:rPr>
        <w:t>的股权以</w:t>
      </w:r>
      <w:r>
        <w:rPr>
          <w:rFonts w:ascii="Times New Roman" w:hAnsi="Times New Roman" w:cs="Times New Roman" w:eastAsia="Times New Roman" w:hint="default"/>
          <w:spacing w:val="-3"/>
        </w:rPr>
        <w:t>1,575</w:t>
      </w:r>
      <w:r>
        <w:rPr>
          <w:spacing w:val="-3"/>
        </w:rPr>
        <w:t>万元转让北海石基，公司本次转让股权不构成关联交易和重大重组，截止本</w:t>
      </w:r>
      <w:r>
        <w:rPr>
          <w:spacing w:val="-9"/>
        </w:rPr>
        <w:t> </w:t>
      </w:r>
      <w:r>
        <w:rPr>
          <w:spacing w:val="-9"/>
        </w:rPr>
      </w:r>
      <w:r>
        <w:rPr/>
        <w:t>报告出具日，相关工商变更登记已经完成。</w:t>
      </w:r>
    </w:p>
    <w:p>
      <w:pPr>
        <w:pStyle w:val="Heading4"/>
        <w:spacing w:line="240" w:lineRule="auto" w:before="45"/>
        <w:ind w:left="572" w:right="0"/>
        <w:jc w:val="left"/>
        <w:rPr>
          <w:b w:val="0"/>
          <w:bCs w:val="0"/>
        </w:rPr>
      </w:pPr>
      <w:r>
        <w:rPr>
          <w:rFonts w:ascii="Times New Roman" w:hAnsi="Times New Roman" w:cs="Times New Roman" w:eastAsia="Times New Roman" w:hint="default"/>
        </w:rPr>
        <w:t>2</w:t>
      </w:r>
      <w:r>
        <w:rPr/>
        <w:t>、投资</w:t>
      </w:r>
      <w:r>
        <w:rPr>
          <w:rFonts w:ascii="Times New Roman" w:hAnsi="Times New Roman" w:cs="Times New Roman" w:eastAsia="Times New Roman" w:hint="default"/>
        </w:rPr>
        <w:t>10,334</w:t>
      </w:r>
      <w:r>
        <w:rPr/>
        <w:t>万元向全资子公司北海石基信息技术有限公司增加注册资本</w:t>
      </w:r>
      <w:r>
        <w:rPr>
          <w:b w:val="0"/>
          <w:bCs w:val="0"/>
        </w:rPr>
      </w:r>
    </w:p>
    <w:p>
      <w:pPr>
        <w:pStyle w:val="BodyText"/>
        <w:spacing w:line="240" w:lineRule="auto" w:before="119"/>
        <w:ind w:left="572"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spacing w:val="-4"/>
        </w:rPr>
        <w:t>日，经公司第四届董事会</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spacing w:val="-3"/>
        </w:rPr>
        <w:t>年第二次临时会议审议通过，公司以自有资金向北海石</w:t>
      </w:r>
    </w:p>
    <w:p>
      <w:pPr>
        <w:pStyle w:val="BodyText"/>
        <w:spacing w:line="240" w:lineRule="auto" w:before="117"/>
        <w:ind w:left="153" w:right="0"/>
        <w:jc w:val="left"/>
      </w:pPr>
      <w:r>
        <w:rPr/>
        <w:t>基增资</w:t>
      </w:r>
      <w:r>
        <w:rPr>
          <w:spacing w:val="-57"/>
        </w:rPr>
        <w:t> </w:t>
      </w:r>
      <w:r>
        <w:rPr>
          <w:rFonts w:ascii="Times New Roman" w:hAnsi="Times New Roman" w:cs="Times New Roman" w:eastAsia="Times New Roman" w:hint="default"/>
        </w:rPr>
        <w:t>10,334</w:t>
      </w:r>
      <w:r>
        <w:rPr>
          <w:rFonts w:ascii="Times New Roman" w:hAnsi="Times New Roman" w:cs="Times New Roman" w:eastAsia="Times New Roman" w:hint="default"/>
          <w:spacing w:val="-7"/>
        </w:rPr>
        <w:t> </w:t>
      </w:r>
      <w:r>
        <w:rPr/>
        <w:t>万元，本次增资完成后，北海石基注册资本变更为</w:t>
      </w:r>
      <w:r>
        <w:rPr>
          <w:spacing w:val="-60"/>
        </w:rPr>
        <w:t> </w:t>
      </w:r>
      <w:r>
        <w:rPr>
          <w:rFonts w:ascii="Times New Roman" w:hAnsi="Times New Roman" w:cs="Times New Roman" w:eastAsia="Times New Roman" w:hint="default"/>
        </w:rPr>
        <w:t>11,000</w:t>
      </w:r>
      <w:r>
        <w:rPr>
          <w:rFonts w:ascii="Times New Roman" w:hAnsi="Times New Roman" w:cs="Times New Roman" w:eastAsia="Times New Roman" w:hint="default"/>
          <w:spacing w:val="-4"/>
        </w:rPr>
        <w:t> </w:t>
      </w:r>
      <w:r>
        <w:rPr/>
        <w:t>万元，公司持有其</w:t>
      </w:r>
      <w:r>
        <w:rPr>
          <w:spacing w:val="-57"/>
        </w:rPr>
        <w:t> </w:t>
      </w:r>
      <w:r>
        <w:rPr>
          <w:rFonts w:ascii="Times New Roman" w:hAnsi="Times New Roman" w:cs="Times New Roman" w:eastAsia="Times New Roman" w:hint="default"/>
        </w:rPr>
        <w:t>100%</w:t>
      </w:r>
      <w:r>
        <w:rPr/>
        <w:t>的股权。</w:t>
      </w:r>
    </w:p>
    <w:p>
      <w:pPr>
        <w:pStyle w:val="Heading4"/>
        <w:spacing w:line="240" w:lineRule="auto" w:before="117"/>
        <w:ind w:left="573" w:right="0"/>
        <w:jc w:val="left"/>
        <w:rPr>
          <w:b w:val="0"/>
          <w:bCs w:val="0"/>
        </w:rPr>
      </w:pPr>
      <w:r>
        <w:rPr>
          <w:rFonts w:ascii="Times New Roman" w:hAnsi="Times New Roman" w:cs="Times New Roman" w:eastAsia="Times New Roman" w:hint="default"/>
        </w:rPr>
        <w:t>3</w:t>
      </w:r>
      <w:r>
        <w:rPr/>
        <w:t>、投资</w:t>
      </w:r>
      <w:r>
        <w:rPr>
          <w:rFonts w:ascii="Times New Roman" w:hAnsi="Times New Roman" w:cs="Times New Roman" w:eastAsia="Times New Roman" w:hint="default"/>
        </w:rPr>
        <w:t>3,000</w:t>
      </w:r>
      <w:r>
        <w:rPr/>
        <w:t>万元增持杭州西软科技有限公司</w:t>
      </w:r>
      <w:r>
        <w:rPr>
          <w:rFonts w:ascii="Times New Roman" w:hAnsi="Times New Roman" w:cs="Times New Roman" w:eastAsia="Times New Roman" w:hint="default"/>
        </w:rPr>
        <w:t>18%</w:t>
      </w:r>
      <w:r>
        <w:rPr/>
        <w:t>的股权</w:t>
      </w:r>
      <w:r>
        <w:rPr>
          <w:b w:val="0"/>
          <w:bCs w:val="0"/>
        </w:rPr>
      </w:r>
    </w:p>
    <w:p>
      <w:pPr>
        <w:pStyle w:val="BodyText"/>
        <w:spacing w:line="338" w:lineRule="auto" w:before="117"/>
        <w:ind w:right="210" w:firstLine="419"/>
        <w:jc w:val="both"/>
      </w:pPr>
      <w:r>
        <w:rPr>
          <w:rFonts w:ascii="Times New Roman" w:hAnsi="Times New Roman" w:cs="Times New Roman" w:eastAsia="Times New Roman" w:hint="default"/>
          <w:spacing w:val="-2"/>
          <w:w w:val="100"/>
        </w:rPr>
        <w:t>2011</w:t>
      </w:r>
      <w:r>
        <w:rPr>
          <w:rFonts w:ascii="Times New Roman" w:hAnsi="Times New Roman" w:cs="Times New Roman" w:eastAsia="Times New Roman" w:hint="default"/>
          <w:w w:val="100"/>
        </w:rPr>
        <w:t> </w:t>
      </w:r>
      <w:r>
        <w:rPr>
          <w:w w:val="100"/>
        </w:rPr>
        <w:t>年</w:t>
      </w:r>
      <w:r>
        <w:rPr>
          <w:spacing w:val="-50"/>
          <w:w w:val="100"/>
        </w:rPr>
        <w:t> </w:t>
      </w:r>
      <w:r>
        <w:rPr>
          <w:rFonts w:ascii="Times New Roman" w:hAnsi="Times New Roman" w:cs="Times New Roman" w:eastAsia="Times New Roman" w:hint="default"/>
          <w:w w:val="100"/>
        </w:rPr>
        <w:t>3 </w:t>
      </w:r>
      <w:r>
        <w:rPr>
          <w:w w:val="100"/>
        </w:rPr>
        <w:t>月</w:t>
      </w:r>
      <w:r>
        <w:rPr>
          <w:spacing w:val="-50"/>
          <w:w w:val="100"/>
        </w:rPr>
        <w:t> </w:t>
      </w:r>
      <w:r>
        <w:rPr>
          <w:rFonts w:ascii="Times New Roman" w:hAnsi="Times New Roman" w:cs="Times New Roman" w:eastAsia="Times New Roman" w:hint="default"/>
          <w:spacing w:val="-2"/>
          <w:w w:val="100"/>
        </w:rPr>
        <w:t>30</w:t>
      </w:r>
      <w:r>
        <w:rPr>
          <w:rFonts w:ascii="Times New Roman" w:hAnsi="Times New Roman" w:cs="Times New Roman" w:eastAsia="Times New Roman" w:hint="default"/>
          <w:spacing w:val="4"/>
          <w:w w:val="100"/>
        </w:rPr>
        <w:t> </w:t>
      </w:r>
      <w:r>
        <w:rPr>
          <w:spacing w:val="-7"/>
          <w:w w:val="100"/>
        </w:rPr>
        <w:t>日，公司与杨铭魁先生签订《股权转让协议》，以协议价</w:t>
      </w:r>
      <w:r>
        <w:rPr>
          <w:spacing w:val="-53"/>
          <w:w w:val="100"/>
        </w:rPr>
        <w:t> </w:t>
      </w:r>
      <w:r>
        <w:rPr>
          <w:rFonts w:ascii="Times New Roman" w:hAnsi="Times New Roman" w:cs="Times New Roman" w:eastAsia="Times New Roman" w:hint="default"/>
          <w:spacing w:val="-1"/>
          <w:w w:val="100"/>
        </w:rPr>
        <w:t>3,000</w:t>
      </w:r>
      <w:r>
        <w:rPr>
          <w:rFonts w:ascii="Times New Roman" w:hAnsi="Times New Roman" w:cs="Times New Roman" w:eastAsia="Times New Roman" w:hint="default"/>
          <w:w w:val="100"/>
        </w:rPr>
        <w:t> </w:t>
      </w:r>
      <w:r>
        <w:rPr>
          <w:spacing w:val="-2"/>
          <w:w w:val="100"/>
        </w:rPr>
        <w:t>万元收购杨铭魁先生持</w:t>
      </w:r>
      <w:r>
        <w:rPr>
          <w:w w:val="100"/>
        </w:rPr>
        <w:t> </w:t>
      </w:r>
      <w:r>
        <w:rPr>
          <w:spacing w:val="-1"/>
        </w:rPr>
        <w:t>有的杭州西软科技有限公司（以下简称</w:t>
      </w:r>
      <w:r>
        <w:rPr>
          <w:rFonts w:ascii="Times New Roman" w:hAnsi="Times New Roman" w:cs="Times New Roman" w:eastAsia="Times New Roman" w:hint="default"/>
          <w:spacing w:val="-1"/>
        </w:rPr>
        <w:t>“</w:t>
      </w:r>
      <w:r>
        <w:rPr>
          <w:spacing w:val="-1"/>
        </w:rPr>
        <w:t>西软科技</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18%</w:t>
      </w:r>
      <w:r>
        <w:rPr>
          <w:spacing w:val="-1"/>
        </w:rPr>
        <w:t>的股权。公司本次对外投资使用的是公司自有资</w:t>
      </w:r>
      <w:r>
        <w:rPr>
          <w:spacing w:val="-26"/>
        </w:rPr>
        <w:t> </w:t>
      </w:r>
      <w:r>
        <w:rPr>
          <w:spacing w:val="-26"/>
        </w:rPr>
      </w:r>
      <w:r>
        <w:rPr/>
        <w:t>金，不构成关联交易及重大重组。本次收购完成后，本公司将持有西软科技</w:t>
      </w:r>
      <w:r>
        <w:rPr>
          <w:spacing w:val="4"/>
        </w:rPr>
        <w:t> </w:t>
      </w:r>
      <w:r>
        <w:rPr>
          <w:rFonts w:ascii="Times New Roman" w:hAnsi="Times New Roman" w:cs="Times New Roman" w:eastAsia="Times New Roman" w:hint="default"/>
        </w:rPr>
        <w:t>100%</w:t>
      </w:r>
      <w:r>
        <w:rPr/>
        <w:t>的股权，杨铭魁先生不</w:t>
      </w:r>
      <w:r>
        <w:rPr>
          <w:w w:val="100"/>
        </w:rPr>
        <w:t> </w:t>
      </w:r>
      <w:r>
        <w:rPr/>
        <w:t>再持有西软科技的股权。该项投资经公司第四届董事会</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年第三次临时会议审议通过。</w:t>
      </w:r>
    </w:p>
    <w:p>
      <w:pPr>
        <w:pStyle w:val="BodyText"/>
        <w:spacing w:line="336" w:lineRule="auto" w:before="22"/>
        <w:ind w:left="153" w:right="206" w:firstLine="41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日，西软科技以上股权转让事宜已经完成工商变更登记，变更后企业法人营业执照注</w:t>
      </w:r>
      <w:r>
        <w:rPr>
          <w:w w:val="100"/>
        </w:rPr>
        <w:t> </w:t>
      </w:r>
      <w:r>
        <w:rPr/>
        <w:t>册号为：</w:t>
      </w:r>
      <w:r>
        <w:rPr>
          <w:rFonts w:ascii="Times New Roman" w:hAnsi="Times New Roman" w:cs="Times New Roman" w:eastAsia="Times New Roman" w:hint="default"/>
        </w:rPr>
        <w:t>330108000036043</w:t>
      </w:r>
      <w:r>
        <w:rPr/>
        <w:t>，法定代表人为赖德源。</w:t>
      </w:r>
    </w:p>
    <w:p>
      <w:pPr>
        <w:pStyle w:val="Heading4"/>
        <w:spacing w:line="240" w:lineRule="auto" w:before="26"/>
        <w:ind w:left="573" w:right="0"/>
        <w:jc w:val="left"/>
        <w:rPr>
          <w:b w:val="0"/>
          <w:bCs w:val="0"/>
        </w:rPr>
      </w:pPr>
      <w:r>
        <w:rPr>
          <w:rFonts w:ascii="Times New Roman" w:hAnsi="Times New Roman" w:cs="Times New Roman" w:eastAsia="Times New Roman" w:hint="default"/>
        </w:rPr>
        <w:t>4</w:t>
      </w:r>
      <w:r>
        <w:rPr/>
        <w:t>、投资</w:t>
      </w:r>
      <w:r>
        <w:rPr>
          <w:rFonts w:ascii="Times New Roman" w:hAnsi="Times New Roman" w:cs="Times New Roman" w:eastAsia="Times New Roman" w:hint="default"/>
        </w:rPr>
        <w:t>3,066</w:t>
      </w:r>
      <w:r>
        <w:rPr/>
        <w:t>万收购上海正品贵德有限责任公司</w:t>
      </w:r>
      <w:r>
        <w:rPr>
          <w:rFonts w:ascii="Times New Roman" w:hAnsi="Times New Roman" w:cs="Times New Roman" w:eastAsia="Times New Roman" w:hint="default"/>
        </w:rPr>
        <w:t>70%</w:t>
      </w:r>
      <w:r>
        <w:rPr/>
        <w:t>的股权</w:t>
      </w:r>
      <w:r>
        <w:rPr>
          <w:b w:val="0"/>
          <w:bCs w:val="0"/>
        </w:rPr>
      </w:r>
    </w:p>
    <w:p>
      <w:pPr>
        <w:pStyle w:val="BodyText"/>
        <w:spacing w:line="336" w:lineRule="auto" w:before="117"/>
        <w:ind w:right="208" w:firstLine="42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44"/>
        </w:rPr>
        <w:t> </w:t>
      </w:r>
      <w:r>
        <w:rPr>
          <w:rFonts w:ascii="Times New Roman" w:hAnsi="Times New Roman" w:cs="Times New Roman" w:eastAsia="Times New Roman" w:hint="default"/>
        </w:rPr>
        <w:t>18</w:t>
      </w:r>
      <w:r>
        <w:rPr>
          <w:rFonts w:ascii="Times New Roman" w:hAnsi="Times New Roman" w:cs="Times New Roman" w:eastAsia="Times New Roman" w:hint="default"/>
          <w:spacing w:val="11"/>
        </w:rPr>
        <w:t> </w:t>
      </w:r>
      <w:r>
        <w:rPr/>
        <w:t>日，公司签署上海正品贵德软件有限公司股权转让框架协议，以</w:t>
      </w:r>
      <w:r>
        <w:rPr>
          <w:spacing w:val="-43"/>
        </w:rPr>
        <w:t> </w:t>
      </w:r>
      <w:r>
        <w:rPr>
          <w:rFonts w:ascii="Times New Roman" w:hAnsi="Times New Roman" w:cs="Times New Roman" w:eastAsia="Times New Roman" w:hint="default"/>
        </w:rPr>
        <w:t>3,066</w:t>
      </w:r>
      <w:r>
        <w:rPr>
          <w:rFonts w:ascii="Times New Roman" w:hAnsi="Times New Roman" w:cs="Times New Roman" w:eastAsia="Times New Roman" w:hint="default"/>
          <w:spacing w:val="11"/>
        </w:rPr>
        <w:t> </w:t>
      </w:r>
      <w:r>
        <w:rPr/>
        <w:t>万元收购其所</w:t>
      </w:r>
      <w:r>
        <w:rPr>
          <w:w w:val="100"/>
        </w:rPr>
        <w:t> </w:t>
      </w:r>
      <w:r>
        <w:rPr>
          <w:spacing w:val="-2"/>
        </w:rPr>
        <w:t>持有的上海正品贵德软件有限公司（以下简称</w:t>
      </w:r>
      <w:r>
        <w:rPr>
          <w:rFonts w:ascii="Times New Roman" w:hAnsi="Times New Roman" w:cs="Times New Roman" w:eastAsia="Times New Roman" w:hint="default"/>
          <w:spacing w:val="-2"/>
        </w:rPr>
        <w:t>“</w:t>
      </w:r>
      <w:r>
        <w:rPr>
          <w:spacing w:val="-2"/>
        </w:rPr>
        <w:t>正品贵德</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70</w:t>
      </w:r>
      <w:r>
        <w:rPr>
          <w:spacing w:val="-2"/>
        </w:rPr>
        <w:t>％的股权。该事项经公司第四届董事会第三</w:t>
      </w:r>
      <w:r>
        <w:rPr>
          <w:spacing w:val="-21"/>
        </w:rPr>
        <w:t> </w:t>
      </w:r>
      <w:r>
        <w:rPr>
          <w:spacing w:val="-21"/>
        </w:rPr>
      </w:r>
      <w:r>
        <w:rPr/>
        <w:t>次会议审议通过。</w:t>
      </w:r>
    </w:p>
    <w:p>
      <w:pPr>
        <w:pStyle w:val="BodyText"/>
        <w:spacing w:line="338" w:lineRule="auto" w:before="49"/>
        <w:ind w:left="153" w:right="207" w:firstLine="41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spacing w:val="-3"/>
        </w:rPr>
        <w:t>日，正品贵德以上股权转让事宜已经完成工商变更登记，变更后企业法人营业执照注</w:t>
      </w:r>
      <w:r>
        <w:rPr>
          <w:w w:val="100"/>
        </w:rPr>
        <w:t> </w:t>
      </w:r>
      <w:r>
        <w:rPr/>
        <w:t>册号为：</w:t>
      </w:r>
      <w:r>
        <w:rPr>
          <w:rFonts w:ascii="Times New Roman" w:hAnsi="Times New Roman" w:cs="Times New Roman" w:eastAsia="Times New Roman" w:hint="default"/>
        </w:rPr>
        <w:t>310114000718154</w:t>
      </w:r>
      <w:r>
        <w:rPr/>
        <w:t>，法定代表人为关东玉。</w:t>
      </w:r>
    </w:p>
    <w:p>
      <w:pPr>
        <w:spacing w:line="240" w:lineRule="auto" w:before="12"/>
        <w:rPr>
          <w:rFonts w:ascii="宋体" w:hAnsi="宋体" w:cs="宋体" w:eastAsia="宋体" w:hint="default"/>
          <w:sz w:val="22"/>
          <w:szCs w:val="22"/>
        </w:rPr>
      </w:pPr>
    </w:p>
    <w:p>
      <w:pPr>
        <w:spacing w:line="602" w:lineRule="auto" w:before="0"/>
        <w:ind w:left="572" w:right="3780" w:hanging="8"/>
        <w:jc w:val="left"/>
        <w:rPr>
          <w:rFonts w:ascii="宋体" w:hAnsi="宋体" w:cs="宋体" w:eastAsia="宋体" w:hint="default"/>
          <w:sz w:val="21"/>
          <w:szCs w:val="21"/>
        </w:rPr>
      </w:pPr>
      <w:r>
        <w:rPr>
          <w:rFonts w:ascii="宋体" w:hAnsi="宋体" w:cs="宋体" w:eastAsia="宋体" w:hint="default"/>
          <w:b/>
          <w:bCs/>
          <w:sz w:val="21"/>
          <w:szCs w:val="21"/>
        </w:rPr>
        <w:t>（五）检查公司关联交易的情况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报告期内，公司未发生关联交易。</w:t>
      </w:r>
    </w:p>
    <w:p>
      <w:pPr>
        <w:pStyle w:val="Heading4"/>
        <w:spacing w:line="240" w:lineRule="auto" w:before="97"/>
        <w:ind w:right="0"/>
        <w:jc w:val="left"/>
        <w:rPr>
          <w:b w:val="0"/>
          <w:bCs w:val="0"/>
        </w:rPr>
      </w:pPr>
      <w:r>
        <w:rPr/>
        <w:t>（六）建立和实施内幕信息知情人管理制度的</w:t>
      </w:r>
      <w:bookmarkStart w:name="_bookmark8" w:id="18"/>
      <w:bookmarkEnd w:id="18"/>
      <w:r>
        <w:rPr/>
        <w:t>情况</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52"/>
        <w:ind w:right="0" w:firstLine="525"/>
        <w:jc w:val="left"/>
      </w:pPr>
      <w:r>
        <w:rPr>
          <w:spacing w:val="-5"/>
          <w:w w:val="100"/>
        </w:rPr>
        <w:t>公司已根据中国证监会发布的《关于上市公司建立内幕信息知情人登记管理制度的规定》（证监会公</w:t>
      </w:r>
      <w:r>
        <w:rPr>
          <w:w w:val="100"/>
        </w:rPr>
        <w:t> </w:t>
      </w:r>
      <w:r>
        <w:rPr>
          <w:spacing w:val="-2"/>
          <w:w w:val="100"/>
        </w:rPr>
        <w:t>告</w:t>
      </w:r>
      <w:r>
        <w:rPr>
          <w:rFonts w:ascii="Times New Roman" w:hAnsi="Times New Roman" w:cs="Times New Roman" w:eastAsia="Times New Roman" w:hint="default"/>
          <w:spacing w:val="-2"/>
          <w:w w:val="100"/>
        </w:rPr>
        <w:t>[2011]30</w:t>
      </w:r>
      <w:r>
        <w:rPr>
          <w:rFonts w:ascii="Times New Roman" w:hAnsi="Times New Roman" w:cs="Times New Roman" w:eastAsia="Times New Roman" w:hint="default"/>
          <w:w w:val="100"/>
        </w:rPr>
        <w:t> </w:t>
      </w:r>
      <w:r>
        <w:rPr>
          <w:spacing w:val="-7"/>
          <w:w w:val="100"/>
        </w:rPr>
        <w:t>号）及深圳证券交易所相关文件的要求，修订了《内幕信息知情人登记管理制度》。公司内幕信</w:t>
      </w:r>
      <w:r>
        <w:rPr>
          <w:spacing w:val="-77"/>
          <w:w w:val="100"/>
        </w:rPr>
        <w:t> </w:t>
      </w:r>
      <w:r>
        <w:rPr>
          <w:spacing w:val="-77"/>
          <w:w w:val="100"/>
        </w:rPr>
      </w:r>
      <w:r>
        <w:rPr>
          <w:spacing w:val="-5"/>
        </w:rPr>
        <w:t>息知情人在获悉内幕信息后，及时做好登记工作，建立内幕知情人档案，同时签订《内幕知情人保密协议》</w:t>
      </w:r>
      <w:r>
        <w:rPr>
          <w:spacing w:val="-7"/>
        </w:rPr>
        <w:t> </w:t>
      </w:r>
      <w:r>
        <w:rPr>
          <w:spacing w:val="-7"/>
        </w:rPr>
      </w:r>
      <w:r>
        <w:rPr>
          <w:spacing w:val="-18"/>
          <w:w w:val="100"/>
        </w:rPr>
        <w:t>及《重大事项进程备忘录》。</w:t>
      </w:r>
      <w:r>
        <w:rPr>
          <w:w w:val="100"/>
        </w:rPr>
      </w:r>
    </w:p>
    <w:p>
      <w:pPr>
        <w:pStyle w:val="Heading4"/>
        <w:spacing w:line="240" w:lineRule="auto" w:before="36"/>
        <w:ind w:left="575" w:right="0"/>
        <w:jc w:val="left"/>
        <w:rPr>
          <w:b w:val="0"/>
          <w:bCs w:val="0"/>
        </w:rPr>
      </w:pPr>
      <w:r>
        <w:rPr>
          <w:rFonts w:ascii="Times New Roman" w:hAnsi="Times New Roman" w:cs="Times New Roman" w:eastAsia="Times New Roman" w:hint="default"/>
        </w:rPr>
        <w:t>1</w:t>
      </w:r>
      <w:r>
        <w:rPr/>
        <w:t>、报告期内自查内幕信息知情人买卖本公司股票及其衍生品种的情况</w:t>
      </w:r>
      <w:r>
        <w:rPr>
          <w:b w:val="0"/>
          <w:bCs w:val="0"/>
        </w:rPr>
      </w:r>
    </w:p>
    <w:p>
      <w:pPr>
        <w:spacing w:after="0" w:line="240" w:lineRule="auto"/>
        <w:jc w:val="left"/>
        <w:sectPr>
          <w:pgSz w:w="11910" w:h="16840"/>
          <w:pgMar w:header="850" w:footer="979" w:top="1200" w:bottom="1160" w:left="980" w:right="920"/>
        </w:sectPr>
      </w:pPr>
    </w:p>
    <w:p>
      <w:pPr>
        <w:spacing w:line="345" w:lineRule="auto" w:before="30"/>
        <w:ind w:left="572" w:right="0" w:firstLine="105"/>
        <w:jc w:val="left"/>
        <w:rPr>
          <w:rFonts w:ascii="宋体" w:hAnsi="宋体" w:cs="宋体" w:eastAsia="宋体" w:hint="default"/>
          <w:sz w:val="21"/>
          <w:szCs w:val="21"/>
        </w:rPr>
      </w:pPr>
      <w:r>
        <w:rPr/>
        <w:pict>
          <v:group style="position:absolute;margin-left:55.200001pt;margin-top:2.843687pt;width:484.8pt;height:.1pt;mso-position-horizontal-relative:page;mso-position-vertical-relative:paragraph;z-index:-772096" coordorigin="1104,57" coordsize="9696,2">
            <v:shape style="position:absolute;left:1104;top:57;width:9696;height:2" coordorigin="1104,57" coordsize="9696,0" path="m1104,57l10800,57e" filled="false" stroked="true" strokeweight=".72pt" strokecolor="#000000">
              <v:path arrowok="t"/>
            </v:shape>
            <w10:wrap type="none"/>
          </v:group>
        </w:pict>
      </w:r>
      <w:r>
        <w:rPr>
          <w:rFonts w:ascii="宋体" w:hAnsi="宋体" w:cs="宋体" w:eastAsia="宋体" w:hint="default"/>
          <w:sz w:val="21"/>
          <w:szCs w:val="21"/>
        </w:rPr>
        <w:t>报告期内，公司不存在内幕信息知情人买卖本公司股票及其衍生品种的情况</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、外部信息使用人管理制度的建立和执行情况。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报告期内，公司严格执行《内幕信息知情人登记管理制度》中对于外部信息使用人管理制度的规定，</w:t>
      </w:r>
    </w:p>
    <w:p>
      <w:pPr>
        <w:pStyle w:val="BodyText"/>
        <w:spacing w:line="355" w:lineRule="auto" w:before="43"/>
        <w:ind w:right="0"/>
        <w:jc w:val="left"/>
      </w:pPr>
      <w:r>
        <w:rPr>
          <w:spacing w:val="-2"/>
        </w:rPr>
        <w:t>中介机构作为可以获取公司内幕信息的知情人，按照内幕信息知情人管理，填写本公司内幕知情人档案并</w:t>
      </w:r>
      <w:r>
        <w:rPr>
          <w:spacing w:val="-43"/>
        </w:rPr>
        <w:t> </w:t>
      </w:r>
      <w:r>
        <w:rPr>
          <w:spacing w:val="-43"/>
        </w:rPr>
      </w:r>
      <w:r>
        <w:rPr/>
        <w:t>且向董事会备案。</w:t>
      </w:r>
    </w:p>
    <w:p>
      <w:pPr>
        <w:spacing w:line="336" w:lineRule="auto" w:before="32"/>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、董事、监事和高级管理人员违规买卖公司股票的情况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报告期内，公司不存在董事、监事和高级管理人员违规买卖公司股票的情况</w:t>
      </w:r>
    </w:p>
    <w:p>
      <w:pPr>
        <w:spacing w:after="0" w:line="336" w:lineRule="auto"/>
        <w:jc w:val="left"/>
        <w:rPr>
          <w:rFonts w:ascii="宋体" w:hAnsi="宋体" w:cs="宋体" w:eastAsia="宋体" w:hint="default"/>
          <w:sz w:val="21"/>
          <w:szCs w:val="21"/>
        </w:rPr>
        <w:sectPr>
          <w:pgSz w:w="11910" w:h="16840"/>
          <w:pgMar w:header="850" w:footer="979" w:top="1200" w:bottom="1160" w:left="980" w:right="980"/>
        </w:sectPr>
      </w:pPr>
    </w:p>
    <w:p>
      <w:pPr>
        <w:pStyle w:val="Heading1"/>
        <w:spacing w:line="240" w:lineRule="auto" w:before="15"/>
        <w:ind w:left="3758" w:right="3818"/>
        <w:jc w:val="center"/>
        <w:rPr>
          <w:b w:val="0"/>
          <w:bCs w:val="0"/>
        </w:rPr>
      </w:pPr>
      <w:r>
        <w:rPr/>
        <w:pict>
          <v:group style="position:absolute;margin-left:55.200001pt;margin-top:2.821592pt;width:484.8pt;height:.1pt;mso-position-horizontal-relative:page;mso-position-vertical-relative:paragraph;z-index:-772072" coordorigin="1104,56" coordsize="9696,2">
            <v:shape style="position:absolute;left:1104;top:56;width:9696;height:2" coordorigin="1104,56" coordsize="9696,0" path="m1104,56l10800,56e" filled="false" stroked="true" strokeweight=".72pt" strokecolor="#000000">
              <v:path arrowok="t"/>
            </v:shape>
            <w10:wrap type="none"/>
          </v:group>
        </w:pict>
      </w:r>
      <w:bookmarkStart w:name="第九节 重要事项" w:id="19"/>
      <w:bookmarkEnd w:id="19"/>
      <w:r>
        <w:rPr>
          <w:b w:val="0"/>
          <w:bCs w:val="0"/>
        </w:rPr>
      </w:r>
      <w:r>
        <w:rPr/>
        <w:t>第九节</w:t>
      </w:r>
      <w:r>
        <w:rPr>
          <w:spacing w:val="-3"/>
        </w:rPr>
        <w:t> </w:t>
      </w:r>
      <w:r>
        <w:rPr/>
        <w:t>重要事项</w:t>
      </w:r>
      <w:r>
        <w:rPr>
          <w:b w:val="0"/>
          <w:bCs w:val="0"/>
        </w:rPr>
      </w:r>
    </w:p>
    <w:p>
      <w:pPr>
        <w:pStyle w:val="Heading4"/>
        <w:spacing w:line="690" w:lineRule="atLeast" w:before="56"/>
        <w:ind w:right="0"/>
        <w:jc w:val="left"/>
        <w:rPr>
          <w:b w:val="0"/>
          <w:bCs w:val="0"/>
        </w:rPr>
      </w:pPr>
      <w:r>
        <w:rPr/>
        <w:t>一、报告期内，公司无重大诉讼、仲裁事项。</w:t>
      </w:r>
      <w:r>
        <w:rPr>
          <w:w w:val="100"/>
        </w:rPr>
        <w:t> </w:t>
      </w:r>
      <w:r>
        <w:rPr>
          <w:spacing w:val="-2"/>
        </w:rPr>
        <w:t>二、报告期内，公司未发生控股股东及其关联方非经营性占用资金的情况、与控股股东及其关联方发</w:t>
      </w:r>
      <w:r>
        <w:rPr>
          <w:b w:val="0"/>
          <w:bCs w:val="0"/>
          <w:spacing w:val="-2"/>
        </w:rPr>
      </w:r>
    </w:p>
    <w:p>
      <w:pPr>
        <w:pStyle w:val="Heading4"/>
        <w:spacing w:line="602" w:lineRule="auto" w:before="133"/>
        <w:ind w:right="3780" w:hanging="413"/>
        <w:jc w:val="left"/>
        <w:rPr>
          <w:b w:val="0"/>
          <w:bCs w:val="0"/>
        </w:rPr>
      </w:pPr>
      <w:r>
        <w:rPr/>
        <w:t>生资金往来的情况。</w:t>
      </w:r>
      <w:r>
        <w:rPr>
          <w:spacing w:val="-103"/>
        </w:rPr>
        <w:t> </w:t>
      </w:r>
      <w:r>
        <w:rPr>
          <w:spacing w:val="-1"/>
        </w:rPr>
        <w:t>三、报告期内，未发生破产重整等相关事项。</w:t>
      </w:r>
      <w:r>
        <w:rPr>
          <w:b w:val="0"/>
          <w:bCs w:val="0"/>
          <w:spacing w:val="-1"/>
        </w:rPr>
      </w:r>
    </w:p>
    <w:p>
      <w:pPr>
        <w:pStyle w:val="Heading4"/>
        <w:spacing w:line="602" w:lineRule="auto" w:before="94"/>
        <w:ind w:right="0"/>
        <w:jc w:val="left"/>
        <w:rPr>
          <w:b w:val="0"/>
          <w:bCs w:val="0"/>
        </w:rPr>
      </w:pPr>
      <w:r>
        <w:rPr>
          <w:spacing w:val="-1"/>
        </w:rPr>
        <w:t>四、报告期内，公司未参股商业银行、证券公司、保险公司、信托公司和期货公司等事项。</w:t>
      </w:r>
      <w:r>
        <w:rPr>
          <w:spacing w:val="-70"/>
        </w:rPr>
        <w:t> </w:t>
      </w:r>
      <w:r>
        <w:rPr>
          <w:spacing w:val="-70"/>
        </w:rPr>
      </w:r>
      <w:r>
        <w:rPr/>
        <w:t>五、报告期内，公司收购及出售资产、企业合并事项。</w:t>
      </w:r>
      <w:r>
        <w:rPr>
          <w:b w:val="0"/>
          <w:bCs w:val="0"/>
        </w:rPr>
      </w:r>
    </w:p>
    <w:p>
      <w:pPr>
        <w:pStyle w:val="Heading4"/>
        <w:spacing w:line="240" w:lineRule="auto" w:before="99"/>
        <w:ind w:left="572" w:right="0"/>
        <w:jc w:val="left"/>
        <w:rPr>
          <w:b w:val="0"/>
          <w:bCs w:val="0"/>
        </w:rPr>
      </w:pPr>
      <w:r>
        <w:rPr/>
        <w:t>（一）迅付科技有限公司</w:t>
      </w:r>
      <w:r>
        <w:rPr>
          <w:rFonts w:ascii="Times New Roman" w:hAnsi="Times New Roman" w:cs="Times New Roman" w:eastAsia="Times New Roman" w:hint="default"/>
        </w:rPr>
        <w:t>15%</w:t>
      </w:r>
      <w:r>
        <w:rPr/>
        <w:t>的股权转让</w:t>
      </w:r>
      <w:r>
        <w:rPr>
          <w:b w:val="0"/>
          <w:bCs w:val="0"/>
        </w:rPr>
      </w:r>
    </w:p>
    <w:p>
      <w:pPr>
        <w:pStyle w:val="BodyText"/>
        <w:spacing w:line="338" w:lineRule="auto" w:before="117"/>
        <w:ind w:right="207" w:firstLine="419"/>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日，公司与上海环迅电子商务有限公司（以下简称</w:t>
      </w:r>
      <w:r>
        <w:rPr>
          <w:rFonts w:ascii="Times New Roman" w:hAnsi="Times New Roman" w:cs="Times New Roman" w:eastAsia="Times New Roman" w:hint="default"/>
          <w:spacing w:val="-2"/>
        </w:rPr>
        <w:t>“</w:t>
      </w:r>
      <w:r>
        <w:rPr>
          <w:spacing w:val="-2"/>
        </w:rPr>
        <w:t>上海环迅</w:t>
      </w:r>
      <w:r>
        <w:rPr>
          <w:rFonts w:ascii="Times New Roman" w:hAnsi="Times New Roman" w:cs="Times New Roman" w:eastAsia="Times New Roman" w:hint="default"/>
          <w:spacing w:val="-2"/>
        </w:rPr>
        <w:t>”</w:t>
      </w:r>
      <w:r>
        <w:rPr>
          <w:spacing w:val="-2"/>
        </w:rPr>
        <w:t>）签署了股权转让协议，</w:t>
      </w:r>
      <w:r>
        <w:rPr>
          <w:w w:val="100"/>
        </w:rPr>
        <w:t> </w:t>
      </w:r>
      <w:r>
        <w:rPr>
          <w:spacing w:val="-3"/>
        </w:rPr>
        <w:t>以</w:t>
      </w:r>
      <w:r>
        <w:rPr>
          <w:rFonts w:ascii="Times New Roman" w:hAnsi="Times New Roman" w:cs="Times New Roman" w:eastAsia="Times New Roman" w:hint="default"/>
          <w:spacing w:val="-3"/>
        </w:rPr>
        <w:t>1,575</w:t>
      </w:r>
      <w:r>
        <w:rPr>
          <w:spacing w:val="-3"/>
        </w:rPr>
        <w:t>万元收购其所持有的迅付信息科技有限公司（以下简称</w:t>
      </w:r>
      <w:r>
        <w:rPr>
          <w:rFonts w:ascii="Times New Roman" w:hAnsi="Times New Roman" w:cs="Times New Roman" w:eastAsia="Times New Roman" w:hint="default"/>
          <w:spacing w:val="-3"/>
        </w:rPr>
        <w:t>“</w:t>
      </w:r>
      <w:r>
        <w:rPr>
          <w:spacing w:val="-3"/>
        </w:rPr>
        <w:t>上海迅付</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15</w:t>
      </w:r>
      <w:r>
        <w:rPr>
          <w:spacing w:val="-3"/>
        </w:rPr>
        <w:t>％的股权，公司本次对外投</w:t>
      </w:r>
      <w:r>
        <w:rPr>
          <w:spacing w:val="-24"/>
        </w:rPr>
        <w:t> </w:t>
      </w:r>
      <w:r>
        <w:rPr>
          <w:spacing w:val="-24"/>
        </w:rPr>
      </w:r>
      <w:r>
        <w:rPr>
          <w:spacing w:val="-2"/>
        </w:rPr>
        <w:t>资使用的是公司自有资金，不构成关联交易及重大重组。该项投资经公司第四届董事会</w:t>
      </w:r>
      <w:r>
        <w:rPr>
          <w:rFonts w:ascii="Times New Roman" w:hAnsi="Times New Roman" w:cs="Times New Roman" w:eastAsia="Times New Roman" w:hint="default"/>
          <w:spacing w:val="-2"/>
        </w:rPr>
        <w:t>2010</w:t>
      </w:r>
      <w:r>
        <w:rPr>
          <w:spacing w:val="-2"/>
        </w:rPr>
        <w:t>年第一次临时</w:t>
      </w:r>
      <w:r>
        <w:rPr>
          <w:spacing w:val="-40"/>
        </w:rPr>
        <w:t> </w:t>
      </w:r>
      <w:r>
        <w:rPr>
          <w:spacing w:val="-40"/>
        </w:rPr>
      </w:r>
      <w:r>
        <w:rPr>
          <w:spacing w:val="-2"/>
        </w:rPr>
        <w:t>会议审议通过，详细内容查看公司</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日刊登于《中国证券报》、《证券时报》及巨潮资讯网的</w:t>
      </w:r>
    </w:p>
    <w:p>
      <w:pPr>
        <w:pStyle w:val="BodyText"/>
        <w:spacing w:line="338" w:lineRule="auto" w:before="22"/>
        <w:ind w:left="572" w:right="0" w:hanging="421"/>
        <w:jc w:val="left"/>
      </w:pPr>
      <w:r>
        <w:rPr/>
        <w:t>《第四届董事会</w:t>
      </w:r>
      <w:r>
        <w:rPr>
          <w:rFonts w:ascii="Times New Roman" w:hAnsi="Times New Roman" w:cs="Times New Roman" w:eastAsia="Times New Roman" w:hint="default"/>
        </w:rPr>
        <w:t>2010</w:t>
      </w:r>
      <w:r>
        <w:rPr/>
        <w:t>年第一次临时会议决议公告》（</w:t>
      </w:r>
      <w:r>
        <w:rPr>
          <w:rFonts w:ascii="Times New Roman" w:hAnsi="Times New Roman" w:cs="Times New Roman" w:eastAsia="Times New Roman" w:hint="default"/>
        </w:rPr>
        <w:t>2010-51</w:t>
      </w:r>
      <w:r>
        <w:rPr/>
        <w:t>）。</w:t>
      </w:r>
      <w:r>
        <w:rPr>
          <w:spacing w:val="-3"/>
          <w:w w:val="100"/>
        </w:rPr>
        <w:t> </w:t>
      </w:r>
      <w:r>
        <w:rPr>
          <w:spacing w:val="-6"/>
        </w:rPr>
        <w:t>经公司总裁办公会决议，</w:t>
      </w: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2</w:t>
      </w:r>
      <w:r>
        <w:rPr>
          <w:spacing w:val="-6"/>
        </w:rPr>
        <w:t>月</w:t>
      </w:r>
      <w:r>
        <w:rPr>
          <w:rFonts w:ascii="Times New Roman" w:hAnsi="Times New Roman" w:cs="Times New Roman" w:eastAsia="Times New Roman" w:hint="default"/>
          <w:spacing w:val="-6"/>
        </w:rPr>
        <w:t>18</w:t>
      </w:r>
      <w:r>
        <w:rPr>
          <w:spacing w:val="-6"/>
        </w:rPr>
        <w:t>日，公司与全资子公司北海石基信息技术有限公司（以下简称</w:t>
      </w:r>
      <w:r>
        <w:rPr>
          <w:rFonts w:ascii="Times New Roman" w:hAnsi="Times New Roman" w:cs="Times New Roman" w:eastAsia="Times New Roman" w:hint="default"/>
          <w:spacing w:val="-6"/>
        </w:rPr>
        <w:t>“</w:t>
      </w:r>
      <w:r>
        <w:rPr>
          <w:spacing w:val="-6"/>
        </w:rPr>
        <w:t>北</w:t>
      </w:r>
    </w:p>
    <w:p>
      <w:pPr>
        <w:pStyle w:val="BodyText"/>
        <w:spacing w:line="336" w:lineRule="auto" w:before="22"/>
        <w:ind w:right="0"/>
        <w:jc w:val="left"/>
      </w:pPr>
      <w:r>
        <w:rPr/>
        <w:t>海石基</w:t>
      </w:r>
      <w:r>
        <w:rPr>
          <w:rFonts w:ascii="Times New Roman" w:hAnsi="Times New Roman" w:cs="Times New Roman" w:eastAsia="Times New Roman" w:hint="default"/>
        </w:rPr>
        <w:t>”</w:t>
      </w:r>
      <w:r>
        <w:rPr/>
        <w:t>）、上海环迅电子商务有限公司签署了《迅付信息科技有限公司股权转让三方协议》，将公司持</w:t>
      </w:r>
      <w:r>
        <w:rPr>
          <w:w w:val="100"/>
        </w:rPr>
        <w:t> </w:t>
      </w:r>
      <w:r>
        <w:rPr>
          <w:spacing w:val="-3"/>
        </w:rPr>
        <w:t>有的迅付信息科技有限公司</w:t>
      </w:r>
      <w:r>
        <w:rPr>
          <w:rFonts w:ascii="Times New Roman" w:hAnsi="Times New Roman" w:cs="Times New Roman" w:eastAsia="Times New Roman" w:hint="default"/>
          <w:spacing w:val="-3"/>
        </w:rPr>
        <w:t>15%</w:t>
      </w:r>
      <w:r>
        <w:rPr>
          <w:spacing w:val="-3"/>
        </w:rPr>
        <w:t>的股权以</w:t>
      </w:r>
      <w:r>
        <w:rPr>
          <w:rFonts w:ascii="Times New Roman" w:hAnsi="Times New Roman" w:cs="Times New Roman" w:eastAsia="Times New Roman" w:hint="default"/>
          <w:spacing w:val="-3"/>
        </w:rPr>
        <w:t>1,575</w:t>
      </w:r>
      <w:r>
        <w:rPr>
          <w:spacing w:val="-3"/>
        </w:rPr>
        <w:t>万元转让北海石基，公司本次转让股权不构成关联交易和重 </w:t>
      </w:r>
      <w:r>
        <w:rPr/>
        <w:t>大重组，截止本报告出具日，相关工商变更登记已经完成。</w:t>
      </w:r>
    </w:p>
    <w:p>
      <w:pPr>
        <w:pStyle w:val="Heading4"/>
        <w:spacing w:line="240" w:lineRule="auto" w:before="49"/>
        <w:ind w:left="572" w:right="0"/>
        <w:jc w:val="left"/>
        <w:rPr>
          <w:b w:val="0"/>
          <w:bCs w:val="0"/>
        </w:rPr>
      </w:pPr>
      <w:r>
        <w:rPr/>
        <w:t>（二）投资</w:t>
      </w:r>
      <w:r>
        <w:rPr>
          <w:rFonts w:ascii="Times New Roman" w:hAnsi="Times New Roman" w:cs="Times New Roman" w:eastAsia="Times New Roman" w:hint="default"/>
        </w:rPr>
        <w:t>10,334</w:t>
      </w:r>
      <w:r>
        <w:rPr/>
        <w:t>万元向全资子公司北海石基信息技术有限公司增加注册资本</w:t>
      </w:r>
      <w:r>
        <w:rPr>
          <w:b w:val="0"/>
          <w:bCs w:val="0"/>
        </w:rPr>
      </w:r>
    </w:p>
    <w:p>
      <w:pPr>
        <w:pStyle w:val="BodyText"/>
        <w:spacing w:line="240" w:lineRule="auto" w:before="119"/>
        <w:ind w:left="572"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spacing w:val="-4"/>
        </w:rPr>
        <w:t>日，经公司第四届董事会</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spacing w:val="-3"/>
        </w:rPr>
        <w:t>年第二次临时会议审议通过，公司以自有资金向北海石</w:t>
      </w:r>
      <w:r>
        <w:rPr/>
      </w:r>
    </w:p>
    <w:p>
      <w:pPr>
        <w:pStyle w:val="BodyText"/>
        <w:spacing w:line="240" w:lineRule="auto" w:before="117"/>
        <w:ind w:left="153" w:right="0"/>
        <w:jc w:val="left"/>
      </w:pPr>
      <w:r>
        <w:rPr/>
        <w:t>基增资</w:t>
      </w:r>
      <w:r>
        <w:rPr>
          <w:spacing w:val="-57"/>
        </w:rPr>
        <w:t> </w:t>
      </w:r>
      <w:r>
        <w:rPr>
          <w:rFonts w:ascii="Times New Roman" w:hAnsi="Times New Roman" w:cs="Times New Roman" w:eastAsia="Times New Roman" w:hint="default"/>
        </w:rPr>
        <w:t>10,334</w:t>
      </w:r>
      <w:r>
        <w:rPr>
          <w:rFonts w:ascii="Times New Roman" w:hAnsi="Times New Roman" w:cs="Times New Roman" w:eastAsia="Times New Roman" w:hint="default"/>
          <w:spacing w:val="-7"/>
        </w:rPr>
        <w:t> </w:t>
      </w:r>
      <w:r>
        <w:rPr/>
        <w:t>万元，本次增资完成后，北海石基注册资本变更为</w:t>
      </w:r>
      <w:r>
        <w:rPr>
          <w:spacing w:val="-60"/>
        </w:rPr>
        <w:t> </w:t>
      </w:r>
      <w:r>
        <w:rPr>
          <w:rFonts w:ascii="Times New Roman" w:hAnsi="Times New Roman" w:cs="Times New Roman" w:eastAsia="Times New Roman" w:hint="default"/>
        </w:rPr>
        <w:t>11,000</w:t>
      </w:r>
      <w:r>
        <w:rPr>
          <w:rFonts w:ascii="Times New Roman" w:hAnsi="Times New Roman" w:cs="Times New Roman" w:eastAsia="Times New Roman" w:hint="default"/>
          <w:spacing w:val="-4"/>
        </w:rPr>
        <w:t> </w:t>
      </w:r>
      <w:r>
        <w:rPr/>
        <w:t>万元，公司持有其</w:t>
      </w:r>
      <w:r>
        <w:rPr>
          <w:spacing w:val="-57"/>
        </w:rPr>
        <w:t> </w:t>
      </w:r>
      <w:r>
        <w:rPr>
          <w:rFonts w:ascii="Times New Roman" w:hAnsi="Times New Roman" w:cs="Times New Roman" w:eastAsia="Times New Roman" w:hint="default"/>
        </w:rPr>
        <w:t>100%</w:t>
      </w:r>
      <w:r>
        <w:rPr/>
        <w:t>的股权。</w:t>
      </w:r>
    </w:p>
    <w:p>
      <w:pPr>
        <w:pStyle w:val="BodyText"/>
        <w:spacing w:line="336" w:lineRule="auto" w:before="117"/>
        <w:ind w:right="107"/>
        <w:jc w:val="left"/>
      </w:pPr>
      <w:r>
        <w:rPr>
          <w:w w:val="100"/>
        </w:rPr>
        <w:t>详见</w:t>
      </w:r>
      <w:r>
        <w:rPr>
          <w:spacing w:val="-3"/>
          <w:w w:val="100"/>
        </w:rPr>
        <w:t>公司</w:t>
      </w:r>
      <w:r>
        <w:rPr>
          <w:w w:val="100"/>
        </w:rPr>
        <w:t>于</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日</w:t>
      </w:r>
      <w:r>
        <w:rPr>
          <w:spacing w:val="-3"/>
          <w:w w:val="100"/>
        </w:rPr>
        <w:t>刊</w:t>
      </w:r>
      <w:r>
        <w:rPr>
          <w:w w:val="100"/>
        </w:rPr>
        <w:t>登</w:t>
      </w:r>
      <w:r>
        <w:rPr>
          <w:spacing w:val="-56"/>
          <w:w w:val="100"/>
        </w:rPr>
        <w:t>于</w:t>
      </w:r>
      <w:r>
        <w:rPr>
          <w:spacing w:val="-3"/>
          <w:w w:val="100"/>
        </w:rPr>
        <w:t>《</w:t>
      </w:r>
      <w:r>
        <w:rPr>
          <w:w w:val="100"/>
        </w:rPr>
        <w:t>中</w:t>
      </w:r>
      <w:r>
        <w:rPr>
          <w:spacing w:val="-3"/>
          <w:w w:val="100"/>
        </w:rPr>
        <w:t>国</w:t>
      </w:r>
      <w:r>
        <w:rPr>
          <w:w w:val="100"/>
        </w:rPr>
        <w:t>证</w:t>
      </w:r>
      <w:r>
        <w:rPr>
          <w:spacing w:val="-3"/>
          <w:w w:val="100"/>
        </w:rPr>
        <w:t>券</w:t>
      </w:r>
      <w:r>
        <w:rPr>
          <w:w w:val="100"/>
        </w:rPr>
        <w:t>报</w:t>
      </w:r>
      <w:r>
        <w:rPr>
          <w:spacing w:val="-106"/>
          <w:w w:val="100"/>
        </w:rPr>
        <w:t>》</w:t>
      </w:r>
      <w:r>
        <w:rPr>
          <w:spacing w:val="-164"/>
          <w:w w:val="100"/>
        </w:rPr>
        <w:t>、</w:t>
      </w:r>
      <w:r>
        <w:rPr>
          <w:w w:val="100"/>
        </w:rPr>
        <w:t>《证券</w:t>
      </w:r>
      <w:r>
        <w:rPr>
          <w:spacing w:val="-3"/>
          <w:w w:val="100"/>
        </w:rPr>
        <w:t>时</w:t>
      </w:r>
      <w:r>
        <w:rPr>
          <w:w w:val="100"/>
        </w:rPr>
        <w:t>报</w:t>
      </w:r>
      <w:r>
        <w:rPr>
          <w:spacing w:val="-56"/>
          <w:w w:val="100"/>
        </w:rPr>
        <w:t>》</w:t>
      </w:r>
      <w:r>
        <w:rPr>
          <w:spacing w:val="-3"/>
          <w:w w:val="100"/>
        </w:rPr>
        <w:t>及</w:t>
      </w:r>
      <w:r>
        <w:rPr>
          <w:w w:val="100"/>
        </w:rPr>
        <w:t>巨</w:t>
      </w:r>
      <w:r>
        <w:rPr>
          <w:spacing w:val="-3"/>
          <w:w w:val="100"/>
        </w:rPr>
        <w:t>潮</w:t>
      </w:r>
      <w:r>
        <w:rPr>
          <w:w w:val="100"/>
        </w:rPr>
        <w:t>资</w:t>
      </w:r>
      <w:r>
        <w:rPr>
          <w:spacing w:val="-3"/>
          <w:w w:val="100"/>
        </w:rPr>
        <w:t>讯</w:t>
      </w:r>
      <w:r>
        <w:rPr>
          <w:spacing w:val="-58"/>
          <w:w w:val="100"/>
        </w:rPr>
        <w:t>网</w:t>
      </w:r>
      <w:r>
        <w:rPr>
          <w:w w:val="100"/>
        </w:rPr>
        <w:t>（</w:t>
      </w:r>
      <w:hyperlink r:id="rId12">
        <w:r>
          <w:rPr>
            <w:rFonts w:ascii="Times New Roman" w:hAnsi="Times New Roman" w:cs="Times New Roman" w:eastAsia="Times New Roman" w:hint="default"/>
            <w:w w:val="100"/>
          </w:rPr>
          <w:t>h</w:t>
        </w:r>
        <w:r>
          <w:rPr>
            <w:rFonts w:ascii="Times New Roman" w:hAnsi="Times New Roman" w:cs="Times New Roman" w:eastAsia="Times New Roman" w:hint="default"/>
            <w:spacing w:val="-2"/>
            <w:w w:val="100"/>
          </w:rPr>
          <w:t>tt</w:t>
        </w:r>
        <w:r>
          <w:rPr>
            <w:rFonts w:ascii="Times New Roman" w:hAnsi="Times New Roman" w:cs="Times New Roman" w:eastAsia="Times New Roman" w:hint="default"/>
            <w:w w:val="100"/>
          </w:rPr>
          <w:t>p</w:t>
        </w:r>
        <w:r>
          <w:rPr>
            <w:rFonts w:ascii="Times New Roman" w:hAnsi="Times New Roman" w:cs="Times New Roman" w:eastAsia="Times New Roman" w:hint="default"/>
            <w:spacing w:val="-2"/>
            <w:w w:val="100"/>
          </w:rPr>
          <w:t>://</w:t>
        </w:r>
        <w:r>
          <w:rPr>
            <w:rFonts w:ascii="Times New Roman" w:hAnsi="Times New Roman" w:cs="Times New Roman" w:eastAsia="Times New Roman" w:hint="default"/>
            <w:spacing w:val="-2"/>
            <w:w w:val="100"/>
          </w:rPr>
          <w:t>w</w:t>
        </w:r>
        <w:r>
          <w:rPr>
            <w:rFonts w:ascii="Times New Roman" w:hAnsi="Times New Roman" w:cs="Times New Roman" w:eastAsia="Times New Roman" w:hint="default"/>
            <w:spacing w:val="1"/>
            <w:w w:val="100"/>
          </w:rPr>
          <w:t>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w w:val="100"/>
          </w:rPr>
          <w:t>.</w:t>
        </w:r>
        <w:r>
          <w:rPr>
            <w:rFonts w:ascii="Times New Roman" w:hAnsi="Times New Roman" w:cs="Times New Roman" w:eastAsia="Times New Roman" w:hint="default"/>
            <w:spacing w:val="-1"/>
            <w:w w:val="100"/>
          </w:rPr>
          <w:t>c</w:t>
        </w:r>
        <w:r>
          <w:rPr>
            <w:rFonts w:ascii="Times New Roman" w:hAnsi="Times New Roman" w:cs="Times New Roman" w:eastAsia="Times New Roman" w:hint="default"/>
            <w:w w:val="100"/>
          </w:rPr>
          <w:t>n</w:t>
        </w:r>
        <w:r>
          <w:rPr>
            <w:rFonts w:ascii="Times New Roman" w:hAnsi="Times New Roman" w:cs="Times New Roman" w:eastAsia="Times New Roman" w:hint="default"/>
            <w:spacing w:val="-2"/>
            <w:w w:val="100"/>
          </w:rPr>
          <w:t>i</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w w:val="100"/>
          </w:rPr>
          <w:t>f</w:t>
        </w:r>
        <w:r>
          <w:rPr>
            <w:rFonts w:ascii="Times New Roman" w:hAnsi="Times New Roman" w:cs="Times New Roman" w:eastAsia="Times New Roman" w:hint="default"/>
            <w:w w:val="100"/>
          </w:rPr>
          <w:t>o.</w:t>
        </w:r>
        <w:r>
          <w:rPr>
            <w:rFonts w:ascii="Times New Roman" w:hAnsi="Times New Roman" w:cs="Times New Roman" w:eastAsia="Times New Roman" w:hint="default"/>
            <w:spacing w:val="-1"/>
            <w:w w:val="100"/>
          </w:rPr>
          <w:t>c</w:t>
        </w:r>
        <w:r>
          <w:rPr>
            <w:rFonts w:ascii="Times New Roman" w:hAnsi="Times New Roman" w:cs="Times New Roman" w:eastAsia="Times New Roman" w:hint="default"/>
            <w:w w:val="100"/>
          </w:rPr>
          <w:t>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w:t>
        </w:r>
        <w:r>
          <w:rPr>
            <w:rFonts w:ascii="Times New Roman" w:hAnsi="Times New Roman" w:cs="Times New Roman" w:eastAsia="Times New Roman" w:hint="default"/>
            <w:spacing w:val="-1"/>
            <w:w w:val="100"/>
          </w:rPr>
          <w:t>c</w:t>
        </w:r>
        <w:r>
          <w:rPr>
            <w:rFonts w:ascii="Times New Roman" w:hAnsi="Times New Roman" w:cs="Times New Roman" w:eastAsia="Times New Roman" w:hint="default"/>
            <w:spacing w:val="-2"/>
            <w:w w:val="100"/>
          </w:rPr>
          <w:t>n</w:t>
        </w:r>
      </w:hyperlink>
      <w:r>
        <w:rPr>
          <w:w w:val="100"/>
        </w:rPr>
        <w:t>） 的《</w:t>
      </w:r>
      <w:r>
        <w:rPr>
          <w:spacing w:val="-3"/>
          <w:w w:val="100"/>
        </w:rPr>
        <w:t>关</w:t>
      </w:r>
      <w:r>
        <w:rPr>
          <w:w w:val="100"/>
        </w:rPr>
        <w:t>于</w:t>
      </w:r>
      <w:r>
        <w:rPr>
          <w:spacing w:val="-3"/>
          <w:w w:val="100"/>
        </w:rPr>
        <w:t>向</w:t>
      </w:r>
      <w:r>
        <w:rPr>
          <w:w w:val="100"/>
        </w:rPr>
        <w:t>全</w:t>
      </w:r>
      <w:r>
        <w:rPr>
          <w:spacing w:val="-3"/>
          <w:w w:val="100"/>
        </w:rPr>
        <w:t>资</w:t>
      </w:r>
      <w:r>
        <w:rPr>
          <w:w w:val="100"/>
        </w:rPr>
        <w:t>子</w:t>
      </w:r>
      <w:r>
        <w:rPr>
          <w:spacing w:val="-3"/>
          <w:w w:val="100"/>
        </w:rPr>
        <w:t>公</w:t>
      </w:r>
      <w:r>
        <w:rPr>
          <w:w w:val="100"/>
        </w:rPr>
        <w:t>司</w:t>
      </w:r>
      <w:r>
        <w:rPr>
          <w:spacing w:val="-3"/>
          <w:w w:val="100"/>
        </w:rPr>
        <w:t>北</w:t>
      </w:r>
      <w:r>
        <w:rPr>
          <w:w w:val="100"/>
        </w:rPr>
        <w:t>海石</w:t>
      </w:r>
      <w:r>
        <w:rPr>
          <w:spacing w:val="-3"/>
          <w:w w:val="100"/>
        </w:rPr>
        <w:t>基</w:t>
      </w:r>
      <w:r>
        <w:rPr>
          <w:w w:val="100"/>
        </w:rPr>
        <w:t>信</w:t>
      </w:r>
      <w:r>
        <w:rPr>
          <w:spacing w:val="-3"/>
          <w:w w:val="100"/>
        </w:rPr>
        <w:t>息</w:t>
      </w:r>
      <w:r>
        <w:rPr>
          <w:w w:val="100"/>
        </w:rPr>
        <w:t>技</w:t>
      </w:r>
      <w:r>
        <w:rPr>
          <w:spacing w:val="-3"/>
          <w:w w:val="100"/>
        </w:rPr>
        <w:t>术</w:t>
      </w:r>
      <w:r>
        <w:rPr>
          <w:w w:val="100"/>
        </w:rPr>
        <w:t>有</w:t>
      </w:r>
      <w:r>
        <w:rPr>
          <w:spacing w:val="-3"/>
          <w:w w:val="100"/>
        </w:rPr>
        <w:t>限</w:t>
      </w:r>
      <w:r>
        <w:rPr>
          <w:w w:val="100"/>
        </w:rPr>
        <w:t>公</w:t>
      </w:r>
      <w:r>
        <w:rPr>
          <w:spacing w:val="-3"/>
          <w:w w:val="100"/>
        </w:rPr>
        <w:t>司</w:t>
      </w:r>
      <w:r>
        <w:rPr>
          <w:w w:val="100"/>
        </w:rPr>
        <w:t>增资</w:t>
      </w:r>
      <w:r>
        <w:rPr>
          <w:spacing w:val="-3"/>
          <w:w w:val="100"/>
        </w:rPr>
        <w:t>的</w:t>
      </w:r>
      <w:r>
        <w:rPr>
          <w:w w:val="100"/>
        </w:rPr>
        <w:t>议</w:t>
      </w:r>
      <w:r>
        <w:rPr>
          <w:spacing w:val="-3"/>
          <w:w w:val="100"/>
        </w:rPr>
        <w:t>案</w:t>
      </w:r>
      <w:r>
        <w:rPr>
          <w:spacing w:val="-106"/>
          <w:w w:val="100"/>
        </w:rPr>
        <w:t>》</w:t>
      </w:r>
      <w:r>
        <w:rPr>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spacing w:val="-108"/>
          <w:w w:val="100"/>
        </w:rPr>
        <w:t>）</w:t>
      </w:r>
      <w:r>
        <w:rPr>
          <w:w w:val="100"/>
        </w:rPr>
        <w:t>。</w:t>
      </w:r>
    </w:p>
    <w:p>
      <w:pPr>
        <w:pStyle w:val="Heading4"/>
        <w:spacing w:line="240" w:lineRule="auto" w:before="24"/>
        <w:ind w:left="572" w:right="0"/>
        <w:jc w:val="left"/>
        <w:rPr>
          <w:b w:val="0"/>
          <w:bCs w:val="0"/>
        </w:rPr>
      </w:pPr>
      <w:r>
        <w:rPr/>
        <w:t>（三）投资</w:t>
      </w:r>
      <w:r>
        <w:rPr>
          <w:rFonts w:ascii="Times New Roman" w:hAnsi="Times New Roman" w:cs="Times New Roman" w:eastAsia="Times New Roman" w:hint="default"/>
        </w:rPr>
        <w:t>3,000</w:t>
      </w:r>
      <w:r>
        <w:rPr/>
        <w:t>万元增持杭州西软科技有限公司</w:t>
      </w:r>
      <w:r>
        <w:rPr>
          <w:rFonts w:ascii="Times New Roman" w:hAnsi="Times New Roman" w:cs="Times New Roman" w:eastAsia="Times New Roman" w:hint="default"/>
        </w:rPr>
        <w:t>18%</w:t>
      </w:r>
      <w:r>
        <w:rPr/>
        <w:t>的股权</w:t>
      </w:r>
      <w:r>
        <w:rPr>
          <w:b w:val="0"/>
          <w:bCs w:val="0"/>
        </w:rPr>
      </w:r>
    </w:p>
    <w:p>
      <w:pPr>
        <w:pStyle w:val="BodyText"/>
        <w:spacing w:line="240" w:lineRule="auto" w:before="119"/>
        <w:ind w:left="572"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spacing w:val="-4"/>
        </w:rPr>
        <w:t>日，经公司第四届董事会</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spacing w:val="-3"/>
        </w:rPr>
        <w:t>年第三次临时会议审议通过后，公司与杨铭魁先生签订</w:t>
      </w:r>
      <w:r>
        <w:rPr/>
      </w:r>
    </w:p>
    <w:p>
      <w:pPr>
        <w:pStyle w:val="BodyText"/>
        <w:spacing w:line="336" w:lineRule="auto" w:before="117"/>
        <w:ind w:right="212"/>
        <w:jc w:val="both"/>
      </w:pPr>
      <w:r>
        <w:rPr>
          <w:spacing w:val="-10"/>
          <w:w w:val="100"/>
        </w:rPr>
        <w:t>《股权转让协议》，以协议价</w:t>
      </w:r>
      <w:r>
        <w:rPr>
          <w:w w:val="100"/>
        </w:rPr>
        <w:t> </w:t>
      </w:r>
      <w:r>
        <w:rPr>
          <w:rFonts w:ascii="Times New Roman" w:hAnsi="Times New Roman" w:cs="Times New Roman" w:eastAsia="Times New Roman" w:hint="default"/>
          <w:spacing w:val="-1"/>
          <w:w w:val="100"/>
        </w:rPr>
        <w:t>3,000</w:t>
      </w:r>
      <w:r>
        <w:rPr>
          <w:rFonts w:ascii="Times New Roman" w:hAnsi="Times New Roman" w:cs="Times New Roman" w:eastAsia="Times New Roman" w:hint="default"/>
          <w:w w:val="100"/>
        </w:rPr>
        <w:t> </w:t>
      </w:r>
      <w:r>
        <w:rPr>
          <w:spacing w:val="-2"/>
          <w:w w:val="100"/>
        </w:rPr>
        <w:t>万元收购杨铭魁先生持有的杭州西软科技有限公司（以下简称</w:t>
      </w:r>
      <w:r>
        <w:rPr>
          <w:rFonts w:ascii="Times New Roman" w:hAnsi="Times New Roman" w:cs="Times New Roman" w:eastAsia="Times New Roman" w:hint="default"/>
          <w:spacing w:val="-2"/>
          <w:w w:val="100"/>
        </w:rPr>
        <w:t>“</w:t>
      </w:r>
      <w:r>
        <w:rPr>
          <w:spacing w:val="-2"/>
          <w:w w:val="100"/>
        </w:rPr>
        <w:t>西软科</w:t>
      </w:r>
      <w:r>
        <w:rPr>
          <w:spacing w:val="-99"/>
          <w:w w:val="100"/>
        </w:rPr>
        <w:t> </w:t>
      </w:r>
      <w:r>
        <w:rPr>
          <w:spacing w:val="-2"/>
        </w:rPr>
        <w:t>技</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18%</w:t>
      </w:r>
      <w:r>
        <w:rPr>
          <w:spacing w:val="-2"/>
        </w:rPr>
        <w:t>的股权。本次收购完成后，本公司将持有西软科技</w:t>
      </w:r>
      <w:r>
        <w:rPr/>
        <w:t> </w:t>
      </w:r>
      <w:r>
        <w:rPr>
          <w:rFonts w:ascii="Times New Roman" w:hAnsi="Times New Roman" w:cs="Times New Roman" w:eastAsia="Times New Roman" w:hint="default"/>
          <w:spacing w:val="-2"/>
        </w:rPr>
        <w:t>100%</w:t>
      </w:r>
      <w:r>
        <w:rPr>
          <w:spacing w:val="-2"/>
        </w:rPr>
        <w:t>的股权，杨铭魁先生不再持有西软科技</w:t>
      </w:r>
      <w:r>
        <w:rPr>
          <w:spacing w:val="-67"/>
        </w:rPr>
        <w:t> </w:t>
      </w:r>
      <w:r>
        <w:rPr>
          <w:spacing w:val="-67"/>
        </w:rPr>
      </w:r>
      <w:r>
        <w:rPr/>
        <w:t>的股权。报告期内，已经完成工商变更登记。</w:t>
      </w:r>
    </w:p>
    <w:p>
      <w:pPr>
        <w:pStyle w:val="BodyText"/>
        <w:spacing w:line="240" w:lineRule="auto" w:before="51"/>
        <w:ind w:left="572" w:right="0"/>
        <w:jc w:val="left"/>
      </w:pPr>
      <w:r>
        <w:rPr>
          <w:spacing w:val="45"/>
          <w:w w:val="100"/>
        </w:rPr>
        <w:t>详</w:t>
      </w:r>
      <w:r>
        <w:rPr>
          <w:w w:val="100"/>
        </w:rPr>
        <w:t>见</w:t>
      </w:r>
      <w:r>
        <w:rPr>
          <w:spacing w:val="-58"/>
        </w:rPr>
        <w:t> </w:t>
      </w:r>
      <w:r>
        <w:rPr>
          <w:spacing w:val="45"/>
          <w:w w:val="100"/>
        </w:rPr>
        <w:t>公</w:t>
      </w:r>
      <w:r>
        <w:rPr>
          <w:w w:val="100"/>
        </w:rPr>
        <w:t>司</w:t>
      </w:r>
      <w:r>
        <w:rPr>
          <w:spacing w:val="-58"/>
        </w:rPr>
        <w:t> </w:t>
      </w:r>
      <w:r>
        <w:rPr>
          <w:w w:val="100"/>
        </w:rPr>
        <w:t>于</w:t>
      </w:r>
      <w:r>
        <w:rPr>
          <w:spacing w:val="46"/>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w w:val="100"/>
        </w:rPr>
        <w:t>年</w:t>
      </w:r>
      <w:r>
        <w:rPr>
          <w:spacing w:val="43"/>
        </w:rPr>
        <w:t> </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w w:val="100"/>
        </w:rPr>
        <w:t>月</w:t>
      </w:r>
      <w:r>
        <w:rPr>
          <w:spacing w:val="46"/>
        </w:rPr>
        <w:t> </w:t>
      </w:r>
      <w:r>
        <w:rPr>
          <w:rFonts w:ascii="Times New Roman" w:hAnsi="Times New Roman" w:cs="Times New Roman" w:eastAsia="Times New Roman" w:hint="default"/>
          <w:w w:val="100"/>
        </w:rPr>
        <w:t>31</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w w:val="100"/>
        </w:rPr>
        <w:t>日</w:t>
      </w:r>
      <w:r>
        <w:rPr>
          <w:spacing w:val="-58"/>
        </w:rPr>
        <w:t> </w:t>
      </w:r>
      <w:r>
        <w:rPr>
          <w:spacing w:val="45"/>
          <w:w w:val="100"/>
        </w:rPr>
        <w:t>刊登于《中</w:t>
      </w:r>
      <w:r>
        <w:rPr>
          <w:w w:val="100"/>
        </w:rPr>
        <w:t>国</w:t>
      </w:r>
      <w:r>
        <w:rPr>
          <w:spacing w:val="-58"/>
        </w:rPr>
        <w:t> </w:t>
      </w:r>
      <w:r>
        <w:rPr>
          <w:spacing w:val="45"/>
          <w:w w:val="100"/>
        </w:rPr>
        <w:t>证券</w:t>
      </w:r>
      <w:r>
        <w:rPr>
          <w:w w:val="100"/>
        </w:rPr>
        <w:t>报</w:t>
      </w:r>
      <w:r>
        <w:rPr>
          <w:spacing w:val="-58"/>
        </w:rPr>
        <w:t> </w:t>
      </w:r>
      <w:r>
        <w:rPr>
          <w:spacing w:val="-60"/>
          <w:w w:val="100"/>
        </w:rPr>
        <w:t>》、</w:t>
      </w:r>
      <w:r>
        <w:rPr>
          <w:spacing w:val="45"/>
          <w:w w:val="100"/>
        </w:rPr>
        <w:t>《</w:t>
      </w:r>
      <w:r>
        <w:rPr>
          <w:w w:val="100"/>
        </w:rPr>
        <w:t>证</w:t>
      </w:r>
      <w:r>
        <w:rPr>
          <w:spacing w:val="-58"/>
        </w:rPr>
        <w:t> </w:t>
      </w:r>
      <w:r>
        <w:rPr>
          <w:spacing w:val="45"/>
          <w:w w:val="100"/>
        </w:rPr>
        <w:t>券时</w:t>
      </w:r>
      <w:r>
        <w:rPr>
          <w:w w:val="100"/>
        </w:rPr>
        <w:t>报</w:t>
      </w:r>
      <w:r>
        <w:rPr>
          <w:spacing w:val="-58"/>
        </w:rPr>
        <w:t> </w:t>
      </w:r>
      <w:r>
        <w:rPr>
          <w:spacing w:val="45"/>
          <w:w w:val="100"/>
        </w:rPr>
        <w:t>》及巨</w:t>
      </w:r>
      <w:r>
        <w:rPr>
          <w:w w:val="100"/>
        </w:rPr>
        <w:t>潮</w:t>
      </w:r>
      <w:r>
        <w:rPr>
          <w:spacing w:val="-58"/>
        </w:rPr>
        <w:t> </w:t>
      </w:r>
      <w:r>
        <w:rPr>
          <w:spacing w:val="45"/>
          <w:w w:val="100"/>
        </w:rPr>
        <w:t>资讯</w:t>
      </w:r>
      <w:r>
        <w:rPr>
          <w:w w:val="100"/>
        </w:rPr>
        <w:t>网</w:t>
      </w:r>
      <w:r>
        <w:rPr>
          <w:spacing w:val="-60"/>
        </w:rPr>
        <w:t> </w:t>
      </w:r>
      <w:r>
        <w:rPr/>
      </w:r>
    </w:p>
    <w:p>
      <w:pPr>
        <w:pStyle w:val="BodyText"/>
        <w:spacing w:line="240" w:lineRule="auto" w:before="117"/>
        <w:ind w:right="0"/>
        <w:jc w:val="left"/>
      </w:pPr>
      <w:r>
        <w:rPr>
          <w:w w:val="100"/>
        </w:rPr>
        <w:t>（</w:t>
      </w:r>
      <w:hyperlink r:id="rId12">
        <w:r>
          <w:rPr>
            <w:rFonts w:ascii="Times New Roman" w:hAnsi="Times New Roman" w:cs="Times New Roman" w:eastAsia="Times New Roman" w:hint="default"/>
            <w:w w:val="100"/>
          </w:rPr>
          <w:t>h</w:t>
        </w:r>
        <w:r>
          <w:rPr>
            <w:rFonts w:ascii="Times New Roman" w:hAnsi="Times New Roman" w:cs="Times New Roman" w:eastAsia="Times New Roman" w:hint="default"/>
            <w:spacing w:val="-2"/>
            <w:w w:val="100"/>
          </w:rPr>
          <w:t>tt</w:t>
        </w:r>
        <w:r>
          <w:rPr>
            <w:rFonts w:ascii="Times New Roman" w:hAnsi="Times New Roman" w:cs="Times New Roman" w:eastAsia="Times New Roman" w:hint="default"/>
            <w:w w:val="100"/>
          </w:rPr>
          <w:t>p</w:t>
        </w:r>
        <w:r>
          <w:rPr>
            <w:rFonts w:ascii="Times New Roman" w:hAnsi="Times New Roman" w:cs="Times New Roman" w:eastAsia="Times New Roman" w:hint="default"/>
            <w:spacing w:val="-2"/>
            <w:w w:val="100"/>
          </w:rPr>
          <w:t>://</w:t>
        </w:r>
        <w:r>
          <w:rPr>
            <w:rFonts w:ascii="Times New Roman" w:hAnsi="Times New Roman" w:cs="Times New Roman" w:eastAsia="Times New Roman" w:hint="default"/>
            <w:spacing w:val="-2"/>
            <w:w w:val="100"/>
          </w:rPr>
          <w:t>ww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w w:val="100"/>
          </w:rPr>
          <w:t>.</w:t>
        </w:r>
        <w:r>
          <w:rPr>
            <w:rFonts w:ascii="Times New Roman" w:hAnsi="Times New Roman" w:cs="Times New Roman" w:eastAsia="Times New Roman" w:hint="default"/>
            <w:spacing w:val="-1"/>
            <w:w w:val="100"/>
          </w:rPr>
          <w:t>c</w:t>
        </w:r>
        <w:r>
          <w:rPr>
            <w:rFonts w:ascii="Times New Roman" w:hAnsi="Times New Roman" w:cs="Times New Roman" w:eastAsia="Times New Roman" w:hint="default"/>
            <w:w w:val="100"/>
          </w:rPr>
          <w:t>n</w:t>
        </w:r>
        <w:r>
          <w:rPr>
            <w:rFonts w:ascii="Times New Roman" w:hAnsi="Times New Roman" w:cs="Times New Roman" w:eastAsia="Times New Roman" w:hint="default"/>
            <w:spacing w:val="-2"/>
            <w:w w:val="100"/>
          </w:rPr>
          <w:t>i</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w w:val="100"/>
          </w:rPr>
          <w:t>f</w:t>
        </w:r>
        <w:r>
          <w:rPr>
            <w:rFonts w:ascii="Times New Roman" w:hAnsi="Times New Roman" w:cs="Times New Roman" w:eastAsia="Times New Roman" w:hint="default"/>
            <w:w w:val="100"/>
          </w:rPr>
          <w:t>o.</w:t>
        </w:r>
        <w:r>
          <w:rPr>
            <w:rFonts w:ascii="Times New Roman" w:hAnsi="Times New Roman" w:cs="Times New Roman" w:eastAsia="Times New Roman" w:hint="default"/>
            <w:spacing w:val="-1"/>
            <w:w w:val="100"/>
          </w:rPr>
          <w:t>c</w:t>
        </w:r>
        <w:r>
          <w:rPr>
            <w:rFonts w:ascii="Times New Roman" w:hAnsi="Times New Roman" w:cs="Times New Roman" w:eastAsia="Times New Roman" w:hint="default"/>
            <w:w w:val="100"/>
          </w:rPr>
          <w:t>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w:t>
        </w:r>
        <w:r>
          <w:rPr>
            <w:rFonts w:ascii="Times New Roman" w:hAnsi="Times New Roman" w:cs="Times New Roman" w:eastAsia="Times New Roman" w:hint="default"/>
            <w:spacing w:val="-1"/>
            <w:w w:val="100"/>
          </w:rPr>
          <w:t>c</w:t>
        </w:r>
        <w:r>
          <w:rPr>
            <w:rFonts w:ascii="Times New Roman" w:hAnsi="Times New Roman" w:cs="Times New Roman" w:eastAsia="Times New Roman" w:hint="default"/>
            <w:spacing w:val="2"/>
            <w:w w:val="100"/>
          </w:rPr>
          <w:t>n</w:t>
        </w:r>
      </w:hyperlink>
      <w:r>
        <w:rPr>
          <w:w w:val="100"/>
        </w:rPr>
        <w:t>）的</w:t>
      </w:r>
      <w:r>
        <w:rPr>
          <w:spacing w:val="-3"/>
          <w:w w:val="100"/>
        </w:rPr>
        <w:t>《</w:t>
      </w:r>
      <w:r>
        <w:rPr>
          <w:w w:val="100"/>
        </w:rPr>
        <w:t>关</w:t>
      </w:r>
      <w:r>
        <w:rPr>
          <w:spacing w:val="-3"/>
          <w:w w:val="100"/>
        </w:rPr>
        <w:t>于</w:t>
      </w:r>
      <w:r>
        <w:rPr>
          <w:w w:val="100"/>
        </w:rPr>
        <w:t>增</w:t>
      </w:r>
      <w:r>
        <w:rPr>
          <w:spacing w:val="-3"/>
          <w:w w:val="100"/>
        </w:rPr>
        <w:t>持</w:t>
      </w:r>
      <w:r>
        <w:rPr>
          <w:w w:val="100"/>
        </w:rPr>
        <w:t>控</w:t>
      </w:r>
      <w:r>
        <w:rPr>
          <w:spacing w:val="-3"/>
          <w:w w:val="100"/>
        </w:rPr>
        <w:t>股</w:t>
      </w:r>
      <w:r>
        <w:rPr>
          <w:w w:val="100"/>
        </w:rPr>
        <w:t>子</w:t>
      </w:r>
      <w:r>
        <w:rPr>
          <w:spacing w:val="-3"/>
          <w:w w:val="100"/>
        </w:rPr>
        <w:t>公</w:t>
      </w:r>
      <w:r>
        <w:rPr>
          <w:w w:val="100"/>
        </w:rPr>
        <w:t>司杭</w:t>
      </w:r>
      <w:r>
        <w:rPr>
          <w:spacing w:val="-3"/>
          <w:w w:val="100"/>
        </w:rPr>
        <w:t>州</w:t>
      </w:r>
      <w:r>
        <w:rPr>
          <w:w w:val="100"/>
        </w:rPr>
        <w:t>西</w:t>
      </w:r>
      <w:r>
        <w:rPr>
          <w:spacing w:val="-3"/>
          <w:w w:val="100"/>
        </w:rPr>
        <w:t>软</w:t>
      </w:r>
      <w:r>
        <w:rPr>
          <w:w w:val="100"/>
        </w:rPr>
        <w:t>科</w:t>
      </w:r>
      <w:r>
        <w:rPr>
          <w:spacing w:val="-3"/>
          <w:w w:val="100"/>
        </w:rPr>
        <w:t>技</w:t>
      </w:r>
      <w:r>
        <w:rPr>
          <w:w w:val="100"/>
        </w:rPr>
        <w:t>有</w:t>
      </w:r>
      <w:r>
        <w:rPr>
          <w:spacing w:val="-3"/>
          <w:w w:val="100"/>
        </w:rPr>
        <w:t>限</w:t>
      </w:r>
      <w:r>
        <w:rPr>
          <w:w w:val="100"/>
        </w:rPr>
        <w:t>公</w:t>
      </w:r>
      <w:r>
        <w:rPr>
          <w:spacing w:val="-3"/>
          <w:w w:val="100"/>
        </w:rPr>
        <w:t>司</w:t>
      </w:r>
      <w:r>
        <w:rPr>
          <w:w w:val="100"/>
        </w:rPr>
        <w:t>股权</w:t>
      </w:r>
      <w:r>
        <w:rPr>
          <w:spacing w:val="-3"/>
          <w:w w:val="100"/>
        </w:rPr>
        <w:t>的</w:t>
      </w:r>
      <w:r>
        <w:rPr>
          <w:w w:val="100"/>
        </w:rPr>
        <w:t>公</w:t>
      </w:r>
      <w:r>
        <w:rPr>
          <w:spacing w:val="-3"/>
          <w:w w:val="100"/>
        </w:rPr>
        <w:t>告</w:t>
      </w:r>
      <w:r>
        <w:rPr>
          <w:spacing w:val="-106"/>
          <w:w w:val="100"/>
        </w:rPr>
        <w:t>》</w:t>
      </w:r>
      <w:r>
        <w:rPr>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13</w:t>
      </w:r>
      <w:r>
        <w:rPr>
          <w:spacing w:val="-108"/>
          <w:w w:val="100"/>
        </w:rPr>
        <w:t>）</w:t>
      </w:r>
      <w:r>
        <w:rPr>
          <w:w w:val="100"/>
        </w:rPr>
        <w:t>。</w:t>
      </w:r>
    </w:p>
    <w:p>
      <w:pPr>
        <w:pStyle w:val="Heading4"/>
        <w:spacing w:line="240" w:lineRule="auto" w:before="117"/>
        <w:ind w:left="572" w:right="0"/>
        <w:jc w:val="left"/>
        <w:rPr>
          <w:b w:val="0"/>
          <w:bCs w:val="0"/>
        </w:rPr>
      </w:pPr>
      <w:r>
        <w:rPr/>
        <w:t>（四）投资</w:t>
      </w:r>
      <w:r>
        <w:rPr>
          <w:rFonts w:ascii="Times New Roman" w:hAnsi="Times New Roman" w:cs="Times New Roman" w:eastAsia="Times New Roman" w:hint="default"/>
        </w:rPr>
        <w:t>3,066</w:t>
      </w:r>
      <w:r>
        <w:rPr/>
        <w:t>万收购上海正品贵德有限责任公司</w:t>
      </w:r>
      <w:r>
        <w:rPr>
          <w:rFonts w:ascii="Times New Roman" w:hAnsi="Times New Roman" w:cs="Times New Roman" w:eastAsia="Times New Roman" w:hint="default"/>
        </w:rPr>
        <w:t>70%</w:t>
      </w:r>
      <w:r>
        <w:rPr/>
        <w:t>的股权</w:t>
      </w:r>
      <w:r>
        <w:rPr>
          <w:b w:val="0"/>
          <w:bCs w:val="0"/>
        </w:rPr>
      </w:r>
    </w:p>
    <w:p>
      <w:pPr>
        <w:pStyle w:val="BodyText"/>
        <w:spacing w:line="240" w:lineRule="auto" w:before="117"/>
        <w:ind w:left="572"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日，经公司第四届董事会第三次会议审议通过后，公司签署上海正品贵德软件有限公</w:t>
      </w:r>
    </w:p>
    <w:p>
      <w:pPr>
        <w:spacing w:after="0" w:line="240" w:lineRule="auto"/>
        <w:jc w:val="left"/>
        <w:sectPr>
          <w:pgSz w:w="11910" w:h="16840"/>
          <w:pgMar w:header="850" w:footer="979" w:top="1200" w:bottom="1160" w:left="980" w:right="920"/>
        </w:sectPr>
      </w:pPr>
    </w:p>
    <w:p>
      <w:pPr>
        <w:pStyle w:val="BodyText"/>
        <w:spacing w:line="336" w:lineRule="auto" w:before="30"/>
        <w:ind w:right="209"/>
        <w:jc w:val="both"/>
      </w:pPr>
      <w:r>
        <w:rPr/>
        <w:pict>
          <v:group style="position:absolute;margin-left:55.200001pt;margin-top:2.843687pt;width:484.8pt;height:.1pt;mso-position-horizontal-relative:page;mso-position-vertical-relative:paragraph;z-index:-772048" coordorigin="1104,57" coordsize="9696,2">
            <v:shape style="position:absolute;left:1104;top:57;width:9696;height:2" coordorigin="1104,57" coordsize="9696,0" path="m1104,57l10800,57e" filled="false" stroked="true" strokeweight=".72pt" strokecolor="#000000">
              <v:path arrowok="t"/>
            </v:shape>
            <w10:wrap type="none"/>
          </v:group>
        </w:pict>
      </w:r>
      <w:r>
        <w:rPr/>
        <w:t>司股权转让框架协议，以 </w:t>
      </w:r>
      <w:r>
        <w:rPr>
          <w:rFonts w:ascii="Times New Roman" w:hAnsi="Times New Roman" w:cs="Times New Roman" w:eastAsia="Times New Roman" w:hint="default"/>
        </w:rPr>
        <w:t>3,066</w:t>
      </w:r>
      <w:r>
        <w:rPr>
          <w:rFonts w:ascii="Times New Roman" w:hAnsi="Times New Roman" w:cs="Times New Roman" w:eastAsia="Times New Roman" w:hint="default"/>
          <w:spacing w:val="-9"/>
        </w:rPr>
        <w:t> </w:t>
      </w:r>
      <w:r>
        <w:rPr/>
        <w:t>万元收购其所持有的上海正品贵德软件有限公司（以下简称</w:t>
      </w:r>
      <w:r>
        <w:rPr>
          <w:rFonts w:ascii="Times New Roman" w:hAnsi="Times New Roman" w:cs="Times New Roman" w:eastAsia="Times New Roman" w:hint="default"/>
        </w:rPr>
        <w:t>“</w:t>
      </w:r>
      <w:r>
        <w:rPr/>
        <w:t>正品贵德</w:t>
      </w:r>
      <w:r>
        <w:rPr>
          <w:rFonts w:ascii="Times New Roman" w:hAnsi="Times New Roman" w:cs="Times New Roman" w:eastAsia="Times New Roman" w:hint="default"/>
        </w:rPr>
        <w:t>”</w:t>
      </w:r>
      <w:r>
        <w:rPr/>
        <w:t>）</w:t>
      </w:r>
      <w:r>
        <w:rPr>
          <w:w w:val="100"/>
        </w:rPr>
        <w:t> </w:t>
      </w:r>
      <w:r>
        <w:rPr>
          <w:rFonts w:ascii="Times New Roman" w:hAnsi="Times New Roman" w:cs="Times New Roman" w:eastAsia="Times New Roman" w:hint="default"/>
          <w:spacing w:val="-2"/>
        </w:rPr>
        <w:t>70</w:t>
      </w:r>
      <w:r>
        <w:rPr>
          <w:spacing w:val="-2"/>
        </w:rPr>
        <w:t>％的股权。报告期内，已经完成工商变更登记。本次对外投资使用的是公司自有资金，不构成关联交易</w:t>
      </w:r>
      <w:r>
        <w:rPr>
          <w:spacing w:val="-45"/>
        </w:rPr>
        <w:t> </w:t>
      </w:r>
      <w:r>
        <w:rPr>
          <w:spacing w:val="-45"/>
        </w:rPr>
      </w:r>
      <w:r>
        <w:rPr/>
        <w:t>及重大重组。</w:t>
      </w:r>
    </w:p>
    <w:p>
      <w:pPr>
        <w:pStyle w:val="BodyText"/>
        <w:spacing w:line="240" w:lineRule="auto" w:before="51"/>
        <w:ind w:left="0" w:right="165"/>
        <w:jc w:val="right"/>
      </w:pPr>
      <w:r>
        <w:rPr>
          <w:spacing w:val="45"/>
          <w:w w:val="100"/>
        </w:rPr>
        <w:t>详</w:t>
      </w:r>
      <w:r>
        <w:rPr>
          <w:w w:val="100"/>
        </w:rPr>
        <w:t>见</w:t>
      </w:r>
      <w:r>
        <w:rPr>
          <w:spacing w:val="-58"/>
        </w:rPr>
        <w:t> </w:t>
      </w:r>
      <w:r>
        <w:rPr>
          <w:spacing w:val="45"/>
          <w:w w:val="100"/>
        </w:rPr>
        <w:t>公</w:t>
      </w:r>
      <w:r>
        <w:rPr>
          <w:w w:val="100"/>
        </w:rPr>
        <w:t>司</w:t>
      </w:r>
      <w:r>
        <w:rPr>
          <w:spacing w:val="-58"/>
        </w:rPr>
        <w:t> </w:t>
      </w:r>
      <w:r>
        <w:rPr>
          <w:w w:val="100"/>
        </w:rPr>
        <w:t>于</w:t>
      </w:r>
      <w:r>
        <w:rPr>
          <w:spacing w:val="46"/>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w w:val="100"/>
        </w:rPr>
        <w:t>年</w:t>
      </w:r>
      <w:r>
        <w:rPr>
          <w:spacing w:val="43"/>
        </w:rPr>
        <w:t> </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w w:val="100"/>
        </w:rPr>
        <w:t>月</w:t>
      </w:r>
      <w:r>
        <w:rPr>
          <w:spacing w:val="46"/>
        </w:rPr>
        <w:t> </w:t>
      </w:r>
      <w:r>
        <w:rPr>
          <w:rFonts w:ascii="Times New Roman" w:hAnsi="Times New Roman" w:cs="Times New Roman" w:eastAsia="Times New Roman" w:hint="default"/>
          <w:w w:val="100"/>
        </w:rPr>
        <w:t>20</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w w:val="100"/>
        </w:rPr>
        <w:t>日</w:t>
      </w:r>
      <w:r>
        <w:rPr>
          <w:spacing w:val="-58"/>
        </w:rPr>
        <w:t> </w:t>
      </w:r>
      <w:r>
        <w:rPr>
          <w:spacing w:val="45"/>
          <w:w w:val="100"/>
        </w:rPr>
        <w:t>刊登于《中</w:t>
      </w:r>
      <w:r>
        <w:rPr>
          <w:w w:val="100"/>
        </w:rPr>
        <w:t>国</w:t>
      </w:r>
      <w:r>
        <w:rPr>
          <w:spacing w:val="-58"/>
        </w:rPr>
        <w:t> </w:t>
      </w:r>
      <w:r>
        <w:rPr>
          <w:spacing w:val="45"/>
          <w:w w:val="100"/>
        </w:rPr>
        <w:t>证券</w:t>
      </w:r>
      <w:r>
        <w:rPr>
          <w:w w:val="100"/>
        </w:rPr>
        <w:t>报</w:t>
      </w:r>
      <w:r>
        <w:rPr>
          <w:spacing w:val="-58"/>
        </w:rPr>
        <w:t> </w:t>
      </w:r>
      <w:r>
        <w:rPr>
          <w:spacing w:val="-60"/>
          <w:w w:val="100"/>
        </w:rPr>
        <w:t>》、</w:t>
      </w:r>
      <w:r>
        <w:rPr>
          <w:spacing w:val="45"/>
          <w:w w:val="100"/>
        </w:rPr>
        <w:t>《</w:t>
      </w:r>
      <w:r>
        <w:rPr>
          <w:w w:val="100"/>
        </w:rPr>
        <w:t>证</w:t>
      </w:r>
      <w:r>
        <w:rPr>
          <w:spacing w:val="-58"/>
        </w:rPr>
        <w:t> </w:t>
      </w:r>
      <w:r>
        <w:rPr>
          <w:spacing w:val="45"/>
          <w:w w:val="100"/>
        </w:rPr>
        <w:t>券时</w:t>
      </w:r>
      <w:r>
        <w:rPr>
          <w:w w:val="100"/>
        </w:rPr>
        <w:t>报</w:t>
      </w:r>
      <w:r>
        <w:rPr>
          <w:spacing w:val="-58"/>
        </w:rPr>
        <w:t> </w:t>
      </w:r>
      <w:r>
        <w:rPr>
          <w:spacing w:val="45"/>
          <w:w w:val="100"/>
        </w:rPr>
        <w:t>》及巨</w:t>
      </w:r>
      <w:r>
        <w:rPr>
          <w:w w:val="100"/>
        </w:rPr>
        <w:t>潮</w:t>
      </w:r>
      <w:r>
        <w:rPr>
          <w:spacing w:val="-58"/>
        </w:rPr>
        <w:t> </w:t>
      </w:r>
      <w:r>
        <w:rPr>
          <w:spacing w:val="45"/>
          <w:w w:val="100"/>
        </w:rPr>
        <w:t>资讯</w:t>
      </w:r>
      <w:r>
        <w:rPr>
          <w:w w:val="100"/>
        </w:rPr>
        <w:t>网</w:t>
      </w:r>
      <w:r>
        <w:rPr>
          <w:spacing w:val="-60"/>
        </w:rPr>
        <w:t> </w:t>
      </w:r>
      <w:r>
        <w:rPr/>
      </w:r>
    </w:p>
    <w:p>
      <w:pPr>
        <w:pStyle w:val="BodyText"/>
        <w:spacing w:line="336" w:lineRule="auto" w:before="117"/>
        <w:ind w:left="572" w:right="0" w:hanging="421"/>
        <w:jc w:val="left"/>
      </w:pPr>
      <w:r>
        <w:rPr>
          <w:spacing w:val="-6"/>
          <w:w w:val="100"/>
        </w:rPr>
        <w:t>（</w:t>
      </w:r>
      <w:hyperlink r:id="rId12">
        <w:r>
          <w:rPr>
            <w:rFonts w:ascii="Times New Roman" w:hAnsi="Times New Roman" w:cs="Times New Roman" w:eastAsia="Times New Roman" w:hint="default"/>
            <w:spacing w:val="-6"/>
            <w:w w:val="100"/>
          </w:rPr>
          <w:t>http://www.cninfo.com.cn</w:t>
        </w:r>
      </w:hyperlink>
      <w:r>
        <w:rPr>
          <w:spacing w:val="-6"/>
          <w:w w:val="100"/>
        </w:rPr>
        <w:t>）的《第四届董事会第三次会议决议公告》（</w:t>
      </w:r>
      <w:r>
        <w:rPr>
          <w:rFonts w:ascii="Times New Roman" w:hAnsi="Times New Roman" w:cs="Times New Roman" w:eastAsia="Times New Roman" w:hint="default"/>
          <w:spacing w:val="-6"/>
          <w:w w:val="100"/>
        </w:rPr>
        <w:t>2011-21</w:t>
      </w:r>
      <w:r>
        <w:rPr>
          <w:spacing w:val="-6"/>
          <w:w w:val="100"/>
        </w:rPr>
        <w:t>）。</w:t>
      </w:r>
      <w:r>
        <w:rPr>
          <w:spacing w:val="-75"/>
          <w:w w:val="100"/>
        </w:rPr>
        <w:t> </w:t>
      </w:r>
      <w:r>
        <w:rPr>
          <w:spacing w:val="-75"/>
          <w:w w:val="100"/>
        </w:rPr>
      </w:r>
      <w:r>
        <w:rPr/>
        <w:t>报告期内，公司未发生其他收购、出售资产的事项。</w:t>
      </w:r>
    </w:p>
    <w:p>
      <w:pPr>
        <w:spacing w:line="240" w:lineRule="auto" w:before="0"/>
        <w:rPr>
          <w:rFonts w:ascii="宋体" w:hAnsi="宋体" w:cs="宋体" w:eastAsia="宋体" w:hint="default"/>
          <w:sz w:val="25"/>
          <w:szCs w:val="25"/>
        </w:rPr>
      </w:pPr>
    </w:p>
    <w:p>
      <w:pPr>
        <w:pStyle w:val="Heading4"/>
        <w:spacing w:line="240" w:lineRule="auto"/>
        <w:ind w:left="572" w:right="0"/>
        <w:jc w:val="left"/>
        <w:rPr>
          <w:b w:val="0"/>
          <w:bCs w:val="0"/>
        </w:rPr>
      </w:pPr>
      <w:r>
        <w:rPr/>
        <w:t>五、股权激励计划实施情况</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54"/>
        <w:ind w:left="575" w:right="0"/>
        <w:jc w:val="left"/>
        <w:rPr>
          <w:b w:val="0"/>
          <w:bCs w:val="0"/>
        </w:rPr>
      </w:pPr>
      <w:r>
        <w:rPr/>
        <w:t>（一）股权激励计划概况</w:t>
      </w:r>
      <w:r>
        <w:rPr>
          <w:b w:val="0"/>
          <w:bCs w:val="0"/>
        </w:rPr>
      </w:r>
    </w:p>
    <w:p>
      <w:pPr>
        <w:pStyle w:val="BodyText"/>
        <w:spacing w:line="345" w:lineRule="auto" w:before="133"/>
        <w:ind w:left="153" w:right="206" w:firstLine="419"/>
        <w:jc w:val="both"/>
        <w:rPr>
          <w:rFonts w:ascii="Times New Roman" w:hAnsi="Times New Roman" w:cs="Times New Roman" w:eastAsia="Times New Roman" w:hint="default"/>
        </w:rPr>
      </w:pPr>
      <w:r>
        <w:rPr>
          <w:rFonts w:ascii="Times New Roman" w:hAnsi="Times New Roman" w:cs="Times New Roman" w:eastAsia="Times New Roman" w:hint="default"/>
          <w:spacing w:val="-14"/>
        </w:rPr>
        <w:t>1</w:t>
      </w:r>
      <w:r>
        <w:rPr>
          <w:spacing w:val="-14"/>
        </w:rPr>
        <w:t>、</w:t>
      </w:r>
      <w:r>
        <w:rPr>
          <w:rFonts w:ascii="Times New Roman" w:hAnsi="Times New Roman" w:cs="Times New Roman" w:eastAsia="Times New Roman" w:hint="default"/>
          <w:spacing w:val="-14"/>
        </w:rPr>
        <w:t>2009</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8"/>
        </w:rPr>
        <w:t> </w:t>
      </w:r>
      <w:r>
        <w:rPr>
          <w:spacing w:val="-8"/>
        </w:rPr>
        <w:t>日，北京中长石基信息技术股份有限公司（以下简称</w:t>
      </w:r>
      <w:r>
        <w:rPr>
          <w:rFonts w:ascii="Times New Roman" w:hAnsi="Times New Roman" w:cs="Times New Roman" w:eastAsia="Times New Roman" w:hint="default"/>
          <w:spacing w:val="-8"/>
        </w:rPr>
        <w:t>“</w:t>
      </w:r>
      <w:r>
        <w:rPr>
          <w:spacing w:val="-8"/>
        </w:rPr>
        <w:t>公司</w:t>
      </w:r>
      <w:r>
        <w:rPr>
          <w:rFonts w:ascii="Times New Roman" w:hAnsi="Times New Roman" w:cs="Times New Roman" w:eastAsia="Times New Roman" w:hint="default"/>
          <w:spacing w:val="-8"/>
        </w:rPr>
        <w:t>”</w:t>
      </w:r>
      <w:r>
        <w:rPr>
          <w:spacing w:val="-8"/>
        </w:rPr>
        <w:t>）召开第三届董事会</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w w:val="100"/>
        </w:rPr>
        <w:t> </w:t>
      </w:r>
      <w:r>
        <w:rPr>
          <w:spacing w:val="-7"/>
          <w:w w:val="100"/>
        </w:rPr>
        <w:t>年第三次临时会议审议通过了《北京中长石基信息技术股份有限公司股票期权激励计划（草案）》，并向中</w:t>
      </w:r>
      <w:r>
        <w:rPr>
          <w:spacing w:val="-72"/>
          <w:w w:val="100"/>
        </w:rPr>
        <w:t> </w:t>
      </w:r>
      <w:r>
        <w:rPr>
          <w:spacing w:val="-72"/>
          <w:w w:val="100"/>
        </w:rPr>
      </w:r>
      <w:r>
        <w:rPr/>
        <w:t>国证监会上报了申请备案材料。根据中国证监会的反馈意见，公司修订了股票期权激励计划，并于</w:t>
      </w:r>
      <w:r>
        <w:rPr>
          <w:spacing w:val="74"/>
        </w:rPr>
        <w:t> </w:t>
      </w:r>
      <w:r>
        <w:rPr>
          <w:rFonts w:ascii="Times New Roman" w:hAnsi="Times New Roman" w:cs="Times New Roman" w:eastAsia="Times New Roman" w:hint="default"/>
        </w:rPr>
        <w:t>2010</w:t>
      </w:r>
    </w:p>
    <w:p>
      <w:pPr>
        <w:pStyle w:val="BodyText"/>
        <w:spacing w:line="336" w:lineRule="auto" w:before="17"/>
        <w:ind w:left="153" w:right="207" w:hanging="1"/>
        <w:jc w:val="both"/>
      </w:pP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日召开了第三届董事会</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spacing w:val="-3"/>
        </w:rPr>
        <w:t>年第一次临时会议，审议通过了《北京中长石基信息技术股份有限</w:t>
      </w:r>
      <w:r>
        <w:rPr>
          <w:spacing w:val="-100"/>
        </w:rPr>
        <w:t> </w:t>
      </w:r>
      <w:r>
        <w:rPr>
          <w:spacing w:val="-100"/>
        </w:rPr>
      </w:r>
      <w:r>
        <w:rPr>
          <w:spacing w:val="-11"/>
          <w:w w:val="100"/>
        </w:rPr>
        <w:t>公司股票期权激励计划（草案）修订案》（以下简称《股权激励计划》）。经中国证监会审核无异议后，</w:t>
      </w:r>
      <w:r>
        <w:rPr>
          <w:rFonts w:ascii="Times New Roman" w:hAnsi="Times New Roman" w:cs="Times New Roman" w:eastAsia="Times New Roman" w:hint="default"/>
          <w:spacing w:val="-11"/>
          <w:w w:val="100"/>
        </w:rPr>
        <w:t>2010</w:t>
      </w:r>
      <w:r>
        <w:rPr>
          <w:rFonts w:ascii="Times New Roman" w:hAnsi="Times New Roman" w:cs="Times New Roman" w:eastAsia="Times New Roman" w:hint="default"/>
          <w:spacing w:val="-15"/>
          <w:w w:val="100"/>
        </w:rPr>
        <w:t> </w:t>
      </w:r>
      <w:r>
        <w:rPr>
          <w:rFonts w:ascii="Times New Roman" w:hAnsi="Times New Roman" w:cs="Times New Roman" w:eastAsia="Times New Roman" w:hint="default"/>
          <w:spacing w:val="-15"/>
          <w:w w:val="100"/>
        </w:rPr>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日，公司召开了</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年第一次临时股东大会，审议通过了《北京中长石基信息技术股份有限公</w:t>
      </w:r>
    </w:p>
    <w:p>
      <w:pPr>
        <w:pStyle w:val="BodyText"/>
        <w:spacing w:line="240" w:lineRule="auto" w:before="24"/>
        <w:ind w:left="153" w:right="0"/>
        <w:jc w:val="both"/>
      </w:pPr>
      <w:r>
        <w:rPr>
          <w:w w:val="100"/>
        </w:rPr>
        <w:t>司股</w:t>
      </w:r>
      <w:r>
        <w:rPr>
          <w:spacing w:val="-3"/>
          <w:w w:val="100"/>
        </w:rPr>
        <w:t>票</w:t>
      </w:r>
      <w:r>
        <w:rPr>
          <w:w w:val="100"/>
        </w:rPr>
        <w:t>期</w:t>
      </w:r>
      <w:r>
        <w:rPr>
          <w:spacing w:val="-3"/>
          <w:w w:val="100"/>
        </w:rPr>
        <w:t>权</w:t>
      </w:r>
      <w:r>
        <w:rPr>
          <w:w w:val="100"/>
        </w:rPr>
        <w:t>激</w:t>
      </w:r>
      <w:r>
        <w:rPr>
          <w:spacing w:val="-3"/>
          <w:w w:val="100"/>
        </w:rPr>
        <w:t>励</w:t>
      </w:r>
      <w:r>
        <w:rPr>
          <w:w w:val="100"/>
        </w:rPr>
        <w:t>计</w:t>
      </w:r>
      <w:r>
        <w:rPr>
          <w:spacing w:val="-3"/>
          <w:w w:val="100"/>
        </w:rPr>
        <w:t>划</w:t>
      </w:r>
      <w:r>
        <w:rPr>
          <w:w w:val="100"/>
        </w:rPr>
        <w:t>（</w:t>
      </w:r>
      <w:r>
        <w:rPr>
          <w:spacing w:val="-3"/>
          <w:w w:val="100"/>
        </w:rPr>
        <w:t>草</w:t>
      </w:r>
      <w:r>
        <w:rPr>
          <w:w w:val="100"/>
        </w:rPr>
        <w:t>案）</w:t>
      </w:r>
      <w:r>
        <w:rPr>
          <w:spacing w:val="-3"/>
          <w:w w:val="100"/>
        </w:rPr>
        <w:t>修</w:t>
      </w:r>
      <w:r>
        <w:rPr>
          <w:w w:val="100"/>
        </w:rPr>
        <w:t>订</w:t>
      </w:r>
      <w:r>
        <w:rPr>
          <w:spacing w:val="-3"/>
          <w:w w:val="100"/>
        </w:rPr>
        <w:t>案</w:t>
      </w:r>
      <w:r>
        <w:rPr>
          <w:spacing w:val="-106"/>
          <w:w w:val="100"/>
        </w:rPr>
        <w:t>）》</w:t>
      </w:r>
      <w:r>
        <w:rPr>
          <w:spacing w:val="-3"/>
          <w:w w:val="100"/>
        </w:rPr>
        <w:t>。</w:t>
      </w:r>
      <w:r>
        <w:rPr>
          <w:w w:val="100"/>
        </w:rPr>
        <w:t>根</w:t>
      </w:r>
      <w:r>
        <w:rPr>
          <w:spacing w:val="-3"/>
          <w:w w:val="100"/>
        </w:rPr>
        <w:t>据</w:t>
      </w:r>
      <w:r>
        <w:rPr>
          <w:w w:val="100"/>
        </w:rPr>
        <w:t>《</w:t>
      </w:r>
      <w:r>
        <w:rPr>
          <w:spacing w:val="-3"/>
          <w:w w:val="100"/>
        </w:rPr>
        <w:t>股</w:t>
      </w:r>
      <w:r>
        <w:rPr>
          <w:w w:val="100"/>
        </w:rPr>
        <w:t>权激</w:t>
      </w:r>
      <w:r>
        <w:rPr>
          <w:spacing w:val="-3"/>
          <w:w w:val="100"/>
        </w:rPr>
        <w:t>励</w:t>
      </w:r>
      <w:r>
        <w:rPr>
          <w:w w:val="100"/>
        </w:rPr>
        <w:t>计</w:t>
      </w:r>
      <w:r>
        <w:rPr>
          <w:spacing w:val="-3"/>
          <w:w w:val="100"/>
        </w:rPr>
        <w:t>划</w:t>
      </w:r>
      <w:r>
        <w:rPr>
          <w:w w:val="100"/>
        </w:rPr>
        <w:t>》</w:t>
      </w:r>
      <w:r>
        <w:rPr>
          <w:spacing w:val="-3"/>
          <w:w w:val="100"/>
        </w:rPr>
        <w:t>的</w:t>
      </w:r>
      <w:r>
        <w:rPr>
          <w:w w:val="100"/>
        </w:rPr>
        <w:t>内</w:t>
      </w:r>
      <w:r>
        <w:rPr>
          <w:spacing w:val="-3"/>
          <w:w w:val="100"/>
        </w:rPr>
        <w:t>容</w:t>
      </w:r>
      <w:r>
        <w:rPr>
          <w:w w:val="100"/>
        </w:rPr>
        <w:t>，</w:t>
      </w:r>
      <w:r>
        <w:rPr>
          <w:spacing w:val="-3"/>
          <w:w w:val="100"/>
        </w:rPr>
        <w:t>公</w:t>
      </w:r>
      <w:r>
        <w:rPr>
          <w:w w:val="100"/>
        </w:rPr>
        <w:t>司拟</w:t>
      </w:r>
      <w:r>
        <w:rPr>
          <w:spacing w:val="-3"/>
          <w:w w:val="100"/>
        </w:rPr>
        <w:t>授</w:t>
      </w:r>
      <w:r>
        <w:rPr>
          <w:w w:val="100"/>
        </w:rPr>
        <w:t>予</w:t>
      </w:r>
      <w:r>
        <w:rPr>
          <w:spacing w:val="-13"/>
        </w:rPr>
        <w:t> </w:t>
      </w:r>
      <w:r>
        <w:rPr>
          <w:rFonts w:ascii="Times New Roman" w:hAnsi="Times New Roman" w:cs="Times New Roman" w:eastAsia="Times New Roman" w:hint="default"/>
          <w:w w:val="100"/>
        </w:rPr>
        <w:t>91</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w w:val="100"/>
        </w:rPr>
        <w:t>名</w:t>
      </w:r>
      <w:r>
        <w:rPr>
          <w:spacing w:val="-3"/>
          <w:w w:val="100"/>
        </w:rPr>
        <w:t>股</w:t>
      </w:r>
      <w:r>
        <w:rPr>
          <w:w w:val="100"/>
        </w:rPr>
        <w:t>票</w:t>
      </w:r>
      <w:r>
        <w:rPr>
          <w:spacing w:val="-3"/>
          <w:w w:val="100"/>
        </w:rPr>
        <w:t>期权</w:t>
      </w:r>
      <w:r>
        <w:rPr>
          <w:w w:val="100"/>
        </w:rPr>
        <w:t>激励</w:t>
      </w:r>
    </w:p>
    <w:p>
      <w:pPr>
        <w:pStyle w:val="BodyText"/>
        <w:spacing w:line="240" w:lineRule="auto" w:before="119"/>
        <w:ind w:left="153" w:right="0"/>
        <w:jc w:val="both"/>
      </w:pPr>
      <w:r>
        <w:rPr/>
        <w:t>对象 </w:t>
      </w:r>
      <w:r>
        <w:rPr>
          <w:rFonts w:ascii="Times New Roman" w:hAnsi="Times New Roman" w:cs="Times New Roman" w:eastAsia="Times New Roman" w:hint="default"/>
        </w:rPr>
        <w:t>288.4</w:t>
      </w:r>
      <w:r>
        <w:rPr>
          <w:rFonts w:ascii="Times New Roman" w:hAnsi="Times New Roman" w:cs="Times New Roman" w:eastAsia="Times New Roman" w:hint="default"/>
          <w:spacing w:val="-30"/>
        </w:rPr>
        <w:t> </w:t>
      </w:r>
      <w:r>
        <w:rPr/>
        <w:t>万份股票期权，每份股票期权拥有在股票期权激励计划有效期内的可行权日以行权价格和行权</w:t>
      </w:r>
    </w:p>
    <w:p>
      <w:pPr>
        <w:pStyle w:val="BodyText"/>
        <w:spacing w:line="336" w:lineRule="auto" w:before="117"/>
        <w:ind w:right="190" w:firstLine="1"/>
        <w:jc w:val="right"/>
      </w:pPr>
      <w:r>
        <w:rPr/>
        <w:t>条件购买</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股公司股票的权利。股票期权激励计划的股票来源为公司向股票期权激励对象定向发行股票。</w:t>
      </w:r>
      <w:r>
        <w:rPr>
          <w:spacing w:val="-3"/>
          <w:w w:val="100"/>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月底，一名激励对象董建波辞职，根据《股权激励计划》的规定，取消了董建波参与本</w:t>
      </w:r>
      <w:r>
        <w:rPr>
          <w:spacing w:val="-3"/>
          <w:w w:val="100"/>
        </w:rPr>
        <w:t> </w:t>
      </w:r>
      <w:r>
        <w:rPr/>
        <w:t>公司股票期权激励计划的资格及获授的股票期权</w:t>
      </w:r>
      <w:r>
        <w:rPr>
          <w:spacing w:val="-46"/>
        </w:rPr>
        <w:t> </w:t>
      </w:r>
      <w:r>
        <w:rPr>
          <w:rFonts w:ascii="Times New Roman" w:hAnsi="Times New Roman" w:cs="Times New Roman" w:eastAsia="Times New Roman" w:hint="default"/>
        </w:rPr>
        <w:t>8000</w:t>
      </w:r>
      <w:r>
        <w:rPr>
          <w:rFonts w:ascii="Times New Roman" w:hAnsi="Times New Roman" w:cs="Times New Roman" w:eastAsia="Times New Roman" w:hint="default"/>
          <w:spacing w:val="7"/>
        </w:rPr>
        <w:t> </w:t>
      </w:r>
      <w:r>
        <w:rPr>
          <w:spacing w:val="-7"/>
        </w:rPr>
        <w:t>份，本计划拟授予的股票期权数量由</w:t>
      </w:r>
      <w:r>
        <w:rPr>
          <w:spacing w:val="-46"/>
        </w:rPr>
        <w:t> </w:t>
      </w:r>
      <w:r>
        <w:rPr>
          <w:rFonts w:ascii="Times New Roman" w:hAnsi="Times New Roman" w:cs="Times New Roman" w:eastAsia="Times New Roman" w:hint="default"/>
        </w:rPr>
        <w:t>288.4</w:t>
      </w:r>
      <w:r>
        <w:rPr>
          <w:rFonts w:ascii="Times New Roman" w:hAnsi="Times New Roman" w:cs="Times New Roman" w:eastAsia="Times New Roman" w:hint="default"/>
          <w:spacing w:val="3"/>
        </w:rPr>
        <w:t> </w:t>
      </w:r>
      <w:r>
        <w:rPr/>
        <w:t>万份调整</w:t>
      </w:r>
    </w:p>
    <w:p>
      <w:pPr>
        <w:pStyle w:val="BodyText"/>
        <w:spacing w:line="240" w:lineRule="auto" w:before="24"/>
        <w:ind w:right="0"/>
        <w:jc w:val="both"/>
      </w:pPr>
      <w:r>
        <w:rPr/>
        <w:t>为</w:t>
      </w:r>
      <w:r>
        <w:rPr>
          <w:spacing w:val="-49"/>
        </w:rPr>
        <w:t> </w:t>
      </w:r>
      <w:r>
        <w:rPr>
          <w:rFonts w:ascii="Times New Roman" w:hAnsi="Times New Roman" w:cs="Times New Roman" w:eastAsia="Times New Roman" w:hint="default"/>
        </w:rPr>
        <w:t>287.6</w:t>
      </w:r>
      <w:r>
        <w:rPr>
          <w:rFonts w:ascii="Times New Roman" w:hAnsi="Times New Roman" w:cs="Times New Roman" w:eastAsia="Times New Roman" w:hint="default"/>
          <w:spacing w:val="4"/>
        </w:rPr>
        <w:t> </w:t>
      </w:r>
      <w:r>
        <w:rPr>
          <w:spacing w:val="-4"/>
        </w:rPr>
        <w:t>万份，授予的激励对象由</w:t>
      </w:r>
      <w:r>
        <w:rPr>
          <w:spacing w:val="-49"/>
        </w:rPr>
        <w:t> </w:t>
      </w:r>
      <w:r>
        <w:rPr>
          <w:rFonts w:ascii="Times New Roman" w:hAnsi="Times New Roman" w:cs="Times New Roman" w:eastAsia="Times New Roman" w:hint="default"/>
        </w:rPr>
        <w:t>91</w:t>
      </w:r>
      <w:r>
        <w:rPr>
          <w:rFonts w:ascii="Times New Roman" w:hAnsi="Times New Roman" w:cs="Times New Roman" w:eastAsia="Times New Roman" w:hint="default"/>
          <w:spacing w:val="1"/>
        </w:rPr>
        <w:t> </w:t>
      </w:r>
      <w:r>
        <w:rPr/>
        <w:t>名相应调整为</w:t>
      </w:r>
      <w:r>
        <w:rPr>
          <w:spacing w:val="-51"/>
        </w:rPr>
        <w:t> </w:t>
      </w:r>
      <w:r>
        <w:rPr>
          <w:rFonts w:ascii="Times New Roman" w:hAnsi="Times New Roman" w:cs="Times New Roman" w:eastAsia="Times New Roman" w:hint="default"/>
        </w:rPr>
        <w:t>90</w:t>
      </w:r>
      <w:r>
        <w:rPr>
          <w:rFonts w:ascii="Times New Roman" w:hAnsi="Times New Roman" w:cs="Times New Roman" w:eastAsia="Times New Roman" w:hint="default"/>
          <w:spacing w:val="4"/>
        </w:rPr>
        <w:t> </w:t>
      </w:r>
      <w:r>
        <w:rPr>
          <w:spacing w:val="-6"/>
        </w:rPr>
        <w:t>名。详见</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spacing w:val="-5"/>
        </w:rPr>
        <w:t>日刊登于《中国证券报》、</w:t>
      </w:r>
    </w:p>
    <w:p>
      <w:pPr>
        <w:pStyle w:val="BodyText"/>
        <w:spacing w:line="336" w:lineRule="auto" w:before="119"/>
        <w:ind w:right="207" w:hanging="1"/>
        <w:jc w:val="right"/>
      </w:pPr>
      <w:r>
        <w:rPr>
          <w:spacing w:val="-10"/>
          <w:w w:val="100"/>
        </w:rPr>
        <w:t>《证券时报》以及巨潮资讯网</w:t>
      </w:r>
      <w:r>
        <w:rPr>
          <w:spacing w:val="-53"/>
          <w:w w:val="100"/>
        </w:rPr>
        <w:t> </w:t>
      </w:r>
      <w:r>
        <w:rPr>
          <w:rFonts w:ascii="Times New Roman" w:hAnsi="Times New Roman" w:cs="Times New Roman" w:eastAsia="Times New Roman" w:hint="default"/>
          <w:color w:val="0000FF"/>
          <w:spacing w:val="-53"/>
          <w:w w:val="100"/>
        </w:rPr>
      </w:r>
      <w:hyperlink r:id="rId12">
        <w:r>
          <w:rPr>
            <w:rFonts w:ascii="Times New Roman" w:hAnsi="Times New Roman" w:cs="Times New Roman" w:eastAsia="Times New Roman" w:hint="default"/>
            <w:color w:val="0000FF"/>
            <w:spacing w:val="-2"/>
            <w:w w:val="100"/>
            <w:u w:val="single" w:color="0000FF"/>
          </w:rPr>
          <w:t>www.cninfo.com.cn</w:t>
        </w:r>
        <w:r>
          <w:rPr>
            <w:rFonts w:ascii="Times New Roman" w:hAnsi="Times New Roman" w:cs="Times New Roman" w:eastAsia="Times New Roman" w:hint="default"/>
            <w:color w:val="0000FF"/>
            <w:spacing w:val="1"/>
            <w:w w:val="100"/>
            <w:u w:val="single" w:color="0000FF"/>
          </w:rPr>
          <w:t> </w:t>
        </w:r>
        <w:r>
          <w:rPr>
            <w:rFonts w:ascii="Times New Roman" w:hAnsi="Times New Roman" w:cs="Times New Roman" w:eastAsia="Times New Roman" w:hint="default"/>
            <w:color w:val="0000FF"/>
            <w:spacing w:val="1"/>
            <w:w w:val="100"/>
          </w:rPr>
        </w:r>
      </w:hyperlink>
      <w:r>
        <w:rPr>
          <w:spacing w:val="-18"/>
          <w:w w:val="100"/>
        </w:rPr>
        <w:t>的《关于调整股权激励计划名单及数量的公告》（</w:t>
      </w:r>
      <w:r>
        <w:rPr>
          <w:rFonts w:ascii="Times New Roman" w:hAnsi="Times New Roman" w:cs="Times New Roman" w:eastAsia="Times New Roman" w:hint="default"/>
          <w:spacing w:val="-18"/>
          <w:w w:val="100"/>
        </w:rPr>
        <w:t>2010-14</w:t>
      </w:r>
      <w:r>
        <w:rPr>
          <w:spacing w:val="-18"/>
          <w:w w:val="100"/>
        </w:rPr>
        <w:t>）。</w:t>
      </w:r>
      <w:r>
        <w:rPr>
          <w:spacing w:val="-106"/>
          <w:w w:val="100"/>
        </w:rPr>
        <w:t> </w:t>
      </w:r>
      <w:r>
        <w:rPr>
          <w:rFonts w:ascii="Times New Roman" w:hAnsi="Times New Roman" w:cs="Times New Roman" w:eastAsia="Times New Roman" w:hint="default"/>
          <w:spacing w:val="-2"/>
        </w:rPr>
        <w:t>3</w:t>
      </w:r>
      <w:r>
        <w:rPr>
          <w:spacing w:val="-2"/>
        </w:rPr>
        <w:t>、根据公司股东大会的授权，</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日，第三届董事会第十一次会议审议通过了《关于确定股</w:t>
      </w:r>
      <w:r>
        <w:rPr>
          <w:w w:val="100"/>
        </w:rPr>
        <w:t> </w:t>
      </w:r>
      <w:r>
        <w:rPr>
          <w:spacing w:val="-4"/>
          <w:w w:val="100"/>
        </w:rPr>
        <w:t>票期权激励计划授予相关事项的议案》，确定公司股票期权激励计划授权日为</w:t>
      </w:r>
      <w:r>
        <w:rPr>
          <w:rFonts w:ascii="Times New Roman" w:hAnsi="Times New Roman" w:cs="Times New Roman" w:eastAsia="Times New Roman" w:hint="default"/>
          <w:spacing w:val="-4"/>
          <w:w w:val="100"/>
        </w:rPr>
        <w:t>2010</w:t>
      </w:r>
      <w:r>
        <w:rPr>
          <w:spacing w:val="-4"/>
          <w:w w:val="100"/>
        </w:rPr>
        <w:t>年</w:t>
      </w:r>
      <w:r>
        <w:rPr>
          <w:rFonts w:ascii="Times New Roman" w:hAnsi="Times New Roman" w:cs="Times New Roman" w:eastAsia="Times New Roman" w:hint="default"/>
          <w:spacing w:val="-4"/>
          <w:w w:val="100"/>
        </w:rPr>
        <w:t>2</w:t>
      </w:r>
      <w:r>
        <w:rPr>
          <w:spacing w:val="-4"/>
          <w:w w:val="100"/>
        </w:rPr>
        <w:t>月</w:t>
      </w:r>
      <w:r>
        <w:rPr>
          <w:rFonts w:ascii="Times New Roman" w:hAnsi="Times New Roman" w:cs="Times New Roman" w:eastAsia="Times New Roman" w:hint="default"/>
          <w:spacing w:val="-4"/>
          <w:w w:val="100"/>
        </w:rPr>
        <w:t>12</w:t>
      </w:r>
      <w:r>
        <w:rPr>
          <w:spacing w:val="-4"/>
          <w:w w:val="100"/>
        </w:rPr>
        <w:t>日，授予</w:t>
      </w:r>
      <w:r>
        <w:rPr>
          <w:rFonts w:ascii="Times New Roman" w:hAnsi="Times New Roman" w:cs="Times New Roman" w:eastAsia="Times New Roman" w:hint="default"/>
          <w:spacing w:val="-4"/>
          <w:w w:val="100"/>
        </w:rPr>
        <w:t>90</w:t>
      </w:r>
      <w:r>
        <w:rPr>
          <w:spacing w:val="-4"/>
          <w:w w:val="100"/>
        </w:rPr>
        <w:t>名股</w:t>
      </w:r>
      <w:r>
        <w:rPr>
          <w:spacing w:val="-3"/>
          <w:w w:val="100"/>
        </w:rPr>
        <w:t> </w:t>
      </w:r>
      <w:r>
        <w:rPr/>
        <w:t>权激励对象</w:t>
      </w:r>
      <w:r>
        <w:rPr>
          <w:rFonts w:ascii="Times New Roman" w:hAnsi="Times New Roman" w:cs="Times New Roman" w:eastAsia="Times New Roman" w:hint="default"/>
        </w:rPr>
        <w:t>287.6</w:t>
      </w:r>
      <w:r>
        <w:rPr/>
        <w:t>万份股票期权，约占总股本的</w:t>
      </w:r>
      <w:r>
        <w:rPr>
          <w:rFonts w:ascii="Times New Roman" w:hAnsi="Times New Roman" w:cs="Times New Roman" w:eastAsia="Times New Roman" w:hint="default"/>
        </w:rPr>
        <w:t>1.2839%</w:t>
      </w:r>
      <w:r>
        <w:rPr/>
        <w:t>，授予股票期权的行权价格为</w:t>
      </w:r>
      <w:r>
        <w:rPr>
          <w:rFonts w:ascii="Times New Roman" w:hAnsi="Times New Roman" w:cs="Times New Roman" w:eastAsia="Times New Roman" w:hint="default"/>
        </w:rPr>
        <w:t>45</w:t>
      </w:r>
      <w:r>
        <w:rPr/>
        <w:t>元。详见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spacing w:val="-3"/>
        </w:rPr>
        <w:t>月</w:t>
      </w:r>
      <w:r>
        <w:rPr>
          <w:rFonts w:ascii="Times New Roman" w:hAnsi="Times New Roman" w:cs="Times New Roman" w:eastAsia="Times New Roman" w:hint="default"/>
          <w:spacing w:val="-3"/>
        </w:rPr>
        <w:t>22</w:t>
      </w:r>
      <w:r>
        <w:rPr>
          <w:spacing w:val="-3"/>
        </w:rPr>
        <w:t>日刊登于《中国证券报》、《证券时报》以及巨潮资讯网</w:t>
      </w:r>
      <w:hyperlink r:id="rId12">
        <w:r>
          <w:rPr>
            <w:rFonts w:ascii="Times New Roman" w:hAnsi="Times New Roman" w:cs="Times New Roman" w:eastAsia="Times New Roman" w:hint="default"/>
            <w:color w:val="0000FF"/>
            <w:spacing w:val="-3"/>
          </w:rPr>
        </w:r>
        <w:r>
          <w:rPr>
            <w:rFonts w:ascii="Times New Roman" w:hAnsi="Times New Roman" w:cs="Times New Roman" w:eastAsia="Times New Roman" w:hint="default"/>
            <w:color w:val="0000FF"/>
            <w:spacing w:val="-3"/>
            <w:u w:val="single" w:color="0000FF"/>
          </w:rPr>
          <w:t>www.cninfo.com.cn</w:t>
        </w:r>
        <w:r>
          <w:rPr>
            <w:rFonts w:ascii="Times New Roman" w:hAnsi="Times New Roman" w:cs="Times New Roman" w:eastAsia="Times New Roman" w:hint="default"/>
            <w:color w:val="0000FF"/>
            <w:spacing w:val="-3"/>
          </w:rPr>
        </w:r>
      </w:hyperlink>
      <w:r>
        <w:rPr>
          <w:spacing w:val="-3"/>
        </w:rPr>
        <w:t>的《董事会关于股票期权</w:t>
      </w:r>
    </w:p>
    <w:p>
      <w:pPr>
        <w:pStyle w:val="BodyText"/>
        <w:spacing w:line="240" w:lineRule="auto" w:before="26"/>
        <w:ind w:right="0"/>
        <w:jc w:val="both"/>
      </w:pPr>
      <w:r>
        <w:rPr>
          <w:w w:val="100"/>
        </w:rPr>
        <w:t>激励</w:t>
      </w:r>
      <w:r>
        <w:rPr>
          <w:spacing w:val="-3"/>
          <w:w w:val="100"/>
        </w:rPr>
        <w:t>计</w:t>
      </w:r>
      <w:r>
        <w:rPr>
          <w:w w:val="100"/>
        </w:rPr>
        <w:t>划</w:t>
      </w:r>
      <w:r>
        <w:rPr>
          <w:spacing w:val="-3"/>
          <w:w w:val="100"/>
        </w:rPr>
        <w:t>授</w:t>
      </w:r>
      <w:r>
        <w:rPr>
          <w:w w:val="100"/>
        </w:rPr>
        <w:t>予</w:t>
      </w:r>
      <w:r>
        <w:rPr>
          <w:spacing w:val="-3"/>
          <w:w w:val="100"/>
        </w:rPr>
        <w:t>相</w:t>
      </w:r>
      <w:r>
        <w:rPr>
          <w:w w:val="100"/>
        </w:rPr>
        <w:t>关</w:t>
      </w:r>
      <w:r>
        <w:rPr>
          <w:spacing w:val="-3"/>
          <w:w w:val="100"/>
        </w:rPr>
        <w:t>事</w:t>
      </w:r>
      <w:r>
        <w:rPr>
          <w:w w:val="100"/>
        </w:rPr>
        <w:t>项</w:t>
      </w:r>
      <w:r>
        <w:rPr>
          <w:spacing w:val="-3"/>
          <w:w w:val="100"/>
        </w:rPr>
        <w:t>的</w:t>
      </w:r>
      <w:r>
        <w:rPr>
          <w:w w:val="100"/>
        </w:rPr>
        <w:t>公告</w:t>
      </w:r>
      <w:r>
        <w:rPr>
          <w:spacing w:val="-108"/>
          <w:w w:val="100"/>
        </w:rPr>
        <w:t>》</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09</w:t>
      </w:r>
      <w:r>
        <w:rPr>
          <w:spacing w:val="-106"/>
          <w:w w:val="100"/>
        </w:rPr>
        <w:t>）。</w:t>
      </w:r>
      <w:r>
        <w:rPr>
          <w:w w:val="100"/>
        </w:rPr>
      </w:r>
    </w:p>
    <w:p>
      <w:pPr>
        <w:pStyle w:val="BodyText"/>
        <w:spacing w:line="338" w:lineRule="auto" w:before="117"/>
        <w:ind w:right="209" w:firstLine="412"/>
        <w:jc w:val="both"/>
      </w:pPr>
      <w:r>
        <w:rPr/>
        <w:t>根据公司</w:t>
      </w:r>
      <w:r>
        <w:rPr>
          <w:rFonts w:ascii="Times New Roman" w:hAnsi="Times New Roman" w:cs="Times New Roman" w:eastAsia="Times New Roman" w:hint="default"/>
        </w:rPr>
        <w:t>2010</w:t>
      </w:r>
      <w:r>
        <w:rPr>
          <w:rFonts w:ascii="Times New Roman" w:hAnsi="Times New Roman" w:cs="Times New Roman" w:eastAsia="Times New Roman" w:hint="default"/>
          <w:spacing w:val="24"/>
        </w:rPr>
        <w:t> </w:t>
      </w:r>
      <w:r>
        <w:rPr/>
        <w:t>年第一次临时股东大会决议，股东大会授权董事会办理公司股票期权激励计划的相关</w:t>
      </w:r>
      <w:r>
        <w:rPr>
          <w:w w:val="100"/>
        </w:rPr>
        <w:t> </w:t>
      </w:r>
      <w:r>
        <w:rPr>
          <w:spacing w:val="-2"/>
        </w:rPr>
        <w:t>事宜，经深圳证券交易所审核无异议、中国证券登记结算有限责任公司深圳分公司审核确认，公司于</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日完成《股票期权激励计划》的股票期权登记工作，期权简称：石基</w:t>
      </w:r>
      <w:r>
        <w:rPr>
          <w:rFonts w:ascii="Times New Roman" w:hAnsi="Times New Roman" w:cs="Times New Roman" w:eastAsia="Times New Roman" w:hint="default"/>
        </w:rPr>
        <w:t>JLC1</w:t>
      </w:r>
      <w:r>
        <w:rPr/>
        <w:t>，期权代码：</w:t>
      </w:r>
      <w:r>
        <w:rPr>
          <w:rFonts w:ascii="Times New Roman" w:hAnsi="Times New Roman" w:cs="Times New Roman" w:eastAsia="Times New Roman" w:hint="default"/>
        </w:rPr>
        <w:t>037518</w:t>
      </w:r>
      <w:r>
        <w:rPr/>
        <w:t>。</w:t>
      </w:r>
      <w:r>
        <w:rPr>
          <w:spacing w:val="-57"/>
        </w:rPr>
        <w:t> </w:t>
      </w:r>
      <w:r>
        <w:rPr/>
        <w:t>详见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日刊登于《中国证券报》、《证券时报》以及巨潮资讯网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rPr>
        </w:r>
      </w:hyperlink>
      <w:r>
        <w:rPr/>
        <w:t>的《董事会</w:t>
      </w:r>
      <w:r>
        <w:rPr>
          <w:spacing w:val="-60"/>
        </w:rPr>
        <w:t> </w:t>
      </w:r>
      <w:r>
        <w:rPr>
          <w:spacing w:val="-60"/>
        </w:rPr>
      </w:r>
      <w:r>
        <w:rPr>
          <w:spacing w:val="-14"/>
          <w:w w:val="100"/>
        </w:rPr>
        <w:t>关于授予股票期权完成登记的公告》（</w:t>
      </w:r>
      <w:r>
        <w:rPr>
          <w:rFonts w:ascii="Times New Roman" w:hAnsi="Times New Roman" w:cs="Times New Roman" w:eastAsia="Times New Roman" w:hint="default"/>
          <w:spacing w:val="-14"/>
          <w:w w:val="100"/>
        </w:rPr>
        <w:t>2010-15</w:t>
      </w:r>
      <w:r>
        <w:rPr>
          <w:spacing w:val="-14"/>
          <w:w w:val="100"/>
        </w:rPr>
        <w:t>）。</w:t>
      </w:r>
      <w:r>
        <w:rPr>
          <w:w w:val="100"/>
        </w:rPr>
      </w:r>
    </w:p>
    <w:p>
      <w:pPr>
        <w:pStyle w:val="BodyText"/>
        <w:spacing w:line="240" w:lineRule="auto" w:before="22"/>
        <w:ind w:left="0" w:right="210"/>
        <w:jc w:val="right"/>
        <w:rPr>
          <w:rFonts w:ascii="Times New Roman" w:hAnsi="Times New Roman" w:cs="Times New Roman" w:eastAsia="Times New Roman" w:hint="default"/>
        </w:rPr>
      </w:pPr>
      <w:r>
        <w:rPr>
          <w:rFonts w:ascii="Times New Roman" w:hAnsi="Times New Roman" w:cs="Times New Roman" w:eastAsia="Times New Roman" w:hint="default"/>
          <w:w w:val="100"/>
        </w:rPr>
        <w:t>4</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7"/>
        </w:rPr>
        <w:t> </w:t>
      </w:r>
      <w:r>
        <w:rPr>
          <w:w w:val="100"/>
        </w:rPr>
        <w:t>年</w:t>
      </w:r>
      <w:r>
        <w:rPr>
          <w:spacing w:val="-43"/>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7"/>
        </w:rPr>
        <w:t> </w:t>
      </w:r>
      <w:r>
        <w:rPr>
          <w:w w:val="100"/>
        </w:rPr>
        <w:t>月</w:t>
      </w:r>
      <w:r>
        <w:rPr>
          <w:spacing w:val="-45"/>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9"/>
        </w:rPr>
        <w:t> </w:t>
      </w:r>
      <w:r>
        <w:rPr>
          <w:w w:val="100"/>
        </w:rPr>
        <w:t>日</w:t>
      </w:r>
      <w:r>
        <w:rPr>
          <w:rFonts w:ascii="Times New Roman" w:hAnsi="Times New Roman" w:cs="Times New Roman" w:eastAsia="Times New Roman" w:hint="default"/>
          <w:spacing w:val="-3"/>
          <w:w w:val="100"/>
        </w:rPr>
        <w:t>,</w:t>
      </w:r>
      <w:r>
        <w:rPr>
          <w:w w:val="100"/>
        </w:rPr>
        <w:t>公司</w:t>
      </w:r>
      <w:r>
        <w:rPr>
          <w:spacing w:val="-45"/>
        </w:rPr>
        <w:t> </w:t>
      </w:r>
      <w:r>
        <w:rPr>
          <w:rFonts w:ascii="Times New Roman" w:hAnsi="Times New Roman" w:cs="Times New Roman" w:eastAsia="Times New Roman" w:hint="default"/>
          <w:w w:val="100"/>
        </w:rPr>
        <w:t>2009</w:t>
      </w:r>
      <w:r>
        <w:rPr>
          <w:rFonts w:ascii="Times New Roman" w:hAnsi="Times New Roman" w:cs="Times New Roman" w:eastAsia="Times New Roman" w:hint="default"/>
          <w:spacing w:val="7"/>
        </w:rPr>
        <w:t> </w:t>
      </w:r>
      <w:r>
        <w:rPr>
          <w:w w:val="100"/>
        </w:rPr>
        <w:t>年</w:t>
      </w:r>
      <w:r>
        <w:rPr>
          <w:spacing w:val="-3"/>
          <w:w w:val="100"/>
        </w:rPr>
        <w:t>年</w:t>
      </w:r>
      <w:r>
        <w:rPr>
          <w:w w:val="100"/>
        </w:rPr>
        <w:t>度</w:t>
      </w:r>
      <w:r>
        <w:rPr>
          <w:spacing w:val="-3"/>
          <w:w w:val="100"/>
        </w:rPr>
        <w:t>股</w:t>
      </w:r>
      <w:r>
        <w:rPr>
          <w:w w:val="100"/>
        </w:rPr>
        <w:t>东</w:t>
      </w:r>
      <w:r>
        <w:rPr>
          <w:spacing w:val="-3"/>
          <w:w w:val="100"/>
        </w:rPr>
        <w:t>大</w:t>
      </w:r>
      <w:r>
        <w:rPr>
          <w:w w:val="100"/>
        </w:rPr>
        <w:t>会</w:t>
      </w:r>
      <w:r>
        <w:rPr>
          <w:spacing w:val="-3"/>
          <w:w w:val="100"/>
        </w:rPr>
        <w:t>审议</w:t>
      </w:r>
      <w:r>
        <w:rPr>
          <w:w w:val="100"/>
        </w:rPr>
        <w:t>通过</w:t>
      </w:r>
      <w:r>
        <w:rPr>
          <w:spacing w:val="-3"/>
          <w:w w:val="100"/>
        </w:rPr>
        <w:t>了</w:t>
      </w:r>
      <w:r>
        <w:rPr>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09</w:t>
      </w:r>
      <w:r>
        <w:rPr>
          <w:rFonts w:ascii="Times New Roman" w:hAnsi="Times New Roman" w:cs="Times New Roman" w:eastAsia="Times New Roman" w:hint="default"/>
          <w:spacing w:val="7"/>
        </w:rPr>
        <w:t> </w:t>
      </w:r>
      <w:r>
        <w:rPr>
          <w:w w:val="100"/>
        </w:rPr>
        <w:t>年</w:t>
      </w:r>
      <w:r>
        <w:rPr>
          <w:spacing w:val="-3"/>
          <w:w w:val="100"/>
        </w:rPr>
        <w:t>度</w:t>
      </w:r>
      <w:r>
        <w:rPr>
          <w:w w:val="100"/>
        </w:rPr>
        <w:t>利</w:t>
      </w:r>
      <w:r>
        <w:rPr>
          <w:spacing w:val="-3"/>
          <w:w w:val="100"/>
        </w:rPr>
        <w:t>润分</w:t>
      </w:r>
      <w:r>
        <w:rPr>
          <w:w w:val="100"/>
        </w:rPr>
        <w:t>配预</w:t>
      </w:r>
      <w:r>
        <w:rPr>
          <w:spacing w:val="-3"/>
          <w:w w:val="100"/>
        </w:rPr>
        <w:t>案</w:t>
      </w:r>
      <w:r>
        <w:rPr>
          <w:spacing w:val="-106"/>
          <w:w w:val="100"/>
        </w:rPr>
        <w:t>》</w:t>
      </w:r>
      <w:r>
        <w:rPr>
          <w:spacing w:val="-3"/>
          <w:w w:val="100"/>
        </w:rPr>
        <w:t>，</w:t>
      </w:r>
      <w:r>
        <w:rPr>
          <w:w w:val="100"/>
        </w:rPr>
        <w:t>公</w:t>
      </w:r>
      <w:r>
        <w:rPr>
          <w:spacing w:val="-3"/>
          <w:w w:val="100"/>
        </w:rPr>
        <w:t>司</w:t>
      </w:r>
      <w:r>
        <w:rPr>
          <w:w w:val="100"/>
        </w:rPr>
        <w:t>以</w:t>
      </w:r>
      <w:r>
        <w:rPr>
          <w:spacing w:val="-44"/>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09</w:t>
      </w:r>
    </w:p>
    <w:p>
      <w:pPr>
        <w:pStyle w:val="BodyText"/>
        <w:spacing w:line="336" w:lineRule="auto" w:before="117"/>
        <w:ind w:right="209"/>
        <w:jc w:val="both"/>
      </w:pPr>
      <w:r>
        <w:rPr>
          <w:w w:val="100"/>
        </w:rPr>
        <w:t>年</w:t>
      </w:r>
      <w:r>
        <w:rPr>
          <w:spacing w:val="-43"/>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9"/>
          <w:w w:val="100"/>
        </w:rPr>
        <w:t> </w:t>
      </w:r>
      <w:r>
        <w:rPr>
          <w:w w:val="100"/>
        </w:rPr>
        <w:t>月</w:t>
      </w:r>
      <w:r>
        <w:rPr>
          <w:spacing w:val="-43"/>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9"/>
          <w:w w:val="100"/>
        </w:rPr>
        <w:t> </w:t>
      </w:r>
      <w:r>
        <w:rPr>
          <w:spacing w:val="-1"/>
          <w:w w:val="100"/>
        </w:rPr>
        <w:t>日总股本</w:t>
      </w:r>
      <w:r>
        <w:rPr>
          <w:spacing w:val="-46"/>
          <w:w w:val="100"/>
        </w:rPr>
        <w:t> </w:t>
      </w:r>
      <w:r>
        <w:rPr>
          <w:rFonts w:ascii="Times New Roman" w:hAnsi="Times New Roman" w:cs="Times New Roman" w:eastAsia="Times New Roman" w:hint="default"/>
          <w:spacing w:val="-1"/>
          <w:w w:val="100"/>
        </w:rPr>
        <w:t>224,000,000</w:t>
      </w:r>
      <w:r>
        <w:rPr>
          <w:rFonts w:ascii="Times New Roman" w:hAnsi="Times New Roman" w:cs="Times New Roman" w:eastAsia="Times New Roman" w:hint="default"/>
          <w:spacing w:val="6"/>
          <w:w w:val="100"/>
        </w:rPr>
        <w:t> </w:t>
      </w:r>
      <w:r>
        <w:rPr>
          <w:spacing w:val="-2"/>
          <w:w w:val="100"/>
        </w:rPr>
        <w:t>为基数，向全体股东按每</w:t>
      </w:r>
      <w:r>
        <w:rPr>
          <w:spacing w:val="-44"/>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7"/>
          <w:w w:val="100"/>
        </w:rPr>
        <w:t> </w:t>
      </w:r>
      <w:r>
        <w:rPr>
          <w:spacing w:val="-2"/>
          <w:w w:val="100"/>
        </w:rPr>
        <w:t>股派发现金股利人民币</w:t>
      </w:r>
      <w:r>
        <w:rPr>
          <w:spacing w:val="-44"/>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7"/>
          <w:w w:val="100"/>
        </w:rPr>
        <w:t> </w:t>
      </w:r>
      <w:r>
        <w:rPr>
          <w:spacing w:val="-15"/>
          <w:w w:val="100"/>
        </w:rPr>
        <w:t>元（含税），根据</w:t>
      </w:r>
      <w:r>
        <w:rPr>
          <w:w w:val="100"/>
        </w:rPr>
        <w:t> </w:t>
      </w:r>
      <w:r>
        <w:rPr>
          <w:spacing w:val="-2"/>
        </w:rPr>
        <w:t>公司《股票期权激励计划（草案）修订案》的有关规定，经公司第三届董事会第十三次会议审议通过，公</w:t>
      </w:r>
    </w:p>
    <w:p>
      <w:pPr>
        <w:spacing w:after="0" w:line="336" w:lineRule="auto"/>
        <w:jc w:val="both"/>
        <w:sectPr>
          <w:footerReference w:type="default" r:id="rId22"/>
          <w:pgSz w:w="11910" w:h="16840"/>
          <w:pgMar w:footer="979" w:header="850" w:top="1200" w:bottom="1160" w:left="980" w:right="920"/>
          <w:pgNumType w:start="58"/>
        </w:sectPr>
      </w:pPr>
    </w:p>
    <w:p>
      <w:pPr>
        <w:pStyle w:val="BodyText"/>
        <w:spacing w:line="240" w:lineRule="auto" w:before="30"/>
        <w:ind w:right="0"/>
        <w:jc w:val="both"/>
      </w:pPr>
      <w:r>
        <w:rPr/>
        <w:pict>
          <v:group style="position:absolute;margin-left:55.200001pt;margin-top:2.843687pt;width:484.8pt;height:.1pt;mso-position-horizontal-relative:page;mso-position-vertical-relative:paragraph;z-index:-772024" coordorigin="1104,57" coordsize="9696,2">
            <v:shape style="position:absolute;left:1104;top:57;width:9696;height:2" coordorigin="1104,57" coordsize="9696,0" path="m1104,57l10800,57e" filled="false" stroked="true" strokeweight=".72pt" strokecolor="#000000">
              <v:path arrowok="t"/>
            </v:shape>
            <w10:wrap type="none"/>
          </v:group>
        </w:pict>
      </w:r>
      <w:r>
        <w:rPr/>
        <w:t>司将股票期权激励计划中已授予但未行权的</w:t>
      </w:r>
      <w:r>
        <w:rPr>
          <w:spacing w:val="-42"/>
        </w:rPr>
        <w:t> </w:t>
      </w:r>
      <w:r>
        <w:rPr>
          <w:rFonts w:ascii="Times New Roman" w:hAnsi="Times New Roman" w:cs="Times New Roman" w:eastAsia="Times New Roman" w:hint="default"/>
        </w:rPr>
        <w:t>287.6</w:t>
      </w:r>
      <w:r>
        <w:rPr>
          <w:rFonts w:ascii="Times New Roman" w:hAnsi="Times New Roman" w:cs="Times New Roman" w:eastAsia="Times New Roman" w:hint="default"/>
          <w:spacing w:val="11"/>
        </w:rPr>
        <w:t> </w:t>
      </w:r>
      <w:r>
        <w:rPr/>
        <w:t>万股股票期权的行权价格由</w:t>
      </w:r>
      <w:r>
        <w:rPr>
          <w:spacing w:val="-40"/>
        </w:rPr>
        <w:t> </w:t>
      </w:r>
      <w:r>
        <w:rPr>
          <w:rFonts w:ascii="Times New Roman" w:hAnsi="Times New Roman" w:cs="Times New Roman" w:eastAsia="Times New Roman" w:hint="default"/>
        </w:rPr>
        <w:t>45</w:t>
      </w:r>
      <w:r>
        <w:rPr>
          <w:rFonts w:ascii="Times New Roman" w:hAnsi="Times New Roman" w:cs="Times New Roman" w:eastAsia="Times New Roman" w:hint="default"/>
          <w:spacing w:val="13"/>
        </w:rPr>
        <w:t> </w:t>
      </w:r>
      <w:r>
        <w:rPr/>
        <w:t>元调整为</w:t>
      </w:r>
      <w:r>
        <w:rPr>
          <w:spacing w:val="-40"/>
        </w:rPr>
        <w:t> </w:t>
      </w:r>
      <w:r>
        <w:rPr>
          <w:rFonts w:ascii="Times New Roman" w:hAnsi="Times New Roman" w:cs="Times New Roman" w:eastAsia="Times New Roman" w:hint="default"/>
        </w:rPr>
        <w:t>44.7</w:t>
      </w:r>
      <w:r>
        <w:rPr>
          <w:rFonts w:ascii="Times New Roman" w:hAnsi="Times New Roman" w:cs="Times New Roman" w:eastAsia="Times New Roman" w:hint="default"/>
          <w:spacing w:val="11"/>
        </w:rPr>
        <w:t> </w:t>
      </w:r>
      <w:r>
        <w:rPr/>
        <w:t>元。详见</w:t>
      </w:r>
    </w:p>
    <w:p>
      <w:pPr>
        <w:pStyle w:val="BodyText"/>
        <w:spacing w:line="336" w:lineRule="auto" w:before="117"/>
        <w:ind w:right="213" w:hanging="1"/>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spacing w:val="-5"/>
        </w:rPr>
        <w:t>日刊登于《中国证券报》、《证券时报》以及巨潮资讯网</w:t>
      </w:r>
      <w:r>
        <w:rPr>
          <w:spacing w:val="-48"/>
        </w:rPr>
        <w:t> </w:t>
      </w:r>
      <w:r>
        <w:rPr>
          <w:rFonts w:ascii="Times New Roman" w:hAnsi="Times New Roman" w:cs="Times New Roman" w:eastAsia="Times New Roman" w:hint="default"/>
          <w:color w:val="0000FF"/>
          <w:spacing w:val="-48"/>
        </w:rPr>
      </w:r>
      <w:hyperlink r:id="rId12">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spacing w:val="5"/>
            <w:u w:val="single" w:color="0000FF"/>
          </w:rPr>
          <w:t> </w:t>
        </w:r>
        <w:r>
          <w:rPr>
            <w:rFonts w:ascii="Times New Roman" w:hAnsi="Times New Roman" w:cs="Times New Roman" w:eastAsia="Times New Roman" w:hint="default"/>
            <w:color w:val="0000FF"/>
            <w:spacing w:val="5"/>
          </w:rPr>
        </w:r>
      </w:hyperlink>
      <w:r>
        <w:rPr>
          <w:spacing w:val="-5"/>
        </w:rPr>
        <w:t>的《第三届董</w:t>
      </w:r>
      <w:r>
        <w:rPr>
          <w:spacing w:val="-102"/>
        </w:rPr>
        <w:t> </w:t>
      </w:r>
      <w:r>
        <w:rPr>
          <w:spacing w:val="-102"/>
        </w:rPr>
      </w:r>
      <w:r>
        <w:rPr>
          <w:spacing w:val="-15"/>
          <w:w w:val="100"/>
        </w:rPr>
        <w:t>事会第十三次会议决议公告》（</w:t>
      </w:r>
      <w:r>
        <w:rPr>
          <w:rFonts w:ascii="Times New Roman" w:hAnsi="Times New Roman" w:cs="Times New Roman" w:eastAsia="Times New Roman" w:hint="default"/>
          <w:spacing w:val="-15"/>
          <w:w w:val="100"/>
        </w:rPr>
        <w:t>2010-38</w:t>
      </w:r>
      <w:r>
        <w:rPr>
          <w:spacing w:val="-15"/>
          <w:w w:val="100"/>
        </w:rPr>
        <w:t>）。</w:t>
      </w:r>
      <w:r>
        <w:rPr>
          <w:w w:val="100"/>
        </w:rPr>
      </w:r>
    </w:p>
    <w:p>
      <w:pPr>
        <w:pStyle w:val="BodyText"/>
        <w:spacing w:line="240" w:lineRule="auto" w:before="26"/>
        <w:ind w:left="572" w:right="0"/>
        <w:jc w:val="left"/>
      </w:pPr>
      <w:r>
        <w:rPr>
          <w:rFonts w:ascii="Times New Roman" w:hAnsi="Times New Roman" w:cs="Times New Roman" w:eastAsia="Times New Roman" w:hint="default"/>
          <w:spacing w:val="-5"/>
        </w:rPr>
        <w:t>5</w:t>
      </w:r>
      <w:r>
        <w:rPr>
          <w:spacing w:val="-5"/>
        </w:rPr>
        <w:t>、</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spacing w:val="-3"/>
        </w:rPr>
        <w:t>日，第三届董事会第十一次会议审议通过了《关于确定股票期权激励计划授予相关</w:t>
      </w:r>
    </w:p>
    <w:p>
      <w:pPr>
        <w:pStyle w:val="BodyText"/>
        <w:spacing w:line="240" w:lineRule="auto" w:before="117"/>
        <w:ind w:right="0"/>
        <w:jc w:val="both"/>
      </w:pPr>
      <w:r>
        <w:rPr>
          <w:w w:val="100"/>
        </w:rPr>
        <w:t>事项</w:t>
      </w:r>
      <w:r>
        <w:rPr>
          <w:spacing w:val="-3"/>
          <w:w w:val="100"/>
        </w:rPr>
        <w:t>的</w:t>
      </w:r>
      <w:r>
        <w:rPr>
          <w:w w:val="100"/>
        </w:rPr>
        <w:t>议</w:t>
      </w:r>
      <w:r>
        <w:rPr>
          <w:spacing w:val="-3"/>
          <w:w w:val="100"/>
        </w:rPr>
        <w:t>案</w:t>
      </w:r>
      <w:r>
        <w:rPr>
          <w:spacing w:val="-106"/>
          <w:w w:val="100"/>
        </w:rPr>
        <w:t>》</w:t>
      </w:r>
      <w:r>
        <w:rPr>
          <w:spacing w:val="-46"/>
          <w:w w:val="100"/>
        </w:rPr>
        <w:t>，</w:t>
      </w:r>
      <w:r>
        <w:rPr>
          <w:spacing w:val="-3"/>
          <w:w w:val="100"/>
        </w:rPr>
        <w:t>授</w:t>
      </w:r>
      <w:r>
        <w:rPr>
          <w:w w:val="100"/>
        </w:rPr>
        <w:t>予</w:t>
      </w:r>
      <w:r>
        <w:rPr>
          <w:spacing w:val="-3"/>
          <w:w w:val="100"/>
        </w:rPr>
        <w:t>激</w:t>
      </w:r>
      <w:r>
        <w:rPr>
          <w:w w:val="100"/>
        </w:rPr>
        <w:t>励</w:t>
      </w:r>
      <w:r>
        <w:rPr>
          <w:spacing w:val="-3"/>
          <w:w w:val="100"/>
        </w:rPr>
        <w:t>对</w:t>
      </w:r>
      <w:r>
        <w:rPr>
          <w:w w:val="100"/>
        </w:rPr>
        <w:t>象股</w:t>
      </w:r>
      <w:r>
        <w:rPr>
          <w:spacing w:val="-3"/>
          <w:w w:val="100"/>
        </w:rPr>
        <w:t>票</w:t>
      </w:r>
      <w:r>
        <w:rPr>
          <w:w w:val="100"/>
        </w:rPr>
        <w:t>期</w:t>
      </w:r>
      <w:r>
        <w:rPr>
          <w:spacing w:val="-3"/>
          <w:w w:val="100"/>
        </w:rPr>
        <w:t>权</w:t>
      </w:r>
      <w:r>
        <w:rPr>
          <w:w w:val="100"/>
        </w:rPr>
        <w:t>数</w:t>
      </w:r>
      <w:r>
        <w:rPr>
          <w:spacing w:val="-3"/>
          <w:w w:val="100"/>
        </w:rPr>
        <w:t>量</w:t>
      </w:r>
      <w:r>
        <w:rPr>
          <w:w w:val="100"/>
        </w:rPr>
        <w:t>为</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87.6</w:t>
      </w:r>
      <w:r>
        <w:rPr>
          <w:rFonts w:ascii="Times New Roman" w:hAnsi="Times New Roman" w:cs="Times New Roman" w:eastAsia="Times New Roman" w:hint="default"/>
          <w:spacing w:val="-3"/>
        </w:rPr>
        <w:t> </w:t>
      </w:r>
      <w:r>
        <w:rPr>
          <w:w w:val="100"/>
        </w:rPr>
        <w:t>万份</w:t>
      </w:r>
      <w:r>
        <w:rPr>
          <w:spacing w:val="-48"/>
          <w:w w:val="100"/>
        </w:rPr>
        <w:t>。</w:t>
      </w:r>
      <w:r>
        <w:rPr>
          <w:w w:val="100"/>
        </w:rPr>
        <w:t>截止</w:t>
      </w:r>
      <w:r>
        <w:rPr>
          <w:spacing w:val="-55"/>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日</w:t>
      </w:r>
      <w:r>
        <w:rPr>
          <w:spacing w:val="-48"/>
          <w:w w:val="100"/>
        </w:rPr>
        <w:t>，</w:t>
      </w:r>
      <w:r>
        <w:rPr>
          <w:w w:val="100"/>
        </w:rPr>
        <w:t>激</w:t>
      </w:r>
      <w:r>
        <w:rPr>
          <w:spacing w:val="-3"/>
          <w:w w:val="100"/>
        </w:rPr>
        <w:t>励</w:t>
      </w:r>
      <w:r>
        <w:rPr>
          <w:w w:val="100"/>
        </w:rPr>
        <w:t>对</w:t>
      </w:r>
      <w:r>
        <w:rPr>
          <w:spacing w:val="-3"/>
          <w:w w:val="100"/>
        </w:rPr>
        <w:t>象</w:t>
      </w:r>
      <w:r>
        <w:rPr>
          <w:w w:val="100"/>
        </w:rPr>
        <w:t>杨</w:t>
      </w:r>
      <w:r>
        <w:rPr>
          <w:spacing w:val="-3"/>
          <w:w w:val="100"/>
        </w:rPr>
        <w:t>海</w:t>
      </w:r>
      <w:r>
        <w:rPr>
          <w:w w:val="100"/>
        </w:rPr>
        <w:t>颜</w:t>
      </w:r>
      <w:r>
        <w:rPr>
          <w:spacing w:val="-46"/>
          <w:w w:val="100"/>
        </w:rPr>
        <w:t>、</w:t>
      </w:r>
      <w:r>
        <w:rPr>
          <w:spacing w:val="-3"/>
          <w:w w:val="100"/>
        </w:rPr>
        <w:t>郭</w:t>
      </w:r>
      <w:r>
        <w:rPr>
          <w:w w:val="100"/>
        </w:rPr>
        <w:t>洁、</w:t>
      </w:r>
    </w:p>
    <w:p>
      <w:pPr>
        <w:pStyle w:val="BodyText"/>
        <w:spacing w:line="240" w:lineRule="auto" w:before="117"/>
        <w:ind w:right="0"/>
        <w:jc w:val="both"/>
        <w:rPr>
          <w:rFonts w:ascii="Times New Roman" w:hAnsi="Times New Roman" w:cs="Times New Roman" w:eastAsia="Times New Roman" w:hint="default"/>
        </w:rPr>
      </w:pPr>
      <w:r>
        <w:rPr/>
        <w:t>夏能峰等</w:t>
      </w:r>
      <w:r>
        <w:rPr>
          <w:spacing w:val="-35"/>
        </w:rPr>
        <w:t>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名激励对象因个人原因辞职并离开了公司，其中</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19"/>
        </w:rPr>
        <w:t> </w:t>
      </w:r>
      <w:r>
        <w:rPr/>
        <w:t>名激励对象在股权激励计划等待期（</w:t>
      </w:r>
      <w:r>
        <w:rPr>
          <w:rFonts w:ascii="Times New Roman" w:hAnsi="Times New Roman" w:cs="Times New Roman" w:eastAsia="Times New Roman" w:hint="default"/>
        </w:rPr>
        <w:t>2010</w:t>
      </w:r>
    </w:p>
    <w:p>
      <w:pPr>
        <w:pStyle w:val="BodyText"/>
        <w:spacing w:line="352" w:lineRule="auto" w:before="117"/>
        <w:ind w:right="185"/>
        <w:jc w:val="both"/>
      </w:pPr>
      <w:r>
        <w:rPr/>
        <w:t>年</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spacing w:val="-2"/>
        </w:rPr>
        <w:t>日</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日）离职；激励对象郭明先生职务变更，由公司第三届董事会董事变更为第</w:t>
      </w:r>
      <w:r>
        <w:rPr>
          <w:spacing w:val="-3"/>
          <w:w w:val="100"/>
        </w:rPr>
        <w:t> </w:t>
      </w:r>
      <w:r>
        <w:rPr>
          <w:spacing w:val="-2"/>
        </w:rPr>
        <w:t>四届监事会监事会主席。根据公司《股票期权激励计划（草案）修订案》的规定，激励对象辞职离开公司</w:t>
      </w:r>
      <w:r>
        <w:rPr>
          <w:spacing w:val="-45"/>
        </w:rPr>
        <w:t> </w:t>
      </w:r>
      <w:r>
        <w:rPr>
          <w:spacing w:val="-45"/>
        </w:rPr>
      </w:r>
      <w:r>
        <w:rPr>
          <w:spacing w:val="-2"/>
        </w:rPr>
        <w:t>的，其已满足行权条件的股票期权不受影响，不再享受离职日以后的股票期权激励；激励对象因工作调动</w:t>
      </w:r>
      <w:r>
        <w:rPr>
          <w:spacing w:val="-42"/>
        </w:rPr>
        <w:t> </w:t>
      </w:r>
      <w:r>
        <w:rPr>
          <w:spacing w:val="-42"/>
        </w:rPr>
      </w:r>
      <w:r>
        <w:rPr>
          <w:spacing w:val="-2"/>
        </w:rPr>
        <w:t>而成为独立董事、监事或其他不能持有公司股票或股票期权的人员，应取消其所有尚未行权的股票期权。</w:t>
      </w:r>
      <w:r>
        <w:rPr>
          <w:spacing w:val="-21"/>
        </w:rPr>
        <w:t> </w:t>
      </w:r>
      <w:r>
        <w:rPr>
          <w:spacing w:val="-21"/>
        </w:rPr>
      </w:r>
      <w:r>
        <w:rPr/>
        <w:t>因此，以上因离职和职务发生变动的激励对象合并所获授的 </w:t>
      </w:r>
      <w:r>
        <w:rPr>
          <w:rFonts w:ascii="Times New Roman" w:hAnsi="Times New Roman" w:cs="Times New Roman" w:eastAsia="Times New Roman" w:hint="default"/>
        </w:rPr>
        <w:t>125.0</w:t>
      </w:r>
      <w:r>
        <w:rPr>
          <w:rFonts w:ascii="Times New Roman" w:hAnsi="Times New Roman" w:cs="Times New Roman" w:eastAsia="Times New Roman" w:hint="default"/>
          <w:spacing w:val="-31"/>
        </w:rPr>
        <w:t> </w:t>
      </w:r>
      <w:r>
        <w:rPr/>
        <w:t>万份股票期权将予以注销，授予的股票</w:t>
      </w:r>
    </w:p>
    <w:p>
      <w:pPr>
        <w:pStyle w:val="BodyText"/>
        <w:spacing w:line="338" w:lineRule="auto" w:before="8"/>
        <w:ind w:right="208" w:hanging="1"/>
        <w:jc w:val="both"/>
      </w:pPr>
      <w:r>
        <w:rPr/>
        <w:t>期权数量由</w:t>
      </w:r>
      <w:r>
        <w:rPr>
          <w:spacing w:val="-52"/>
        </w:rPr>
        <w:t> </w:t>
      </w:r>
      <w:r>
        <w:rPr>
          <w:rFonts w:ascii="Times New Roman" w:hAnsi="Times New Roman" w:cs="Times New Roman" w:eastAsia="Times New Roman" w:hint="default"/>
        </w:rPr>
        <w:t>287.6</w:t>
      </w:r>
      <w:r>
        <w:rPr>
          <w:rFonts w:ascii="Times New Roman" w:hAnsi="Times New Roman" w:cs="Times New Roman" w:eastAsia="Times New Roman" w:hint="default"/>
          <w:spacing w:val="1"/>
        </w:rPr>
        <w:t> </w:t>
      </w:r>
      <w:r>
        <w:rPr/>
        <w:t>万份调整为</w:t>
      </w:r>
      <w:r>
        <w:rPr>
          <w:spacing w:val="-52"/>
        </w:rPr>
        <w:t> </w:t>
      </w:r>
      <w:r>
        <w:rPr>
          <w:rFonts w:ascii="Times New Roman" w:hAnsi="Times New Roman" w:cs="Times New Roman" w:eastAsia="Times New Roman" w:hint="default"/>
        </w:rPr>
        <w:t>162.6</w:t>
      </w:r>
      <w:r>
        <w:rPr>
          <w:rFonts w:ascii="Times New Roman" w:hAnsi="Times New Roman" w:cs="Times New Roman" w:eastAsia="Times New Roman" w:hint="default"/>
          <w:spacing w:val="-2"/>
        </w:rPr>
        <w:t> </w:t>
      </w:r>
      <w:r>
        <w:rPr>
          <w:spacing w:val="-5"/>
        </w:rPr>
        <w:t>万份，授予的激励对象由</w:t>
      </w:r>
      <w:r>
        <w:rPr>
          <w:spacing w:val="-52"/>
        </w:rPr>
        <w:t> </w:t>
      </w:r>
      <w:r>
        <w:rPr>
          <w:rFonts w:ascii="Times New Roman" w:hAnsi="Times New Roman" w:cs="Times New Roman" w:eastAsia="Times New Roman" w:hint="default"/>
        </w:rPr>
        <w:t>90</w:t>
      </w:r>
      <w:r>
        <w:rPr>
          <w:rFonts w:ascii="Times New Roman" w:hAnsi="Times New Roman" w:cs="Times New Roman" w:eastAsia="Times New Roman" w:hint="default"/>
          <w:spacing w:val="1"/>
        </w:rPr>
        <w:t> </w:t>
      </w:r>
      <w:r>
        <w:rPr/>
        <w:t>名相应调整为</w:t>
      </w:r>
      <w:r>
        <w:rPr>
          <w:spacing w:val="-52"/>
        </w:rPr>
        <w:t> </w:t>
      </w:r>
      <w:r>
        <w:rPr>
          <w:rFonts w:ascii="Times New Roman" w:hAnsi="Times New Roman" w:cs="Times New Roman" w:eastAsia="Times New Roman" w:hint="default"/>
        </w:rPr>
        <w:t>81</w:t>
      </w:r>
      <w:r>
        <w:rPr>
          <w:rFonts w:ascii="Times New Roman" w:hAnsi="Times New Roman" w:cs="Times New Roman" w:eastAsia="Times New Roman" w:hint="default"/>
          <w:spacing w:val="-2"/>
        </w:rPr>
        <w:t> </w:t>
      </w:r>
      <w:r>
        <w:rPr>
          <w:spacing w:val="-11"/>
        </w:rPr>
        <w:t>名。详见</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w w:val="100"/>
        </w:rPr>
        <w:t> </w:t>
      </w:r>
      <w:r>
        <w:rPr>
          <w:spacing w:val="-3"/>
        </w:rPr>
        <w:t>日刊登于《中国证券报》、《证券时报》以及巨潮资讯网</w:t>
      </w:r>
      <w:r>
        <w:rPr>
          <w:spacing w:val="-48"/>
        </w:rPr>
        <w:t> </w:t>
      </w:r>
      <w:r>
        <w:rPr>
          <w:rFonts w:ascii="Times New Roman" w:hAnsi="Times New Roman" w:cs="Times New Roman" w:eastAsia="Times New Roman" w:hint="default"/>
          <w:color w:val="0000FF"/>
          <w:spacing w:val="-48"/>
        </w:rPr>
      </w:r>
      <w:hyperlink r:id="rId12">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spacing w:val="5"/>
            <w:u w:val="single" w:color="0000FF"/>
          </w:rPr>
          <w:t> </w:t>
        </w:r>
        <w:r>
          <w:rPr>
            <w:rFonts w:ascii="Times New Roman" w:hAnsi="Times New Roman" w:cs="Times New Roman" w:eastAsia="Times New Roman" w:hint="default"/>
            <w:color w:val="0000FF"/>
            <w:spacing w:val="5"/>
          </w:rPr>
        </w:r>
      </w:hyperlink>
      <w:r>
        <w:rPr/>
        <w:t>的《第四届董事会</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spacing w:val="-3"/>
        </w:rPr>
        <w:t>年第</w:t>
      </w:r>
      <w:r>
        <w:rPr>
          <w:spacing w:val="-103"/>
        </w:rPr>
        <w:t> </w:t>
      </w:r>
      <w:r>
        <w:rPr>
          <w:spacing w:val="-17"/>
          <w:w w:val="100"/>
        </w:rPr>
        <w:t>四次临时会议决议公告》（</w:t>
      </w:r>
      <w:r>
        <w:rPr>
          <w:rFonts w:ascii="Times New Roman" w:hAnsi="Times New Roman" w:cs="Times New Roman" w:eastAsia="Times New Roman" w:hint="default"/>
          <w:spacing w:val="-17"/>
          <w:w w:val="100"/>
        </w:rPr>
        <w:t>2011-16</w:t>
      </w:r>
      <w:r>
        <w:rPr>
          <w:spacing w:val="-17"/>
          <w:w w:val="100"/>
        </w:rPr>
        <w:t>）。</w:t>
      </w:r>
      <w:r>
        <w:rPr>
          <w:w w:val="100"/>
        </w:rPr>
      </w:r>
    </w:p>
    <w:p>
      <w:pPr>
        <w:pStyle w:val="BodyText"/>
        <w:spacing w:line="240" w:lineRule="auto" w:before="22"/>
        <w:ind w:left="565" w:right="0"/>
        <w:jc w:val="left"/>
      </w:pPr>
      <w:r>
        <w:rPr>
          <w:rFonts w:ascii="Times New Roman" w:hAnsi="Times New Roman" w:cs="Times New Roman" w:eastAsia="Times New Roman" w:hint="default"/>
          <w:spacing w:val="2"/>
          <w:w w:val="100"/>
        </w:rPr>
        <w:t>6</w:t>
      </w:r>
      <w:r>
        <w:rPr>
          <w:spacing w:val="2"/>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spacing w:val="2"/>
          <w:w w:val="100"/>
        </w:rPr>
        <w:t>1</w:t>
      </w:r>
      <w:r>
        <w:rPr>
          <w:w w:val="100"/>
        </w:rPr>
        <w:t>年</w:t>
      </w:r>
      <w:r>
        <w:rPr>
          <w:rFonts w:ascii="Times New Roman" w:hAnsi="Times New Roman" w:cs="Times New Roman" w:eastAsia="Times New Roman" w:hint="default"/>
          <w:spacing w:val="2"/>
          <w:w w:val="100"/>
        </w:rPr>
        <w:t>4</w:t>
      </w:r>
      <w:r>
        <w:rPr>
          <w:spacing w:val="2"/>
          <w:w w:val="100"/>
        </w:rPr>
        <w:t>月</w:t>
      </w:r>
      <w:r>
        <w:rPr>
          <w:rFonts w:ascii="Times New Roman" w:hAnsi="Times New Roman" w:cs="Times New Roman" w:eastAsia="Times New Roman" w:hint="default"/>
          <w:w w:val="100"/>
        </w:rPr>
        <w:t>12</w:t>
      </w:r>
      <w:r>
        <w:rPr>
          <w:spacing w:val="2"/>
          <w:w w:val="100"/>
        </w:rPr>
        <w:t>日</w:t>
      </w:r>
      <w:r>
        <w:rPr>
          <w:w w:val="100"/>
        </w:rPr>
        <w:t>，</w:t>
      </w:r>
      <w:r>
        <w:rPr>
          <w:spacing w:val="2"/>
          <w:w w:val="100"/>
        </w:rPr>
        <w:t>公</w:t>
      </w:r>
      <w:r>
        <w:rPr>
          <w:w w:val="100"/>
        </w:rPr>
        <w:t>司</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2"/>
          <w:w w:val="100"/>
        </w:rPr>
        <w:t>0</w:t>
      </w:r>
      <w:r>
        <w:rPr>
          <w:w w:val="100"/>
        </w:rPr>
        <w:t>年</w:t>
      </w:r>
      <w:r>
        <w:rPr>
          <w:spacing w:val="2"/>
          <w:w w:val="100"/>
        </w:rPr>
        <w:t>年</w:t>
      </w:r>
      <w:r>
        <w:rPr>
          <w:w w:val="100"/>
        </w:rPr>
        <w:t>度</w:t>
      </w:r>
      <w:r>
        <w:rPr>
          <w:spacing w:val="2"/>
          <w:w w:val="100"/>
        </w:rPr>
        <w:t>股东</w:t>
      </w:r>
      <w:r>
        <w:rPr>
          <w:w w:val="100"/>
        </w:rPr>
        <w:t>大</w:t>
      </w:r>
      <w:r>
        <w:rPr>
          <w:spacing w:val="2"/>
          <w:w w:val="100"/>
        </w:rPr>
        <w:t>会</w:t>
      </w:r>
      <w:r>
        <w:rPr>
          <w:w w:val="100"/>
        </w:rPr>
        <w:t>审</w:t>
      </w:r>
      <w:r>
        <w:rPr>
          <w:spacing w:val="2"/>
          <w:w w:val="100"/>
        </w:rPr>
        <w:t>议</w:t>
      </w:r>
      <w:r>
        <w:rPr>
          <w:w w:val="100"/>
        </w:rPr>
        <w:t>通</w:t>
      </w:r>
      <w:r>
        <w:rPr>
          <w:spacing w:val="2"/>
          <w:w w:val="100"/>
        </w:rPr>
        <w:t>过了</w:t>
      </w:r>
      <w:r>
        <w:rPr>
          <w:w w:val="100"/>
        </w:rPr>
        <w:t>《</w:t>
      </w:r>
      <w:r>
        <w:rPr>
          <w:rFonts w:ascii="Times New Roman" w:hAnsi="Times New Roman" w:cs="Times New Roman" w:eastAsia="Times New Roman" w:hint="default"/>
          <w:w w:val="100"/>
        </w:rPr>
        <w:t>2010</w:t>
      </w:r>
      <w:r>
        <w:rPr>
          <w:spacing w:val="2"/>
          <w:w w:val="100"/>
        </w:rPr>
        <w:t>年</w:t>
      </w:r>
      <w:r>
        <w:rPr>
          <w:w w:val="100"/>
        </w:rPr>
        <w:t>度</w:t>
      </w:r>
      <w:r>
        <w:rPr>
          <w:spacing w:val="2"/>
          <w:w w:val="100"/>
        </w:rPr>
        <w:t>利</w:t>
      </w:r>
      <w:r>
        <w:rPr>
          <w:w w:val="100"/>
        </w:rPr>
        <w:t>润</w:t>
      </w:r>
      <w:r>
        <w:rPr>
          <w:spacing w:val="2"/>
          <w:w w:val="100"/>
        </w:rPr>
        <w:t>分</w:t>
      </w:r>
      <w:r>
        <w:rPr>
          <w:w w:val="100"/>
        </w:rPr>
        <w:t>配</w:t>
      </w:r>
      <w:r>
        <w:rPr>
          <w:spacing w:val="2"/>
          <w:w w:val="100"/>
        </w:rPr>
        <w:t>预案</w:t>
      </w:r>
      <w:r>
        <w:rPr>
          <w:spacing w:val="-106"/>
          <w:w w:val="100"/>
        </w:rPr>
        <w:t>》</w:t>
      </w:r>
      <w:r>
        <w:rPr>
          <w:spacing w:val="2"/>
          <w:w w:val="100"/>
        </w:rPr>
        <w:t>，</w:t>
      </w:r>
      <w:r>
        <w:rPr>
          <w:w w:val="100"/>
        </w:rPr>
        <w:t>公</w:t>
      </w:r>
      <w:r>
        <w:rPr>
          <w:spacing w:val="2"/>
          <w:w w:val="100"/>
        </w:rPr>
        <w:t>司以</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2"/>
          <w:w w:val="100"/>
        </w:rPr>
        <w:t>0</w:t>
      </w:r>
      <w:r>
        <w:rPr>
          <w:w w:val="100"/>
        </w:rPr>
        <w:t>年</w:t>
      </w:r>
    </w:p>
    <w:p>
      <w:pPr>
        <w:pStyle w:val="BodyText"/>
        <w:spacing w:line="338" w:lineRule="auto" w:before="117"/>
        <w:ind w:right="206"/>
        <w:jc w:val="both"/>
      </w:pPr>
      <w:r>
        <w:rPr>
          <w:rFonts w:ascii="Times New Roman" w:hAnsi="Times New Roman" w:cs="Times New Roman" w:eastAsia="Times New Roman" w:hint="default"/>
          <w:spacing w:val="-4"/>
          <w:w w:val="100"/>
        </w:rPr>
        <w:t>12</w:t>
      </w:r>
      <w:r>
        <w:rPr>
          <w:spacing w:val="-4"/>
          <w:w w:val="100"/>
        </w:rPr>
        <w:t>月</w:t>
      </w:r>
      <w:r>
        <w:rPr>
          <w:rFonts w:ascii="Times New Roman" w:hAnsi="Times New Roman" w:cs="Times New Roman" w:eastAsia="Times New Roman" w:hint="default"/>
          <w:spacing w:val="-4"/>
          <w:w w:val="100"/>
        </w:rPr>
        <w:t>31</w:t>
      </w:r>
      <w:r>
        <w:rPr>
          <w:spacing w:val="-4"/>
          <w:w w:val="100"/>
        </w:rPr>
        <w:t>日总股本</w:t>
      </w:r>
      <w:r>
        <w:rPr>
          <w:rFonts w:ascii="Times New Roman" w:hAnsi="Times New Roman" w:cs="Times New Roman" w:eastAsia="Times New Roman" w:hint="default"/>
          <w:spacing w:val="-4"/>
          <w:w w:val="100"/>
        </w:rPr>
        <w:t>224,000,000</w:t>
      </w:r>
      <w:r>
        <w:rPr>
          <w:spacing w:val="-4"/>
          <w:w w:val="100"/>
        </w:rPr>
        <w:t>为基数，向全体股东按每</w:t>
      </w:r>
      <w:r>
        <w:rPr>
          <w:rFonts w:ascii="Times New Roman" w:hAnsi="Times New Roman" w:cs="Times New Roman" w:eastAsia="Times New Roman" w:hint="default"/>
          <w:spacing w:val="-4"/>
          <w:w w:val="100"/>
        </w:rPr>
        <w:t>10</w:t>
      </w:r>
      <w:r>
        <w:rPr>
          <w:spacing w:val="-4"/>
          <w:w w:val="100"/>
        </w:rPr>
        <w:t>股派发现金股利人民币</w:t>
      </w:r>
      <w:r>
        <w:rPr>
          <w:rFonts w:ascii="Times New Roman" w:hAnsi="Times New Roman" w:cs="Times New Roman" w:eastAsia="Times New Roman" w:hint="default"/>
          <w:spacing w:val="-4"/>
          <w:w w:val="100"/>
        </w:rPr>
        <w:t>1</w:t>
      </w:r>
      <w:r>
        <w:rPr>
          <w:spacing w:val="-4"/>
          <w:w w:val="100"/>
        </w:rPr>
        <w:t>元（含税），同时以资本公</w:t>
      </w:r>
      <w:r>
        <w:rPr>
          <w:spacing w:val="-82"/>
          <w:w w:val="100"/>
        </w:rPr>
        <w:t> </w:t>
      </w:r>
      <w:r>
        <w:rPr>
          <w:spacing w:val="-82"/>
          <w:w w:val="100"/>
        </w:rPr>
      </w:r>
      <w:r>
        <w:rPr>
          <w:spacing w:val="-4"/>
        </w:rPr>
        <w:t>积向全体股东每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3.8</w:t>
      </w:r>
      <w:r>
        <w:rPr>
          <w:spacing w:val="-4"/>
        </w:rPr>
        <w:t>股。根据公司《股票期权激励计划（草案）修订案》的有关规定，经公司第四</w:t>
      </w:r>
      <w:r>
        <w:rPr>
          <w:spacing w:val="-6"/>
        </w:rPr>
        <w:t> </w:t>
      </w:r>
      <w:r>
        <w:rPr>
          <w:spacing w:val="-6"/>
        </w:rPr>
      </w:r>
      <w:r>
        <w:rPr>
          <w:spacing w:val="-2"/>
        </w:rPr>
        <w:t>届董事会</w:t>
      </w:r>
      <w:r>
        <w:rPr>
          <w:rFonts w:ascii="Times New Roman" w:hAnsi="Times New Roman" w:cs="Times New Roman" w:eastAsia="Times New Roman" w:hint="default"/>
          <w:spacing w:val="-2"/>
        </w:rPr>
        <w:t>2011</w:t>
      </w:r>
      <w:r>
        <w:rPr>
          <w:spacing w:val="-2"/>
        </w:rPr>
        <w:t>年第四次临时会议审议通过，公司股票期权激励计划的期权数量调整为</w:t>
      </w:r>
      <w:r>
        <w:rPr>
          <w:rFonts w:ascii="Times New Roman" w:hAnsi="Times New Roman" w:cs="Times New Roman" w:eastAsia="Times New Roman" w:hint="default"/>
          <w:spacing w:val="-2"/>
        </w:rPr>
        <w:t>2,243,880</w:t>
      </w:r>
      <w:r>
        <w:rPr>
          <w:spacing w:val="-2"/>
        </w:rPr>
        <w:t>份，各激励</w:t>
      </w:r>
      <w:r>
        <w:rPr>
          <w:spacing w:val="-31"/>
        </w:rPr>
        <w:t> </w:t>
      </w:r>
      <w:r>
        <w:rPr>
          <w:spacing w:val="-31"/>
        </w:rPr>
      </w:r>
      <w:r>
        <w:rPr>
          <w:spacing w:val="-3"/>
        </w:rPr>
        <w:t>对象获授的期权数量进行相应的调整，同时行权价格调整为</w:t>
      </w:r>
      <w:r>
        <w:rPr>
          <w:rFonts w:ascii="Times New Roman" w:hAnsi="Times New Roman" w:cs="Times New Roman" w:eastAsia="Times New Roman" w:hint="default"/>
          <w:spacing w:val="-3"/>
        </w:rPr>
        <w:t>32.32</w:t>
      </w:r>
      <w:r>
        <w:rPr>
          <w:spacing w:val="-3"/>
        </w:rPr>
        <w:t>元。即，满足行权条件后，激励对象获授</w:t>
      </w:r>
      <w:r>
        <w:rPr>
          <w:spacing w:val="-43"/>
        </w:rPr>
        <w:t> </w:t>
      </w:r>
      <w:r>
        <w:rPr>
          <w:spacing w:val="-43"/>
        </w:rPr>
      </w:r>
      <w:r>
        <w:rPr>
          <w:spacing w:val="-1"/>
        </w:rPr>
        <w:t>的每份股票期权拥有在股票期权激励计划有效期内的可行权日以</w:t>
      </w:r>
      <w:r>
        <w:rPr>
          <w:rFonts w:ascii="Times New Roman" w:hAnsi="Times New Roman" w:cs="Times New Roman" w:eastAsia="Times New Roman" w:hint="default"/>
          <w:spacing w:val="-1"/>
        </w:rPr>
        <w:t>32.32</w:t>
      </w:r>
      <w:r>
        <w:rPr>
          <w:spacing w:val="-1"/>
        </w:rPr>
        <w:t>元的价格购买</w:t>
      </w:r>
      <w:r>
        <w:rPr>
          <w:rFonts w:ascii="Times New Roman" w:hAnsi="Times New Roman" w:cs="Times New Roman" w:eastAsia="Times New Roman" w:hint="default"/>
          <w:spacing w:val="-1"/>
        </w:rPr>
        <w:t>1</w:t>
      </w:r>
      <w:r>
        <w:rPr>
          <w:spacing w:val="-1"/>
        </w:rPr>
        <w:t>股公司股票的权利。</w:t>
      </w:r>
      <w:r>
        <w:rPr>
          <w:spacing w:val="-28"/>
        </w:rPr>
        <w:t> </w:t>
      </w:r>
      <w:r>
        <w:rPr>
          <w:spacing w:val="-28"/>
        </w:rPr>
      </w:r>
      <w:r>
        <w:rPr>
          <w:spacing w:val="-2"/>
        </w:rPr>
        <w:t>同时，第四届董事会</w:t>
      </w:r>
      <w:r>
        <w:rPr>
          <w:rFonts w:ascii="Times New Roman" w:hAnsi="Times New Roman" w:cs="Times New Roman" w:eastAsia="Times New Roman" w:hint="default"/>
          <w:spacing w:val="-2"/>
        </w:rPr>
        <w:t>2011</w:t>
      </w:r>
      <w:r>
        <w:rPr>
          <w:spacing w:val="-2"/>
        </w:rPr>
        <w:t>年第四次临时会议审议通过了《关于公司股票期权激励计划已授予的股票期权第</w:t>
      </w:r>
      <w:r>
        <w:rPr>
          <w:spacing w:val="-39"/>
        </w:rPr>
        <w:t> </w:t>
      </w:r>
      <w:r>
        <w:rPr>
          <w:spacing w:val="-39"/>
        </w:rPr>
      </w:r>
      <w:r>
        <w:rPr>
          <w:w w:val="100"/>
        </w:rPr>
        <w:t>一个行权期可行权的议案》。详见</w:t>
      </w:r>
      <w:r>
        <w:rPr>
          <w:rFonts w:ascii="Times New Roman" w:hAnsi="Times New Roman" w:cs="Times New Roman" w:eastAsia="Times New Roman" w:hint="default"/>
          <w:w w:val="100"/>
        </w:rPr>
        <w:t>2011</w:t>
      </w:r>
      <w:r>
        <w:rPr>
          <w:w w:val="100"/>
        </w:rPr>
        <w:t>年</w:t>
      </w:r>
      <w:r>
        <w:rPr>
          <w:rFonts w:ascii="Times New Roman" w:hAnsi="Times New Roman" w:cs="Times New Roman" w:eastAsia="Times New Roman" w:hint="default"/>
          <w:w w:val="100"/>
        </w:rPr>
        <w:t>4</w:t>
      </w:r>
      <w:r>
        <w:rPr>
          <w:w w:val="100"/>
        </w:rPr>
        <w:t>月</w:t>
      </w:r>
      <w:r>
        <w:rPr>
          <w:rFonts w:ascii="Times New Roman" w:hAnsi="Times New Roman" w:cs="Times New Roman" w:eastAsia="Times New Roman" w:hint="default"/>
          <w:w w:val="100"/>
        </w:rPr>
        <w:t>25</w:t>
      </w:r>
      <w:r>
        <w:rPr>
          <w:w w:val="100"/>
        </w:rPr>
        <w:t>日刊登于《中国证券报》、《证券时报》以及巨潮资讯网</w:t>
      </w:r>
      <w:r>
        <w:rPr>
          <w:spacing w:val="-97"/>
          <w:w w:val="100"/>
        </w:rPr>
        <w:t> </w:t>
      </w:r>
      <w:r>
        <w:rPr>
          <w:spacing w:val="-97"/>
          <w:w w:val="100"/>
        </w:rPr>
      </w:r>
      <w:r>
        <w:rPr>
          <w:rFonts w:ascii="Times New Roman" w:hAnsi="Times New Roman" w:cs="Times New Roman" w:eastAsia="Times New Roman" w:hint="default"/>
          <w:color w:val="0000FF"/>
          <w:spacing w:val="-97"/>
          <w:w w:val="100"/>
        </w:rPr>
      </w:r>
      <w:hyperlink r:id="rId12">
        <w:r>
          <w:rPr>
            <w:rFonts w:ascii="Times New Roman" w:hAnsi="Times New Roman" w:cs="Times New Roman" w:eastAsia="Times New Roman" w:hint="default"/>
            <w:color w:val="0000FF"/>
            <w:spacing w:val="-7"/>
            <w:w w:val="100"/>
            <w:u w:val="single" w:color="0000FF"/>
          </w:rPr>
          <w:t>www.cninfo.com.cn</w:t>
        </w:r>
        <w:r>
          <w:rPr>
            <w:rFonts w:ascii="Times New Roman" w:hAnsi="Times New Roman" w:cs="Times New Roman" w:eastAsia="Times New Roman" w:hint="default"/>
            <w:color w:val="0000FF"/>
            <w:spacing w:val="-7"/>
            <w:w w:val="100"/>
          </w:rPr>
        </w:r>
      </w:hyperlink>
      <w:r>
        <w:rPr>
          <w:spacing w:val="-7"/>
          <w:w w:val="100"/>
        </w:rPr>
        <w:t>的《第四届董事会</w:t>
      </w:r>
      <w:r>
        <w:rPr>
          <w:rFonts w:ascii="Times New Roman" w:hAnsi="Times New Roman" w:cs="Times New Roman" w:eastAsia="Times New Roman" w:hint="default"/>
          <w:spacing w:val="-7"/>
          <w:w w:val="100"/>
        </w:rPr>
        <w:t>2011</w:t>
      </w:r>
      <w:r>
        <w:rPr>
          <w:spacing w:val="-7"/>
          <w:w w:val="100"/>
        </w:rPr>
        <w:t>年第四次临时会议决议公告》（</w:t>
      </w:r>
      <w:r>
        <w:rPr>
          <w:rFonts w:ascii="Times New Roman" w:hAnsi="Times New Roman" w:cs="Times New Roman" w:eastAsia="Times New Roman" w:hint="default"/>
          <w:spacing w:val="-7"/>
          <w:w w:val="100"/>
        </w:rPr>
        <w:t>2011-16</w:t>
      </w:r>
      <w:r>
        <w:rPr>
          <w:spacing w:val="-7"/>
          <w:w w:val="100"/>
        </w:rPr>
        <w:t>）、《关于股权激励计划第</w:t>
      </w:r>
      <w:r>
        <w:rPr>
          <w:spacing w:val="-74"/>
          <w:w w:val="100"/>
        </w:rPr>
        <w:t> </w:t>
      </w:r>
      <w:r>
        <w:rPr>
          <w:spacing w:val="-74"/>
          <w:w w:val="100"/>
        </w:rPr>
      </w:r>
      <w:r>
        <w:rPr>
          <w:spacing w:val="-15"/>
          <w:w w:val="100"/>
        </w:rPr>
        <w:t>一个行权期可行权事项的公告》（</w:t>
      </w:r>
      <w:r>
        <w:rPr>
          <w:rFonts w:ascii="Times New Roman" w:hAnsi="Times New Roman" w:cs="Times New Roman" w:eastAsia="Times New Roman" w:hint="default"/>
          <w:spacing w:val="-15"/>
          <w:w w:val="100"/>
        </w:rPr>
        <w:t>2011-18</w:t>
      </w:r>
      <w:r>
        <w:rPr>
          <w:spacing w:val="-15"/>
          <w:w w:val="100"/>
        </w:rPr>
        <w:t>）。</w:t>
      </w:r>
      <w:r>
        <w:rPr>
          <w:w w:val="100"/>
        </w:rPr>
      </w:r>
    </w:p>
    <w:p>
      <w:pPr>
        <w:pStyle w:val="Heading4"/>
        <w:spacing w:line="240" w:lineRule="auto" w:before="22"/>
        <w:ind w:right="0"/>
        <w:jc w:val="left"/>
        <w:rPr>
          <w:b w:val="0"/>
          <w:bCs w:val="0"/>
        </w:rPr>
      </w:pPr>
      <w:r>
        <w:rPr/>
        <w:t>（二）实施股权激励计划对公司财务状况和经营成果的影响</w:t>
      </w:r>
      <w:r>
        <w:rPr>
          <w:b w:val="0"/>
          <w:bCs w:val="0"/>
        </w:rPr>
      </w:r>
    </w:p>
    <w:p>
      <w:pPr>
        <w:pStyle w:val="BodyText"/>
        <w:spacing w:line="240" w:lineRule="auto" w:before="133"/>
        <w:ind w:left="572"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年度公司因离职和职务发生变动的激励对象合并所获授的</w:t>
      </w:r>
      <w:r>
        <w:rPr>
          <w:spacing w:val="-52"/>
        </w:rPr>
        <w:t> </w:t>
      </w:r>
      <w:r>
        <w:rPr>
          <w:rFonts w:ascii="Times New Roman" w:hAnsi="Times New Roman" w:cs="Times New Roman" w:eastAsia="Times New Roman" w:hint="default"/>
        </w:rPr>
        <w:t>1,383,000.00</w:t>
      </w:r>
      <w:r>
        <w:rPr>
          <w:rFonts w:ascii="Times New Roman" w:hAnsi="Times New Roman" w:cs="Times New Roman" w:eastAsia="Times New Roman" w:hint="default"/>
          <w:spacing w:val="-1"/>
        </w:rPr>
        <w:t> </w:t>
      </w:r>
      <w:r>
        <w:rPr>
          <w:spacing w:val="-3"/>
        </w:rPr>
        <w:t>份股票期权予以注销，根</w:t>
      </w:r>
    </w:p>
    <w:p>
      <w:pPr>
        <w:pStyle w:val="BodyText"/>
        <w:spacing w:line="240" w:lineRule="auto" w:before="119"/>
        <w:ind w:right="0"/>
        <w:jc w:val="both"/>
      </w:pPr>
      <w:r>
        <w:rPr/>
        <w:t>据布莱克－斯科尔期权定价模型，按截止至</w:t>
      </w:r>
      <w:r>
        <w:rPr>
          <w:spacing w:val="-53"/>
        </w:rPr>
        <w:t> </w:t>
      </w:r>
      <w:r>
        <w:rPr>
          <w:rFonts w:ascii="Times New Roman" w:hAnsi="Times New Roman" w:cs="Times New Roman" w:eastAsia="Times New Roman" w:hint="default"/>
          <w:spacing w:val="-3"/>
        </w:rPr>
        <w:t>2011 </w:t>
      </w:r>
      <w:r>
        <w:rPr/>
        <w:t>年</w:t>
      </w:r>
      <w:r>
        <w:rPr>
          <w:spacing w:val="-55"/>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日预计行权人数及数量计算</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spacing w:val="-3"/>
        </w:rPr>
        <w:t>年度股权激</w:t>
      </w:r>
      <w:r>
        <w:rPr/>
      </w:r>
    </w:p>
    <w:p>
      <w:pPr>
        <w:pStyle w:val="BodyText"/>
        <w:spacing w:line="240" w:lineRule="auto" w:before="117"/>
        <w:ind w:left="153" w:right="0"/>
        <w:jc w:val="both"/>
      </w:pPr>
      <w:r>
        <w:rPr/>
        <w:t>励成本为</w:t>
      </w:r>
      <w:r>
        <w:rPr>
          <w:spacing w:val="-56"/>
        </w:rPr>
        <w:t> </w:t>
      </w:r>
      <w:r>
        <w:rPr>
          <w:rFonts w:ascii="Times New Roman" w:hAnsi="Times New Roman" w:cs="Times New Roman" w:eastAsia="Times New Roman" w:hint="default"/>
        </w:rPr>
        <w:t>2,718,521.23</w:t>
      </w:r>
      <w:r>
        <w:rPr>
          <w:rFonts w:ascii="Times New Roman" w:hAnsi="Times New Roman" w:cs="Times New Roman" w:eastAsia="Times New Roman" w:hint="default"/>
          <w:spacing w:val="-3"/>
        </w:rPr>
        <w:t> </w:t>
      </w:r>
      <w:r>
        <w:rPr/>
        <w:t>元，该项费用计入报告期公司管理费用，同时增加资本公积。</w:t>
      </w:r>
    </w:p>
    <w:p>
      <w:pPr>
        <w:spacing w:line="355" w:lineRule="auto" w:before="117"/>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（三）股权激励行权情况</w:t>
      </w:r>
      <w:r>
        <w:rPr>
          <w:rFonts w:ascii="宋体" w:hAnsi="宋体" w:cs="宋体" w:eastAsia="宋体" w:hint="default"/>
          <w:b/>
          <w:bCs/>
          <w:w w:val="100"/>
          <w:sz w:val="21"/>
          <w:szCs w:val="21"/>
        </w:rPr>
        <w:t> </w:t>
      </w:r>
      <w:r>
        <w:rPr>
          <w:rFonts w:ascii="宋体" w:hAnsi="宋体" w:cs="宋体" w:eastAsia="宋体" w:hint="default"/>
          <w:spacing w:val="-2"/>
          <w:sz w:val="21"/>
          <w:szCs w:val="21"/>
        </w:rPr>
        <w:t>根据公司《股票期权激励方案（草案）修订案》的规定，在满足行权条件的情况下，公司本次股票期</w:t>
      </w:r>
    </w:p>
    <w:p>
      <w:pPr>
        <w:pStyle w:val="BodyText"/>
        <w:spacing w:line="338" w:lineRule="auto" w:before="32"/>
        <w:ind w:left="565" w:right="0" w:hanging="414"/>
        <w:jc w:val="left"/>
      </w:pPr>
      <w:r>
        <w:rPr/>
        <w:t>权激励计划将于</w:t>
      </w:r>
      <w:r>
        <w:rPr>
          <w:spacing w:val="-53"/>
        </w:rPr>
        <w:t> </w:t>
      </w:r>
      <w:r>
        <w:rPr>
          <w:rFonts w:ascii="Times New Roman" w:hAnsi="Times New Roman" w:cs="Times New Roman" w:eastAsia="Times New Roman" w:hint="default"/>
          <w:spacing w:val="-3"/>
        </w:rPr>
        <w:t>2011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日进入第一期行权期，激励对象可选择</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日前行权。</w:t>
      </w:r>
      <w:r>
        <w:rPr>
          <w:spacing w:val="-3"/>
          <w:w w:val="100"/>
        </w:rPr>
        <w:t> </w:t>
      </w:r>
      <w:r>
        <w:rPr/>
        <w:t>截止本报告出具日，没有激励对象行权。</w:t>
      </w:r>
    </w:p>
    <w:p>
      <w:pPr>
        <w:spacing w:line="240" w:lineRule="auto" w:before="11"/>
        <w:rPr>
          <w:rFonts w:ascii="宋体" w:hAnsi="宋体" w:cs="宋体" w:eastAsia="宋体" w:hint="default"/>
          <w:sz w:val="24"/>
          <w:szCs w:val="24"/>
        </w:rPr>
      </w:pPr>
    </w:p>
    <w:p>
      <w:pPr>
        <w:pStyle w:val="Heading4"/>
        <w:spacing w:line="240" w:lineRule="auto"/>
        <w:ind w:left="572" w:right="0"/>
        <w:jc w:val="left"/>
        <w:rPr>
          <w:b w:val="0"/>
          <w:bCs w:val="0"/>
        </w:rPr>
      </w:pPr>
      <w:r>
        <w:rPr/>
        <w:t>六、重大关联交易事项</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52"/>
        <w:ind w:left="572" w:right="0"/>
        <w:jc w:val="left"/>
        <w:rPr>
          <w:b w:val="0"/>
          <w:bCs w:val="0"/>
        </w:rPr>
      </w:pPr>
      <w:r>
        <w:rPr/>
        <w:t>（一）报告期内，公司未发生与日常经营相关的关联交易事项</w:t>
      </w:r>
      <w:r>
        <w:rPr>
          <w:b w:val="0"/>
          <w:bCs w:val="0"/>
        </w:rPr>
      </w:r>
    </w:p>
    <w:p>
      <w:pPr>
        <w:spacing w:after="0" w:line="240" w:lineRule="auto"/>
        <w:jc w:val="left"/>
        <w:sectPr>
          <w:pgSz w:w="11910" w:h="16840"/>
          <w:pgMar w:header="850" w:footer="979" w:top="1200" w:bottom="1160" w:left="980" w:right="920"/>
        </w:sectPr>
      </w:pPr>
    </w:p>
    <w:p>
      <w:pPr>
        <w:pStyle w:val="Heading4"/>
        <w:spacing w:line="240" w:lineRule="auto" w:before="30"/>
        <w:ind w:left="572" w:right="3480"/>
        <w:jc w:val="left"/>
        <w:rPr>
          <w:b w:val="0"/>
          <w:bCs w:val="0"/>
        </w:rPr>
      </w:pPr>
      <w:r>
        <w:rPr/>
        <w:pict>
          <v:group style="position:absolute;margin-left:55.200001pt;margin-top:2.843687pt;width:484.8pt;height:.1pt;mso-position-horizontal-relative:page;mso-position-vertical-relative:paragraph;z-index:-772000" coordorigin="1104,57" coordsize="9696,2">
            <v:shape style="position:absolute;left:1104;top:57;width:9696;height:2" coordorigin="1104,57" coordsize="9696,0" path="m1104,57l10800,57e" filled="false" stroked="true" strokeweight=".72pt" strokecolor="#000000">
              <v:path arrowok="t"/>
            </v:shape>
            <w10:wrap type="none"/>
          </v:group>
        </w:pict>
      </w:r>
      <w:r>
        <w:rPr/>
        <w:t>（二）报告期内，公司无资产收购、出售发生的关联交易事项</w:t>
      </w:r>
      <w:r>
        <w:rPr>
          <w:b w:val="0"/>
          <w:bCs w:val="0"/>
        </w:rPr>
      </w:r>
    </w:p>
    <w:p>
      <w:pPr>
        <w:spacing w:line="240" w:lineRule="auto" w:before="2"/>
        <w:rPr>
          <w:rFonts w:ascii="宋体" w:hAnsi="宋体" w:cs="宋体" w:eastAsia="宋体" w:hint="default"/>
          <w:b/>
          <w:bCs/>
          <w:sz w:val="21"/>
          <w:szCs w:val="21"/>
        </w:rPr>
      </w:pPr>
    </w:p>
    <w:p>
      <w:pPr>
        <w:pStyle w:val="Heading4"/>
        <w:spacing w:line="240" w:lineRule="auto"/>
        <w:ind w:left="572" w:right="0"/>
        <w:jc w:val="left"/>
        <w:rPr>
          <w:b w:val="0"/>
          <w:bCs w:val="0"/>
        </w:rPr>
      </w:pPr>
      <w:r>
        <w:rPr/>
        <w:t>（三）报告期内，公司无与关联方共同投资发生的关联交易事项</w:t>
      </w:r>
      <w:r>
        <w:rPr>
          <w:b w:val="0"/>
          <w:bCs w:val="0"/>
        </w:rPr>
      </w:r>
    </w:p>
    <w:p>
      <w:pPr>
        <w:spacing w:line="240" w:lineRule="auto" w:before="2"/>
        <w:rPr>
          <w:rFonts w:ascii="宋体" w:hAnsi="宋体" w:cs="宋体" w:eastAsia="宋体" w:hint="default"/>
          <w:b/>
          <w:bCs/>
          <w:sz w:val="21"/>
          <w:szCs w:val="21"/>
        </w:rPr>
      </w:pPr>
    </w:p>
    <w:p>
      <w:pPr>
        <w:pStyle w:val="Heading4"/>
        <w:spacing w:line="240" w:lineRule="auto"/>
        <w:ind w:left="572" w:right="3480"/>
        <w:jc w:val="left"/>
        <w:rPr>
          <w:b w:val="0"/>
          <w:bCs w:val="0"/>
        </w:rPr>
      </w:pPr>
      <w:r>
        <w:rPr/>
        <w:t>（四）报告期内，公司与关联方债权债务往来、担保事项</w:t>
      </w:r>
      <w:r>
        <w:rPr>
          <w:b w:val="0"/>
          <w:bCs w:val="0"/>
        </w:rPr>
      </w:r>
    </w:p>
    <w:p>
      <w:pPr>
        <w:spacing w:line="240" w:lineRule="auto" w:before="2"/>
        <w:rPr>
          <w:rFonts w:ascii="宋体" w:hAnsi="宋体" w:cs="宋体" w:eastAsia="宋体" w:hint="default"/>
          <w:b/>
          <w:bCs/>
          <w:sz w:val="21"/>
          <w:szCs w:val="21"/>
        </w:rPr>
      </w:pPr>
    </w:p>
    <w:p>
      <w:pPr>
        <w:pStyle w:val="BodyText"/>
        <w:spacing w:line="338" w:lineRule="auto"/>
        <w:ind w:left="572" w:right="0"/>
        <w:jc w:val="left"/>
      </w:pPr>
      <w:r>
        <w:rPr>
          <w:rFonts w:ascii="Times New Roman" w:hAnsi="Times New Roman" w:cs="Times New Roman" w:eastAsia="Times New Roman" w:hint="default"/>
        </w:rPr>
        <w:t>1</w:t>
      </w:r>
      <w:r>
        <w:rPr/>
        <w:t>、注册会计师对本公司控股股东及其他关联方占用资金情况的专项说明</w:t>
      </w:r>
      <w:r>
        <w:rPr>
          <w:w w:val="100"/>
        </w:rPr>
        <w:t> </w:t>
      </w:r>
      <w:r>
        <w:rPr>
          <w:spacing w:val="-2"/>
        </w:rPr>
        <w:t>我们接受委托，依据《中国注册会计师审计准则》审计了北京中长石基信息技术股份有限公司（以下</w:t>
      </w:r>
    </w:p>
    <w:p>
      <w:pPr>
        <w:pStyle w:val="BodyText"/>
        <w:spacing w:line="336" w:lineRule="auto" w:before="47"/>
        <w:ind w:right="148"/>
        <w:jc w:val="both"/>
      </w:pPr>
      <w:r>
        <w:rPr>
          <w:spacing w:val="-4"/>
        </w:rPr>
        <w:t>简称</w:t>
      </w:r>
      <w:r>
        <w:rPr>
          <w:rFonts w:ascii="Times New Roman" w:hAnsi="Times New Roman" w:cs="Times New Roman" w:eastAsia="Times New Roman" w:hint="default"/>
          <w:spacing w:val="-4"/>
        </w:rPr>
        <w:t>“</w:t>
      </w:r>
      <w:r>
        <w:rPr>
          <w:spacing w:val="-4"/>
        </w:rPr>
        <w:t>石基信息</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4"/>
        </w:rPr>
        <w:t>日的合并及母公司资产负债表，</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8"/>
        </w:rPr>
        <w:t> </w:t>
      </w:r>
      <w:r>
        <w:rPr>
          <w:spacing w:val="-4"/>
        </w:rPr>
        <w:t>年度的合并及母公司利润表、合并</w:t>
      </w:r>
      <w:r>
        <w:rPr>
          <w:spacing w:val="-99"/>
        </w:rPr>
        <w:t> </w:t>
      </w:r>
      <w:r>
        <w:rPr>
          <w:spacing w:val="-99"/>
        </w:rPr>
      </w:r>
      <w:r>
        <w:rPr/>
        <w:t>及母公司现金流量表、合并及母公司股东权益变动表、以用财务报表附注，并于</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日出具了</w:t>
      </w:r>
      <w:r>
        <w:rPr>
          <w:w w:val="100"/>
        </w:rPr>
        <w:t> </w:t>
      </w:r>
      <w:r>
        <w:rPr>
          <w:spacing w:val="-1"/>
          <w:w w:val="100"/>
        </w:rPr>
        <w:t>众环审字（</w:t>
      </w:r>
      <w:r>
        <w:rPr>
          <w:rFonts w:ascii="Times New Roman" w:hAnsi="Times New Roman" w:cs="Times New Roman" w:eastAsia="Times New Roman" w:hint="default"/>
          <w:spacing w:val="-1"/>
          <w:w w:val="100"/>
        </w:rPr>
        <w:t>2012</w:t>
      </w:r>
      <w:r>
        <w:rPr>
          <w:spacing w:val="-1"/>
          <w:w w:val="100"/>
        </w:rPr>
        <w:t>）</w:t>
      </w:r>
      <w:r>
        <w:rPr>
          <w:rFonts w:ascii="Times New Roman" w:hAnsi="Times New Roman" w:cs="Times New Roman" w:eastAsia="Times New Roman" w:hint="default"/>
          <w:spacing w:val="-1"/>
          <w:w w:val="100"/>
        </w:rPr>
        <w:t>399</w:t>
      </w:r>
      <w:r>
        <w:rPr>
          <w:rFonts w:ascii="Times New Roman" w:hAnsi="Times New Roman" w:cs="Times New Roman" w:eastAsia="Times New Roman" w:hint="default"/>
          <w:spacing w:val="5"/>
          <w:w w:val="100"/>
        </w:rPr>
        <w:t> </w:t>
      </w:r>
      <w:r>
        <w:rPr>
          <w:spacing w:val="-15"/>
          <w:w w:val="100"/>
        </w:rPr>
        <w:t>号《审计报告》。</w:t>
      </w:r>
    </w:p>
    <w:p>
      <w:pPr>
        <w:pStyle w:val="BodyText"/>
        <w:spacing w:line="357" w:lineRule="auto" w:before="24"/>
        <w:ind w:right="0" w:firstLine="420"/>
        <w:jc w:val="left"/>
      </w:pPr>
      <w:r>
        <w:rPr>
          <w:spacing w:val="-2"/>
        </w:rPr>
        <w:t>根据中国证券监督管理委员会《关于规范上市公司与关联方资金往来及上市公司对外担保若干问题的</w:t>
      </w:r>
      <w:r>
        <w:rPr>
          <w:w w:val="100"/>
        </w:rPr>
        <w:t> </w:t>
      </w:r>
      <w:r>
        <w:rPr>
          <w:spacing w:val="-1"/>
          <w:w w:val="100"/>
        </w:rPr>
        <w:t>通知（证监发</w:t>
      </w:r>
      <w:r>
        <w:rPr>
          <w:rFonts w:ascii="Times New Roman" w:hAnsi="Times New Roman" w:cs="Times New Roman" w:eastAsia="Times New Roman" w:hint="default"/>
          <w:spacing w:val="-1"/>
          <w:w w:val="100"/>
        </w:rPr>
        <w:t>[2003]56</w:t>
      </w:r>
      <w:r>
        <w:rPr>
          <w:rFonts w:ascii="Times New Roman" w:hAnsi="Times New Roman" w:cs="Times New Roman" w:eastAsia="Times New Roman" w:hint="default"/>
          <w:w w:val="100"/>
        </w:rPr>
        <w:t> </w:t>
      </w:r>
      <w:r>
        <w:rPr>
          <w:spacing w:val="-7"/>
          <w:w w:val="100"/>
        </w:rPr>
        <w:t>号文）》的要求，石基信息公司编制了后附的截至</w:t>
      </w:r>
      <w:r>
        <w:rPr>
          <w:spacing w:val="-53"/>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w w:val="100"/>
        </w:rPr>
        <w:t> </w:t>
      </w:r>
      <w:r>
        <w:rPr>
          <w:w w:val="100"/>
        </w:rPr>
        <w:t>年</w:t>
      </w:r>
      <w:r>
        <w:rPr>
          <w:spacing w:val="-50"/>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4"/>
          <w:w w:val="100"/>
        </w:rPr>
        <w:t> </w:t>
      </w:r>
      <w:r>
        <w:rPr>
          <w:w w:val="100"/>
        </w:rPr>
        <w:t>月</w:t>
      </w:r>
      <w:r>
        <w:rPr>
          <w:spacing w:val="-50"/>
          <w:w w:val="100"/>
        </w:rPr>
        <w:t> </w:t>
      </w:r>
      <w:r>
        <w:rPr>
          <w:rFonts w:ascii="Times New Roman" w:hAnsi="Times New Roman" w:cs="Times New Roman" w:eastAsia="Times New Roman" w:hint="default"/>
          <w:spacing w:val="-2"/>
          <w:w w:val="100"/>
        </w:rPr>
        <w:t>31</w:t>
      </w:r>
      <w:r>
        <w:rPr>
          <w:rFonts w:ascii="Times New Roman" w:hAnsi="Times New Roman" w:cs="Times New Roman" w:eastAsia="Times New Roman" w:hint="default"/>
          <w:spacing w:val="4"/>
          <w:w w:val="100"/>
        </w:rPr>
        <w:t> </w:t>
      </w:r>
      <w:r>
        <w:rPr>
          <w:spacing w:val="-3"/>
          <w:w w:val="100"/>
        </w:rPr>
        <w:t>日止石基信息公</w:t>
      </w:r>
      <w:r>
        <w:rPr>
          <w:w w:val="100"/>
        </w:rPr>
      </w:r>
    </w:p>
    <w:p>
      <w:pPr>
        <w:pStyle w:val="BodyText"/>
        <w:spacing w:line="336" w:lineRule="auto" w:before="3"/>
        <w:ind w:left="573" w:right="0" w:hanging="421"/>
        <w:jc w:val="left"/>
      </w:pPr>
      <w:r>
        <w:rPr>
          <w:spacing w:val="-2"/>
          <w:w w:val="100"/>
        </w:rPr>
        <w:t>司控股股东及其他关联方</w:t>
      </w:r>
      <w:r>
        <w:rPr>
          <w:spacing w:val="-55"/>
          <w:w w:val="100"/>
        </w:rPr>
        <w:t> </w:t>
      </w:r>
      <w:r>
        <w:rPr>
          <w:rFonts w:ascii="Times New Roman" w:hAnsi="Times New Roman" w:cs="Times New Roman" w:eastAsia="Times New Roman" w:hint="default"/>
          <w:spacing w:val="-2"/>
          <w:w w:val="100"/>
        </w:rPr>
        <w:t>2011</w:t>
      </w:r>
      <w:r>
        <w:rPr>
          <w:rFonts w:ascii="Times New Roman" w:hAnsi="Times New Roman" w:cs="Times New Roman" w:eastAsia="Times New Roman" w:hint="default"/>
          <w:spacing w:val="-3"/>
          <w:w w:val="100"/>
        </w:rPr>
        <w:t> </w:t>
      </w:r>
      <w:r>
        <w:rPr>
          <w:spacing w:val="-6"/>
          <w:w w:val="100"/>
        </w:rPr>
        <w:t>年度《非经营性资金占用及其他关联资金往来情况汇总表》。</w:t>
      </w:r>
      <w:r>
        <w:rPr>
          <w:spacing w:val="-81"/>
          <w:w w:val="100"/>
        </w:rPr>
        <w:t> </w:t>
      </w:r>
      <w:r>
        <w:rPr>
          <w:spacing w:val="-81"/>
          <w:w w:val="100"/>
        </w:rPr>
      </w:r>
      <w:r>
        <w:rPr>
          <w:spacing w:val="-2"/>
        </w:rPr>
        <w:t>如实编制《非经营性资金占用及其他关联资金往来情况汇总表》并确保其真实、合法及完整是石基信</w:t>
      </w:r>
    </w:p>
    <w:p>
      <w:pPr>
        <w:pStyle w:val="BodyText"/>
        <w:spacing w:line="357" w:lineRule="auto" w:before="49"/>
        <w:ind w:left="153" w:right="146"/>
        <w:jc w:val="both"/>
      </w:pPr>
      <w:r>
        <w:rPr>
          <w:spacing w:val="-2"/>
        </w:rPr>
        <w:t>息公司管理当局的责任。我们对《非经营性资金占用及其他关联资金往来情况汇总表》所载资料与石基信</w:t>
      </w:r>
      <w:r>
        <w:rPr>
          <w:spacing w:val="-43"/>
        </w:rPr>
        <w:t> </w:t>
      </w:r>
      <w:r>
        <w:rPr>
          <w:spacing w:val="-43"/>
        </w:rPr>
      </w:r>
      <w:r>
        <w:rPr/>
        <w:t>息公司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3"/>
        </w:rPr>
        <w:t> </w:t>
      </w:r>
      <w:r>
        <w:rPr/>
        <w:t>年度已审的财务报表及相关资料的内容进行了核对，在所有重大方面未发现不一致之处。除</w:t>
      </w:r>
    </w:p>
    <w:p>
      <w:pPr>
        <w:pStyle w:val="BodyText"/>
        <w:spacing w:line="336" w:lineRule="auto" w:before="3"/>
        <w:ind w:left="153" w:right="146"/>
        <w:jc w:val="both"/>
      </w:pPr>
      <w:r>
        <w:rPr/>
        <w:t>了对贵公司实施于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8"/>
        </w:rPr>
        <w:t> </w:t>
      </w:r>
      <w:r>
        <w:rPr/>
        <w:t>年度财务报表审计中所执行的对关联方交易的相关审计程序外，我们并未对资金</w:t>
      </w:r>
      <w:r>
        <w:rPr>
          <w:w w:val="100"/>
        </w:rPr>
        <w:t> </w:t>
      </w:r>
      <w:r>
        <w:rPr/>
        <w:t>占用情况表所载资料执行额外的审计或其他程序。</w:t>
      </w:r>
    </w:p>
    <w:p>
      <w:pPr>
        <w:pStyle w:val="BodyText"/>
        <w:spacing w:line="355" w:lineRule="auto" w:before="49"/>
        <w:ind w:right="0" w:firstLine="420"/>
        <w:jc w:val="left"/>
      </w:pPr>
      <w:r>
        <w:rPr>
          <w:spacing w:val="-2"/>
        </w:rPr>
        <w:t>年度控股股东及其他关联方资金年度控股股东及其他关联方资金占用情况，资金占用情况表应当与已</w:t>
      </w:r>
      <w:r>
        <w:rPr>
          <w:w w:val="100"/>
        </w:rPr>
        <w:t> </w:t>
      </w:r>
      <w:r>
        <w:rPr/>
        <w:t>审计的财务报表一并阅读。</w:t>
      </w:r>
    </w:p>
    <w:p>
      <w:pPr>
        <w:pStyle w:val="BodyText"/>
        <w:spacing w:line="355" w:lineRule="auto" w:before="34"/>
        <w:ind w:right="0" w:firstLine="420"/>
        <w:jc w:val="left"/>
      </w:pPr>
      <w:r>
        <w:rPr>
          <w:spacing w:val="2"/>
        </w:rPr>
        <w:t>本专项说明仅供贵公司向中国证监会北京监管局及深圳证券交易所披露控股股东及其他关联方占用</w:t>
      </w:r>
      <w:r>
        <w:rPr>
          <w:w w:val="100"/>
        </w:rPr>
        <w:t> </w:t>
      </w:r>
      <w:r>
        <w:rPr/>
        <w:t>资金情况之用，不得用作任何其他目的。</w:t>
      </w:r>
    </w:p>
    <w:p>
      <w:pPr>
        <w:spacing w:after="0" w:line="355" w:lineRule="auto"/>
        <w:jc w:val="left"/>
        <w:sectPr>
          <w:pgSz w:w="11910" w:h="16840"/>
          <w:pgMar w:header="850" w:footer="979" w:top="1200" w:bottom="1160" w:left="980" w:right="980"/>
        </w:sectPr>
      </w:pPr>
    </w:p>
    <w:p>
      <w:pPr>
        <w:spacing w:line="240" w:lineRule="auto" w:before="10"/>
        <w:rPr>
          <w:rFonts w:ascii="宋体" w:hAnsi="宋体" w:cs="宋体" w:eastAsia="宋体" w:hint="default"/>
          <w:sz w:val="3"/>
          <w:szCs w:val="3"/>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732.15pt;height:.75pt;mso-position-horizontal-relative:char;mso-position-vertical-relative:line" coordorigin="0,0" coordsize="14643,15">
            <v:group style="position:absolute;left:7;top:7;width:14628;height:2" coordorigin="7,7" coordsize="14628,2">
              <v:shape style="position:absolute;left:7;top:7;width:14628;height:2" coordorigin="7,7" coordsize="14628,0" path="m7,7l14635,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6"/>
          <w:szCs w:val="16"/>
        </w:rPr>
      </w:pPr>
    </w:p>
    <w:p>
      <w:pPr>
        <w:spacing w:before="0"/>
        <w:ind w:left="2056" w:right="0" w:firstLine="0"/>
        <w:jc w:val="left"/>
        <w:rPr>
          <w:rFonts w:ascii="黑体" w:hAnsi="黑体" w:cs="黑体" w:eastAsia="黑体" w:hint="default"/>
          <w:sz w:val="32"/>
          <w:szCs w:val="32"/>
        </w:rPr>
      </w:pPr>
      <w:r>
        <w:rPr>
          <w:rFonts w:ascii="黑体" w:hAnsi="黑体" w:cs="黑体" w:eastAsia="黑体" w:hint="default"/>
          <w:b/>
          <w:bCs/>
          <w:sz w:val="32"/>
          <w:szCs w:val="32"/>
        </w:rPr>
        <w:t>北京中长石基信息技术股份有限公司控股股东及其他关联方资金占用情况汇总表</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tabs>
          <w:tab w:pos="7921" w:val="left" w:leader="none"/>
          <w:tab w:pos="12433" w:val="left" w:leader="none"/>
        </w:tabs>
        <w:spacing w:before="272"/>
        <w:ind w:left="212" w:right="0" w:firstLine="0"/>
        <w:jc w:val="left"/>
        <w:rPr>
          <w:rFonts w:ascii="宋体" w:hAnsi="宋体" w:cs="宋体" w:eastAsia="宋体" w:hint="default"/>
          <w:sz w:val="20"/>
          <w:szCs w:val="20"/>
        </w:rPr>
      </w:pPr>
      <w:r>
        <w:rPr>
          <w:rFonts w:ascii="宋体" w:hAnsi="宋体" w:cs="宋体" w:eastAsia="宋体" w:hint="default"/>
          <w:w w:val="95"/>
          <w:sz w:val="20"/>
          <w:szCs w:val="20"/>
        </w:rPr>
        <w:t>编制单位：北京石基信息技术股份有限公司</w:t>
        <w:tab/>
      </w:r>
      <w:r>
        <w:rPr>
          <w:rFonts w:ascii="Times New Roman" w:hAnsi="Times New Roman" w:cs="Times New Roman" w:eastAsia="Times New Roman" w:hint="default"/>
          <w:sz w:val="20"/>
          <w:szCs w:val="20"/>
        </w:rPr>
        <w:t>2011 </w:t>
      </w:r>
      <w:r>
        <w:rPr>
          <w:rFonts w:ascii="宋体" w:hAnsi="宋体" w:cs="宋体" w:eastAsia="宋体" w:hint="default"/>
          <w:sz w:val="20"/>
          <w:szCs w:val="20"/>
        </w:rPr>
        <w:t>年度</w:t>
        <w:tab/>
        <w:t>单位：人民币万元</w:t>
      </w:r>
    </w:p>
    <w:p>
      <w:pPr>
        <w:spacing w:line="240" w:lineRule="auto" w:before="12"/>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251"/>
        <w:gridCol w:w="2662"/>
        <w:gridCol w:w="1320"/>
        <w:gridCol w:w="1474"/>
        <w:gridCol w:w="1118"/>
        <w:gridCol w:w="1147"/>
        <w:gridCol w:w="1190"/>
        <w:gridCol w:w="1056"/>
        <w:gridCol w:w="972"/>
        <w:gridCol w:w="1438"/>
      </w:tblGrid>
      <w:tr>
        <w:trPr>
          <w:trHeight w:val="787"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非经营性资金占用</w:t>
            </w:r>
            <w:r>
              <w:rPr>
                <w:rFonts w:ascii="宋体" w:hAnsi="宋体" w:cs="宋体" w:eastAsia="宋体" w:hint="default"/>
                <w:sz w:val="20"/>
                <w:szCs w:val="20"/>
              </w:rPr>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26" w:right="0"/>
              <w:jc w:val="left"/>
              <w:rPr>
                <w:rFonts w:ascii="宋体" w:hAnsi="宋体" w:cs="宋体" w:eastAsia="宋体" w:hint="default"/>
                <w:sz w:val="20"/>
                <w:szCs w:val="20"/>
              </w:rPr>
            </w:pPr>
            <w:r>
              <w:rPr>
                <w:rFonts w:ascii="宋体" w:hAnsi="宋体" w:cs="宋体" w:eastAsia="宋体" w:hint="default"/>
                <w:sz w:val="20"/>
                <w:szCs w:val="20"/>
              </w:rPr>
              <w:t>资金占用方名称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3" w:right="0"/>
              <w:jc w:val="left"/>
              <w:rPr>
                <w:rFonts w:ascii="宋体" w:hAnsi="宋体" w:cs="宋体" w:eastAsia="宋体" w:hint="default"/>
                <w:sz w:val="20"/>
                <w:szCs w:val="20"/>
              </w:rPr>
            </w:pPr>
            <w:r>
              <w:rPr>
                <w:rFonts w:ascii="宋体" w:hAnsi="宋体" w:cs="宋体" w:eastAsia="宋体" w:hint="default"/>
                <w:sz w:val="20"/>
                <w:szCs w:val="20"/>
              </w:rPr>
              <w:t>占用方与上</w:t>
            </w:r>
          </w:p>
          <w:p>
            <w:pPr>
              <w:pStyle w:val="TableParagraph"/>
              <w:spacing w:line="260" w:lineRule="exact" w:before="24"/>
              <w:ind w:left="355" w:right="156" w:hanging="202"/>
              <w:jc w:val="left"/>
              <w:rPr>
                <w:rFonts w:ascii="宋体" w:hAnsi="宋体" w:cs="宋体" w:eastAsia="宋体" w:hint="default"/>
                <w:sz w:val="20"/>
                <w:szCs w:val="20"/>
              </w:rPr>
            </w:pPr>
            <w:r>
              <w:rPr>
                <w:rFonts w:ascii="宋体" w:hAnsi="宋体" w:cs="宋体" w:eastAsia="宋体" w:hint="default"/>
                <w:sz w:val="20"/>
                <w:szCs w:val="20"/>
              </w:rPr>
              <w:t>市公司的关</w:t>
            </w:r>
            <w:r>
              <w:rPr>
                <w:rFonts w:ascii="宋体" w:hAnsi="宋体" w:cs="宋体" w:eastAsia="宋体" w:hint="default"/>
                <w:w w:val="99"/>
                <w:sz w:val="20"/>
                <w:szCs w:val="20"/>
              </w:rPr>
              <w:t> </w:t>
            </w:r>
            <w:r>
              <w:rPr>
                <w:rFonts w:ascii="宋体" w:hAnsi="宋体" w:cs="宋体" w:eastAsia="宋体" w:hint="default"/>
                <w:sz w:val="20"/>
                <w:szCs w:val="20"/>
              </w:rPr>
              <w:t>联关系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32" w:right="132" w:hanging="101"/>
              <w:jc w:val="left"/>
              <w:rPr>
                <w:rFonts w:ascii="宋体" w:hAnsi="宋体" w:cs="宋体" w:eastAsia="宋体" w:hint="default"/>
                <w:sz w:val="20"/>
                <w:szCs w:val="20"/>
              </w:rPr>
            </w:pPr>
            <w:r>
              <w:rPr>
                <w:rFonts w:ascii="宋体" w:hAnsi="宋体" w:cs="宋体" w:eastAsia="宋体" w:hint="default"/>
                <w:sz w:val="20"/>
                <w:szCs w:val="20"/>
              </w:rPr>
              <w:t>上市公司核算</w:t>
            </w:r>
            <w:r>
              <w:rPr>
                <w:rFonts w:ascii="宋体" w:hAnsi="宋体" w:cs="宋体" w:eastAsia="宋体" w:hint="default"/>
                <w:w w:val="99"/>
                <w:sz w:val="20"/>
                <w:szCs w:val="20"/>
              </w:rPr>
              <w:t> </w:t>
            </w:r>
            <w:r>
              <w:rPr>
                <w:rFonts w:ascii="宋体" w:hAnsi="宋体" w:cs="宋体" w:eastAsia="宋体" w:hint="default"/>
                <w:sz w:val="20"/>
                <w:szCs w:val="20"/>
              </w:rPr>
              <w:t>的会计科目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55" w:right="0" w:hanging="24"/>
              <w:jc w:val="left"/>
              <w:rPr>
                <w:rFonts w:ascii="宋体" w:hAnsi="宋体" w:cs="宋体" w:eastAsia="宋体" w:hint="default"/>
                <w:sz w:val="20"/>
                <w:szCs w:val="20"/>
              </w:rPr>
            </w:pPr>
            <w:r>
              <w:rPr>
                <w:rFonts w:ascii="Times New Roman" w:hAnsi="Times New Roman" w:cs="Times New Roman" w:eastAsia="Times New Roman" w:hint="default"/>
                <w:sz w:val="20"/>
                <w:szCs w:val="20"/>
              </w:rPr>
              <w:t>2011 </w:t>
            </w:r>
            <w:r>
              <w:rPr>
                <w:rFonts w:ascii="宋体" w:hAnsi="宋体" w:cs="宋体" w:eastAsia="宋体" w:hint="default"/>
                <w:sz w:val="20"/>
                <w:szCs w:val="20"/>
              </w:rPr>
              <w:t>年期</w:t>
            </w:r>
          </w:p>
          <w:p>
            <w:pPr>
              <w:pStyle w:val="TableParagraph"/>
              <w:spacing w:line="260" w:lineRule="exact" w:before="16"/>
              <w:ind w:left="256" w:right="154" w:hanging="101"/>
              <w:jc w:val="left"/>
              <w:rPr>
                <w:rFonts w:ascii="宋体" w:hAnsi="宋体" w:cs="宋体" w:eastAsia="宋体" w:hint="default"/>
                <w:sz w:val="20"/>
                <w:szCs w:val="20"/>
              </w:rPr>
            </w:pPr>
            <w:r>
              <w:rPr>
                <w:rFonts w:ascii="宋体" w:hAnsi="宋体" w:cs="宋体" w:eastAsia="宋体" w:hint="default"/>
                <w:sz w:val="20"/>
                <w:szCs w:val="20"/>
              </w:rPr>
              <w:t>初占用资</w:t>
            </w:r>
            <w:r>
              <w:rPr>
                <w:rFonts w:ascii="宋体" w:hAnsi="宋体" w:cs="宋体" w:eastAsia="宋体" w:hint="default"/>
                <w:w w:val="99"/>
                <w:sz w:val="20"/>
                <w:szCs w:val="20"/>
              </w:rPr>
              <w:t> </w:t>
            </w:r>
            <w:r>
              <w:rPr>
                <w:rFonts w:ascii="宋体" w:hAnsi="宋体" w:cs="宋体" w:eastAsia="宋体" w:hint="default"/>
                <w:sz w:val="20"/>
                <w:szCs w:val="20"/>
              </w:rPr>
              <w:t>金余额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70" w:right="0" w:hanging="24"/>
              <w:jc w:val="left"/>
              <w:rPr>
                <w:rFonts w:ascii="宋体" w:hAnsi="宋体" w:cs="宋体" w:eastAsia="宋体" w:hint="default"/>
                <w:sz w:val="20"/>
                <w:szCs w:val="20"/>
              </w:rPr>
            </w:pPr>
            <w:r>
              <w:rPr>
                <w:rFonts w:ascii="Times New Roman" w:hAnsi="Times New Roman" w:cs="Times New Roman" w:eastAsia="Times New Roman" w:hint="default"/>
                <w:sz w:val="20"/>
                <w:szCs w:val="20"/>
              </w:rPr>
              <w:t>2011 </w:t>
            </w:r>
            <w:r>
              <w:rPr>
                <w:rFonts w:ascii="宋体" w:hAnsi="宋体" w:cs="宋体" w:eastAsia="宋体" w:hint="default"/>
                <w:sz w:val="20"/>
                <w:szCs w:val="20"/>
              </w:rPr>
              <w:t>年度</w:t>
            </w:r>
          </w:p>
          <w:p>
            <w:pPr>
              <w:pStyle w:val="TableParagraph"/>
              <w:spacing w:line="260" w:lineRule="exact" w:before="16"/>
              <w:ind w:left="170" w:right="168"/>
              <w:jc w:val="left"/>
              <w:rPr>
                <w:rFonts w:ascii="宋体" w:hAnsi="宋体" w:cs="宋体" w:eastAsia="宋体" w:hint="default"/>
                <w:sz w:val="20"/>
                <w:szCs w:val="20"/>
              </w:rPr>
            </w:pPr>
            <w:r>
              <w:rPr>
                <w:rFonts w:ascii="宋体" w:hAnsi="宋体" w:cs="宋体" w:eastAsia="宋体" w:hint="default"/>
                <w:sz w:val="20"/>
                <w:szCs w:val="20"/>
              </w:rPr>
              <w:t>占用累计</w:t>
            </w:r>
            <w:r>
              <w:rPr>
                <w:rFonts w:ascii="宋体" w:hAnsi="宋体" w:cs="宋体" w:eastAsia="宋体" w:hint="default"/>
                <w:w w:val="99"/>
                <w:sz w:val="20"/>
                <w:szCs w:val="20"/>
              </w:rPr>
              <w:t> </w:t>
            </w:r>
            <w:r>
              <w:rPr>
                <w:rFonts w:ascii="宋体" w:hAnsi="宋体" w:cs="宋体" w:eastAsia="宋体" w:hint="default"/>
                <w:sz w:val="20"/>
                <w:szCs w:val="20"/>
              </w:rPr>
              <w:t>发生金额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89" w:right="0" w:hanging="24"/>
              <w:jc w:val="left"/>
              <w:rPr>
                <w:rFonts w:ascii="宋体" w:hAnsi="宋体" w:cs="宋体" w:eastAsia="宋体" w:hint="default"/>
                <w:sz w:val="20"/>
                <w:szCs w:val="20"/>
              </w:rPr>
            </w:pPr>
            <w:r>
              <w:rPr>
                <w:rFonts w:ascii="Times New Roman" w:hAnsi="Times New Roman" w:cs="Times New Roman" w:eastAsia="Times New Roman" w:hint="default"/>
                <w:sz w:val="20"/>
                <w:szCs w:val="20"/>
              </w:rPr>
              <w:t>2011 </w:t>
            </w:r>
            <w:r>
              <w:rPr>
                <w:rFonts w:ascii="宋体" w:hAnsi="宋体" w:cs="宋体" w:eastAsia="宋体" w:hint="default"/>
                <w:sz w:val="20"/>
                <w:szCs w:val="20"/>
              </w:rPr>
              <w:t>年度</w:t>
            </w:r>
          </w:p>
          <w:p>
            <w:pPr>
              <w:pStyle w:val="TableParagraph"/>
              <w:spacing w:line="260" w:lineRule="exact" w:before="16"/>
              <w:ind w:left="189" w:right="192"/>
              <w:jc w:val="left"/>
              <w:rPr>
                <w:rFonts w:ascii="宋体" w:hAnsi="宋体" w:cs="宋体" w:eastAsia="宋体" w:hint="default"/>
                <w:sz w:val="20"/>
                <w:szCs w:val="20"/>
              </w:rPr>
            </w:pPr>
            <w:r>
              <w:rPr>
                <w:rFonts w:ascii="宋体" w:hAnsi="宋体" w:cs="宋体" w:eastAsia="宋体" w:hint="default"/>
                <w:sz w:val="20"/>
                <w:szCs w:val="20"/>
              </w:rPr>
              <w:t>偿还累计</w:t>
            </w:r>
            <w:r>
              <w:rPr>
                <w:rFonts w:ascii="宋体" w:hAnsi="宋体" w:cs="宋体" w:eastAsia="宋体" w:hint="default"/>
                <w:w w:val="99"/>
                <w:sz w:val="20"/>
                <w:szCs w:val="20"/>
              </w:rPr>
              <w:t> </w:t>
            </w:r>
            <w:r>
              <w:rPr>
                <w:rFonts w:ascii="宋体" w:hAnsi="宋体" w:cs="宋体" w:eastAsia="宋体" w:hint="default"/>
                <w:sz w:val="20"/>
                <w:szCs w:val="20"/>
              </w:rPr>
              <w:t>发生金额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24" w:right="0" w:hanging="2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年期</w:t>
            </w:r>
          </w:p>
          <w:p>
            <w:pPr>
              <w:pStyle w:val="TableParagraph"/>
              <w:spacing w:line="260" w:lineRule="exact" w:before="16"/>
              <w:ind w:left="225" w:right="123" w:hanging="101"/>
              <w:jc w:val="left"/>
              <w:rPr>
                <w:rFonts w:ascii="宋体" w:hAnsi="宋体" w:cs="宋体" w:eastAsia="宋体" w:hint="default"/>
                <w:sz w:val="20"/>
                <w:szCs w:val="20"/>
              </w:rPr>
            </w:pPr>
            <w:r>
              <w:rPr>
                <w:rFonts w:ascii="宋体" w:hAnsi="宋体" w:cs="宋体" w:eastAsia="宋体" w:hint="default"/>
                <w:sz w:val="20"/>
                <w:szCs w:val="20"/>
              </w:rPr>
              <w:t>末占用资</w:t>
            </w:r>
            <w:r>
              <w:rPr>
                <w:rFonts w:ascii="宋体" w:hAnsi="宋体" w:cs="宋体" w:eastAsia="宋体" w:hint="default"/>
                <w:w w:val="99"/>
                <w:sz w:val="20"/>
                <w:szCs w:val="20"/>
              </w:rPr>
              <w:t> </w:t>
            </w:r>
            <w:r>
              <w:rPr>
                <w:rFonts w:ascii="宋体" w:hAnsi="宋体" w:cs="宋体" w:eastAsia="宋体" w:hint="default"/>
                <w:sz w:val="20"/>
                <w:szCs w:val="20"/>
              </w:rPr>
              <w:t>金余额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81" w:right="180"/>
              <w:jc w:val="left"/>
              <w:rPr>
                <w:rFonts w:ascii="宋体" w:hAnsi="宋体" w:cs="宋体" w:eastAsia="宋体" w:hint="default"/>
                <w:sz w:val="20"/>
                <w:szCs w:val="20"/>
              </w:rPr>
            </w:pPr>
            <w:r>
              <w:rPr>
                <w:rFonts w:ascii="宋体" w:hAnsi="宋体" w:cs="宋体" w:eastAsia="宋体" w:hint="default"/>
                <w:sz w:val="20"/>
                <w:szCs w:val="20"/>
              </w:rPr>
              <w:t>占用形</w:t>
            </w:r>
            <w:r>
              <w:rPr>
                <w:rFonts w:ascii="宋体" w:hAnsi="宋体" w:cs="宋体" w:eastAsia="宋体" w:hint="default"/>
                <w:w w:val="99"/>
                <w:sz w:val="20"/>
                <w:szCs w:val="20"/>
              </w:rPr>
              <w:t> </w:t>
            </w:r>
            <w:r>
              <w:rPr>
                <w:rFonts w:ascii="宋体" w:hAnsi="宋体" w:cs="宋体" w:eastAsia="宋体" w:hint="default"/>
                <w:sz w:val="20"/>
                <w:szCs w:val="20"/>
              </w:rPr>
              <w:t>成原因</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13" w:right="0"/>
              <w:jc w:val="left"/>
              <w:rPr>
                <w:rFonts w:ascii="宋体" w:hAnsi="宋体" w:cs="宋体" w:eastAsia="宋体" w:hint="default"/>
                <w:sz w:val="20"/>
                <w:szCs w:val="20"/>
              </w:rPr>
            </w:pPr>
            <w:r>
              <w:rPr>
                <w:rFonts w:ascii="宋体" w:hAnsi="宋体" w:cs="宋体" w:eastAsia="宋体" w:hint="default"/>
                <w:sz w:val="20"/>
                <w:szCs w:val="20"/>
              </w:rPr>
              <w:t>占用性质</w:t>
            </w:r>
          </w:p>
        </w:tc>
      </w:tr>
      <w:tr>
        <w:trPr>
          <w:trHeight w:val="269"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现大股东及其附属企业</w:t>
            </w:r>
          </w:p>
        </w:tc>
        <w:tc>
          <w:tcPr>
            <w:tcW w:w="2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2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0"/>
                <w:szCs w:val="20"/>
              </w:rPr>
            </w:pPr>
            <w:r>
              <w:rPr>
                <w:rFonts w:ascii="宋体" w:hAnsi="宋体" w:cs="宋体" w:eastAsia="宋体" w:hint="default"/>
                <w:sz w:val="20"/>
                <w:szCs w:val="20"/>
              </w:rPr>
              <w:t>前大股东及其附属企业</w:t>
            </w:r>
          </w:p>
        </w:tc>
        <w:tc>
          <w:tcPr>
            <w:tcW w:w="2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2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总计</w:t>
            </w:r>
            <w:r>
              <w:rPr>
                <w:rFonts w:ascii="宋体" w:hAnsi="宋体" w:cs="宋体" w:eastAsia="宋体" w:hint="default"/>
                <w:sz w:val="20"/>
                <w:szCs w:val="20"/>
              </w:rPr>
            </w:r>
          </w:p>
        </w:tc>
        <w:tc>
          <w:tcPr>
            <w:tcW w:w="2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其它关联资金往来</w:t>
            </w:r>
            <w:r>
              <w:rPr>
                <w:rFonts w:ascii="宋体" w:hAnsi="宋体" w:cs="宋体" w:eastAsia="宋体" w:hint="default"/>
                <w:sz w:val="20"/>
                <w:szCs w:val="20"/>
              </w:rPr>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26" w:right="0"/>
              <w:jc w:val="left"/>
              <w:rPr>
                <w:rFonts w:ascii="宋体" w:hAnsi="宋体" w:cs="宋体" w:eastAsia="宋体" w:hint="default"/>
                <w:sz w:val="20"/>
                <w:szCs w:val="20"/>
              </w:rPr>
            </w:pPr>
            <w:r>
              <w:rPr>
                <w:rFonts w:ascii="宋体" w:hAnsi="宋体" w:cs="宋体" w:eastAsia="宋体" w:hint="default"/>
                <w:sz w:val="20"/>
                <w:szCs w:val="20"/>
              </w:rPr>
              <w:t>资金往来方名称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3" w:right="0"/>
              <w:jc w:val="left"/>
              <w:rPr>
                <w:rFonts w:ascii="宋体" w:hAnsi="宋体" w:cs="宋体" w:eastAsia="宋体" w:hint="default"/>
                <w:sz w:val="20"/>
                <w:szCs w:val="20"/>
              </w:rPr>
            </w:pPr>
            <w:r>
              <w:rPr>
                <w:rFonts w:ascii="宋体" w:hAnsi="宋体" w:cs="宋体" w:eastAsia="宋体" w:hint="default"/>
                <w:sz w:val="20"/>
                <w:szCs w:val="20"/>
              </w:rPr>
              <w:t>往来方与上</w:t>
            </w:r>
          </w:p>
          <w:p>
            <w:pPr>
              <w:pStyle w:val="TableParagraph"/>
              <w:spacing w:line="260" w:lineRule="exact" w:before="24"/>
              <w:ind w:left="355" w:right="156" w:hanging="202"/>
              <w:jc w:val="left"/>
              <w:rPr>
                <w:rFonts w:ascii="宋体" w:hAnsi="宋体" w:cs="宋体" w:eastAsia="宋体" w:hint="default"/>
                <w:sz w:val="20"/>
                <w:szCs w:val="20"/>
              </w:rPr>
            </w:pPr>
            <w:r>
              <w:rPr>
                <w:rFonts w:ascii="宋体" w:hAnsi="宋体" w:cs="宋体" w:eastAsia="宋体" w:hint="default"/>
                <w:sz w:val="20"/>
                <w:szCs w:val="20"/>
              </w:rPr>
              <w:t>市公司的关</w:t>
            </w:r>
            <w:r>
              <w:rPr>
                <w:rFonts w:ascii="宋体" w:hAnsi="宋体" w:cs="宋体" w:eastAsia="宋体" w:hint="default"/>
                <w:w w:val="99"/>
                <w:sz w:val="20"/>
                <w:szCs w:val="20"/>
              </w:rPr>
              <w:t> </w:t>
            </w:r>
            <w:r>
              <w:rPr>
                <w:rFonts w:ascii="宋体" w:hAnsi="宋体" w:cs="宋体" w:eastAsia="宋体" w:hint="default"/>
                <w:sz w:val="20"/>
                <w:szCs w:val="20"/>
              </w:rPr>
              <w:t>联关系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232" w:right="132" w:hanging="101"/>
              <w:jc w:val="left"/>
              <w:rPr>
                <w:rFonts w:ascii="宋体" w:hAnsi="宋体" w:cs="宋体" w:eastAsia="宋体" w:hint="default"/>
                <w:sz w:val="20"/>
                <w:szCs w:val="20"/>
              </w:rPr>
            </w:pPr>
            <w:r>
              <w:rPr>
                <w:rFonts w:ascii="宋体" w:hAnsi="宋体" w:cs="宋体" w:eastAsia="宋体" w:hint="default"/>
                <w:sz w:val="20"/>
                <w:szCs w:val="20"/>
              </w:rPr>
              <w:t>上市公司核算</w:t>
            </w:r>
            <w:r>
              <w:rPr>
                <w:rFonts w:ascii="宋体" w:hAnsi="宋体" w:cs="宋体" w:eastAsia="宋体" w:hint="default"/>
                <w:w w:val="99"/>
                <w:sz w:val="20"/>
                <w:szCs w:val="20"/>
              </w:rPr>
              <w:t> </w:t>
            </w:r>
            <w:r>
              <w:rPr>
                <w:rFonts w:ascii="宋体" w:hAnsi="宋体" w:cs="宋体" w:eastAsia="宋体" w:hint="default"/>
                <w:sz w:val="20"/>
                <w:szCs w:val="20"/>
              </w:rPr>
              <w:t>的会计科目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55" w:right="0" w:hanging="24"/>
              <w:jc w:val="left"/>
              <w:rPr>
                <w:rFonts w:ascii="宋体" w:hAnsi="宋体" w:cs="宋体" w:eastAsia="宋体" w:hint="default"/>
                <w:sz w:val="20"/>
                <w:szCs w:val="20"/>
              </w:rPr>
            </w:pPr>
            <w:r>
              <w:rPr>
                <w:rFonts w:ascii="Times New Roman" w:hAnsi="Times New Roman" w:cs="Times New Roman" w:eastAsia="Times New Roman" w:hint="default"/>
                <w:sz w:val="20"/>
                <w:szCs w:val="20"/>
              </w:rPr>
              <w:t>2011 </w:t>
            </w:r>
            <w:r>
              <w:rPr>
                <w:rFonts w:ascii="宋体" w:hAnsi="宋体" w:cs="宋体" w:eastAsia="宋体" w:hint="default"/>
                <w:sz w:val="20"/>
                <w:szCs w:val="20"/>
              </w:rPr>
              <w:t>年期</w:t>
            </w:r>
          </w:p>
          <w:p>
            <w:pPr>
              <w:pStyle w:val="TableParagraph"/>
              <w:spacing w:line="260" w:lineRule="exact" w:before="16"/>
              <w:ind w:left="256" w:right="154" w:hanging="101"/>
              <w:jc w:val="left"/>
              <w:rPr>
                <w:rFonts w:ascii="宋体" w:hAnsi="宋体" w:cs="宋体" w:eastAsia="宋体" w:hint="default"/>
                <w:sz w:val="20"/>
                <w:szCs w:val="20"/>
              </w:rPr>
            </w:pPr>
            <w:r>
              <w:rPr>
                <w:rFonts w:ascii="宋体" w:hAnsi="宋体" w:cs="宋体" w:eastAsia="宋体" w:hint="default"/>
                <w:sz w:val="20"/>
                <w:szCs w:val="20"/>
              </w:rPr>
              <w:t>初占用资</w:t>
            </w:r>
            <w:r>
              <w:rPr>
                <w:rFonts w:ascii="宋体" w:hAnsi="宋体" w:cs="宋体" w:eastAsia="宋体" w:hint="default"/>
                <w:w w:val="99"/>
                <w:sz w:val="20"/>
                <w:szCs w:val="20"/>
              </w:rPr>
              <w:t> </w:t>
            </w:r>
            <w:r>
              <w:rPr>
                <w:rFonts w:ascii="宋体" w:hAnsi="宋体" w:cs="宋体" w:eastAsia="宋体" w:hint="default"/>
                <w:sz w:val="20"/>
                <w:szCs w:val="20"/>
              </w:rPr>
              <w:t>金余额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70" w:right="0" w:hanging="24"/>
              <w:jc w:val="left"/>
              <w:rPr>
                <w:rFonts w:ascii="宋体" w:hAnsi="宋体" w:cs="宋体" w:eastAsia="宋体" w:hint="default"/>
                <w:sz w:val="20"/>
                <w:szCs w:val="20"/>
              </w:rPr>
            </w:pPr>
            <w:r>
              <w:rPr>
                <w:rFonts w:ascii="Times New Roman" w:hAnsi="Times New Roman" w:cs="Times New Roman" w:eastAsia="Times New Roman" w:hint="default"/>
                <w:sz w:val="20"/>
                <w:szCs w:val="20"/>
              </w:rPr>
              <w:t>2011 </w:t>
            </w:r>
            <w:r>
              <w:rPr>
                <w:rFonts w:ascii="宋体" w:hAnsi="宋体" w:cs="宋体" w:eastAsia="宋体" w:hint="default"/>
                <w:sz w:val="20"/>
                <w:szCs w:val="20"/>
              </w:rPr>
              <w:t>年度</w:t>
            </w:r>
          </w:p>
          <w:p>
            <w:pPr>
              <w:pStyle w:val="TableParagraph"/>
              <w:spacing w:line="260" w:lineRule="exact" w:before="16"/>
              <w:ind w:left="170" w:right="168"/>
              <w:jc w:val="left"/>
              <w:rPr>
                <w:rFonts w:ascii="宋体" w:hAnsi="宋体" w:cs="宋体" w:eastAsia="宋体" w:hint="default"/>
                <w:sz w:val="20"/>
                <w:szCs w:val="20"/>
              </w:rPr>
            </w:pPr>
            <w:r>
              <w:rPr>
                <w:rFonts w:ascii="宋体" w:hAnsi="宋体" w:cs="宋体" w:eastAsia="宋体" w:hint="default"/>
                <w:sz w:val="20"/>
                <w:szCs w:val="20"/>
              </w:rPr>
              <w:t>占用累计</w:t>
            </w:r>
            <w:r>
              <w:rPr>
                <w:rFonts w:ascii="宋体" w:hAnsi="宋体" w:cs="宋体" w:eastAsia="宋体" w:hint="default"/>
                <w:w w:val="99"/>
                <w:sz w:val="20"/>
                <w:szCs w:val="20"/>
              </w:rPr>
              <w:t> </w:t>
            </w:r>
            <w:r>
              <w:rPr>
                <w:rFonts w:ascii="宋体" w:hAnsi="宋体" w:cs="宋体" w:eastAsia="宋体" w:hint="default"/>
                <w:sz w:val="20"/>
                <w:szCs w:val="20"/>
              </w:rPr>
              <w:t>发生金额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89" w:right="0" w:hanging="24"/>
              <w:jc w:val="left"/>
              <w:rPr>
                <w:rFonts w:ascii="宋体" w:hAnsi="宋体" w:cs="宋体" w:eastAsia="宋体" w:hint="default"/>
                <w:sz w:val="20"/>
                <w:szCs w:val="20"/>
              </w:rPr>
            </w:pPr>
            <w:r>
              <w:rPr>
                <w:rFonts w:ascii="Times New Roman" w:hAnsi="Times New Roman" w:cs="Times New Roman" w:eastAsia="Times New Roman" w:hint="default"/>
                <w:sz w:val="20"/>
                <w:szCs w:val="20"/>
              </w:rPr>
              <w:t>2011 </w:t>
            </w:r>
            <w:r>
              <w:rPr>
                <w:rFonts w:ascii="宋体" w:hAnsi="宋体" w:cs="宋体" w:eastAsia="宋体" w:hint="default"/>
                <w:sz w:val="20"/>
                <w:szCs w:val="20"/>
              </w:rPr>
              <w:t>年度</w:t>
            </w:r>
          </w:p>
          <w:p>
            <w:pPr>
              <w:pStyle w:val="TableParagraph"/>
              <w:spacing w:line="260" w:lineRule="exact" w:before="16"/>
              <w:ind w:left="189" w:right="192"/>
              <w:jc w:val="left"/>
              <w:rPr>
                <w:rFonts w:ascii="宋体" w:hAnsi="宋体" w:cs="宋体" w:eastAsia="宋体" w:hint="default"/>
                <w:sz w:val="20"/>
                <w:szCs w:val="20"/>
              </w:rPr>
            </w:pPr>
            <w:r>
              <w:rPr>
                <w:rFonts w:ascii="宋体" w:hAnsi="宋体" w:cs="宋体" w:eastAsia="宋体" w:hint="default"/>
                <w:sz w:val="20"/>
                <w:szCs w:val="20"/>
              </w:rPr>
              <w:t>偿还累计</w:t>
            </w:r>
            <w:r>
              <w:rPr>
                <w:rFonts w:ascii="宋体" w:hAnsi="宋体" w:cs="宋体" w:eastAsia="宋体" w:hint="default"/>
                <w:w w:val="99"/>
                <w:sz w:val="20"/>
                <w:szCs w:val="20"/>
              </w:rPr>
              <w:t> </w:t>
            </w:r>
            <w:r>
              <w:rPr>
                <w:rFonts w:ascii="宋体" w:hAnsi="宋体" w:cs="宋体" w:eastAsia="宋体" w:hint="default"/>
                <w:sz w:val="20"/>
                <w:szCs w:val="20"/>
              </w:rPr>
              <w:t>发生金额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24" w:right="0" w:hanging="2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年期</w:t>
            </w:r>
          </w:p>
          <w:p>
            <w:pPr>
              <w:pStyle w:val="TableParagraph"/>
              <w:spacing w:line="260" w:lineRule="exact" w:before="16"/>
              <w:ind w:left="225" w:right="123" w:hanging="101"/>
              <w:jc w:val="left"/>
              <w:rPr>
                <w:rFonts w:ascii="宋体" w:hAnsi="宋体" w:cs="宋体" w:eastAsia="宋体" w:hint="default"/>
                <w:sz w:val="20"/>
                <w:szCs w:val="20"/>
              </w:rPr>
            </w:pPr>
            <w:r>
              <w:rPr>
                <w:rFonts w:ascii="宋体" w:hAnsi="宋体" w:cs="宋体" w:eastAsia="宋体" w:hint="default"/>
                <w:sz w:val="20"/>
                <w:szCs w:val="20"/>
              </w:rPr>
              <w:t>末占用资</w:t>
            </w:r>
            <w:r>
              <w:rPr>
                <w:rFonts w:ascii="宋体" w:hAnsi="宋体" w:cs="宋体" w:eastAsia="宋体" w:hint="default"/>
                <w:w w:val="99"/>
                <w:sz w:val="20"/>
                <w:szCs w:val="20"/>
              </w:rPr>
              <w:t> </w:t>
            </w:r>
            <w:r>
              <w:rPr>
                <w:rFonts w:ascii="宋体" w:hAnsi="宋体" w:cs="宋体" w:eastAsia="宋体" w:hint="default"/>
                <w:sz w:val="20"/>
                <w:szCs w:val="20"/>
              </w:rPr>
              <w:t>金余额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81" w:right="180"/>
              <w:jc w:val="left"/>
              <w:rPr>
                <w:rFonts w:ascii="宋体" w:hAnsi="宋体" w:cs="宋体" w:eastAsia="宋体" w:hint="default"/>
                <w:sz w:val="20"/>
                <w:szCs w:val="20"/>
              </w:rPr>
            </w:pPr>
            <w:r>
              <w:rPr>
                <w:rFonts w:ascii="宋体" w:hAnsi="宋体" w:cs="宋体" w:eastAsia="宋体" w:hint="default"/>
                <w:sz w:val="20"/>
                <w:szCs w:val="20"/>
              </w:rPr>
              <w:t>往来形</w:t>
            </w:r>
            <w:r>
              <w:rPr>
                <w:rFonts w:ascii="宋体" w:hAnsi="宋体" w:cs="宋体" w:eastAsia="宋体" w:hint="default"/>
                <w:w w:val="99"/>
                <w:sz w:val="20"/>
                <w:szCs w:val="20"/>
              </w:rPr>
              <w:t> </w:t>
            </w:r>
            <w:r>
              <w:rPr>
                <w:rFonts w:ascii="宋体" w:hAnsi="宋体" w:cs="宋体" w:eastAsia="宋体" w:hint="default"/>
                <w:sz w:val="20"/>
                <w:szCs w:val="20"/>
              </w:rPr>
              <w:t>成原因</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13" w:right="0"/>
              <w:jc w:val="left"/>
              <w:rPr>
                <w:rFonts w:ascii="宋体" w:hAnsi="宋体" w:cs="宋体" w:eastAsia="宋体" w:hint="default"/>
                <w:sz w:val="20"/>
                <w:szCs w:val="20"/>
              </w:rPr>
            </w:pPr>
            <w:r>
              <w:rPr>
                <w:rFonts w:ascii="宋体" w:hAnsi="宋体" w:cs="宋体" w:eastAsia="宋体" w:hint="default"/>
                <w:sz w:val="20"/>
                <w:szCs w:val="20"/>
              </w:rPr>
              <w:t>往来性质</w:t>
            </w:r>
          </w:p>
        </w:tc>
      </w:tr>
      <w:tr>
        <w:trPr>
          <w:trHeight w:val="269"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大股东及其附属企业</w:t>
            </w:r>
          </w:p>
        </w:tc>
        <w:tc>
          <w:tcPr>
            <w:tcW w:w="2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2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22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60" w:lineRule="exact"/>
              <w:ind w:left="103" w:right="139"/>
              <w:jc w:val="left"/>
              <w:rPr>
                <w:rFonts w:ascii="宋体" w:hAnsi="宋体" w:cs="宋体" w:eastAsia="宋体" w:hint="default"/>
                <w:sz w:val="20"/>
                <w:szCs w:val="20"/>
              </w:rPr>
            </w:pPr>
            <w:r>
              <w:rPr>
                <w:rFonts w:ascii="宋体" w:hAnsi="宋体" w:cs="宋体" w:eastAsia="宋体" w:hint="default"/>
                <w:sz w:val="20"/>
                <w:szCs w:val="20"/>
              </w:rPr>
              <w:t>上市公司的子公司及其</w:t>
            </w:r>
            <w:r>
              <w:rPr>
                <w:rFonts w:ascii="宋体" w:hAnsi="宋体" w:cs="宋体" w:eastAsia="宋体" w:hint="default"/>
                <w:w w:val="99"/>
                <w:sz w:val="20"/>
                <w:szCs w:val="20"/>
              </w:rPr>
              <w:t> </w:t>
            </w:r>
            <w:r>
              <w:rPr>
                <w:rFonts w:ascii="宋体" w:hAnsi="宋体" w:cs="宋体" w:eastAsia="宋体" w:hint="default"/>
                <w:sz w:val="20"/>
                <w:szCs w:val="20"/>
              </w:rPr>
              <w:t>附属企业</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0"/>
                <w:szCs w:val="20"/>
              </w:rPr>
            </w:pPr>
            <w:r>
              <w:rPr>
                <w:rFonts w:ascii="宋体" w:hAnsi="宋体" w:cs="宋体" w:eastAsia="宋体" w:hint="default"/>
                <w:sz w:val="20"/>
                <w:szCs w:val="20"/>
              </w:rPr>
              <w:t>上海石基信息技术有限公司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0"/>
                <w:szCs w:val="20"/>
              </w:rPr>
            </w:pPr>
            <w:r>
              <w:rPr>
                <w:rFonts w:ascii="宋体" w:hAnsi="宋体" w:cs="宋体" w:eastAsia="宋体" w:hint="default"/>
                <w:sz w:val="20"/>
                <w:szCs w:val="20"/>
              </w:rPr>
              <w:t>全资子公司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6"/>
              <w:jc w:val="right"/>
              <w:rPr>
                <w:rFonts w:ascii="Times New Roman" w:hAnsi="Times New Roman" w:cs="Times New Roman" w:eastAsia="Times New Roman" w:hint="default"/>
                <w:sz w:val="20"/>
                <w:szCs w:val="20"/>
              </w:rPr>
            </w:pPr>
            <w:r>
              <w:rPr>
                <w:rFonts w:ascii="Times New Roman"/>
                <w:sz w:val="20"/>
              </w:rPr>
              <w:t>1,239.06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20"/>
                <w:szCs w:val="20"/>
              </w:rPr>
            </w:pPr>
            <w:r>
              <w:rPr>
                <w:rFonts w:ascii="Times New Roman"/>
                <w:w w:val="95"/>
                <w:sz w:val="20"/>
              </w:rPr>
              <w:t>334.89</w:t>
            </w:r>
            <w:r>
              <w:rPr>
                <w:rFonts w:ascii="Times New Roman"/>
                <w:sz w:val="20"/>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8"/>
              <w:jc w:val="right"/>
              <w:rPr>
                <w:rFonts w:ascii="Times New Roman" w:hAnsi="Times New Roman" w:cs="Times New Roman" w:eastAsia="Times New Roman" w:hint="default"/>
                <w:sz w:val="20"/>
                <w:szCs w:val="20"/>
              </w:rPr>
            </w:pPr>
            <w:r>
              <w:rPr>
                <w:rFonts w:ascii="Times New Roman"/>
                <w:sz w:val="20"/>
              </w:rPr>
              <w:t>20.36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6"/>
              <w:jc w:val="right"/>
              <w:rPr>
                <w:rFonts w:ascii="Times New Roman" w:hAnsi="Times New Roman" w:cs="Times New Roman" w:eastAsia="Times New Roman" w:hint="default"/>
                <w:sz w:val="20"/>
                <w:szCs w:val="20"/>
              </w:rPr>
            </w:pPr>
            <w:r>
              <w:rPr>
                <w:rFonts w:ascii="Times New Roman"/>
                <w:sz w:val="20"/>
              </w:rPr>
              <w:t>1,553.59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宋体" w:hAnsi="宋体" w:cs="宋体" w:eastAsia="宋体" w:hint="default"/>
                <w:sz w:val="20"/>
                <w:szCs w:val="20"/>
              </w:rPr>
            </w:pPr>
            <w:r>
              <w:rPr>
                <w:rFonts w:ascii="宋体" w:hAnsi="宋体" w:cs="宋体" w:eastAsia="宋体" w:hint="default"/>
                <w:sz w:val="20"/>
                <w:szCs w:val="20"/>
              </w:rPr>
              <w:t>代垫款</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0"/>
                <w:szCs w:val="20"/>
              </w:rPr>
            </w:pPr>
            <w:r>
              <w:rPr>
                <w:rFonts w:ascii="宋体" w:hAnsi="宋体" w:cs="宋体" w:eastAsia="宋体" w:hint="default"/>
                <w:sz w:val="20"/>
                <w:szCs w:val="20"/>
              </w:rPr>
              <w:t>非经营性往来</w:t>
            </w:r>
          </w:p>
        </w:tc>
      </w:tr>
      <w:tr>
        <w:trPr>
          <w:trHeight w:val="269" w:hRule="exact"/>
        </w:trPr>
        <w:tc>
          <w:tcPr>
            <w:tcW w:w="2251" w:type="dxa"/>
            <w:vMerge/>
            <w:tcBorders>
              <w:left w:val="single" w:sz="4" w:space="0" w:color="000000"/>
              <w:right w:val="single" w:sz="4" w:space="0" w:color="000000"/>
            </w:tcBorders>
          </w:tcPr>
          <w:p>
            <w:pPr/>
          </w:p>
        </w:tc>
        <w:tc>
          <w:tcPr>
            <w:tcW w:w="2662" w:type="dxa"/>
            <w:vMerge w:val="restart"/>
            <w:tcBorders>
              <w:top w:val="single" w:sz="4" w:space="0" w:color="000000"/>
              <w:left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20"/>
                <w:szCs w:val="20"/>
              </w:rPr>
            </w:pPr>
            <w:r>
              <w:rPr>
                <w:rFonts w:ascii="宋体" w:hAnsi="宋体" w:cs="宋体" w:eastAsia="宋体" w:hint="default"/>
                <w:sz w:val="20"/>
                <w:szCs w:val="20"/>
              </w:rPr>
              <w:t>南京银石计算机系统有限公</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全资子公司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sz w:val="20"/>
              </w:rPr>
              <w:t>0.03</w:t>
            </w:r>
          </w:p>
        </w:tc>
        <w:tc>
          <w:tcPr>
            <w:tcW w:w="11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sz w:val="20"/>
              </w:rPr>
              <w:t>0.03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代垫款</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非经营性往来</w:t>
            </w:r>
          </w:p>
        </w:tc>
      </w:tr>
      <w:tr>
        <w:trPr>
          <w:trHeight w:val="269" w:hRule="exact"/>
        </w:trPr>
        <w:tc>
          <w:tcPr>
            <w:tcW w:w="2251" w:type="dxa"/>
            <w:vMerge/>
            <w:tcBorders>
              <w:left w:val="single" w:sz="4" w:space="0" w:color="000000"/>
              <w:right w:val="single" w:sz="4" w:space="0" w:color="000000"/>
            </w:tcBorders>
          </w:tcPr>
          <w:p>
            <w:pPr/>
          </w:p>
        </w:tc>
        <w:tc>
          <w:tcPr>
            <w:tcW w:w="2662"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全资子公司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sz w:val="20"/>
              </w:rPr>
              <w:t>0.13</w:t>
            </w:r>
          </w:p>
        </w:tc>
        <w:tc>
          <w:tcPr>
            <w:tcW w:w="11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sz w:val="20"/>
              </w:rPr>
              <w:t>0.13</w:t>
            </w: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经营性往来</w:t>
            </w:r>
          </w:p>
        </w:tc>
      </w:tr>
      <w:tr>
        <w:trPr>
          <w:trHeight w:val="310" w:hRule="exact"/>
        </w:trPr>
        <w:tc>
          <w:tcPr>
            <w:tcW w:w="2251" w:type="dxa"/>
            <w:vMerge/>
            <w:tcBorders>
              <w:left w:val="single" w:sz="4" w:space="0" w:color="000000"/>
              <w:right w:val="single" w:sz="4" w:space="0" w:color="000000"/>
            </w:tcBorders>
          </w:tcPr>
          <w:p>
            <w:pP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北海石基信息技术有限公司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全资子公司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21,207.93</w:t>
            </w:r>
            <w:r>
              <w:rPr>
                <w:rFonts w:ascii="Times New Roman"/>
                <w:sz w:val="20"/>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0"/>
                <w:szCs w:val="20"/>
              </w:rPr>
            </w:pPr>
            <w:r>
              <w:rPr>
                <w:rFonts w:ascii="Times New Roman"/>
                <w:sz w:val="20"/>
              </w:rPr>
              <w:t>3,135.42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18,072.51</w:t>
            </w:r>
            <w:r>
              <w:rPr>
                <w:rFonts w:ascii="Times New Roman"/>
                <w:sz w:val="20"/>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5" w:right="0"/>
              <w:jc w:val="left"/>
              <w:rPr>
                <w:rFonts w:ascii="宋体" w:hAnsi="宋体" w:cs="宋体" w:eastAsia="宋体" w:hint="default"/>
                <w:sz w:val="20"/>
                <w:szCs w:val="20"/>
              </w:rPr>
            </w:pPr>
            <w:r>
              <w:rPr>
                <w:rFonts w:ascii="宋体" w:hAnsi="宋体" w:cs="宋体" w:eastAsia="宋体" w:hint="default"/>
                <w:sz w:val="20"/>
                <w:szCs w:val="20"/>
              </w:rPr>
              <w:t>代垫款</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非经营性往来</w:t>
            </w:r>
          </w:p>
        </w:tc>
      </w:tr>
      <w:tr>
        <w:trPr>
          <w:trHeight w:val="490" w:hRule="exact"/>
        </w:trPr>
        <w:tc>
          <w:tcPr>
            <w:tcW w:w="2251" w:type="dxa"/>
            <w:vMerge/>
            <w:tcBorders>
              <w:left w:val="single" w:sz="4" w:space="0" w:color="000000"/>
              <w:right w:val="single" w:sz="4" w:space="0" w:color="000000"/>
            </w:tcBorders>
          </w:tcPr>
          <w:p>
            <w:pP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北京中长石基软件有限公司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全资子公司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20"/>
                <w:szCs w:val="20"/>
              </w:rPr>
            </w:pPr>
            <w:r>
              <w:rPr>
                <w:rFonts w:ascii="Times New Roman"/>
                <w:sz w:val="20"/>
              </w:rPr>
              <w:t>1,668.73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20"/>
                <w:szCs w:val="20"/>
              </w:rPr>
            </w:pPr>
            <w:r>
              <w:rPr>
                <w:rFonts w:ascii="Times New Roman"/>
                <w:sz w:val="20"/>
              </w:rPr>
              <w:t>56.19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20"/>
                <w:szCs w:val="20"/>
              </w:rPr>
            </w:pPr>
            <w:r>
              <w:rPr>
                <w:rFonts w:ascii="Times New Roman"/>
                <w:w w:val="95"/>
                <w:sz w:val="20"/>
              </w:rPr>
              <w:t>410.31</w:t>
            </w:r>
            <w:r>
              <w:rPr>
                <w:rFonts w:ascii="Times New Roman"/>
                <w:sz w:val="20"/>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20"/>
                <w:szCs w:val="20"/>
              </w:rPr>
            </w:pPr>
            <w:r>
              <w:rPr>
                <w:rFonts w:ascii="Times New Roman"/>
                <w:sz w:val="20"/>
              </w:rPr>
              <w:t>1,314.61</w:t>
            </w: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非经营性往来</w:t>
            </w:r>
          </w:p>
        </w:tc>
      </w:tr>
      <w:tr>
        <w:trPr>
          <w:trHeight w:val="530" w:hRule="exact"/>
        </w:trPr>
        <w:tc>
          <w:tcPr>
            <w:tcW w:w="2251" w:type="dxa"/>
            <w:vMerge/>
            <w:tcBorders>
              <w:left w:val="single" w:sz="4" w:space="0" w:color="000000"/>
              <w:right w:val="single" w:sz="4" w:space="0" w:color="000000"/>
            </w:tcBorders>
          </w:tcPr>
          <w:p>
            <w:pP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焦点信息技术</w:t>
            </w:r>
            <w:r>
              <w:rPr>
                <w:rFonts w:ascii="宋体" w:hAnsi="宋体" w:cs="宋体" w:eastAsia="宋体" w:hint="default"/>
                <w:spacing w:val="4"/>
                <w:sz w:val="20"/>
                <w:szCs w:val="20"/>
              </w:rPr>
              <w:t>(</w:t>
            </w:r>
            <w:r>
              <w:rPr>
                <w:rFonts w:ascii="宋体" w:hAnsi="宋体" w:cs="宋体" w:eastAsia="宋体" w:hint="default"/>
                <w:spacing w:val="4"/>
                <w:sz w:val="20"/>
                <w:szCs w:val="20"/>
              </w:rPr>
              <w:t>香港</w:t>
            </w:r>
            <w:r>
              <w:rPr>
                <w:rFonts w:ascii="宋体" w:hAnsi="宋体" w:cs="宋体" w:eastAsia="宋体" w:hint="default"/>
                <w:spacing w:val="4"/>
                <w:sz w:val="20"/>
                <w:szCs w:val="20"/>
              </w:rPr>
              <w:t>)</w:t>
            </w:r>
            <w:r>
              <w:rPr>
                <w:rFonts w:ascii="宋体" w:hAnsi="宋体" w:cs="宋体" w:eastAsia="宋体" w:hint="default"/>
                <w:spacing w:val="4"/>
                <w:sz w:val="20"/>
                <w:szCs w:val="20"/>
              </w:rPr>
              <w:t>有限公</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全资子公司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6"/>
              <w:jc w:val="right"/>
              <w:rPr>
                <w:rFonts w:ascii="Times New Roman" w:hAnsi="Times New Roman" w:cs="Times New Roman" w:eastAsia="Times New Roman" w:hint="default"/>
                <w:sz w:val="20"/>
                <w:szCs w:val="20"/>
              </w:rPr>
            </w:pPr>
            <w:r>
              <w:rPr>
                <w:rFonts w:ascii="Times New Roman"/>
                <w:sz w:val="20"/>
              </w:rPr>
              <w:t>35.86</w:t>
            </w:r>
          </w:p>
        </w:tc>
        <w:tc>
          <w:tcPr>
            <w:tcW w:w="11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6"/>
              <w:jc w:val="right"/>
              <w:rPr>
                <w:rFonts w:ascii="Times New Roman" w:hAnsi="Times New Roman" w:cs="Times New Roman" w:eastAsia="Times New Roman" w:hint="default"/>
                <w:sz w:val="20"/>
                <w:szCs w:val="20"/>
              </w:rPr>
            </w:pPr>
            <w:r>
              <w:rPr>
                <w:rFonts w:ascii="Times New Roman"/>
                <w:sz w:val="20"/>
              </w:rPr>
              <w:t>35.86</w:t>
            </w: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非经营性往来</w:t>
            </w:r>
          </w:p>
        </w:tc>
      </w:tr>
      <w:tr>
        <w:trPr>
          <w:trHeight w:val="528" w:hRule="exact"/>
        </w:trPr>
        <w:tc>
          <w:tcPr>
            <w:tcW w:w="2251" w:type="dxa"/>
            <w:vMerge/>
            <w:tcBorders>
              <w:left w:val="single" w:sz="4" w:space="0" w:color="000000"/>
              <w:right w:val="single" w:sz="4" w:space="0" w:color="000000"/>
            </w:tcBorders>
          </w:tcPr>
          <w:p>
            <w:pP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现化电脑系统</w:t>
            </w:r>
            <w:r>
              <w:rPr>
                <w:rFonts w:ascii="宋体" w:hAnsi="宋体" w:cs="宋体" w:eastAsia="宋体" w:hint="default"/>
                <w:spacing w:val="4"/>
                <w:sz w:val="20"/>
                <w:szCs w:val="20"/>
              </w:rPr>
              <w:t>(</w:t>
            </w:r>
            <w:r>
              <w:rPr>
                <w:rFonts w:ascii="宋体" w:hAnsi="宋体" w:cs="宋体" w:eastAsia="宋体" w:hint="default"/>
                <w:spacing w:val="4"/>
                <w:sz w:val="20"/>
                <w:szCs w:val="20"/>
              </w:rPr>
              <w:t>北京</w:t>
            </w:r>
            <w:r>
              <w:rPr>
                <w:rFonts w:ascii="宋体" w:hAnsi="宋体" w:cs="宋体" w:eastAsia="宋体" w:hint="default"/>
                <w:spacing w:val="4"/>
                <w:sz w:val="20"/>
                <w:szCs w:val="20"/>
              </w:rPr>
              <w:t>)</w:t>
            </w:r>
            <w:r>
              <w:rPr>
                <w:rFonts w:ascii="宋体" w:hAnsi="宋体" w:cs="宋体" w:eastAsia="宋体" w:hint="default"/>
                <w:spacing w:val="4"/>
                <w:sz w:val="20"/>
                <w:szCs w:val="20"/>
              </w:rPr>
              <w:t>有限公</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控股子公司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336.15</w:t>
            </w:r>
            <w:r>
              <w:rPr>
                <w:rFonts w:ascii="Times New Roman"/>
                <w:sz w:val="20"/>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sz w:val="20"/>
              </w:rPr>
              <w:t>1,727.98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sz w:val="20"/>
              </w:rPr>
              <w:t>2,028.39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6"/>
              <w:jc w:val="right"/>
              <w:rPr>
                <w:rFonts w:ascii="Times New Roman" w:hAnsi="Times New Roman" w:cs="Times New Roman" w:eastAsia="Times New Roman" w:hint="default"/>
                <w:sz w:val="20"/>
                <w:szCs w:val="20"/>
              </w:rPr>
            </w:pPr>
            <w:r>
              <w:rPr>
                <w:rFonts w:ascii="Times New Roman"/>
                <w:sz w:val="20"/>
              </w:rPr>
              <w:t>35.74</w:t>
            </w: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经营性往来</w:t>
            </w:r>
          </w:p>
        </w:tc>
      </w:tr>
      <w:tr>
        <w:trPr>
          <w:trHeight w:val="490" w:hRule="exact"/>
        </w:trPr>
        <w:tc>
          <w:tcPr>
            <w:tcW w:w="2251" w:type="dxa"/>
            <w:vMerge/>
            <w:tcBorders>
              <w:left w:val="single" w:sz="4" w:space="0" w:color="000000"/>
              <w:right w:val="single" w:sz="4" w:space="0" w:color="000000"/>
            </w:tcBorders>
          </w:tcPr>
          <w:p>
            <w:pP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杭州西软科技有限公司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全资子公司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6"/>
              <w:jc w:val="right"/>
              <w:rPr>
                <w:rFonts w:ascii="Times New Roman" w:hAnsi="Times New Roman" w:cs="Times New Roman" w:eastAsia="Times New Roman" w:hint="default"/>
                <w:sz w:val="20"/>
                <w:szCs w:val="20"/>
              </w:rPr>
            </w:pPr>
            <w:r>
              <w:rPr>
                <w:rFonts w:ascii="Times New Roman"/>
                <w:sz w:val="20"/>
              </w:rPr>
              <w:t>2,714.23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20"/>
                <w:szCs w:val="20"/>
              </w:rPr>
            </w:pPr>
            <w:r>
              <w:rPr>
                <w:rFonts w:ascii="Times New Roman"/>
                <w:w w:val="95"/>
                <w:sz w:val="20"/>
              </w:rPr>
              <w:t>124.07</w:t>
            </w:r>
            <w:r>
              <w:rPr>
                <w:rFonts w:ascii="Times New Roman"/>
                <w:sz w:val="20"/>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0"/>
                <w:szCs w:val="20"/>
              </w:rPr>
            </w:pPr>
            <w:r>
              <w:rPr>
                <w:rFonts w:ascii="Times New Roman"/>
                <w:sz w:val="20"/>
              </w:rPr>
              <w:t>2,808.24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6"/>
              <w:jc w:val="right"/>
              <w:rPr>
                <w:rFonts w:ascii="Times New Roman" w:hAnsi="Times New Roman" w:cs="Times New Roman" w:eastAsia="Times New Roman" w:hint="default"/>
                <w:sz w:val="20"/>
                <w:szCs w:val="20"/>
              </w:rPr>
            </w:pPr>
            <w:r>
              <w:rPr>
                <w:rFonts w:ascii="Times New Roman"/>
                <w:sz w:val="20"/>
              </w:rPr>
              <w:t>30.06</w:t>
            </w: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经营性往来</w:t>
            </w:r>
          </w:p>
        </w:tc>
      </w:tr>
      <w:tr>
        <w:trPr>
          <w:trHeight w:val="271" w:hRule="exact"/>
        </w:trPr>
        <w:tc>
          <w:tcPr>
            <w:tcW w:w="2251" w:type="dxa"/>
            <w:vMerge/>
            <w:tcBorders>
              <w:left w:val="single" w:sz="4" w:space="0" w:color="000000"/>
              <w:bottom w:val="single" w:sz="4" w:space="0" w:color="000000"/>
              <w:right w:val="single" w:sz="4" w:space="0" w:color="000000"/>
            </w:tcBorders>
          </w:tcPr>
          <w:p>
            <w:pPr/>
          </w:p>
        </w:tc>
        <w:tc>
          <w:tcPr>
            <w:tcW w:w="2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2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6"/>
              <w:jc w:val="right"/>
              <w:rPr>
                <w:rFonts w:ascii="Times New Roman" w:hAnsi="Times New Roman" w:cs="Times New Roman" w:eastAsia="Times New Roman" w:hint="default"/>
                <w:sz w:val="20"/>
                <w:szCs w:val="20"/>
              </w:rPr>
            </w:pPr>
            <w:r>
              <w:rPr>
                <w:rFonts w:ascii="Times New Roman"/>
                <w:sz w:val="20"/>
              </w:rPr>
              <w:t>5,958.17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23,487.08</w:t>
            </w:r>
            <w:r>
              <w:rPr>
                <w:rFonts w:ascii="Times New Roman"/>
                <w:sz w:val="20"/>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sz w:val="20"/>
              </w:rPr>
              <w:t>8,402.72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21,042.53</w:t>
            </w:r>
            <w:r>
              <w:rPr>
                <w:rFonts w:ascii="Times New Roman"/>
                <w:sz w:val="20"/>
              </w:rPr>
            </w: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关联自然人及其控制的</w:t>
            </w:r>
          </w:p>
        </w:tc>
        <w:tc>
          <w:tcPr>
            <w:tcW w:w="2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3"/>
          <w:footerReference w:type="default" r:id="rId24"/>
          <w:pgSz w:w="16840" w:h="11910" w:orient="landscape"/>
          <w:pgMar w:header="850" w:footer="979" w:top="1200" w:bottom="1160" w:left="920" w:right="980"/>
          <w:pgNumType w:start="61"/>
        </w:sectPr>
      </w:pPr>
    </w:p>
    <w:p>
      <w:pPr>
        <w:spacing w:line="240" w:lineRule="auto" w:before="4"/>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2251"/>
        <w:gridCol w:w="2662"/>
        <w:gridCol w:w="1320"/>
        <w:gridCol w:w="1474"/>
        <w:gridCol w:w="1118"/>
        <w:gridCol w:w="1147"/>
        <w:gridCol w:w="1190"/>
        <w:gridCol w:w="1056"/>
        <w:gridCol w:w="972"/>
        <w:gridCol w:w="1438"/>
      </w:tblGrid>
      <w:tr>
        <w:trPr>
          <w:trHeight w:val="271" w:hRule="exact"/>
        </w:trPr>
        <w:tc>
          <w:tcPr>
            <w:tcW w:w="2251" w:type="dxa"/>
            <w:tcBorders>
              <w:top w:val="single" w:sz="6" w:space="0" w:color="000000"/>
              <w:left w:val="single" w:sz="4" w:space="0" w:color="000000"/>
              <w:bottom w:val="single" w:sz="4" w:space="0" w:color="000000"/>
              <w:right w:val="single" w:sz="4" w:space="0" w:color="000000"/>
            </w:tcBorders>
          </w:tcPr>
          <w:p>
            <w:pPr>
              <w:pStyle w:val="TableParagraph"/>
              <w:spacing w:line="230" w:lineRule="exact"/>
              <w:ind w:left="919" w:right="0"/>
              <w:jc w:val="left"/>
              <w:rPr>
                <w:rFonts w:ascii="宋体" w:hAnsi="宋体" w:cs="宋体" w:eastAsia="宋体" w:hint="default"/>
                <w:sz w:val="20"/>
                <w:szCs w:val="20"/>
              </w:rPr>
            </w:pPr>
            <w:r>
              <w:rPr>
                <w:rFonts w:ascii="宋体" w:hAnsi="宋体" w:cs="宋体" w:eastAsia="宋体" w:hint="default"/>
                <w:sz w:val="20"/>
                <w:szCs w:val="20"/>
              </w:rPr>
              <w:t>法人</w:t>
            </w:r>
          </w:p>
        </w:tc>
        <w:tc>
          <w:tcPr>
            <w:tcW w:w="2662" w:type="dxa"/>
            <w:tcBorders>
              <w:top w:val="single" w:sz="6" w:space="0" w:color="000000"/>
              <w:left w:val="single" w:sz="4" w:space="0" w:color="000000"/>
              <w:bottom w:val="single" w:sz="4" w:space="0" w:color="000000"/>
              <w:right w:val="single" w:sz="4" w:space="0" w:color="000000"/>
            </w:tcBorders>
          </w:tcPr>
          <w:p>
            <w:pPr/>
          </w:p>
        </w:tc>
        <w:tc>
          <w:tcPr>
            <w:tcW w:w="1320" w:type="dxa"/>
            <w:tcBorders>
              <w:top w:val="single" w:sz="6" w:space="0" w:color="000000"/>
              <w:left w:val="single" w:sz="4" w:space="0" w:color="000000"/>
              <w:bottom w:val="single" w:sz="4" w:space="0" w:color="000000"/>
              <w:right w:val="single" w:sz="4" w:space="0" w:color="000000"/>
            </w:tcBorders>
          </w:tcPr>
          <w:p>
            <w:pPr/>
          </w:p>
        </w:tc>
        <w:tc>
          <w:tcPr>
            <w:tcW w:w="1474" w:type="dxa"/>
            <w:tcBorders>
              <w:top w:val="single" w:sz="6" w:space="0" w:color="000000"/>
              <w:left w:val="single" w:sz="4" w:space="0" w:color="000000"/>
              <w:bottom w:val="single" w:sz="4" w:space="0" w:color="000000"/>
              <w:right w:val="single" w:sz="4" w:space="0" w:color="000000"/>
            </w:tcBorders>
          </w:tcPr>
          <w:p>
            <w:pPr/>
          </w:p>
        </w:tc>
        <w:tc>
          <w:tcPr>
            <w:tcW w:w="1118" w:type="dxa"/>
            <w:tcBorders>
              <w:top w:val="single" w:sz="6" w:space="0" w:color="000000"/>
              <w:left w:val="single" w:sz="4" w:space="0" w:color="000000"/>
              <w:bottom w:val="single" w:sz="4" w:space="0" w:color="000000"/>
              <w:right w:val="single" w:sz="4" w:space="0" w:color="000000"/>
            </w:tcBorders>
          </w:tcPr>
          <w:p>
            <w:pPr/>
          </w:p>
        </w:tc>
        <w:tc>
          <w:tcPr>
            <w:tcW w:w="1147" w:type="dxa"/>
            <w:tcBorders>
              <w:top w:val="single" w:sz="6" w:space="0" w:color="000000"/>
              <w:left w:val="single" w:sz="4" w:space="0" w:color="000000"/>
              <w:bottom w:val="single" w:sz="4" w:space="0" w:color="000000"/>
              <w:right w:val="single" w:sz="4" w:space="0" w:color="000000"/>
            </w:tcBorders>
          </w:tcPr>
          <w:p>
            <w:pPr/>
          </w:p>
        </w:tc>
        <w:tc>
          <w:tcPr>
            <w:tcW w:w="1190" w:type="dxa"/>
            <w:tcBorders>
              <w:top w:val="single" w:sz="6" w:space="0" w:color="000000"/>
              <w:left w:val="single" w:sz="4" w:space="0" w:color="000000"/>
              <w:bottom w:val="single" w:sz="4" w:space="0" w:color="000000"/>
              <w:right w:val="single" w:sz="4" w:space="0" w:color="000000"/>
            </w:tcBorders>
          </w:tcPr>
          <w:p>
            <w:pPr/>
          </w:p>
        </w:tc>
        <w:tc>
          <w:tcPr>
            <w:tcW w:w="1056" w:type="dxa"/>
            <w:tcBorders>
              <w:top w:val="single" w:sz="6" w:space="0" w:color="000000"/>
              <w:left w:val="single" w:sz="4" w:space="0" w:color="000000"/>
              <w:bottom w:val="single" w:sz="4" w:space="0" w:color="000000"/>
              <w:right w:val="single" w:sz="4" w:space="0" w:color="000000"/>
            </w:tcBorders>
          </w:tcPr>
          <w:p>
            <w:pPr/>
          </w:p>
        </w:tc>
        <w:tc>
          <w:tcPr>
            <w:tcW w:w="972" w:type="dxa"/>
            <w:tcBorders>
              <w:top w:val="single" w:sz="6" w:space="0" w:color="000000"/>
              <w:left w:val="single" w:sz="4" w:space="0" w:color="000000"/>
              <w:bottom w:val="single" w:sz="4" w:space="0" w:color="000000"/>
              <w:right w:val="single" w:sz="4" w:space="0" w:color="000000"/>
            </w:tcBorders>
          </w:tcPr>
          <w:p>
            <w:pPr/>
          </w:p>
        </w:tc>
        <w:tc>
          <w:tcPr>
            <w:tcW w:w="1438" w:type="dxa"/>
            <w:tcBorders>
              <w:top w:val="single" w:sz="6" w:space="0" w:color="000000"/>
              <w:left w:val="single" w:sz="4" w:space="0" w:color="000000"/>
              <w:bottom w:val="single" w:sz="4" w:space="0" w:color="000000"/>
              <w:right w:val="single" w:sz="4" w:space="0" w:color="000000"/>
            </w:tcBorders>
          </w:tcPr>
          <w:p>
            <w:pPr/>
          </w:p>
        </w:tc>
      </w:tr>
      <w:tr>
        <w:trPr>
          <w:trHeight w:val="269"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19"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2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其他关联方及其附属企</w:t>
            </w: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业</w:t>
            </w:r>
            <w:r>
              <w:rPr>
                <w:rFonts w:ascii="宋体" w:hAnsi="宋体" w:cs="宋体" w:eastAsia="宋体" w:hint="default"/>
                <w:sz w:val="20"/>
                <w:szCs w:val="20"/>
              </w:rPr>
            </w:r>
          </w:p>
        </w:tc>
        <w:tc>
          <w:tcPr>
            <w:tcW w:w="2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19"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2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19" w:right="0"/>
              <w:jc w:val="left"/>
              <w:rPr>
                <w:rFonts w:ascii="宋体" w:hAnsi="宋体" w:cs="宋体" w:eastAsia="宋体" w:hint="default"/>
                <w:sz w:val="20"/>
                <w:szCs w:val="20"/>
              </w:rPr>
            </w:pPr>
            <w:r>
              <w:rPr>
                <w:rFonts w:ascii="宋体" w:hAnsi="宋体" w:cs="宋体" w:eastAsia="宋体" w:hint="default"/>
                <w:b/>
                <w:bCs/>
                <w:sz w:val="20"/>
                <w:szCs w:val="20"/>
              </w:rPr>
              <w:t>总计</w:t>
            </w:r>
            <w:r>
              <w:rPr>
                <w:rFonts w:ascii="宋体" w:hAnsi="宋体" w:cs="宋体" w:eastAsia="宋体" w:hint="default"/>
                <w:sz w:val="20"/>
                <w:szCs w:val="20"/>
              </w:rPr>
            </w:r>
          </w:p>
        </w:tc>
        <w:tc>
          <w:tcPr>
            <w:tcW w:w="266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07" w:right="0"/>
              <w:jc w:val="left"/>
              <w:rPr>
                <w:rFonts w:ascii="Times New Roman" w:hAnsi="Times New Roman" w:cs="Times New Roman" w:eastAsia="Times New Roman" w:hint="default"/>
                <w:sz w:val="20"/>
                <w:szCs w:val="20"/>
              </w:rPr>
            </w:pPr>
            <w:r>
              <w:rPr>
                <w:rFonts w:ascii="Times New Roman"/>
                <w:sz w:val="20"/>
              </w:rPr>
              <w:t>5,958.17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35" w:right="0"/>
              <w:jc w:val="left"/>
              <w:rPr>
                <w:rFonts w:ascii="Times New Roman" w:hAnsi="Times New Roman" w:cs="Times New Roman" w:eastAsia="Times New Roman" w:hint="default"/>
                <w:sz w:val="20"/>
                <w:szCs w:val="20"/>
              </w:rPr>
            </w:pPr>
            <w:r>
              <w:rPr>
                <w:rFonts w:ascii="Times New Roman"/>
                <w:sz w:val="20"/>
              </w:rPr>
              <w:t>23,487.08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76" w:right="0"/>
              <w:jc w:val="left"/>
              <w:rPr>
                <w:rFonts w:ascii="Times New Roman" w:hAnsi="Times New Roman" w:cs="Times New Roman" w:eastAsia="Times New Roman" w:hint="default"/>
                <w:sz w:val="20"/>
                <w:szCs w:val="20"/>
              </w:rPr>
            </w:pPr>
            <w:r>
              <w:rPr>
                <w:rFonts w:ascii="Times New Roman"/>
                <w:sz w:val="20"/>
              </w:rPr>
              <w:t>8,402.72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43" w:right="0"/>
              <w:jc w:val="left"/>
              <w:rPr>
                <w:rFonts w:ascii="Times New Roman" w:hAnsi="Times New Roman" w:cs="Times New Roman" w:eastAsia="Times New Roman" w:hint="default"/>
                <w:sz w:val="20"/>
                <w:szCs w:val="20"/>
              </w:rPr>
            </w:pPr>
            <w:r>
              <w:rPr>
                <w:rFonts w:ascii="Times New Roman"/>
                <w:sz w:val="20"/>
              </w:rPr>
              <w:t>21,042.53</w:t>
            </w:r>
          </w:p>
        </w:tc>
        <w:tc>
          <w:tcPr>
            <w:tcW w:w="97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0" w:footer="979" w:top="1200" w:bottom="1160" w:left="920" w:right="1060"/>
        </w:sectPr>
      </w:pPr>
    </w:p>
    <w:p>
      <w:pPr>
        <w:pStyle w:val="BodyText"/>
        <w:spacing w:line="240" w:lineRule="auto" w:before="92"/>
        <w:ind w:left="572" w:right="0"/>
        <w:jc w:val="left"/>
      </w:pPr>
      <w:r>
        <w:rPr/>
        <w:pict>
          <v:group style="position:absolute;margin-left:55.200001pt;margin-top:5.943662pt;width:484.45pt;height:.1pt;mso-position-horizontal-relative:page;mso-position-vertical-relative:paragraph;z-index:-771952" coordorigin="1104,119" coordsize="9689,2">
            <v:shape style="position:absolute;left:1104;top:119;width:9689;height:2" coordorigin="1104,119" coordsize="9689,0" path="m1104,119l10793,119e" filled="false" stroked="true" strokeweight=".72pt" strokecolor="#000000">
              <v:path arrowok="t"/>
            </v:shape>
            <w10:wrap type="none"/>
          </v:group>
        </w:pict>
      </w:r>
      <w:r>
        <w:rPr>
          <w:rFonts w:ascii="Times New Roman" w:hAnsi="Times New Roman" w:cs="Times New Roman" w:eastAsia="Times New Roman" w:hint="default"/>
        </w:rPr>
        <w:t>2</w:t>
      </w:r>
      <w:r>
        <w:rPr/>
        <w:t>、独立董事对担保事项、关联方资金占用情况及关联交易情况出具的专项说明和独立意见</w:t>
      </w:r>
    </w:p>
    <w:p>
      <w:pPr>
        <w:pStyle w:val="BodyText"/>
        <w:spacing w:line="336" w:lineRule="auto" w:before="117"/>
        <w:ind w:right="0" w:firstLine="420"/>
        <w:jc w:val="left"/>
      </w:pPr>
      <w:r>
        <w:rPr>
          <w:spacing w:val="-4"/>
        </w:rPr>
        <w:t>（</w:t>
      </w:r>
      <w:r>
        <w:rPr>
          <w:rFonts w:ascii="Times New Roman" w:hAnsi="Times New Roman" w:cs="Times New Roman" w:eastAsia="Times New Roman" w:hint="default"/>
          <w:spacing w:val="-4"/>
        </w:rPr>
        <w:t>1</w:t>
      </w:r>
      <w:r>
        <w:rPr>
          <w:spacing w:val="-4"/>
        </w:rPr>
        <w:t>）报告期内，公司不存在为控股股东及本公司持股</w:t>
      </w:r>
      <w:r>
        <w:rPr>
          <w:rFonts w:ascii="Times New Roman" w:hAnsi="Times New Roman" w:cs="Times New Roman" w:eastAsia="Times New Roman" w:hint="default"/>
          <w:spacing w:val="-4"/>
        </w:rPr>
        <w:t>50%</w:t>
      </w:r>
      <w:r>
        <w:rPr>
          <w:spacing w:val="-4"/>
        </w:rPr>
        <w:t>以下的其他关联方、任何非法人单位或个人</w:t>
      </w:r>
      <w:r>
        <w:rPr>
          <w:w w:val="100"/>
        </w:rPr>
        <w:t> </w:t>
      </w:r>
      <w:r>
        <w:rPr/>
        <w:t>提供担保的情况，也无任何形式的对外担保事项，公司累计和当期对外担保金额为零。</w:t>
      </w:r>
    </w:p>
    <w:p>
      <w:pPr>
        <w:pStyle w:val="BodyText"/>
        <w:spacing w:line="240" w:lineRule="auto" w:before="51"/>
        <w:ind w:left="572" w:right="0"/>
        <w:jc w:val="left"/>
      </w:pPr>
      <w:r>
        <w:rPr/>
        <w:t>（</w:t>
      </w:r>
      <w:r>
        <w:rPr>
          <w:rFonts w:ascii="Times New Roman" w:hAnsi="Times New Roman" w:cs="Times New Roman" w:eastAsia="Times New Roman" w:hint="default"/>
        </w:rPr>
        <w:t>2</w:t>
      </w:r>
      <w:r>
        <w:rPr/>
        <w:t>）报告期内，公司不存在控股股东及其他关联方非正常占用公司资金的情况。</w:t>
      </w:r>
    </w:p>
    <w:p>
      <w:pPr>
        <w:pStyle w:val="BodyText"/>
        <w:spacing w:line="336" w:lineRule="auto" w:before="117"/>
        <w:ind w:right="0" w:firstLine="420"/>
        <w:jc w:val="left"/>
      </w:pPr>
      <w:r>
        <w:rPr>
          <w:spacing w:val="-2"/>
        </w:rPr>
        <w:t>（</w:t>
      </w:r>
      <w:r>
        <w:rPr>
          <w:rFonts w:ascii="Times New Roman" w:hAnsi="Times New Roman" w:cs="Times New Roman" w:eastAsia="Times New Roman" w:hint="default"/>
          <w:spacing w:val="-2"/>
        </w:rPr>
        <w:t>3</w:t>
      </w:r>
      <w:r>
        <w:rPr>
          <w:spacing w:val="-2"/>
        </w:rPr>
        <w:t>）报告期内，公司没有发生与本公司的股东、股东的控股子公司、股东的附属企业及本公司持股</w:t>
      </w:r>
      <w:r>
        <w:rPr>
          <w:w w:val="100"/>
        </w:rPr>
        <w:t> </w:t>
      </w:r>
      <w:r>
        <w:rPr/>
        <w:t>的其他关联方及公司的董事、监事和高级管理人员（包括其直系亲属）发生任何形式的关联交易行为。</w:t>
      </w:r>
    </w:p>
    <w:p>
      <w:pPr>
        <w:spacing w:line="240" w:lineRule="auto" w:before="0"/>
        <w:rPr>
          <w:rFonts w:ascii="宋体" w:hAnsi="宋体" w:cs="宋体" w:eastAsia="宋体" w:hint="default"/>
          <w:sz w:val="25"/>
          <w:szCs w:val="25"/>
        </w:rPr>
      </w:pPr>
    </w:p>
    <w:p>
      <w:pPr>
        <w:pStyle w:val="Heading4"/>
        <w:spacing w:line="240" w:lineRule="auto"/>
        <w:ind w:left="572" w:right="0"/>
        <w:jc w:val="left"/>
        <w:rPr>
          <w:b w:val="0"/>
          <w:bCs w:val="0"/>
        </w:rPr>
      </w:pPr>
      <w:r>
        <w:rPr/>
        <w:t>七、报告期内，公司重大合同及其履行情况</w:t>
      </w:r>
      <w:r>
        <w:rPr>
          <w:b w:val="0"/>
          <w:bCs w:val="0"/>
        </w:rPr>
      </w:r>
    </w:p>
    <w:p>
      <w:pPr>
        <w:spacing w:line="240" w:lineRule="auto" w:before="5"/>
        <w:rPr>
          <w:rFonts w:ascii="宋体" w:hAnsi="宋体" w:cs="宋体" w:eastAsia="宋体" w:hint="default"/>
          <w:b/>
          <w:bCs/>
          <w:sz w:val="21"/>
          <w:szCs w:val="21"/>
        </w:rPr>
      </w:pPr>
    </w:p>
    <w:p>
      <w:pPr>
        <w:pStyle w:val="Heading4"/>
        <w:spacing w:line="355" w:lineRule="auto"/>
        <w:ind w:left="152" w:right="0" w:firstLine="422"/>
        <w:jc w:val="left"/>
        <w:rPr>
          <w:b w:val="0"/>
          <w:bCs w:val="0"/>
        </w:rPr>
      </w:pPr>
      <w:r>
        <w:rPr>
          <w:spacing w:val="-2"/>
        </w:rPr>
        <w:t>（一）报告期内，本公司未发生且没有以前期间发生延续到报告期的重大托管、承包、租赁公司资产</w:t>
      </w:r>
      <w:r>
        <w:rPr>
          <w:w w:val="100"/>
        </w:rPr>
        <w:t> </w:t>
      </w:r>
      <w:r>
        <w:rPr/>
        <w:t>等事项。</w:t>
      </w:r>
      <w:r>
        <w:rPr>
          <w:b w:val="0"/>
          <w:bCs w:val="0"/>
        </w:rPr>
      </w:r>
    </w:p>
    <w:p>
      <w:pPr>
        <w:pStyle w:val="Heading4"/>
        <w:spacing w:line="240" w:lineRule="auto" w:before="34"/>
        <w:ind w:left="575" w:right="0"/>
        <w:jc w:val="left"/>
        <w:rPr>
          <w:b w:val="0"/>
          <w:bCs w:val="0"/>
        </w:rPr>
      </w:pPr>
      <w:r>
        <w:rPr/>
        <w:t>（二）报告期内，本公司未发生且没有以前期间发生延续到报告期的重大担保事项。</w:t>
      </w:r>
      <w:r>
        <w:rPr>
          <w:b w:val="0"/>
          <w:bCs w:val="0"/>
        </w:rPr>
      </w:r>
    </w:p>
    <w:p>
      <w:pPr>
        <w:pStyle w:val="Heading4"/>
        <w:spacing w:line="355" w:lineRule="auto" w:before="133"/>
        <w:ind w:left="152" w:right="0" w:firstLine="422"/>
        <w:jc w:val="left"/>
        <w:rPr>
          <w:b w:val="0"/>
          <w:bCs w:val="0"/>
        </w:rPr>
      </w:pPr>
      <w:r>
        <w:rPr>
          <w:spacing w:val="-2"/>
        </w:rPr>
        <w:t>（三）报告期内，本公司未发生且没有以前期间发生延续到报告期的重大委托他人进行现金资产管理</w:t>
      </w:r>
      <w:r>
        <w:rPr>
          <w:w w:val="100"/>
        </w:rPr>
        <w:t> </w:t>
      </w:r>
      <w:r>
        <w:rPr/>
        <w:t>的事项。</w:t>
      </w:r>
      <w:r>
        <w:rPr>
          <w:b w:val="0"/>
          <w:bCs w:val="0"/>
        </w:rPr>
      </w:r>
    </w:p>
    <w:p>
      <w:pPr>
        <w:spacing w:line="240" w:lineRule="auto" w:before="10"/>
        <w:rPr>
          <w:rFonts w:ascii="宋体" w:hAnsi="宋体" w:cs="宋体" w:eastAsia="宋体" w:hint="default"/>
          <w:b/>
          <w:bCs/>
          <w:sz w:val="23"/>
          <w:szCs w:val="23"/>
        </w:rPr>
      </w:pPr>
    </w:p>
    <w:p>
      <w:pPr>
        <w:pStyle w:val="Heading4"/>
        <w:spacing w:line="240" w:lineRule="auto"/>
        <w:ind w:left="572" w:right="0"/>
        <w:jc w:val="left"/>
        <w:rPr>
          <w:b w:val="0"/>
          <w:bCs w:val="0"/>
        </w:rPr>
      </w:pPr>
      <w:r>
        <w:rPr/>
        <w:t>八、承诺事项履行情况</w:t>
      </w:r>
      <w:r>
        <w:rPr>
          <w:b w:val="0"/>
          <w:bCs w:val="0"/>
        </w:rPr>
      </w:r>
    </w:p>
    <w:p>
      <w:pPr>
        <w:spacing w:line="240" w:lineRule="auto" w:before="5"/>
        <w:rPr>
          <w:rFonts w:ascii="宋体" w:hAnsi="宋体" w:cs="宋体" w:eastAsia="宋体" w:hint="default"/>
          <w:b/>
          <w:bCs/>
          <w:sz w:val="21"/>
          <w:szCs w:val="21"/>
        </w:rPr>
      </w:pPr>
    </w:p>
    <w:p>
      <w:pPr>
        <w:pStyle w:val="BodyText"/>
        <w:spacing w:line="336" w:lineRule="auto"/>
        <w:ind w:right="0" w:firstLine="419"/>
        <w:jc w:val="left"/>
      </w:pPr>
      <w:r>
        <w:rPr>
          <w:spacing w:val="-3"/>
        </w:rPr>
        <w:t>报告期内，公司或持有公司股份 </w:t>
      </w:r>
      <w:r>
        <w:rPr>
          <w:rFonts w:ascii="Times New Roman" w:hAnsi="Times New Roman" w:cs="Times New Roman" w:eastAsia="Times New Roman" w:hint="default"/>
          <w:spacing w:val="-4"/>
        </w:rPr>
        <w:t>5%</w:t>
      </w:r>
      <w:r>
        <w:rPr>
          <w:spacing w:val="-4"/>
        </w:rPr>
        <w:t>以上（含</w:t>
      </w:r>
      <w:r>
        <w:rPr>
          <w:spacing w:val="-45"/>
        </w:rPr>
        <w:t> </w:t>
      </w:r>
      <w:r>
        <w:rPr>
          <w:rFonts w:ascii="Times New Roman" w:hAnsi="Times New Roman" w:cs="Times New Roman" w:eastAsia="Times New Roman" w:hint="default"/>
          <w:spacing w:val="-3"/>
        </w:rPr>
        <w:t>5%</w:t>
      </w:r>
      <w:r>
        <w:rPr>
          <w:spacing w:val="-3"/>
        </w:rPr>
        <w:t>）的股东没有发生对公司财务状况、经营成果可能产</w:t>
      </w:r>
      <w:r>
        <w:rPr>
          <w:w w:val="100"/>
        </w:rPr>
        <w:t> </w:t>
      </w:r>
      <w:r>
        <w:rPr/>
        <w:t>生重要影响的承诺事项。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36"/>
        <w:ind w:left="0" w:right="116"/>
        <w:jc w:val="right"/>
      </w:pPr>
      <w:r>
        <w:rPr/>
        <w:pict>
          <v:shape style="position:absolute;margin-left:56.400002pt;margin-top:-216.936325pt;width:492.15pt;height:357.1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00"/>
                    <w:gridCol w:w="1320"/>
                    <w:gridCol w:w="2880"/>
                    <w:gridCol w:w="3228"/>
                  </w:tblGrid>
                  <w:tr>
                    <w:trPr>
                      <w:trHeight w:val="283" w:hRule="exact"/>
                    </w:trPr>
                    <w:tc>
                      <w:tcPr>
                        <w:tcW w:w="24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775"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13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承诺人</w:t>
                        </w:r>
                      </w:p>
                    </w:tc>
                    <w:tc>
                      <w:tcPr>
                        <w:tcW w:w="28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32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履行情况</w:t>
                        </w:r>
                      </w:p>
                    </w:tc>
                  </w:tr>
                  <w:tr>
                    <w:trPr>
                      <w:trHeight w:val="283" w:hRule="exact"/>
                    </w:trPr>
                    <w:tc>
                      <w:tcPr>
                        <w:tcW w:w="24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320" w:type="dxa"/>
                        <w:tcBorders>
                          <w:top w:val="single" w:sz="4" w:space="0" w:color="000000"/>
                          <w:left w:val="single" w:sz="9" w:space="0" w:color="DDDDDD"/>
                          <w:bottom w:val="single" w:sz="4" w:space="0" w:color="000000"/>
                          <w:right w:val="single" w:sz="4" w:space="0" w:color="000000"/>
                        </w:tcBorders>
                      </w:tcPr>
                      <w:p>
                        <w:pPr>
                          <w:pStyle w:val="TableParagraph"/>
                          <w:spacing w:line="241" w:lineRule="exact"/>
                          <w:ind w:left="1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554" w:hRule="exact"/>
                    </w:trPr>
                    <w:tc>
                      <w:tcPr>
                        <w:tcW w:w="24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收购报告书或权益变动报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告书中所作承诺</w:t>
                        </w:r>
                      </w:p>
                    </w:tc>
                    <w:tc>
                      <w:tcPr>
                        <w:tcW w:w="1320" w:type="dxa"/>
                        <w:tcBorders>
                          <w:top w:val="single" w:sz="4" w:space="0" w:color="000000"/>
                          <w:left w:val="single" w:sz="9" w:space="0" w:color="DDDDDD"/>
                          <w:bottom w:val="single" w:sz="4" w:space="0" w:color="000000"/>
                          <w:right w:val="single" w:sz="4" w:space="0" w:color="000000"/>
                        </w:tcBorders>
                      </w:tcPr>
                      <w:p>
                        <w:pPr>
                          <w:pStyle w:val="TableParagraph"/>
                          <w:spacing w:line="240" w:lineRule="auto" w:before="102"/>
                          <w:ind w:left="1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281" w:hRule="exact"/>
                    </w:trPr>
                    <w:tc>
                      <w:tcPr>
                        <w:tcW w:w="24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重大资产重组时所作承诺</w:t>
                        </w:r>
                      </w:p>
                    </w:tc>
                    <w:tc>
                      <w:tcPr>
                        <w:tcW w:w="1320" w:type="dxa"/>
                        <w:tcBorders>
                          <w:top w:val="single" w:sz="4" w:space="0" w:color="000000"/>
                          <w:left w:val="single" w:sz="9" w:space="0" w:color="DDDDDD"/>
                          <w:bottom w:val="single" w:sz="4" w:space="0" w:color="000000"/>
                          <w:right w:val="single" w:sz="4" w:space="0" w:color="000000"/>
                        </w:tcBorders>
                      </w:tcPr>
                      <w:p>
                        <w:pPr>
                          <w:pStyle w:val="TableParagraph"/>
                          <w:spacing w:line="241" w:lineRule="exact"/>
                          <w:ind w:left="1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2729" w:hRule="exact"/>
                    </w:trPr>
                    <w:tc>
                      <w:tcPr>
                        <w:tcW w:w="2400" w:type="dxa"/>
                        <w:tcBorders>
                          <w:top w:val="single" w:sz="4" w:space="0" w:color="000000"/>
                          <w:left w:val="single" w:sz="4" w:space="0" w:color="000000"/>
                          <w:bottom w:val="nil" w:sz="6" w:space="0" w:color="auto"/>
                          <w:right w:val="single" w:sz="4" w:space="0" w:color="000000"/>
                        </w:tcBorders>
                        <w:shd w:val="clear" w:color="auto" w:fill="DDDDDD"/>
                      </w:tcPr>
                      <w:p>
                        <w:pPr/>
                      </w:p>
                    </w:tc>
                    <w:tc>
                      <w:tcPr>
                        <w:tcW w:w="1320" w:type="dxa"/>
                        <w:vMerge w:val="restart"/>
                        <w:tcBorders>
                          <w:top w:val="single" w:sz="4" w:space="0" w:color="000000"/>
                          <w:left w:val="single" w:sz="9" w:space="0" w:color="DDDDDD"/>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29"/>
                          <w:ind w:left="18" w:right="21"/>
                          <w:jc w:val="both"/>
                          <w:rPr>
                            <w:rFonts w:ascii="宋体" w:hAnsi="宋体" w:cs="宋体" w:eastAsia="宋体" w:hint="default"/>
                            <w:sz w:val="21"/>
                            <w:szCs w:val="21"/>
                          </w:rPr>
                        </w:pPr>
                        <w:r>
                          <w:rPr>
                            <w:rFonts w:ascii="宋体" w:hAnsi="宋体" w:cs="宋体" w:eastAsia="宋体" w:hint="default"/>
                            <w:sz w:val="21"/>
                            <w:szCs w:val="21"/>
                          </w:rPr>
                          <w:t>发行前股东、</w:t>
                        </w:r>
                        <w:r>
                          <w:rPr>
                            <w:rFonts w:ascii="宋体" w:hAnsi="宋体" w:cs="宋体" w:eastAsia="宋体" w:hint="default"/>
                            <w:w w:val="100"/>
                            <w:sz w:val="21"/>
                            <w:szCs w:val="21"/>
                          </w:rPr>
                          <w:t> </w:t>
                        </w:r>
                        <w:r>
                          <w:rPr>
                            <w:rFonts w:ascii="宋体" w:hAnsi="宋体" w:cs="宋体" w:eastAsia="宋体" w:hint="default"/>
                            <w:sz w:val="21"/>
                            <w:szCs w:val="21"/>
                          </w:rPr>
                          <w:t>公司董事长、</w:t>
                        </w:r>
                        <w:r>
                          <w:rPr>
                            <w:rFonts w:ascii="宋体" w:hAnsi="宋体" w:cs="宋体" w:eastAsia="宋体" w:hint="default"/>
                            <w:w w:val="100"/>
                            <w:sz w:val="21"/>
                            <w:szCs w:val="21"/>
                          </w:rPr>
                          <w:t> </w:t>
                        </w:r>
                        <w:r>
                          <w:rPr>
                            <w:rFonts w:ascii="宋体" w:hAnsi="宋体" w:cs="宋体" w:eastAsia="宋体" w:hint="default"/>
                            <w:sz w:val="21"/>
                            <w:szCs w:val="21"/>
                          </w:rPr>
                          <w:t>控股股东李仲</w:t>
                        </w:r>
                        <w:r>
                          <w:rPr>
                            <w:rFonts w:ascii="宋体" w:hAnsi="宋体" w:cs="宋体" w:eastAsia="宋体" w:hint="default"/>
                            <w:w w:val="100"/>
                            <w:sz w:val="21"/>
                            <w:szCs w:val="21"/>
                          </w:rPr>
                          <w:t> </w:t>
                        </w:r>
                        <w:r>
                          <w:rPr>
                            <w:rFonts w:ascii="宋体" w:hAnsi="宋体" w:cs="宋体" w:eastAsia="宋体" w:hint="default"/>
                            <w:sz w:val="21"/>
                            <w:szCs w:val="21"/>
                          </w:rPr>
                          <w:t>初先生，发行</w:t>
                        </w:r>
                        <w:r>
                          <w:rPr>
                            <w:rFonts w:ascii="宋体" w:hAnsi="宋体" w:cs="宋体" w:eastAsia="宋体" w:hint="default"/>
                            <w:w w:val="100"/>
                            <w:sz w:val="21"/>
                            <w:szCs w:val="21"/>
                          </w:rPr>
                          <w:t> </w:t>
                        </w:r>
                        <w:r>
                          <w:rPr>
                            <w:rFonts w:ascii="宋体" w:hAnsi="宋体" w:cs="宋体" w:eastAsia="宋体" w:hint="default"/>
                            <w:sz w:val="21"/>
                            <w:szCs w:val="21"/>
                          </w:rPr>
                          <w:t>前股东李殿坤</w:t>
                        </w:r>
                        <w:r>
                          <w:rPr>
                            <w:rFonts w:ascii="宋体" w:hAnsi="宋体" w:cs="宋体" w:eastAsia="宋体" w:hint="default"/>
                            <w:w w:val="100"/>
                            <w:sz w:val="21"/>
                            <w:szCs w:val="21"/>
                          </w:rPr>
                          <w:t> </w:t>
                        </w:r>
                        <w:r>
                          <w:rPr>
                            <w:rFonts w:ascii="宋体" w:hAnsi="宋体" w:cs="宋体" w:eastAsia="宋体" w:hint="default"/>
                            <w:sz w:val="21"/>
                            <w:szCs w:val="21"/>
                          </w:rPr>
                          <w:t>先生，其他发</w:t>
                        </w:r>
                        <w:r>
                          <w:rPr>
                            <w:rFonts w:ascii="宋体" w:hAnsi="宋体" w:cs="宋体" w:eastAsia="宋体" w:hint="default"/>
                            <w:w w:val="100"/>
                            <w:sz w:val="21"/>
                            <w:szCs w:val="21"/>
                          </w:rPr>
                          <w:t> </w:t>
                        </w:r>
                        <w:r>
                          <w:rPr>
                            <w:rFonts w:ascii="宋体" w:hAnsi="宋体" w:cs="宋体" w:eastAsia="宋体" w:hint="default"/>
                            <w:sz w:val="21"/>
                            <w:szCs w:val="21"/>
                          </w:rPr>
                          <w:t>行前股东焦梅</w:t>
                        </w:r>
                        <w:r>
                          <w:rPr>
                            <w:rFonts w:ascii="宋体" w:hAnsi="宋体" w:cs="宋体" w:eastAsia="宋体" w:hint="default"/>
                            <w:w w:val="100"/>
                            <w:sz w:val="21"/>
                            <w:szCs w:val="21"/>
                          </w:rPr>
                          <w:t> </w:t>
                        </w:r>
                        <w:r>
                          <w:rPr>
                            <w:rFonts w:ascii="宋体" w:hAnsi="宋体" w:cs="宋体" w:eastAsia="宋体" w:hint="default"/>
                            <w:sz w:val="21"/>
                            <w:szCs w:val="21"/>
                          </w:rPr>
                          <w:t>荣女士，</w:t>
                        </w:r>
                      </w:p>
                    </w:tc>
                    <w:tc>
                      <w:tcPr>
                        <w:tcW w:w="2880" w:type="dxa"/>
                        <w:vMerge w:val="restart"/>
                        <w:tcBorders>
                          <w:top w:val="single" w:sz="4" w:space="0" w:color="000000"/>
                          <w:left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z w:val="21"/>
                            <w:szCs w:val="21"/>
                          </w:rPr>
                          <w:t>发行前股东、公司董事长、控</w:t>
                        </w:r>
                      </w:p>
                      <w:p>
                        <w:pPr>
                          <w:pStyle w:val="TableParagraph"/>
                          <w:spacing w:line="237" w:lineRule="auto"/>
                          <w:ind w:left="23" w:right="93"/>
                          <w:jc w:val="both"/>
                          <w:rPr>
                            <w:rFonts w:ascii="宋体" w:hAnsi="宋体" w:cs="宋体" w:eastAsia="宋体" w:hint="default"/>
                            <w:sz w:val="21"/>
                            <w:szCs w:val="21"/>
                          </w:rPr>
                        </w:pPr>
                        <w:r>
                          <w:rPr>
                            <w:rFonts w:ascii="宋体" w:hAnsi="宋体" w:cs="宋体" w:eastAsia="宋体" w:hint="default"/>
                            <w:sz w:val="21"/>
                            <w:szCs w:val="21"/>
                          </w:rPr>
                          <w:t>股股东李仲初先生承诺：自本</w:t>
                        </w:r>
                        <w:r>
                          <w:rPr>
                            <w:rFonts w:ascii="宋体" w:hAnsi="宋体" w:cs="宋体" w:eastAsia="宋体" w:hint="default"/>
                            <w:w w:val="100"/>
                            <w:sz w:val="21"/>
                            <w:szCs w:val="21"/>
                          </w:rPr>
                          <w:t> </w:t>
                        </w:r>
                        <w:r>
                          <w:rPr>
                            <w:rFonts w:ascii="宋体" w:hAnsi="宋体" w:cs="宋体" w:eastAsia="宋体" w:hint="default"/>
                            <w:sz w:val="21"/>
                            <w:szCs w:val="21"/>
                          </w:rPr>
                          <w:t>公司股票上市之日起三十六个</w:t>
                        </w:r>
                        <w:r>
                          <w:rPr>
                            <w:rFonts w:ascii="宋体" w:hAnsi="宋体" w:cs="宋体" w:eastAsia="宋体" w:hint="default"/>
                            <w:w w:val="100"/>
                            <w:sz w:val="21"/>
                            <w:szCs w:val="21"/>
                          </w:rPr>
                          <w:t> </w:t>
                        </w:r>
                        <w:r>
                          <w:rPr>
                            <w:rFonts w:ascii="宋体" w:hAnsi="宋体" w:cs="宋体" w:eastAsia="宋体" w:hint="default"/>
                            <w:sz w:val="21"/>
                            <w:szCs w:val="21"/>
                          </w:rPr>
                          <w:t>月内，不转让或者委托他人管</w:t>
                        </w:r>
                        <w:r>
                          <w:rPr>
                            <w:rFonts w:ascii="宋体" w:hAnsi="宋体" w:cs="宋体" w:eastAsia="宋体" w:hint="default"/>
                            <w:w w:val="100"/>
                            <w:sz w:val="21"/>
                            <w:szCs w:val="21"/>
                          </w:rPr>
                          <w:t> </w:t>
                        </w:r>
                        <w:r>
                          <w:rPr>
                            <w:rFonts w:ascii="宋体" w:hAnsi="宋体" w:cs="宋体" w:eastAsia="宋体" w:hint="default"/>
                            <w:sz w:val="21"/>
                            <w:szCs w:val="21"/>
                          </w:rPr>
                          <w:t>理其持有的发行人股份，也不</w:t>
                        </w:r>
                        <w:r>
                          <w:rPr>
                            <w:rFonts w:ascii="宋体" w:hAnsi="宋体" w:cs="宋体" w:eastAsia="宋体" w:hint="default"/>
                            <w:w w:val="100"/>
                            <w:sz w:val="21"/>
                            <w:szCs w:val="21"/>
                          </w:rPr>
                          <w:t> </w:t>
                        </w:r>
                        <w:r>
                          <w:rPr>
                            <w:rFonts w:ascii="宋体" w:hAnsi="宋体" w:cs="宋体" w:eastAsia="宋体" w:hint="default"/>
                            <w:sz w:val="21"/>
                            <w:szCs w:val="21"/>
                          </w:rPr>
                          <w:t>由发行人回购其持有的股份。</w:t>
                        </w:r>
                        <w:r>
                          <w:rPr>
                            <w:rFonts w:ascii="宋体" w:hAnsi="宋体" w:cs="宋体" w:eastAsia="宋体" w:hint="default"/>
                            <w:w w:val="100"/>
                            <w:sz w:val="21"/>
                            <w:szCs w:val="21"/>
                          </w:rPr>
                          <w:t> </w:t>
                        </w:r>
                        <w:r>
                          <w:rPr>
                            <w:rFonts w:ascii="宋体" w:hAnsi="宋体" w:cs="宋体" w:eastAsia="宋体" w:hint="default"/>
                            <w:sz w:val="21"/>
                            <w:szCs w:val="21"/>
                          </w:rPr>
                          <w:t>三十六个月后，任职期间每年</w:t>
                        </w:r>
                        <w:r>
                          <w:rPr>
                            <w:rFonts w:ascii="宋体" w:hAnsi="宋体" w:cs="宋体" w:eastAsia="宋体" w:hint="default"/>
                            <w:w w:val="100"/>
                            <w:sz w:val="21"/>
                            <w:szCs w:val="21"/>
                          </w:rPr>
                          <w:t> </w:t>
                        </w:r>
                        <w:r>
                          <w:rPr>
                            <w:rFonts w:ascii="宋体" w:hAnsi="宋体" w:cs="宋体" w:eastAsia="宋体" w:hint="default"/>
                            <w:sz w:val="21"/>
                            <w:szCs w:val="21"/>
                          </w:rPr>
                          <w:t>转让的股份不得超过其所持有</w:t>
                        </w:r>
                        <w:r>
                          <w:rPr>
                            <w:rFonts w:ascii="宋体" w:hAnsi="宋体" w:cs="宋体" w:eastAsia="宋体" w:hint="default"/>
                            <w:w w:val="100"/>
                            <w:sz w:val="21"/>
                            <w:szCs w:val="21"/>
                          </w:rPr>
                          <w:t> </w:t>
                        </w:r>
                        <w:r>
                          <w:rPr>
                            <w:rFonts w:ascii="宋体" w:hAnsi="宋体" w:cs="宋体" w:eastAsia="宋体" w:hint="default"/>
                            <w:sz w:val="21"/>
                            <w:szCs w:val="21"/>
                          </w:rPr>
                          <w:t>本公司股份总数的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，离职</w:t>
                        </w:r>
                        <w:r>
                          <w:rPr>
                            <w:rFonts w:ascii="宋体" w:hAnsi="宋体" w:cs="宋体" w:eastAsia="宋体" w:hint="default"/>
                            <w:w w:val="100"/>
                            <w:sz w:val="21"/>
                            <w:szCs w:val="21"/>
                          </w:rPr>
                          <w:t> </w:t>
                        </w:r>
                        <w:r>
                          <w:rPr>
                            <w:rFonts w:ascii="宋体" w:hAnsi="宋体" w:cs="宋体" w:eastAsia="宋体" w:hint="default"/>
                            <w:sz w:val="21"/>
                            <w:szCs w:val="21"/>
                          </w:rPr>
                          <w:t>后半年内不转让其所持有的本</w:t>
                        </w:r>
                        <w:r>
                          <w:rPr>
                            <w:rFonts w:ascii="宋体" w:hAnsi="宋体" w:cs="宋体" w:eastAsia="宋体" w:hint="default"/>
                            <w:w w:val="100"/>
                            <w:sz w:val="21"/>
                            <w:szCs w:val="21"/>
                          </w:rPr>
                          <w:t> </w:t>
                        </w:r>
                        <w:r>
                          <w:rPr>
                            <w:rFonts w:ascii="宋体" w:hAnsi="宋体" w:cs="宋体" w:eastAsia="宋体" w:hint="default"/>
                            <w:sz w:val="21"/>
                            <w:szCs w:val="21"/>
                          </w:rPr>
                          <w:t>公司股份，其后一年转让不超</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的所持有本公司股份。</w:t>
                        </w:r>
                        <w:r>
                          <w:rPr>
                            <w:rFonts w:ascii="宋体" w:hAnsi="宋体" w:cs="宋体" w:eastAsia="宋体" w:hint="default"/>
                            <w:w w:val="100"/>
                            <w:sz w:val="21"/>
                            <w:szCs w:val="21"/>
                          </w:rPr>
                          <w:t> </w:t>
                        </w:r>
                        <w:r>
                          <w:rPr>
                            <w:rFonts w:ascii="宋体" w:hAnsi="宋体" w:cs="宋体" w:eastAsia="宋体" w:hint="default"/>
                            <w:sz w:val="21"/>
                            <w:szCs w:val="21"/>
                          </w:rPr>
                          <w:t>发行前股东李殿坤先生承诺：</w:t>
                        </w:r>
                        <w:r>
                          <w:rPr>
                            <w:rFonts w:ascii="宋体" w:hAnsi="宋体" w:cs="宋体" w:eastAsia="宋体" w:hint="default"/>
                            <w:w w:val="100"/>
                            <w:sz w:val="21"/>
                            <w:szCs w:val="21"/>
                          </w:rPr>
                          <w:t> </w:t>
                        </w:r>
                        <w:r>
                          <w:rPr>
                            <w:rFonts w:ascii="宋体" w:hAnsi="宋体" w:cs="宋体" w:eastAsia="宋体" w:hint="default"/>
                            <w:sz w:val="21"/>
                            <w:szCs w:val="21"/>
                          </w:rPr>
                          <w:t>所持本公司股份自公司股票上</w:t>
                        </w:r>
                        <w:r>
                          <w:rPr>
                            <w:rFonts w:ascii="宋体" w:hAnsi="宋体" w:cs="宋体" w:eastAsia="宋体" w:hint="default"/>
                            <w:w w:val="100"/>
                            <w:sz w:val="21"/>
                            <w:szCs w:val="21"/>
                          </w:rPr>
                          <w:t> </w:t>
                        </w:r>
                        <w:r>
                          <w:rPr>
                            <w:rFonts w:ascii="宋体" w:hAnsi="宋体" w:cs="宋体" w:eastAsia="宋体" w:hint="default"/>
                            <w:sz w:val="21"/>
                            <w:szCs w:val="21"/>
                          </w:rPr>
                          <w:t>市交易之日起一年内不转让；</w:t>
                        </w:r>
                        <w:r>
                          <w:rPr>
                            <w:rFonts w:ascii="宋体" w:hAnsi="宋体" w:cs="宋体" w:eastAsia="宋体" w:hint="default"/>
                            <w:w w:val="100"/>
                            <w:sz w:val="21"/>
                            <w:szCs w:val="21"/>
                          </w:rPr>
                          <w:t> </w:t>
                        </w:r>
                        <w:r>
                          <w:rPr>
                            <w:rFonts w:ascii="宋体" w:hAnsi="宋体" w:cs="宋体" w:eastAsia="宋体" w:hint="default"/>
                            <w:sz w:val="21"/>
                            <w:szCs w:val="21"/>
                          </w:rPr>
                          <w:t>一年后在其任职期间每年转让</w:t>
                        </w:r>
                        <w:r>
                          <w:rPr>
                            <w:rFonts w:ascii="宋体" w:hAnsi="宋体" w:cs="宋体" w:eastAsia="宋体" w:hint="default"/>
                            <w:w w:val="100"/>
                            <w:sz w:val="21"/>
                            <w:szCs w:val="21"/>
                          </w:rPr>
                          <w:t> </w:t>
                        </w:r>
                        <w:r>
                          <w:rPr>
                            <w:rFonts w:ascii="宋体" w:hAnsi="宋体" w:cs="宋体" w:eastAsia="宋体" w:hint="default"/>
                            <w:sz w:val="21"/>
                            <w:szCs w:val="21"/>
                          </w:rPr>
                          <w:t>的股份不得超过其所持有本公</w:t>
                        </w:r>
                        <w:r>
                          <w:rPr>
                            <w:rFonts w:ascii="宋体" w:hAnsi="宋体" w:cs="宋体" w:eastAsia="宋体" w:hint="default"/>
                            <w:w w:val="100"/>
                            <w:sz w:val="21"/>
                            <w:szCs w:val="21"/>
                          </w:rPr>
                          <w:t> </w:t>
                        </w:r>
                        <w:r>
                          <w:rPr>
                            <w:rFonts w:ascii="宋体" w:hAnsi="宋体" w:cs="宋体" w:eastAsia="宋体" w:hint="default"/>
                            <w:sz w:val="21"/>
                            <w:szCs w:val="21"/>
                          </w:rPr>
                          <w:t>司股份总数的百分之二十五；</w:t>
                        </w:r>
                        <w:r>
                          <w:rPr>
                            <w:rFonts w:ascii="宋体" w:hAnsi="宋体" w:cs="宋体" w:eastAsia="宋体" w:hint="default"/>
                            <w:w w:val="100"/>
                            <w:sz w:val="21"/>
                            <w:szCs w:val="21"/>
                          </w:rPr>
                          <w:t> </w:t>
                        </w:r>
                        <w:r>
                          <w:rPr>
                            <w:rFonts w:ascii="宋体" w:hAnsi="宋体" w:cs="宋体" w:eastAsia="宋体" w:hint="default"/>
                            <w:sz w:val="21"/>
                            <w:szCs w:val="21"/>
                          </w:rPr>
                          <w:t>离职后半年内不转让其所持有</w:t>
                        </w:r>
                        <w:r>
                          <w:rPr>
                            <w:rFonts w:ascii="宋体" w:hAnsi="宋体" w:cs="宋体" w:eastAsia="宋体" w:hint="default"/>
                            <w:w w:val="100"/>
                            <w:sz w:val="21"/>
                            <w:szCs w:val="21"/>
                          </w:rPr>
                          <w:t> </w:t>
                        </w:r>
                        <w:r>
                          <w:rPr>
                            <w:rFonts w:ascii="宋体" w:hAnsi="宋体" w:cs="宋体" w:eastAsia="宋体" w:hint="default"/>
                            <w:sz w:val="21"/>
                            <w:szCs w:val="21"/>
                          </w:rPr>
                          <w:t>的本公司股份，其后一年转让</w:t>
                        </w:r>
                        <w:r>
                          <w:rPr>
                            <w:rFonts w:ascii="宋体" w:hAnsi="宋体" w:cs="宋体" w:eastAsia="宋体" w:hint="default"/>
                            <w:w w:val="100"/>
                            <w:sz w:val="21"/>
                            <w:szCs w:val="21"/>
                          </w:rPr>
                          <w:t> </w:t>
                        </w:r>
                        <w:r>
                          <w:rPr>
                            <w:rFonts w:ascii="宋体" w:hAnsi="宋体" w:cs="宋体" w:eastAsia="宋体" w:hint="default"/>
                            <w:sz w:val="21"/>
                            <w:szCs w:val="21"/>
                          </w:rPr>
                          <w:t>不超过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的所持有本公司股</w:t>
                        </w:r>
                      </w:p>
                    </w:tc>
                    <w:tc>
                      <w:tcPr>
                        <w:tcW w:w="32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21"/>
                          <w:ind w:left="23" w:right="38"/>
                          <w:jc w:val="both"/>
                          <w:rPr>
                            <w:rFonts w:ascii="宋体" w:hAnsi="宋体" w:cs="宋体" w:eastAsia="宋体" w:hint="default"/>
                            <w:sz w:val="21"/>
                            <w:szCs w:val="21"/>
                          </w:rPr>
                        </w:pPr>
                        <w:r>
                          <w:rPr>
                            <w:rFonts w:ascii="宋体" w:hAnsi="宋体" w:cs="宋体" w:eastAsia="宋体" w:hint="default"/>
                            <w:spacing w:val="-2"/>
                            <w:sz w:val="21"/>
                            <w:szCs w:val="21"/>
                          </w:rPr>
                          <w:t>报告期内，全体股东信守承诺，没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有转让或委托他人管理其持有的公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8"/>
                            <w:w w:val="100"/>
                            <w:sz w:val="21"/>
                            <w:szCs w:val="21"/>
                          </w:rPr>
                          <w:t>司股份，也没有由公司收购该股份</w:t>
                        </w:r>
                        <w:r>
                          <w:rPr>
                            <w:rFonts w:ascii="宋体" w:hAnsi="宋体" w:cs="宋体" w:eastAsia="宋体" w:hint="default"/>
                            <w:w w:val="100"/>
                            <w:sz w:val="21"/>
                            <w:szCs w:val="21"/>
                          </w:rPr>
                        </w:r>
                      </w:p>
                    </w:tc>
                  </w:tr>
                  <w:tr>
                    <w:trPr>
                      <w:trHeight w:val="274" w:hRule="exact"/>
                    </w:trPr>
                    <w:tc>
                      <w:tcPr>
                        <w:tcW w:w="2400"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发行时所作承诺</w:t>
                        </w:r>
                      </w:p>
                    </w:tc>
                    <w:tc>
                      <w:tcPr>
                        <w:tcW w:w="1320" w:type="dxa"/>
                        <w:vMerge/>
                        <w:tcBorders>
                          <w:left w:val="single" w:sz="9" w:space="0" w:color="DDDDDD"/>
                          <w:right w:val="single" w:sz="4" w:space="0" w:color="000000"/>
                        </w:tcBorders>
                      </w:tcPr>
                      <w:p>
                        <w:pPr/>
                      </w:p>
                    </w:tc>
                    <w:tc>
                      <w:tcPr>
                        <w:tcW w:w="2880" w:type="dxa"/>
                        <w:vMerge/>
                        <w:tcBorders>
                          <w:left w:val="single" w:sz="4" w:space="0" w:color="000000"/>
                          <w:right w:val="single" w:sz="4" w:space="0" w:color="000000"/>
                        </w:tcBorders>
                      </w:tcPr>
                      <w:p>
                        <w:pPr/>
                      </w:p>
                    </w:tc>
                    <w:tc>
                      <w:tcPr>
                        <w:tcW w:w="3228" w:type="dxa"/>
                        <w:vMerge/>
                        <w:tcBorders>
                          <w:left w:val="single" w:sz="4" w:space="0" w:color="000000"/>
                          <w:right w:val="single" w:sz="4" w:space="0" w:color="000000"/>
                        </w:tcBorders>
                      </w:tcPr>
                      <w:p>
                        <w:pPr/>
                      </w:p>
                    </w:tc>
                  </w:tr>
                  <w:tr>
                    <w:trPr>
                      <w:trHeight w:val="2729" w:hRule="exact"/>
                    </w:trPr>
                    <w:tc>
                      <w:tcPr>
                        <w:tcW w:w="2400" w:type="dxa"/>
                        <w:tcBorders>
                          <w:top w:val="nil" w:sz="6" w:space="0" w:color="auto"/>
                          <w:left w:val="single" w:sz="4" w:space="0" w:color="000000"/>
                          <w:bottom w:val="single" w:sz="4" w:space="0" w:color="000000"/>
                          <w:right w:val="single" w:sz="4" w:space="0" w:color="000000"/>
                        </w:tcBorders>
                        <w:shd w:val="clear" w:color="auto" w:fill="DDDDDD"/>
                      </w:tcPr>
                      <w:p>
                        <w:pPr/>
                      </w:p>
                    </w:tc>
                    <w:tc>
                      <w:tcPr>
                        <w:tcW w:w="1320" w:type="dxa"/>
                        <w:vMerge/>
                        <w:tcBorders>
                          <w:left w:val="single" w:sz="9" w:space="0" w:color="DDDDDD"/>
                          <w:bottom w:val="single" w:sz="4" w:space="0" w:color="000000"/>
                          <w:right w:val="single" w:sz="4" w:space="0" w:color="000000"/>
                        </w:tcBorders>
                      </w:tcPr>
                      <w:p>
                        <w:pPr/>
                      </w:p>
                    </w:tc>
                    <w:tc>
                      <w:tcPr>
                        <w:tcW w:w="2880" w:type="dxa"/>
                        <w:vMerge/>
                        <w:tcBorders>
                          <w:left w:val="single" w:sz="4" w:space="0" w:color="000000"/>
                          <w:bottom w:val="single" w:sz="4" w:space="0" w:color="000000"/>
                          <w:right w:val="single" w:sz="4" w:space="0" w:color="000000"/>
                        </w:tcBorders>
                      </w:tcPr>
                      <w:p>
                        <w:pPr/>
                      </w:p>
                    </w:tc>
                    <w:tc>
                      <w:tcPr>
                        <w:tcW w:w="3228" w:type="dxa"/>
                        <w:vMerge/>
                        <w:tcBorders>
                          <w:left w:val="single" w:sz="4" w:space="0" w:color="000000"/>
                          <w:bottom w:val="single" w:sz="4" w:space="0" w:color="000000"/>
                          <w:right w:val="single" w:sz="4" w:space="0" w:color="000000"/>
                        </w:tcBorders>
                      </w:tcPr>
                      <w:p>
                        <w:pP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76"/>
        <w:ind w:left="4861" w:right="5098" w:firstLine="0"/>
        <w:jc w:val="center"/>
        <w:rPr>
          <w:rFonts w:ascii="Times New Roman" w:hAnsi="Times New Roman" w:cs="Times New Roman" w:eastAsia="Times New Roman" w:hint="default"/>
          <w:sz w:val="18"/>
          <w:szCs w:val="18"/>
        </w:rPr>
      </w:pPr>
      <w:r>
        <w:rPr>
          <w:rFonts w:ascii="Times New Roman"/>
          <w:sz w:val="18"/>
        </w:rPr>
        <w:t>63</w:t>
      </w:r>
    </w:p>
    <w:p>
      <w:pPr>
        <w:spacing w:after="0"/>
        <w:jc w:val="center"/>
        <w:rPr>
          <w:rFonts w:ascii="Times New Roman" w:hAnsi="Times New Roman" w:cs="Times New Roman" w:eastAsia="Times New Roman" w:hint="default"/>
          <w:sz w:val="18"/>
          <w:szCs w:val="18"/>
        </w:rPr>
        <w:sectPr>
          <w:headerReference w:type="default" r:id="rId25"/>
          <w:footerReference w:type="default" r:id="rId26"/>
          <w:pgSz w:w="11900" w:h="16850"/>
          <w:pgMar w:header="718" w:footer="0" w:top="1060" w:bottom="280" w:left="980" w:right="740"/>
        </w:sectPr>
      </w:pPr>
    </w:p>
    <w:tbl>
      <w:tblPr>
        <w:tblW w:w="0" w:type="auto"/>
        <w:jc w:val="left"/>
        <w:tblInd w:w="109" w:type="dxa"/>
        <w:tblLayout w:type="fixed"/>
        <w:tblCellMar>
          <w:top w:w="0" w:type="dxa"/>
          <w:left w:w="0" w:type="dxa"/>
          <w:bottom w:w="0" w:type="dxa"/>
          <w:right w:w="0" w:type="dxa"/>
        </w:tblCellMar>
        <w:tblLook w:val="01E0"/>
      </w:tblPr>
      <w:tblGrid>
        <w:gridCol w:w="2399"/>
        <w:gridCol w:w="1320"/>
        <w:gridCol w:w="2880"/>
        <w:gridCol w:w="3228"/>
      </w:tblGrid>
      <w:tr>
        <w:trPr>
          <w:trHeight w:val="2172" w:hRule="exact"/>
        </w:trPr>
        <w:tc>
          <w:tcPr>
            <w:tcW w:w="2399" w:type="dxa"/>
            <w:tcBorders>
              <w:top w:val="single" w:sz="6" w:space="0" w:color="000000"/>
              <w:left w:val="single" w:sz="4" w:space="0" w:color="000000"/>
              <w:bottom w:val="single" w:sz="4" w:space="0" w:color="000000"/>
              <w:right w:val="single" w:sz="4" w:space="0" w:color="000000"/>
            </w:tcBorders>
            <w:shd w:val="clear" w:color="auto" w:fill="DDDDDD"/>
          </w:tcPr>
          <w:p>
            <w:pPr/>
          </w:p>
        </w:tc>
        <w:tc>
          <w:tcPr>
            <w:tcW w:w="1320" w:type="dxa"/>
            <w:tcBorders>
              <w:top w:val="single" w:sz="6" w:space="0" w:color="000000"/>
              <w:left w:val="single" w:sz="4" w:space="0" w:color="000000"/>
              <w:bottom w:val="single" w:sz="4" w:space="0" w:color="000000"/>
              <w:right w:val="single" w:sz="4" w:space="0" w:color="000000"/>
            </w:tcBorders>
          </w:tcPr>
          <w:p>
            <w:pPr/>
          </w:p>
        </w:tc>
        <w:tc>
          <w:tcPr>
            <w:tcW w:w="2880" w:type="dxa"/>
            <w:tcBorders>
              <w:top w:val="single" w:sz="6"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份。</w:t>
            </w:r>
          </w:p>
          <w:p>
            <w:pPr>
              <w:pStyle w:val="TableParagraph"/>
              <w:spacing w:line="237" w:lineRule="auto"/>
              <w:ind w:left="24" w:right="110"/>
              <w:jc w:val="left"/>
              <w:rPr>
                <w:rFonts w:ascii="宋体" w:hAnsi="宋体" w:cs="宋体" w:eastAsia="宋体" w:hint="default"/>
                <w:sz w:val="21"/>
                <w:szCs w:val="21"/>
              </w:rPr>
            </w:pPr>
            <w:r>
              <w:rPr>
                <w:rFonts w:ascii="宋体" w:hAnsi="宋体" w:cs="宋体" w:eastAsia="宋体" w:hint="default"/>
                <w:spacing w:val="-2"/>
                <w:sz w:val="21"/>
                <w:szCs w:val="21"/>
              </w:rPr>
              <w:t>其他发行前股东焦梅荣女士承</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诺自本公司股票上市之日起三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十六个月内，不转让或者委托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他人管理其持有的发行人股</w:t>
            </w:r>
            <w:r>
              <w:rPr>
                <w:rFonts w:ascii="宋体" w:hAnsi="宋体" w:cs="宋体" w:eastAsia="宋体" w:hint="default"/>
                <w:w w:val="100"/>
                <w:sz w:val="21"/>
                <w:szCs w:val="21"/>
              </w:rPr>
              <w:t> </w:t>
            </w:r>
            <w:r>
              <w:rPr>
                <w:rFonts w:ascii="宋体" w:hAnsi="宋体" w:cs="宋体" w:eastAsia="宋体" w:hint="default"/>
                <w:spacing w:val="-2"/>
                <w:sz w:val="21"/>
                <w:szCs w:val="21"/>
              </w:rPr>
              <w:t>份，也不由发行人回购其持有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的股份。</w:t>
            </w:r>
          </w:p>
        </w:tc>
        <w:tc>
          <w:tcPr>
            <w:tcW w:w="3228" w:type="dxa"/>
            <w:tcBorders>
              <w:top w:val="single" w:sz="6" w:space="0" w:color="000000"/>
              <w:left w:val="single" w:sz="4" w:space="0" w:color="000000"/>
              <w:bottom w:val="single" w:sz="4" w:space="0" w:color="000000"/>
              <w:right w:val="single" w:sz="4" w:space="0" w:color="000000"/>
            </w:tcBorders>
          </w:tcPr>
          <w:p>
            <w:pPr/>
          </w:p>
        </w:tc>
      </w:tr>
      <w:tr>
        <w:trPr>
          <w:trHeight w:val="1370" w:hRule="exact"/>
        </w:trPr>
        <w:tc>
          <w:tcPr>
            <w:tcW w:w="239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其他承诺（含追加承诺）</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 w:right="0"/>
              <w:jc w:val="both"/>
              <w:rPr>
                <w:rFonts w:ascii="宋体" w:hAnsi="宋体" w:cs="宋体" w:eastAsia="宋体" w:hint="default"/>
                <w:sz w:val="21"/>
                <w:szCs w:val="21"/>
              </w:rPr>
            </w:pPr>
            <w:r>
              <w:rPr>
                <w:rFonts w:ascii="宋体" w:hAnsi="宋体" w:cs="宋体" w:eastAsia="宋体" w:hint="default"/>
                <w:sz w:val="21"/>
                <w:szCs w:val="21"/>
              </w:rPr>
              <w:t>本公司主要股</w:t>
            </w:r>
          </w:p>
          <w:p>
            <w:pPr>
              <w:pStyle w:val="TableParagraph"/>
              <w:spacing w:line="237" w:lineRule="auto"/>
              <w:ind w:left="24" w:right="21"/>
              <w:jc w:val="both"/>
              <w:rPr>
                <w:rFonts w:ascii="宋体" w:hAnsi="宋体" w:cs="宋体" w:eastAsia="宋体" w:hint="default"/>
                <w:sz w:val="21"/>
                <w:szCs w:val="21"/>
              </w:rPr>
            </w:pPr>
            <w:r>
              <w:rPr>
                <w:rFonts w:ascii="宋体" w:hAnsi="宋体" w:cs="宋体" w:eastAsia="宋体" w:hint="default"/>
                <w:sz w:val="21"/>
                <w:szCs w:val="21"/>
              </w:rPr>
              <w:t>东以及作为股</w:t>
            </w:r>
            <w:r>
              <w:rPr>
                <w:rFonts w:ascii="宋体" w:hAnsi="宋体" w:cs="宋体" w:eastAsia="宋体" w:hint="default"/>
                <w:w w:val="100"/>
                <w:sz w:val="21"/>
                <w:szCs w:val="21"/>
              </w:rPr>
              <w:t> </w:t>
            </w:r>
            <w:r>
              <w:rPr>
                <w:rFonts w:ascii="宋体" w:hAnsi="宋体" w:cs="宋体" w:eastAsia="宋体" w:hint="default"/>
                <w:sz w:val="21"/>
                <w:szCs w:val="21"/>
              </w:rPr>
              <w:t>东的董事、监</w:t>
            </w:r>
            <w:r>
              <w:rPr>
                <w:rFonts w:ascii="宋体" w:hAnsi="宋体" w:cs="宋体" w:eastAsia="宋体" w:hint="default"/>
                <w:w w:val="100"/>
                <w:sz w:val="21"/>
                <w:szCs w:val="21"/>
              </w:rPr>
              <w:t> </w:t>
            </w:r>
            <w:r>
              <w:rPr>
                <w:rFonts w:ascii="宋体" w:hAnsi="宋体" w:cs="宋体" w:eastAsia="宋体" w:hint="default"/>
                <w:sz w:val="21"/>
                <w:szCs w:val="21"/>
              </w:rPr>
              <w:t>事、高级管理</w:t>
            </w:r>
            <w:r>
              <w:rPr>
                <w:rFonts w:ascii="宋体" w:hAnsi="宋体" w:cs="宋体" w:eastAsia="宋体" w:hint="default"/>
                <w:w w:val="100"/>
                <w:sz w:val="21"/>
                <w:szCs w:val="21"/>
              </w:rPr>
              <w:t> </w:t>
            </w:r>
            <w:r>
              <w:rPr>
                <w:rFonts w:ascii="宋体" w:hAnsi="宋体" w:cs="宋体" w:eastAsia="宋体" w:hint="default"/>
                <w:sz w:val="21"/>
                <w:szCs w:val="21"/>
              </w:rPr>
              <w:t>人员</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5"/>
              <w:ind w:left="24" w:right="110"/>
              <w:jc w:val="both"/>
              <w:rPr>
                <w:rFonts w:ascii="宋体" w:hAnsi="宋体" w:cs="宋体" w:eastAsia="宋体" w:hint="default"/>
                <w:sz w:val="21"/>
                <w:szCs w:val="21"/>
              </w:rPr>
            </w:pPr>
            <w:r>
              <w:rPr>
                <w:rFonts w:ascii="宋体" w:hAnsi="宋体" w:cs="宋体" w:eastAsia="宋体" w:hint="default"/>
                <w:spacing w:val="-2"/>
                <w:sz w:val="21"/>
                <w:szCs w:val="21"/>
              </w:rPr>
              <w:t>承诺将不会直接或间接从事与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本公司相同、相似的业务，也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不在与本公司有相同、相似业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务的其他企业任职</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4"/>
              <w:ind w:left="24" w:right="38"/>
              <w:jc w:val="left"/>
              <w:rPr>
                <w:rFonts w:ascii="宋体" w:hAnsi="宋体" w:cs="宋体" w:eastAsia="宋体" w:hint="default"/>
                <w:sz w:val="21"/>
                <w:szCs w:val="21"/>
              </w:rPr>
            </w:pPr>
            <w:r>
              <w:rPr>
                <w:rFonts w:ascii="宋体" w:hAnsi="宋体" w:cs="宋体" w:eastAsia="宋体" w:hint="default"/>
                <w:spacing w:val="-2"/>
                <w:sz w:val="21"/>
                <w:szCs w:val="21"/>
              </w:rPr>
              <w:t>报告期内，本公司承诺股东均遵守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了所做的承诺。</w:t>
            </w:r>
          </w:p>
        </w:tc>
      </w:tr>
    </w:tbl>
    <w:p>
      <w:pPr>
        <w:spacing w:line="240" w:lineRule="auto" w:before="5"/>
        <w:rPr>
          <w:rFonts w:ascii="Times New Roman" w:hAnsi="Times New Roman" w:cs="Times New Roman" w:eastAsia="Times New Roman" w:hint="default"/>
          <w:sz w:val="17"/>
          <w:szCs w:val="17"/>
        </w:rPr>
      </w:pPr>
    </w:p>
    <w:p>
      <w:pPr>
        <w:pStyle w:val="Heading4"/>
        <w:spacing w:line="240" w:lineRule="auto" w:before="36"/>
        <w:ind w:left="535" w:right="0"/>
        <w:jc w:val="left"/>
        <w:rPr>
          <w:b w:val="0"/>
          <w:bCs w:val="0"/>
        </w:rPr>
      </w:pPr>
      <w:r>
        <w:rPr/>
        <w:t>（一）股份限售的承诺</w:t>
      </w:r>
      <w:r>
        <w:rPr>
          <w:b w:val="0"/>
          <w:bCs w:val="0"/>
        </w:rPr>
      </w:r>
    </w:p>
    <w:p>
      <w:pPr>
        <w:spacing w:line="240" w:lineRule="auto" w:before="5"/>
        <w:rPr>
          <w:rFonts w:ascii="宋体" w:hAnsi="宋体" w:cs="宋体" w:eastAsia="宋体" w:hint="default"/>
          <w:b/>
          <w:bCs/>
          <w:sz w:val="21"/>
          <w:szCs w:val="21"/>
        </w:rPr>
      </w:pPr>
    </w:p>
    <w:p>
      <w:pPr>
        <w:pStyle w:val="BodyText"/>
        <w:spacing w:line="350" w:lineRule="auto"/>
        <w:ind w:left="112" w:right="307" w:firstLine="420"/>
        <w:jc w:val="both"/>
      </w:pPr>
      <w:r>
        <w:rPr>
          <w:spacing w:val="-3"/>
        </w:rPr>
        <w:t>发行前股东、公司董事长、控股股东李仲初先生承诺：自本公司股票上市之日起三十六个月内，不转</w:t>
      </w:r>
      <w:r>
        <w:rPr>
          <w:w w:val="100"/>
        </w:rPr>
        <w:t> </w:t>
      </w:r>
      <w:r>
        <w:rPr>
          <w:spacing w:val="-3"/>
        </w:rPr>
        <w:t>让或者委托他人管理其持有的发行人股份，也不由发行人回购其持有的股份。三十六个月后，任职期间每</w:t>
      </w:r>
      <w:r>
        <w:rPr>
          <w:spacing w:val="-8"/>
        </w:rPr>
        <w:t> </w:t>
      </w:r>
      <w:r>
        <w:rPr>
          <w:spacing w:val="-8"/>
        </w:rPr>
      </w:r>
      <w:r>
        <w:rPr/>
        <w:t>年转让的股份不得超过其所持有本公司股份总数的</w:t>
      </w:r>
      <w:r>
        <w:rPr>
          <w:spacing w:val="-23"/>
        </w:rPr>
        <w:t> </w:t>
      </w:r>
      <w:r>
        <w:rPr>
          <w:rFonts w:ascii="Times New Roman" w:hAnsi="Times New Roman" w:cs="Times New Roman" w:eastAsia="Times New Roman" w:hint="default"/>
          <w:spacing w:val="-4"/>
        </w:rPr>
        <w:t>25%</w:t>
      </w:r>
      <w:r>
        <w:rPr>
          <w:spacing w:val="-4"/>
        </w:rPr>
        <w:t>，离职后半年内不转让其所持有的本公司股份，其</w:t>
      </w:r>
      <w:r>
        <w:rPr>
          <w:spacing w:val="-92"/>
        </w:rPr>
        <w:t> </w:t>
      </w:r>
      <w:r>
        <w:rPr>
          <w:spacing w:val="-92"/>
        </w:rPr>
      </w:r>
      <w:r>
        <w:rPr/>
        <w:t>后一年转让不超过</w:t>
      </w:r>
      <w:r>
        <w:rPr>
          <w:spacing w:val="-55"/>
        </w:rPr>
        <w:t> </w:t>
      </w:r>
      <w:r>
        <w:rPr>
          <w:rFonts w:ascii="Times New Roman" w:hAnsi="Times New Roman" w:cs="Times New Roman" w:eastAsia="Times New Roman" w:hint="default"/>
        </w:rPr>
        <w:t>50%</w:t>
      </w:r>
      <w:r>
        <w:rPr/>
        <w:t>的所持有本公司股份。</w:t>
      </w:r>
    </w:p>
    <w:p>
      <w:pPr>
        <w:pStyle w:val="BodyText"/>
        <w:spacing w:line="355" w:lineRule="auto" w:before="10"/>
        <w:ind w:left="112" w:right="307" w:firstLine="420"/>
        <w:jc w:val="both"/>
      </w:pPr>
      <w:r>
        <w:rPr>
          <w:spacing w:val="-3"/>
        </w:rPr>
        <w:t>发行前股东、公司副董事长李殿坤先生承诺：所持本公司股份自公司股票上市交易之日起一年内不转</w:t>
      </w:r>
      <w:r>
        <w:rPr>
          <w:w w:val="100"/>
        </w:rPr>
        <w:t> </w:t>
      </w:r>
      <w:r>
        <w:rPr>
          <w:spacing w:val="-3"/>
        </w:rPr>
        <w:t>让；一年后在其任职期间每年转让的股份不得超过其所持有本公司股份总数的百分之二十五；离职后半年</w:t>
      </w:r>
      <w:r>
        <w:rPr>
          <w:spacing w:val="-5"/>
        </w:rPr>
        <w:t> </w:t>
      </w:r>
      <w:r>
        <w:rPr>
          <w:spacing w:val="-5"/>
        </w:rPr>
      </w:r>
      <w:r>
        <w:rPr>
          <w:spacing w:val="-2"/>
        </w:rPr>
        <w:t>内不转让其所持有的本公司股份，其后一年转让不超过</w:t>
      </w:r>
      <w:r>
        <w:rPr>
          <w:spacing w:val="18"/>
        </w:rPr>
        <w:t> </w:t>
      </w:r>
      <w:r>
        <w:rPr>
          <w:rFonts w:ascii="Times New Roman" w:hAnsi="Times New Roman" w:cs="Times New Roman" w:eastAsia="Times New Roman" w:hint="default"/>
          <w:spacing w:val="-2"/>
        </w:rPr>
        <w:t>50%</w:t>
      </w:r>
      <w:r>
        <w:rPr>
          <w:spacing w:val="-2"/>
        </w:rPr>
        <w:t>的所持有本公司股份。</w:t>
      </w:r>
    </w:p>
    <w:p>
      <w:pPr>
        <w:pStyle w:val="BodyText"/>
        <w:spacing w:line="355" w:lineRule="auto" w:before="8"/>
        <w:ind w:left="112" w:right="307" w:firstLine="420"/>
        <w:jc w:val="both"/>
      </w:pPr>
      <w:r>
        <w:rPr>
          <w:spacing w:val="-3"/>
        </w:rPr>
        <w:t>报告期内，全体股东信守承诺，没有转让或委托他人管理其持有的公司股份，也没有由公司收购该股</w:t>
      </w:r>
      <w:r>
        <w:rPr>
          <w:w w:val="100"/>
        </w:rPr>
        <w:t> </w:t>
      </w:r>
      <w:r>
        <w:rPr/>
        <w:t>份。</w:t>
      </w:r>
    </w:p>
    <w:p>
      <w:pPr>
        <w:spacing w:line="550" w:lineRule="atLeast" w:before="35"/>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（二）避免同业竞争的承诺</w:t>
      </w:r>
      <w:r>
        <w:rPr>
          <w:rFonts w:ascii="宋体" w:hAnsi="宋体" w:cs="宋体" w:eastAsia="宋体" w:hint="default"/>
          <w:b/>
          <w:bCs/>
          <w:w w:val="100"/>
          <w:sz w:val="21"/>
          <w:szCs w:val="21"/>
        </w:rPr>
        <w:t> </w:t>
      </w:r>
      <w:r>
        <w:rPr>
          <w:rFonts w:ascii="宋体" w:hAnsi="宋体" w:cs="宋体" w:eastAsia="宋体" w:hint="default"/>
          <w:spacing w:val="-3"/>
          <w:sz w:val="21"/>
          <w:szCs w:val="21"/>
        </w:rPr>
        <w:t>为避免将来可能出现与本公司的同业竞争，本公司主要股东以及作为股东的董事、监事、高级管理人</w:t>
      </w:r>
    </w:p>
    <w:p>
      <w:pPr>
        <w:pStyle w:val="BodyText"/>
        <w:spacing w:line="355" w:lineRule="auto" w:before="133"/>
        <w:ind w:left="112" w:right="0"/>
        <w:jc w:val="left"/>
      </w:pPr>
      <w:r>
        <w:rPr>
          <w:spacing w:val="-3"/>
        </w:rPr>
        <w:t>员作出了重要承诺，承诺将不会直接或间接从事与本公司相同、相似的业务，也不在与本公司有相同、相</w:t>
      </w:r>
      <w:r>
        <w:rPr>
          <w:spacing w:val="-5"/>
        </w:rPr>
        <w:t> </w:t>
      </w:r>
      <w:r>
        <w:rPr>
          <w:spacing w:val="-5"/>
        </w:rPr>
      </w:r>
      <w:r>
        <w:rPr/>
        <w:t>似业务的其他企业任职。</w:t>
      </w:r>
    </w:p>
    <w:p>
      <w:pPr>
        <w:pStyle w:val="BodyText"/>
        <w:spacing w:line="240" w:lineRule="auto" w:before="32"/>
        <w:ind w:left="532" w:right="0"/>
        <w:jc w:val="left"/>
      </w:pPr>
      <w:r>
        <w:rPr/>
        <w:t>报告期内，本公司承诺股东均遵守了所做的承诺，上述承诺事项仍在严格履行中。</w:t>
      </w:r>
    </w:p>
    <w:p>
      <w:pPr>
        <w:spacing w:line="550" w:lineRule="atLeast" w:before="138"/>
        <w:ind w:left="532" w:right="0" w:firstLine="0"/>
        <w:jc w:val="left"/>
        <w:rPr>
          <w:rFonts w:ascii="宋体" w:hAnsi="宋体" w:cs="宋体" w:eastAsia="宋体" w:hint="default"/>
          <w:sz w:val="21"/>
          <w:szCs w:val="21"/>
        </w:rPr>
      </w:pPr>
      <w:r>
        <w:rPr>
          <w:rFonts w:ascii="宋体" w:hAnsi="宋体" w:cs="宋体" w:eastAsia="宋体" w:hint="default"/>
          <w:b/>
          <w:bCs/>
          <w:sz w:val="21"/>
          <w:szCs w:val="21"/>
        </w:rPr>
        <w:t>九、报告期内公司聘任会计师事务所情况</w:t>
      </w:r>
      <w:r>
        <w:rPr>
          <w:rFonts w:ascii="宋体" w:hAnsi="宋体" w:cs="宋体" w:eastAsia="宋体" w:hint="default"/>
          <w:b/>
          <w:bCs/>
          <w:w w:val="100"/>
          <w:sz w:val="21"/>
          <w:szCs w:val="21"/>
        </w:rPr>
        <w:t> </w:t>
      </w:r>
      <w:r>
        <w:rPr>
          <w:rFonts w:ascii="宋体" w:hAnsi="宋体" w:cs="宋体" w:eastAsia="宋体" w:hint="default"/>
          <w:spacing w:val="-3"/>
          <w:sz w:val="21"/>
          <w:szCs w:val="21"/>
        </w:rPr>
        <w:t>截至本报告公布日，本公司聘任的会计师事务所实体没有发生变更，但更名为武汉众环海华会计师事</w:t>
      </w:r>
      <w:r>
        <w:rPr>
          <w:rFonts w:ascii="宋体" w:hAnsi="宋体" w:cs="宋体" w:eastAsia="宋体" w:hint="default"/>
          <w:sz w:val="21"/>
          <w:szCs w:val="21"/>
        </w:rPr>
      </w:r>
    </w:p>
    <w:p>
      <w:pPr>
        <w:pStyle w:val="BodyText"/>
        <w:spacing w:line="240" w:lineRule="auto" w:before="135"/>
        <w:ind w:left="113" w:right="0"/>
        <w:jc w:val="left"/>
      </w:pPr>
      <w:r>
        <w:rPr/>
        <w:t>务所有限责任公司。</w:t>
      </w:r>
    </w:p>
    <w:p>
      <w:pPr>
        <w:pStyle w:val="BodyText"/>
        <w:spacing w:line="345" w:lineRule="auto" w:before="133"/>
        <w:ind w:left="113" w:right="306" w:firstLine="419"/>
        <w:jc w:val="both"/>
      </w:pPr>
      <w:r>
        <w:rPr/>
        <w:t>该所已连续 </w:t>
      </w:r>
      <w:r>
        <w:rPr>
          <w:rFonts w:ascii="Times New Roman" w:hAnsi="Times New Roman" w:cs="Times New Roman" w:eastAsia="Times New Roman" w:hint="default"/>
        </w:rPr>
        <w:t>10 </w:t>
      </w:r>
      <w:r>
        <w:rPr/>
        <w:t>年为本公司提供了审计服务，公司需支付该会计师事务所的 </w:t>
      </w:r>
      <w:r>
        <w:rPr>
          <w:rFonts w:ascii="Times New Roman" w:hAnsi="Times New Roman" w:cs="Times New Roman" w:eastAsia="Times New Roman" w:hint="default"/>
        </w:rPr>
        <w:t>2011 </w:t>
      </w:r>
      <w:r>
        <w:rPr/>
        <w:t>年度审计费用为</w:t>
      </w:r>
      <w:r>
        <w:rPr>
          <w:spacing w:val="-41"/>
        </w:rPr>
        <w:t> </w:t>
      </w:r>
      <w:r>
        <w:rPr>
          <w:rFonts w:ascii="Times New Roman" w:hAnsi="Times New Roman" w:cs="Times New Roman" w:eastAsia="Times New Roman" w:hint="default"/>
        </w:rPr>
        <w:t>50</w:t>
      </w:r>
      <w:r>
        <w:rPr>
          <w:rFonts w:ascii="Times New Roman" w:hAnsi="Times New Roman" w:cs="Times New Roman" w:eastAsia="Times New Roman" w:hint="default"/>
          <w:w w:val="100"/>
        </w:rPr>
        <w:t> </w:t>
      </w:r>
      <w:r>
        <w:rPr>
          <w:spacing w:val="-3"/>
        </w:rPr>
        <w:t>万元，为本公司审计业务签字的注册会计师符合《证券期货审计业务签字注册会计师定期轮换规定》的文</w:t>
      </w:r>
      <w:r>
        <w:rPr>
          <w:spacing w:val="-5"/>
        </w:rPr>
        <w:t> </w:t>
      </w:r>
      <w:r>
        <w:rPr>
          <w:spacing w:val="-5"/>
        </w:rPr>
      </w:r>
      <w:r>
        <w:rPr/>
        <w:t>件要求。</w:t>
      </w:r>
    </w:p>
    <w:p>
      <w:pPr>
        <w:spacing w:line="240" w:lineRule="auto" w:before="7"/>
        <w:rPr>
          <w:rFonts w:ascii="宋体" w:hAnsi="宋体" w:cs="宋体" w:eastAsia="宋体" w:hint="default"/>
          <w:sz w:val="24"/>
          <w:szCs w:val="24"/>
        </w:rPr>
      </w:pPr>
    </w:p>
    <w:p>
      <w:pPr>
        <w:spacing w:line="482" w:lineRule="auto" w:before="0"/>
        <w:ind w:left="532" w:right="0" w:firstLine="0"/>
        <w:jc w:val="left"/>
        <w:rPr>
          <w:rFonts w:ascii="宋体" w:hAnsi="宋体" w:cs="宋体" w:eastAsia="宋体" w:hint="default"/>
          <w:sz w:val="21"/>
          <w:szCs w:val="21"/>
        </w:rPr>
      </w:pPr>
      <w:r>
        <w:rPr>
          <w:rFonts w:ascii="宋体" w:hAnsi="宋体" w:cs="宋体" w:eastAsia="宋体" w:hint="default"/>
          <w:b/>
          <w:bCs/>
          <w:sz w:val="21"/>
          <w:szCs w:val="21"/>
        </w:rPr>
        <w:t>十、公司及董事、监事、高级管理人员、公司股东、实际控制人受处罚情况</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报告期内公司及董事、监事、高级管理人员、公司股东、实际控制人没有受有权机关调查、司法纪检</w:t>
      </w:r>
      <w:r>
        <w:rPr>
          <w:rFonts w:ascii="宋体" w:hAnsi="宋体" w:cs="宋体" w:eastAsia="宋体" w:hint="default"/>
          <w:sz w:val="21"/>
          <w:szCs w:val="21"/>
        </w:rPr>
      </w:r>
    </w:p>
    <w:p>
      <w:pPr>
        <w:spacing w:after="0" w:line="482" w:lineRule="auto"/>
        <w:jc w:val="left"/>
        <w:rPr>
          <w:rFonts w:ascii="宋体" w:hAnsi="宋体" w:cs="宋体" w:eastAsia="宋体" w:hint="default"/>
          <w:sz w:val="21"/>
          <w:szCs w:val="21"/>
        </w:rPr>
        <w:sectPr>
          <w:footerReference w:type="default" r:id="rId27"/>
          <w:pgSz w:w="11900" w:h="16850"/>
          <w:pgMar w:footer="708" w:header="718" w:top="1120" w:bottom="900" w:left="1020" w:right="820"/>
          <w:pgNumType w:start="64"/>
        </w:sectPr>
      </w:pPr>
    </w:p>
    <w:p>
      <w:pPr>
        <w:pStyle w:val="BodyText"/>
        <w:spacing w:line="357" w:lineRule="auto" w:before="30"/>
        <w:ind w:right="0"/>
        <w:jc w:val="left"/>
      </w:pPr>
      <w:r>
        <w:rPr/>
        <w:pict>
          <v:group style="position:absolute;margin-left:55.200001pt;margin-top:2.843657pt;width:484.45pt;height:.1pt;mso-position-horizontal-relative:page;mso-position-vertical-relative:paragraph;z-index:-771904" coordorigin="1104,57" coordsize="9689,2">
            <v:shape style="position:absolute;left:1104;top:57;width:9689;height:2" coordorigin="1104,57" coordsize="9689,0" path="m1104,57l10793,57e" filled="false" stroked="true" strokeweight=".72pt" strokecolor="#000000">
              <v:path arrowok="t"/>
            </v:shape>
            <w10:wrap type="none"/>
          </v:group>
        </w:pict>
      </w:r>
      <w:r>
        <w:rPr>
          <w:spacing w:val="-3"/>
        </w:rPr>
        <w:t>部门采取强制措施、被移送司法机关或追究刑事责任，未受中国证监会的稽查、行政处罚、证券通报批评</w:t>
      </w:r>
      <w:r>
        <w:rPr>
          <w:spacing w:val="-9"/>
        </w:rPr>
        <w:t> </w:t>
      </w:r>
      <w:r>
        <w:rPr>
          <w:spacing w:val="-9"/>
        </w:rPr>
      </w:r>
      <w:r>
        <w:rPr/>
        <w:t>及证券交易所的公开谴责及其他行政管理部门处罚的情况。</w:t>
      </w:r>
    </w:p>
    <w:p>
      <w:pPr>
        <w:spacing w:line="240" w:lineRule="auto" w:before="8"/>
        <w:rPr>
          <w:rFonts w:ascii="宋体" w:hAnsi="宋体" w:cs="宋体" w:eastAsia="宋体" w:hint="default"/>
          <w:sz w:val="23"/>
          <w:szCs w:val="23"/>
        </w:rPr>
      </w:pPr>
    </w:p>
    <w:p>
      <w:pPr>
        <w:spacing w:line="482" w:lineRule="auto" w:before="0"/>
        <w:ind w:left="572" w:right="4033" w:firstLine="0"/>
        <w:jc w:val="left"/>
        <w:rPr>
          <w:rFonts w:ascii="宋体" w:hAnsi="宋体" w:cs="宋体" w:eastAsia="宋体" w:hint="default"/>
          <w:sz w:val="21"/>
          <w:szCs w:val="21"/>
        </w:rPr>
      </w:pPr>
      <w:r>
        <w:rPr>
          <w:rFonts w:ascii="宋体" w:hAnsi="宋体" w:cs="宋体" w:eastAsia="宋体" w:hint="default"/>
          <w:b/>
          <w:bCs/>
          <w:sz w:val="21"/>
          <w:szCs w:val="21"/>
        </w:rPr>
        <w:t>十一、其他重大事项</w:t>
      </w:r>
      <w:r>
        <w:rPr>
          <w:rFonts w:ascii="宋体" w:hAnsi="宋体" w:cs="宋体" w:eastAsia="宋体" w:hint="default"/>
          <w:b/>
          <w:bCs/>
          <w:spacing w:val="-103"/>
          <w:sz w:val="21"/>
          <w:szCs w:val="21"/>
        </w:rPr>
        <w:t> </w:t>
      </w:r>
      <w:r>
        <w:rPr>
          <w:rFonts w:ascii="宋体" w:hAnsi="宋体" w:cs="宋体" w:eastAsia="宋体" w:hint="default"/>
          <w:spacing w:val="-2"/>
          <w:sz w:val="21"/>
          <w:szCs w:val="21"/>
        </w:rPr>
        <w:t>报告期内，公司未发生其他重大事项。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pacing w:val="-1"/>
          <w:sz w:val="21"/>
          <w:szCs w:val="21"/>
        </w:rPr>
        <w:t>十二、报告期内公司信息披露情况索引</w:t>
      </w:r>
      <w:r>
        <w:rPr>
          <w:rFonts w:ascii="宋体" w:hAnsi="宋体" w:cs="宋体" w:eastAsia="宋体" w:hint="default"/>
          <w:spacing w:val="-1"/>
          <w:sz w:val="21"/>
          <w:szCs w:val="21"/>
        </w:rPr>
      </w:r>
    </w:p>
    <w:p>
      <w:pPr>
        <w:spacing w:line="240" w:lineRule="auto" w:before="8"/>
        <w:rPr>
          <w:rFonts w:ascii="宋体" w:hAnsi="宋体" w:cs="宋体" w:eastAsia="宋体" w:hint="default"/>
          <w:b/>
          <w:bCs/>
          <w:sz w:val="7"/>
          <w:szCs w:val="7"/>
        </w:rPr>
      </w:pPr>
    </w:p>
    <w:tbl>
      <w:tblPr>
        <w:tblW w:w="0" w:type="auto"/>
        <w:jc w:val="left"/>
        <w:tblInd w:w="133" w:type="dxa"/>
        <w:tblLayout w:type="fixed"/>
        <w:tblCellMar>
          <w:top w:w="0" w:type="dxa"/>
          <w:left w:w="0" w:type="dxa"/>
          <w:bottom w:w="0" w:type="dxa"/>
          <w:right w:w="0" w:type="dxa"/>
        </w:tblCellMar>
        <w:tblLook w:val="01E0"/>
      </w:tblPr>
      <w:tblGrid>
        <w:gridCol w:w="1195"/>
        <w:gridCol w:w="1080"/>
        <w:gridCol w:w="6096"/>
        <w:gridCol w:w="1390"/>
      </w:tblGrid>
      <w:tr>
        <w:trPr>
          <w:trHeight w:val="322" w:hRule="exact"/>
        </w:trPr>
        <w:tc>
          <w:tcPr>
            <w:tcW w:w="1195" w:type="dxa"/>
            <w:tcBorders>
              <w:top w:val="single" w:sz="4" w:space="0" w:color="000000"/>
              <w:left w:val="single" w:sz="4" w:space="0" w:color="000000"/>
              <w:bottom w:val="single" w:sz="4" w:space="0" w:color="000000"/>
              <w:right w:val="single" w:sz="4" w:space="0" w:color="000000"/>
            </w:tcBorders>
            <w:shd w:val="clear" w:color="auto" w:fill="CDCDCD"/>
          </w:tcPr>
          <w:p>
            <w:pPr>
              <w:pStyle w:val="TableParagraph"/>
              <w:spacing w:line="274" w:lineRule="exact"/>
              <w:ind w:left="350" w:right="0"/>
              <w:jc w:val="left"/>
              <w:rPr>
                <w:rFonts w:ascii="宋体" w:hAnsi="宋体" w:cs="宋体" w:eastAsia="宋体" w:hint="default"/>
                <w:sz w:val="24"/>
                <w:szCs w:val="24"/>
              </w:rPr>
            </w:pPr>
            <w:r>
              <w:rPr>
                <w:rFonts w:ascii="宋体" w:hAnsi="宋体" w:cs="宋体" w:eastAsia="宋体" w:hint="default"/>
                <w:b/>
                <w:bCs/>
                <w:sz w:val="24"/>
                <w:szCs w:val="24"/>
              </w:rPr>
              <w:t>日期</w:t>
            </w:r>
            <w:r>
              <w:rPr>
                <w:rFonts w:ascii="宋体" w:hAnsi="宋体" w:cs="宋体" w:eastAsia="宋体" w:hint="default"/>
                <w:sz w:val="24"/>
                <w:szCs w:val="24"/>
              </w:rPr>
            </w:r>
          </w:p>
        </w:tc>
        <w:tc>
          <w:tcPr>
            <w:tcW w:w="1080" w:type="dxa"/>
            <w:tcBorders>
              <w:top w:val="single" w:sz="4" w:space="0" w:color="000000"/>
              <w:left w:val="single" w:sz="4" w:space="0" w:color="000000"/>
              <w:bottom w:val="single" w:sz="4" w:space="0" w:color="000000"/>
              <w:right w:val="single" w:sz="4" w:space="0" w:color="000000"/>
            </w:tcBorders>
            <w:shd w:val="clear" w:color="auto" w:fill="CDCDCD"/>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b/>
                <w:bCs/>
                <w:sz w:val="24"/>
                <w:szCs w:val="24"/>
              </w:rPr>
              <w:t>编号</w:t>
            </w:r>
            <w:r>
              <w:rPr>
                <w:rFonts w:ascii="宋体" w:hAnsi="宋体" w:cs="宋体" w:eastAsia="宋体" w:hint="default"/>
                <w:sz w:val="24"/>
                <w:szCs w:val="24"/>
              </w:rPr>
            </w:r>
          </w:p>
        </w:tc>
        <w:tc>
          <w:tcPr>
            <w:tcW w:w="6096" w:type="dxa"/>
            <w:tcBorders>
              <w:top w:val="single" w:sz="4" w:space="0" w:color="000000"/>
              <w:left w:val="single" w:sz="4" w:space="0" w:color="000000"/>
              <w:bottom w:val="single" w:sz="4" w:space="0" w:color="000000"/>
              <w:right w:val="single" w:sz="4" w:space="0" w:color="000000"/>
            </w:tcBorders>
            <w:shd w:val="clear" w:color="auto" w:fill="CDCDCD"/>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b/>
                <w:bCs/>
                <w:sz w:val="24"/>
                <w:szCs w:val="24"/>
              </w:rPr>
              <w:t>内容</w:t>
            </w:r>
            <w:r>
              <w:rPr>
                <w:rFonts w:ascii="宋体" w:hAnsi="宋体" w:cs="宋体" w:eastAsia="宋体" w:hint="default"/>
                <w:sz w:val="24"/>
                <w:szCs w:val="24"/>
              </w:rPr>
            </w:r>
          </w:p>
        </w:tc>
        <w:tc>
          <w:tcPr>
            <w:tcW w:w="1390" w:type="dxa"/>
            <w:tcBorders>
              <w:top w:val="single" w:sz="4" w:space="0" w:color="000000"/>
              <w:left w:val="single" w:sz="4" w:space="0" w:color="000000"/>
              <w:bottom w:val="single" w:sz="4" w:space="0" w:color="000000"/>
              <w:right w:val="single" w:sz="4" w:space="0" w:color="000000"/>
            </w:tcBorders>
            <w:shd w:val="clear" w:color="auto" w:fill="CDCDCD"/>
          </w:tcPr>
          <w:p>
            <w:pPr>
              <w:pStyle w:val="TableParagraph"/>
              <w:spacing w:line="274" w:lineRule="exact"/>
              <w:ind w:left="206" w:right="0"/>
              <w:jc w:val="left"/>
              <w:rPr>
                <w:rFonts w:ascii="宋体" w:hAnsi="宋体" w:cs="宋体" w:eastAsia="宋体" w:hint="default"/>
                <w:sz w:val="24"/>
                <w:szCs w:val="24"/>
              </w:rPr>
            </w:pPr>
            <w:r>
              <w:rPr>
                <w:rFonts w:ascii="宋体" w:hAnsi="宋体" w:cs="宋体" w:eastAsia="宋体" w:hint="default"/>
                <w:b/>
                <w:bCs/>
                <w:sz w:val="24"/>
                <w:szCs w:val="24"/>
              </w:rPr>
              <w:t>披露媒体</w:t>
            </w:r>
            <w:r>
              <w:rPr>
                <w:rFonts w:ascii="宋体" w:hAnsi="宋体" w:cs="宋体" w:eastAsia="宋体" w:hint="default"/>
                <w:sz w:val="24"/>
                <w:szCs w:val="24"/>
              </w:rPr>
            </w:r>
          </w:p>
        </w:tc>
      </w:tr>
      <w:tr>
        <w:trPr>
          <w:trHeight w:val="29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2011-1-25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2011-01</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年第一次临时会议决议公告</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37" w:lineRule="auto"/>
              <w:ind w:left="103" w:right="12"/>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pacing w:val="-16"/>
                <w:w w:val="100"/>
                <w:sz w:val="21"/>
                <w:szCs w:val="21"/>
              </w:rPr>
              <w:t>证券时报、巨</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潮资讯网</w:t>
            </w:r>
          </w:p>
        </w:tc>
      </w:tr>
      <w:tr>
        <w:trPr>
          <w:trHeight w:val="29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2011-2-25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2011-02</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年度业绩快报</w:t>
            </w:r>
          </w:p>
        </w:tc>
        <w:tc>
          <w:tcPr>
            <w:tcW w:w="1390" w:type="dxa"/>
            <w:vMerge/>
            <w:tcBorders>
              <w:left w:val="single" w:sz="4" w:space="0" w:color="000000"/>
              <w:right w:val="single" w:sz="4" w:space="0" w:color="000000"/>
            </w:tcBorders>
          </w:tcPr>
          <w:p>
            <w:pPr/>
          </w:p>
        </w:tc>
      </w:tr>
      <w:tr>
        <w:trPr>
          <w:trHeight w:val="295"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2011-3-9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2011-03</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第四届董事会第二次会议决议公告</w:t>
            </w:r>
          </w:p>
        </w:tc>
        <w:tc>
          <w:tcPr>
            <w:tcW w:w="1390" w:type="dxa"/>
            <w:vMerge/>
            <w:tcBorders>
              <w:left w:val="single" w:sz="4" w:space="0" w:color="000000"/>
              <w:right w:val="single" w:sz="4" w:space="0" w:color="000000"/>
            </w:tcBorders>
          </w:tcPr>
          <w:p>
            <w:pPr/>
          </w:p>
        </w:tc>
      </w:tr>
      <w:tr>
        <w:trPr>
          <w:trHeight w:val="293" w:hRule="exact"/>
        </w:trPr>
        <w:tc>
          <w:tcPr>
            <w:tcW w:w="1195" w:type="dxa"/>
            <w:vMerge/>
            <w:tcBorders>
              <w:left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2011-04</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第四届监事会第二次会议决议公告</w:t>
            </w:r>
          </w:p>
        </w:tc>
        <w:tc>
          <w:tcPr>
            <w:tcW w:w="1390" w:type="dxa"/>
            <w:vMerge/>
            <w:tcBorders>
              <w:left w:val="single" w:sz="4" w:space="0" w:color="000000"/>
              <w:right w:val="single" w:sz="4" w:space="0" w:color="000000"/>
            </w:tcBorders>
          </w:tcPr>
          <w:p>
            <w:pPr/>
          </w:p>
        </w:tc>
      </w:tr>
      <w:tr>
        <w:trPr>
          <w:trHeight w:val="295" w:hRule="exact"/>
        </w:trPr>
        <w:tc>
          <w:tcPr>
            <w:tcW w:w="1195" w:type="dxa"/>
            <w:vMerge/>
            <w:tcBorders>
              <w:left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2011-05</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年年度报告摘要</w:t>
            </w:r>
          </w:p>
        </w:tc>
        <w:tc>
          <w:tcPr>
            <w:tcW w:w="1390" w:type="dxa"/>
            <w:vMerge/>
            <w:tcBorders>
              <w:left w:val="single" w:sz="4" w:space="0" w:color="000000"/>
              <w:right w:val="single" w:sz="4" w:space="0" w:color="000000"/>
            </w:tcBorders>
          </w:tcPr>
          <w:p>
            <w:pPr/>
          </w:p>
        </w:tc>
      </w:tr>
      <w:tr>
        <w:trPr>
          <w:trHeight w:val="295" w:hRule="exact"/>
        </w:trPr>
        <w:tc>
          <w:tcPr>
            <w:tcW w:w="1195" w:type="dxa"/>
            <w:vMerge/>
            <w:tcBorders>
              <w:left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2011-06</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年度募集资金存放与使用情况的专项报告</w:t>
            </w:r>
          </w:p>
        </w:tc>
        <w:tc>
          <w:tcPr>
            <w:tcW w:w="1390" w:type="dxa"/>
            <w:vMerge/>
            <w:tcBorders>
              <w:left w:val="single" w:sz="4" w:space="0" w:color="000000"/>
              <w:right w:val="single" w:sz="4" w:space="0" w:color="000000"/>
            </w:tcBorders>
          </w:tcPr>
          <w:p>
            <w:pPr/>
          </w:p>
        </w:tc>
      </w:tr>
      <w:tr>
        <w:trPr>
          <w:trHeight w:val="295" w:hRule="exact"/>
        </w:trPr>
        <w:tc>
          <w:tcPr>
            <w:tcW w:w="1195"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2011-07</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年股东大会通知公告</w:t>
            </w:r>
          </w:p>
        </w:tc>
        <w:tc>
          <w:tcPr>
            <w:tcW w:w="1390" w:type="dxa"/>
            <w:vMerge/>
            <w:tcBorders>
              <w:left w:val="single" w:sz="4" w:space="0" w:color="000000"/>
              <w:right w:val="single" w:sz="4" w:space="0" w:color="000000"/>
            </w:tcBorders>
          </w:tcPr>
          <w:p>
            <w:pPr/>
          </w:p>
        </w:tc>
      </w:tr>
      <w:tr>
        <w:trPr>
          <w:trHeight w:val="295"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64"/>
              <w:ind w:left="153" w:right="0"/>
              <w:jc w:val="left"/>
              <w:rPr>
                <w:rFonts w:ascii="Times New Roman" w:hAnsi="Times New Roman" w:cs="Times New Roman" w:eastAsia="Times New Roman" w:hint="default"/>
                <w:sz w:val="21"/>
                <w:szCs w:val="21"/>
              </w:rPr>
            </w:pPr>
            <w:r>
              <w:rPr>
                <w:rFonts w:ascii="Times New Roman"/>
                <w:sz w:val="21"/>
              </w:rPr>
              <w:t>2011-3-19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2011-08</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董事会秘书辞职公告</w:t>
            </w:r>
          </w:p>
        </w:tc>
        <w:tc>
          <w:tcPr>
            <w:tcW w:w="1390" w:type="dxa"/>
            <w:vMerge/>
            <w:tcBorders>
              <w:left w:val="single" w:sz="4" w:space="0" w:color="000000"/>
              <w:right w:val="single" w:sz="4" w:space="0" w:color="000000"/>
            </w:tcBorders>
          </w:tcPr>
          <w:p>
            <w:pPr/>
          </w:p>
        </w:tc>
      </w:tr>
      <w:tr>
        <w:trPr>
          <w:trHeight w:val="295" w:hRule="exact"/>
        </w:trPr>
        <w:tc>
          <w:tcPr>
            <w:tcW w:w="1195"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2011-09</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年年度报告网上说明会的通知</w:t>
            </w:r>
          </w:p>
        </w:tc>
        <w:tc>
          <w:tcPr>
            <w:tcW w:w="1390" w:type="dxa"/>
            <w:vMerge/>
            <w:tcBorders>
              <w:left w:val="single" w:sz="4" w:space="0" w:color="000000"/>
              <w:right w:val="single" w:sz="4" w:space="0" w:color="000000"/>
            </w:tcBorders>
          </w:tcPr>
          <w:p>
            <w:pPr/>
          </w:p>
        </w:tc>
      </w:tr>
      <w:tr>
        <w:trPr>
          <w:trHeight w:val="295"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64"/>
              <w:ind w:left="153" w:right="0"/>
              <w:jc w:val="left"/>
              <w:rPr>
                <w:rFonts w:ascii="Times New Roman" w:hAnsi="Times New Roman" w:cs="Times New Roman" w:eastAsia="Times New Roman" w:hint="default"/>
                <w:sz w:val="21"/>
                <w:szCs w:val="21"/>
              </w:rPr>
            </w:pPr>
            <w:r>
              <w:rPr>
                <w:rFonts w:ascii="Times New Roman"/>
                <w:sz w:val="21"/>
              </w:rPr>
              <w:t>2011-3-22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2011-10</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年第二次临时会议决议公告</w:t>
            </w:r>
          </w:p>
        </w:tc>
        <w:tc>
          <w:tcPr>
            <w:tcW w:w="1390" w:type="dxa"/>
            <w:vMerge/>
            <w:tcBorders>
              <w:left w:val="single" w:sz="4" w:space="0" w:color="000000"/>
              <w:right w:val="single" w:sz="4" w:space="0" w:color="000000"/>
            </w:tcBorders>
          </w:tcPr>
          <w:p>
            <w:pPr/>
          </w:p>
        </w:tc>
      </w:tr>
      <w:tr>
        <w:trPr>
          <w:trHeight w:val="295" w:hRule="exact"/>
        </w:trPr>
        <w:tc>
          <w:tcPr>
            <w:tcW w:w="1195"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2011-11</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关于向全资子公司北海石基信息技术有限公司增资的公告</w:t>
            </w:r>
          </w:p>
        </w:tc>
        <w:tc>
          <w:tcPr>
            <w:tcW w:w="1390" w:type="dxa"/>
            <w:vMerge/>
            <w:tcBorders>
              <w:left w:val="single" w:sz="4" w:space="0" w:color="000000"/>
              <w:right w:val="single" w:sz="4" w:space="0" w:color="000000"/>
            </w:tcBorders>
          </w:tcPr>
          <w:p>
            <w:pPr/>
          </w:p>
        </w:tc>
      </w:tr>
      <w:tr>
        <w:trPr>
          <w:trHeight w:val="295"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64"/>
              <w:ind w:left="153" w:right="0"/>
              <w:jc w:val="left"/>
              <w:rPr>
                <w:rFonts w:ascii="Times New Roman" w:hAnsi="Times New Roman" w:cs="Times New Roman" w:eastAsia="Times New Roman" w:hint="default"/>
                <w:sz w:val="21"/>
                <w:szCs w:val="21"/>
              </w:rPr>
            </w:pPr>
            <w:r>
              <w:rPr>
                <w:rFonts w:ascii="Times New Roman"/>
                <w:sz w:val="21"/>
              </w:rPr>
              <w:t>2011-3-31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2011-12</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年第三次临时会议决议公告</w:t>
            </w:r>
          </w:p>
        </w:tc>
        <w:tc>
          <w:tcPr>
            <w:tcW w:w="1390" w:type="dxa"/>
            <w:vMerge/>
            <w:tcBorders>
              <w:left w:val="single" w:sz="4" w:space="0" w:color="000000"/>
              <w:right w:val="single" w:sz="4" w:space="0" w:color="000000"/>
            </w:tcBorders>
          </w:tcPr>
          <w:p>
            <w:pPr/>
          </w:p>
        </w:tc>
      </w:tr>
      <w:tr>
        <w:trPr>
          <w:trHeight w:val="295" w:hRule="exact"/>
        </w:trPr>
        <w:tc>
          <w:tcPr>
            <w:tcW w:w="1195"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2011-13</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关于增持控股子公司杭州西软科技有限公司股权的公告</w:t>
            </w:r>
          </w:p>
        </w:tc>
        <w:tc>
          <w:tcPr>
            <w:tcW w:w="1390" w:type="dxa"/>
            <w:vMerge/>
            <w:tcBorders>
              <w:left w:val="single" w:sz="4" w:space="0" w:color="000000"/>
              <w:right w:val="single" w:sz="4" w:space="0" w:color="000000"/>
            </w:tcBorders>
          </w:tcPr>
          <w:p>
            <w:pPr/>
          </w:p>
        </w:tc>
      </w:tr>
      <w:tr>
        <w:trPr>
          <w:trHeight w:val="29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53" w:right="0"/>
              <w:jc w:val="left"/>
              <w:rPr>
                <w:rFonts w:ascii="Times New Roman" w:hAnsi="Times New Roman" w:cs="Times New Roman" w:eastAsia="Times New Roman" w:hint="default"/>
                <w:sz w:val="21"/>
                <w:szCs w:val="21"/>
              </w:rPr>
            </w:pPr>
            <w:r>
              <w:rPr>
                <w:rFonts w:ascii="Times New Roman"/>
                <w:sz w:val="21"/>
              </w:rPr>
              <w:t>2011-4-13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2011-14</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年年度股东大会决议公告</w:t>
            </w:r>
          </w:p>
        </w:tc>
        <w:tc>
          <w:tcPr>
            <w:tcW w:w="1390" w:type="dxa"/>
            <w:vMerge/>
            <w:tcBorders>
              <w:left w:val="single" w:sz="4" w:space="0" w:color="000000"/>
              <w:right w:val="single" w:sz="4" w:space="0" w:color="000000"/>
            </w:tcBorders>
          </w:tcPr>
          <w:p>
            <w:pPr/>
          </w:p>
        </w:tc>
      </w:tr>
      <w:tr>
        <w:trPr>
          <w:trHeight w:val="29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53" w:right="0"/>
              <w:jc w:val="left"/>
              <w:rPr>
                <w:rFonts w:ascii="Times New Roman" w:hAnsi="Times New Roman" w:cs="Times New Roman" w:eastAsia="Times New Roman" w:hint="default"/>
                <w:sz w:val="21"/>
                <w:szCs w:val="21"/>
              </w:rPr>
            </w:pPr>
            <w:r>
              <w:rPr>
                <w:rFonts w:ascii="Times New Roman"/>
                <w:sz w:val="21"/>
              </w:rPr>
              <w:t>2011-4-14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2011-15</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年度权益分派实施公告</w:t>
            </w:r>
          </w:p>
        </w:tc>
        <w:tc>
          <w:tcPr>
            <w:tcW w:w="1390" w:type="dxa"/>
            <w:vMerge/>
            <w:tcBorders>
              <w:left w:val="single" w:sz="4" w:space="0" w:color="000000"/>
              <w:right w:val="single" w:sz="4" w:space="0" w:color="000000"/>
            </w:tcBorders>
          </w:tcPr>
          <w:p>
            <w:pPr/>
          </w:p>
        </w:tc>
      </w:tr>
      <w:tr>
        <w:trPr>
          <w:trHeight w:val="293"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2011-4-22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2011-16</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年第四次临时会议决议公告</w:t>
            </w:r>
          </w:p>
        </w:tc>
        <w:tc>
          <w:tcPr>
            <w:tcW w:w="1390" w:type="dxa"/>
            <w:vMerge/>
            <w:tcBorders>
              <w:left w:val="single" w:sz="4" w:space="0" w:color="000000"/>
              <w:right w:val="single" w:sz="4" w:space="0" w:color="000000"/>
            </w:tcBorders>
          </w:tcPr>
          <w:p>
            <w:pPr/>
          </w:p>
        </w:tc>
      </w:tr>
      <w:tr>
        <w:trPr>
          <w:trHeight w:val="295" w:hRule="exact"/>
        </w:trPr>
        <w:tc>
          <w:tcPr>
            <w:tcW w:w="1195" w:type="dxa"/>
            <w:vMerge/>
            <w:tcBorders>
              <w:left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2011-17</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第四届监事会第三次会议决议公告</w:t>
            </w:r>
          </w:p>
        </w:tc>
        <w:tc>
          <w:tcPr>
            <w:tcW w:w="1390" w:type="dxa"/>
            <w:vMerge/>
            <w:tcBorders>
              <w:left w:val="single" w:sz="4" w:space="0" w:color="000000"/>
              <w:right w:val="single" w:sz="4" w:space="0" w:color="000000"/>
            </w:tcBorders>
          </w:tcPr>
          <w:p>
            <w:pPr/>
          </w:p>
        </w:tc>
      </w:tr>
      <w:tr>
        <w:trPr>
          <w:trHeight w:val="295" w:hRule="exact"/>
        </w:trPr>
        <w:tc>
          <w:tcPr>
            <w:tcW w:w="1195" w:type="dxa"/>
            <w:vMerge/>
            <w:tcBorders>
              <w:left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2011-18</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关于股权激励计划第一个行权期可行权事项的公告</w:t>
            </w:r>
          </w:p>
        </w:tc>
        <w:tc>
          <w:tcPr>
            <w:tcW w:w="1390" w:type="dxa"/>
            <w:vMerge/>
            <w:tcBorders>
              <w:left w:val="single" w:sz="4" w:space="0" w:color="000000"/>
              <w:right w:val="single" w:sz="4" w:space="0" w:color="000000"/>
            </w:tcBorders>
          </w:tcPr>
          <w:p>
            <w:pPr/>
          </w:p>
        </w:tc>
      </w:tr>
      <w:tr>
        <w:trPr>
          <w:trHeight w:val="295" w:hRule="exact"/>
        </w:trPr>
        <w:tc>
          <w:tcPr>
            <w:tcW w:w="1195"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2011-19</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北京中长石基信息技术股份有限公司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年第一季度季度报告</w:t>
            </w:r>
          </w:p>
        </w:tc>
        <w:tc>
          <w:tcPr>
            <w:tcW w:w="1390" w:type="dxa"/>
            <w:vMerge/>
            <w:tcBorders>
              <w:left w:val="single" w:sz="4" w:space="0" w:color="000000"/>
              <w:right w:val="single" w:sz="4" w:space="0" w:color="000000"/>
            </w:tcBorders>
          </w:tcPr>
          <w:p>
            <w:pPr/>
          </w:p>
        </w:tc>
      </w:tr>
      <w:tr>
        <w:trPr>
          <w:trHeight w:val="29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21"/>
                <w:szCs w:val="21"/>
              </w:rPr>
            </w:pPr>
            <w:r>
              <w:rPr>
                <w:rFonts w:ascii="Times New Roman"/>
                <w:sz w:val="21"/>
              </w:rPr>
              <w:t>2011-6-17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 w:right="0"/>
              <w:jc w:val="center"/>
              <w:rPr>
                <w:rFonts w:ascii="Times New Roman" w:hAnsi="Times New Roman" w:cs="Times New Roman" w:eastAsia="Times New Roman" w:hint="default"/>
                <w:sz w:val="21"/>
                <w:szCs w:val="21"/>
              </w:rPr>
            </w:pPr>
            <w:r>
              <w:rPr>
                <w:rFonts w:ascii="Times New Roman"/>
                <w:sz w:val="21"/>
              </w:rPr>
              <w:t>2011-20</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年第五次临时会议决议公告</w:t>
            </w:r>
          </w:p>
        </w:tc>
        <w:tc>
          <w:tcPr>
            <w:tcW w:w="1390" w:type="dxa"/>
            <w:vMerge/>
            <w:tcBorders>
              <w:left w:val="single" w:sz="4" w:space="0" w:color="000000"/>
              <w:right w:val="single" w:sz="4" w:space="0" w:color="000000"/>
            </w:tcBorders>
          </w:tcPr>
          <w:p>
            <w:pPr/>
          </w:p>
        </w:tc>
      </w:tr>
      <w:tr>
        <w:trPr>
          <w:trHeight w:val="295"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64"/>
              <w:ind w:left="103" w:right="0"/>
              <w:jc w:val="left"/>
              <w:rPr>
                <w:rFonts w:ascii="Times New Roman" w:hAnsi="Times New Roman" w:cs="Times New Roman" w:eastAsia="Times New Roman" w:hint="default"/>
                <w:sz w:val="21"/>
                <w:szCs w:val="21"/>
              </w:rPr>
            </w:pPr>
            <w:r>
              <w:rPr>
                <w:rFonts w:ascii="Times New Roman"/>
                <w:sz w:val="21"/>
              </w:rPr>
              <w:t>2011-8-18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 w:right="0"/>
              <w:jc w:val="center"/>
              <w:rPr>
                <w:rFonts w:ascii="Times New Roman" w:hAnsi="Times New Roman" w:cs="Times New Roman" w:eastAsia="Times New Roman" w:hint="default"/>
                <w:sz w:val="21"/>
                <w:szCs w:val="21"/>
              </w:rPr>
            </w:pPr>
            <w:r>
              <w:rPr>
                <w:rFonts w:ascii="Times New Roman"/>
                <w:sz w:val="21"/>
              </w:rPr>
              <w:t>2011-21</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第四届董事会第三次会议决议公告</w:t>
            </w:r>
          </w:p>
        </w:tc>
        <w:tc>
          <w:tcPr>
            <w:tcW w:w="1390" w:type="dxa"/>
            <w:vMerge/>
            <w:tcBorders>
              <w:left w:val="single" w:sz="4" w:space="0" w:color="000000"/>
              <w:right w:val="single" w:sz="4" w:space="0" w:color="000000"/>
            </w:tcBorders>
          </w:tcPr>
          <w:p>
            <w:pPr/>
          </w:p>
        </w:tc>
      </w:tr>
      <w:tr>
        <w:trPr>
          <w:trHeight w:val="295" w:hRule="exact"/>
        </w:trPr>
        <w:tc>
          <w:tcPr>
            <w:tcW w:w="1195"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2011-22</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北京中长石基信息技术股份有限公司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年半年度报告摘要</w:t>
            </w:r>
          </w:p>
        </w:tc>
        <w:tc>
          <w:tcPr>
            <w:tcW w:w="1390" w:type="dxa"/>
            <w:vMerge/>
            <w:tcBorders>
              <w:left w:val="single" w:sz="4" w:space="0" w:color="000000"/>
              <w:right w:val="single" w:sz="4" w:space="0" w:color="000000"/>
            </w:tcBorders>
          </w:tcPr>
          <w:p>
            <w:pPr/>
          </w:p>
        </w:tc>
      </w:tr>
      <w:tr>
        <w:trPr>
          <w:trHeight w:val="29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21"/>
                <w:szCs w:val="21"/>
              </w:rPr>
            </w:pPr>
            <w:r>
              <w:rPr>
                <w:rFonts w:ascii="Times New Roman"/>
                <w:sz w:val="21"/>
              </w:rPr>
              <w:t>2011-9-28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 w:right="0"/>
              <w:jc w:val="center"/>
              <w:rPr>
                <w:rFonts w:ascii="Times New Roman" w:hAnsi="Times New Roman" w:cs="Times New Roman" w:eastAsia="Times New Roman" w:hint="default"/>
                <w:sz w:val="21"/>
                <w:szCs w:val="21"/>
              </w:rPr>
            </w:pPr>
            <w:r>
              <w:rPr>
                <w:rFonts w:ascii="Times New Roman"/>
                <w:sz w:val="21"/>
              </w:rPr>
              <w:t>2011-23</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年第六次临时会议决议公告</w:t>
            </w:r>
          </w:p>
        </w:tc>
        <w:tc>
          <w:tcPr>
            <w:tcW w:w="1390" w:type="dxa"/>
            <w:vMerge/>
            <w:tcBorders>
              <w:left w:val="single" w:sz="4" w:space="0" w:color="000000"/>
              <w:right w:val="single" w:sz="4" w:space="0" w:color="000000"/>
            </w:tcBorders>
          </w:tcPr>
          <w:p>
            <w:pPr/>
          </w:p>
        </w:tc>
      </w:tr>
      <w:tr>
        <w:trPr>
          <w:trHeight w:val="29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21"/>
                <w:szCs w:val="21"/>
              </w:rPr>
            </w:pPr>
            <w:r>
              <w:rPr>
                <w:rFonts w:ascii="Times New Roman"/>
                <w:sz w:val="21"/>
              </w:rPr>
              <w:t>2011-10-27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 w:right="0"/>
              <w:jc w:val="center"/>
              <w:rPr>
                <w:rFonts w:ascii="Times New Roman" w:hAnsi="Times New Roman" w:cs="Times New Roman" w:eastAsia="Times New Roman" w:hint="default"/>
                <w:sz w:val="21"/>
                <w:szCs w:val="21"/>
              </w:rPr>
            </w:pPr>
            <w:r>
              <w:rPr>
                <w:rFonts w:ascii="Times New Roman"/>
                <w:sz w:val="21"/>
              </w:rPr>
              <w:t>2011-24</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年第七次临时会议决议公告</w:t>
            </w:r>
          </w:p>
        </w:tc>
        <w:tc>
          <w:tcPr>
            <w:tcW w:w="1390" w:type="dxa"/>
            <w:vMerge/>
            <w:tcBorders>
              <w:left w:val="single" w:sz="4" w:space="0" w:color="000000"/>
              <w:right w:val="single" w:sz="4" w:space="0" w:color="000000"/>
            </w:tcBorders>
          </w:tcPr>
          <w:p>
            <w:pPr/>
          </w:p>
        </w:tc>
      </w:tr>
      <w:tr>
        <w:trPr>
          <w:trHeight w:val="29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21"/>
                <w:szCs w:val="21"/>
              </w:rPr>
            </w:pPr>
            <w:r>
              <w:rPr>
                <w:rFonts w:ascii="Times New Roman"/>
                <w:sz w:val="21"/>
              </w:rPr>
              <w:t>2011-12-27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 w:right="0"/>
              <w:jc w:val="center"/>
              <w:rPr>
                <w:rFonts w:ascii="Times New Roman" w:hAnsi="Times New Roman" w:cs="Times New Roman" w:eastAsia="Times New Roman" w:hint="default"/>
                <w:sz w:val="21"/>
                <w:szCs w:val="21"/>
              </w:rPr>
            </w:pPr>
            <w:r>
              <w:rPr>
                <w:rFonts w:ascii="Times New Roman"/>
                <w:sz w:val="21"/>
              </w:rPr>
              <w:t>2011-25</w:t>
            </w:r>
          </w:p>
        </w:tc>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年第八次临时会议决议公告</w:t>
            </w:r>
          </w:p>
        </w:tc>
        <w:tc>
          <w:tcPr>
            <w:tcW w:w="1390" w:type="dxa"/>
            <w:vMerge/>
            <w:tcBorders>
              <w:left w:val="single" w:sz="4" w:space="0" w:color="000000"/>
              <w:bottom w:val="single" w:sz="4" w:space="0" w:color="000000"/>
              <w:right w:val="single" w:sz="4" w:space="0" w:color="000000"/>
            </w:tcBorders>
          </w:tcPr>
          <w:p>
            <w:pPr/>
          </w:p>
        </w:tc>
      </w:tr>
    </w:tbl>
    <w:p>
      <w:pPr>
        <w:spacing w:after="0"/>
        <w:sectPr>
          <w:pgSz w:w="11900" w:h="16850"/>
          <w:pgMar w:header="718" w:footer="708" w:top="1060" w:bottom="900" w:left="980" w:right="900"/>
        </w:sectPr>
      </w:pPr>
    </w:p>
    <w:p>
      <w:pPr>
        <w:pStyle w:val="Heading1"/>
        <w:spacing w:line="240" w:lineRule="auto" w:before="15"/>
        <w:ind w:left="3885" w:right="3923"/>
        <w:jc w:val="center"/>
        <w:rPr>
          <w:b w:val="0"/>
          <w:bCs w:val="0"/>
        </w:rPr>
      </w:pPr>
      <w:r>
        <w:rPr/>
        <w:pict>
          <v:group style="position:absolute;margin-left:55.200001pt;margin-top:2.821563pt;width:484.45pt;height:.1pt;mso-position-horizontal-relative:page;mso-position-vertical-relative:paragraph;z-index:-771880" coordorigin="1104,56" coordsize="9689,2">
            <v:shape style="position:absolute;left:1104;top:56;width:9689;height:2" coordorigin="1104,56" coordsize="9689,0" path="m1104,56l10793,56e" filled="false" stroked="true" strokeweight=".72pt" strokecolor="#000000">
              <v:path arrowok="t"/>
            </v:shape>
            <w10:wrap type="none"/>
          </v:group>
        </w:pict>
      </w:r>
      <w:bookmarkStart w:name="第十节 财务报告" w:id="20"/>
      <w:bookmarkEnd w:id="20"/>
      <w:r>
        <w:rPr>
          <w:b w:val="0"/>
          <w:bCs w:val="0"/>
        </w:rPr>
      </w:r>
      <w:bookmarkStart w:name="_bookmark9" w:id="21"/>
      <w:bookmarkEnd w:id="21"/>
      <w:r>
        <w:rPr>
          <w:b w:val="0"/>
          <w:bCs w:val="0"/>
        </w:rPr>
      </w:r>
      <w:r>
        <w:rPr/>
        <w:t>第十节</w:t>
      </w:r>
      <w:r>
        <w:rPr>
          <w:spacing w:val="-3"/>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4"/>
        <w:spacing w:line="240" w:lineRule="auto"/>
        <w:ind w:left="572" w:right="0"/>
        <w:jc w:val="left"/>
        <w:rPr>
          <w:b w:val="0"/>
          <w:bCs w:val="0"/>
        </w:rPr>
      </w:pPr>
      <w:r>
        <w:rPr/>
        <w:t>一、审计报告</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74"/>
        <w:ind w:left="0" w:right="190"/>
        <w:jc w:val="right"/>
      </w:pPr>
      <w:r>
        <w:rPr/>
        <w:t>众环审字（</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399 </w:t>
      </w:r>
      <w:r>
        <w:rPr/>
        <w:t>号</w:t>
      </w:r>
    </w:p>
    <w:p>
      <w:pPr>
        <w:pStyle w:val="BodyText"/>
        <w:spacing w:line="240" w:lineRule="auto" w:before="139"/>
        <w:ind w:left="153" w:right="0"/>
        <w:jc w:val="left"/>
      </w:pPr>
      <w:r>
        <w:rPr/>
        <w:t>北京中长石基信息技术股份有限公司全体股东：</w:t>
      </w:r>
    </w:p>
    <w:p>
      <w:pPr>
        <w:spacing w:line="240" w:lineRule="auto" w:before="1"/>
        <w:rPr>
          <w:rFonts w:ascii="宋体" w:hAnsi="宋体" w:cs="宋体" w:eastAsia="宋体" w:hint="default"/>
          <w:sz w:val="9"/>
          <w:szCs w:val="9"/>
        </w:rPr>
      </w:pPr>
    </w:p>
    <w:p>
      <w:pPr>
        <w:pStyle w:val="BodyText"/>
        <w:spacing w:line="240" w:lineRule="auto" w:before="36"/>
        <w:ind w:left="572" w:right="0"/>
        <w:jc w:val="left"/>
        <w:rPr>
          <w:rFonts w:ascii="Times New Roman" w:hAnsi="Times New Roman" w:cs="Times New Roman" w:eastAsia="Times New Roman" w:hint="default"/>
        </w:rPr>
      </w:pPr>
      <w:r>
        <w:rPr/>
        <w:t>我们审计了后附的北京中长石基信息技术股份有限公司（以下简称石基公司）财务报表，包括</w:t>
      </w:r>
      <w:r>
        <w:rPr>
          <w:spacing w:val="84"/>
        </w:rPr>
        <w:t> </w:t>
      </w:r>
      <w:r>
        <w:rPr>
          <w:rFonts w:ascii="Times New Roman" w:hAnsi="Times New Roman" w:cs="Times New Roman" w:eastAsia="Times New Roman" w:hint="default"/>
          <w:spacing w:val="-3"/>
        </w:rPr>
        <w:t>2011</w:t>
      </w:r>
    </w:p>
    <w:p>
      <w:pPr>
        <w:pStyle w:val="BodyText"/>
        <w:spacing w:line="355" w:lineRule="auto" w:before="141"/>
        <w:ind w:left="153" w:right="0" w:hanging="1"/>
        <w:jc w:val="left"/>
      </w:pP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日的合并及母公司资产负债表，</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年度的合并及母公司利润表、合并及母公司现金流量表、</w:t>
      </w:r>
      <w:r>
        <w:rPr>
          <w:spacing w:val="-3"/>
          <w:w w:val="100"/>
        </w:rPr>
        <w:t> </w:t>
      </w:r>
      <w:r>
        <w:rPr/>
        <w:t>合并及母公司股东权益变动表，以及财务报表附注。</w:t>
      </w:r>
    </w:p>
    <w:p>
      <w:pPr>
        <w:pStyle w:val="Heading4"/>
        <w:spacing w:line="240" w:lineRule="auto" w:before="54"/>
        <w:ind w:left="575" w:right="0"/>
        <w:jc w:val="left"/>
        <w:rPr>
          <w:rFonts w:ascii="黑体" w:hAnsi="黑体" w:cs="黑体" w:eastAsia="黑体" w:hint="default"/>
          <w:b w:val="0"/>
          <w:bCs w:val="0"/>
        </w:rPr>
      </w:pPr>
      <w:r>
        <w:rPr>
          <w:rFonts w:ascii="黑体" w:hAnsi="黑体" w:cs="黑体" w:eastAsia="黑体" w:hint="default"/>
        </w:rPr>
        <w:t>一、管理层对财务报表的责任</w:t>
      </w:r>
      <w:r>
        <w:rPr>
          <w:rFonts w:ascii="黑体" w:hAnsi="黑体" w:cs="黑体" w:eastAsia="黑体" w:hint="default"/>
          <w:b w:val="0"/>
          <w:bCs w:val="0"/>
        </w:rPr>
      </w:r>
    </w:p>
    <w:p>
      <w:pPr>
        <w:pStyle w:val="BodyText"/>
        <w:spacing w:line="355" w:lineRule="auto" w:before="154"/>
        <w:ind w:right="187" w:firstLine="419"/>
        <w:jc w:val="both"/>
      </w:pPr>
      <w:r>
        <w:rPr>
          <w:spacing w:val="-5"/>
          <w:w w:val="100"/>
        </w:rPr>
        <w:t>编制和公允列报财务报表是石基公司管理层的责任，这种责任包括：（</w:t>
      </w:r>
      <w:r>
        <w:rPr>
          <w:rFonts w:ascii="Times New Roman" w:hAnsi="Times New Roman" w:cs="Times New Roman" w:eastAsia="Times New Roman" w:hint="default"/>
          <w:spacing w:val="-5"/>
          <w:w w:val="100"/>
        </w:rPr>
        <w:t>1</w:t>
      </w:r>
      <w:r>
        <w:rPr>
          <w:spacing w:val="-5"/>
          <w:w w:val="100"/>
        </w:rPr>
        <w:t>）按照企业会计准则的规定编</w:t>
      </w:r>
      <w:r>
        <w:rPr>
          <w:spacing w:val="-3"/>
          <w:w w:val="100"/>
        </w:rPr>
        <w:t> </w:t>
      </w:r>
      <w:r>
        <w:rPr>
          <w:spacing w:val="-5"/>
          <w:w w:val="100"/>
        </w:rPr>
        <w:t>制财务报表，并使其实现公允反映；（</w:t>
      </w:r>
      <w:r>
        <w:rPr>
          <w:rFonts w:ascii="Times New Roman" w:hAnsi="Times New Roman" w:cs="Times New Roman" w:eastAsia="Times New Roman" w:hint="default"/>
          <w:spacing w:val="-5"/>
          <w:w w:val="100"/>
        </w:rPr>
        <w:t>2</w:t>
      </w:r>
      <w:r>
        <w:rPr>
          <w:spacing w:val="-5"/>
          <w:w w:val="100"/>
        </w:rPr>
        <w:t>）设计、执行和维护必要的内部控制，以使财务报表不存在由于舞</w:t>
      </w:r>
      <w:r>
        <w:rPr>
          <w:spacing w:val="-70"/>
          <w:w w:val="100"/>
        </w:rPr>
        <w:t> </w:t>
      </w:r>
      <w:r>
        <w:rPr>
          <w:spacing w:val="-70"/>
          <w:w w:val="100"/>
        </w:rPr>
      </w:r>
      <w:r>
        <w:rPr/>
        <w:t>弊或错误导致的重大错报。</w:t>
      </w:r>
    </w:p>
    <w:p>
      <w:pPr>
        <w:pStyle w:val="Heading4"/>
        <w:spacing w:line="240" w:lineRule="auto" w:before="56"/>
        <w:ind w:left="575" w:right="0"/>
        <w:jc w:val="left"/>
        <w:rPr>
          <w:rFonts w:ascii="黑体" w:hAnsi="黑体" w:cs="黑体" w:eastAsia="黑体" w:hint="default"/>
          <w:b w:val="0"/>
          <w:bCs w:val="0"/>
        </w:rPr>
      </w:pPr>
      <w:r>
        <w:rPr>
          <w:rFonts w:ascii="黑体" w:hAnsi="黑体" w:cs="黑体" w:eastAsia="黑体" w:hint="default"/>
        </w:rPr>
        <w:t>二、注册会计师的责任</w:t>
      </w:r>
      <w:r>
        <w:rPr>
          <w:rFonts w:ascii="黑体" w:hAnsi="黑体" w:cs="黑体" w:eastAsia="黑体" w:hint="default"/>
          <w:b w:val="0"/>
          <w:bCs w:val="0"/>
        </w:rPr>
      </w:r>
    </w:p>
    <w:p>
      <w:pPr>
        <w:pStyle w:val="BodyText"/>
        <w:spacing w:line="348" w:lineRule="auto" w:before="123"/>
        <w:ind w:right="187" w:firstLine="420"/>
        <w:jc w:val="both"/>
      </w:pPr>
      <w:r>
        <w:rPr>
          <w:spacing w:val="-3"/>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的规定执行了审计工作。中国注册会计师审计准则要求我们遵守中国注册会计师职业道德守则，计划和执</w:t>
      </w:r>
      <w:r>
        <w:rPr>
          <w:spacing w:val="-49"/>
        </w:rPr>
        <w:t> </w:t>
      </w:r>
      <w:r>
        <w:rPr>
          <w:spacing w:val="-49"/>
        </w:rPr>
      </w:r>
      <w:r>
        <w:rPr/>
        <w:t>行审计工作以对财务报表是否不存在重大错报获取合理保证。</w:t>
      </w:r>
    </w:p>
    <w:p>
      <w:pPr>
        <w:pStyle w:val="BodyText"/>
        <w:spacing w:line="348" w:lineRule="auto" w:before="31"/>
        <w:ind w:right="187" w:firstLine="420"/>
        <w:jc w:val="both"/>
      </w:pPr>
      <w:r>
        <w:rPr>
          <w:spacing w:val="-3"/>
        </w:rPr>
        <w:t>审计工作涉及实施审计程序，以获取有关财务报表金额和披露的审计证据。选择的审计程序取决于注</w:t>
      </w:r>
      <w:r>
        <w:rPr>
          <w:w w:val="100"/>
        </w:rPr>
        <w:t> </w:t>
      </w:r>
      <w:r>
        <w:rPr>
          <w:spacing w:val="-3"/>
        </w:rPr>
        <w:t>册会计师的判断，包括对由于舞弊或错误导致的财务报表重大错报风险的评估。在进行风险评估时，注册</w:t>
      </w:r>
      <w:r>
        <w:rPr>
          <w:spacing w:val="-5"/>
        </w:rPr>
        <w:t> </w:t>
      </w:r>
      <w:r>
        <w:rPr>
          <w:spacing w:val="-5"/>
        </w:rPr>
      </w:r>
      <w:r>
        <w:rPr>
          <w:spacing w:val="-2"/>
        </w:rPr>
        <w:t>会计师考虑与财务报表编制和公允列报相关的内部控制，以设计恰当的审计程序，但目的并非对内部控制</w:t>
      </w:r>
      <w:r>
        <w:rPr>
          <w:spacing w:val="-49"/>
        </w:rPr>
        <w:t> </w:t>
      </w:r>
      <w:r>
        <w:rPr>
          <w:spacing w:val="-49"/>
        </w:rPr>
      </w:r>
      <w:r>
        <w:rPr>
          <w:spacing w:val="-2"/>
        </w:rPr>
        <w:t>的有效性发表意见。审计工作还包括评价管理层选用会计政策的恰当性和作出会计估计的合理性，以及评</w:t>
      </w:r>
      <w:r>
        <w:rPr>
          <w:spacing w:val="-50"/>
        </w:rPr>
        <w:t> </w:t>
      </w:r>
      <w:r>
        <w:rPr>
          <w:spacing w:val="-50"/>
        </w:rPr>
      </w:r>
      <w:r>
        <w:rPr/>
        <w:t>价财务报表的总体列报。</w:t>
      </w:r>
    </w:p>
    <w:p>
      <w:pPr>
        <w:pStyle w:val="BodyText"/>
        <w:spacing w:line="240" w:lineRule="auto" w:before="62"/>
        <w:ind w:left="572" w:right="0"/>
        <w:jc w:val="left"/>
      </w:pPr>
      <w:r>
        <w:rPr/>
        <w:t>我们相信，我们获取的审计证据是充分、适当的，为发表审计意见提供了基础。</w:t>
      </w:r>
    </w:p>
    <w:p>
      <w:pPr>
        <w:pStyle w:val="Heading4"/>
        <w:spacing w:line="240" w:lineRule="auto" w:before="155"/>
        <w:ind w:left="575" w:right="0"/>
        <w:jc w:val="left"/>
        <w:rPr>
          <w:rFonts w:ascii="黑体" w:hAnsi="黑体" w:cs="黑体" w:eastAsia="黑体" w:hint="default"/>
          <w:b w:val="0"/>
          <w:bCs w:val="0"/>
        </w:rPr>
      </w:pPr>
      <w:r>
        <w:rPr>
          <w:rFonts w:ascii="黑体" w:hAnsi="黑体" w:cs="黑体" w:eastAsia="黑体" w:hint="default"/>
        </w:rPr>
        <w:t>三、审计意见</w:t>
      </w:r>
      <w:r>
        <w:rPr>
          <w:rFonts w:ascii="黑体" w:hAnsi="黑体" w:cs="黑体" w:eastAsia="黑体" w:hint="default"/>
          <w:b w:val="0"/>
          <w:bCs w:val="0"/>
        </w:rPr>
      </w:r>
    </w:p>
    <w:p>
      <w:pPr>
        <w:pStyle w:val="BodyText"/>
        <w:spacing w:line="240" w:lineRule="auto" w:before="154"/>
        <w:ind w:left="572" w:right="0"/>
        <w:jc w:val="left"/>
      </w:pPr>
      <w:r>
        <w:rPr>
          <w:spacing w:val="2"/>
        </w:rPr>
        <w:t>我们认为，石基公司财务报表在所有重大方面按照企业会计准则的规定编制，公允反映了石基公司</w:t>
      </w:r>
      <w:r>
        <w:rPr/>
      </w:r>
    </w:p>
    <w:p>
      <w:pPr>
        <w:pStyle w:val="BodyText"/>
        <w:spacing w:line="240" w:lineRule="auto" w:before="157"/>
        <w:ind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日的合并及母公司财务状况以及</w:t>
      </w:r>
      <w:r>
        <w:rPr>
          <w:spacing w:val="-55"/>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年度的合并及母公司经营成果和现金流量。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pStyle w:val="BodyText"/>
        <w:tabs>
          <w:tab w:pos="4566" w:val="left" w:leader="none"/>
        </w:tabs>
        <w:spacing w:line="240" w:lineRule="auto"/>
        <w:ind w:left="572" w:right="0"/>
        <w:jc w:val="left"/>
      </w:pPr>
      <w:r>
        <w:rPr>
          <w:spacing w:val="-2"/>
        </w:rPr>
        <w:t>众环海华会计师事务所有限公司</w:t>
        <w:tab/>
        <w:t>中国注册会计师</w:t>
      </w:r>
      <w:r>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ind w:left="3897" w:right="3275"/>
        <w:jc w:val="center"/>
      </w:pPr>
      <w:r>
        <w:rPr/>
        <w:t>中国注册会计师</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tabs>
          <w:tab w:pos="2675" w:val="left" w:leader="none"/>
          <w:tab w:pos="5298" w:val="left" w:leader="none"/>
        </w:tabs>
        <w:spacing w:line="240" w:lineRule="auto"/>
        <w:ind w:left="992" w:right="0"/>
        <w:jc w:val="left"/>
      </w:pPr>
      <w:r>
        <w:rPr/>
        <w:t>中国</w:t>
        <w:tab/>
      </w:r>
      <w:r>
        <w:rPr>
          <w:spacing w:val="-2"/>
        </w:rPr>
        <w:t>武汉</w:t>
        <w:tab/>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w:t>
      </w:r>
    </w:p>
    <w:p>
      <w:pPr>
        <w:spacing w:after="0" w:line="240" w:lineRule="auto"/>
        <w:jc w:val="left"/>
        <w:sectPr>
          <w:pgSz w:w="11900" w:h="16850"/>
          <w:pgMar w:header="718" w:footer="708" w:top="1060" w:bottom="900" w:left="980" w:right="940"/>
        </w:sectPr>
      </w:pPr>
    </w:p>
    <w:p>
      <w:pPr>
        <w:pStyle w:val="Heading4"/>
        <w:spacing w:line="240" w:lineRule="auto" w:before="30"/>
        <w:ind w:left="652" w:right="0"/>
        <w:jc w:val="left"/>
        <w:rPr>
          <w:b w:val="0"/>
          <w:bCs w:val="0"/>
        </w:rPr>
      </w:pPr>
      <w:r>
        <w:rPr/>
        <w:pict>
          <v:group style="position:absolute;margin-left:55.200001pt;margin-top:2.843657pt;width:484.45pt;height:.1pt;mso-position-horizontal-relative:page;mso-position-vertical-relative:paragraph;z-index:-771856" coordorigin="1104,57" coordsize="9689,2">
            <v:shape style="position:absolute;left:1104;top:57;width:9689;height:2" coordorigin="1104,57" coordsize="9689,0" path="m1104,57l10793,57e" filled="false" stroked="true" strokeweight=".72pt" strokecolor="#000000">
              <v:path arrowok="t"/>
            </v:shape>
            <w10:wrap type="none"/>
          </v:group>
        </w:pict>
      </w:r>
      <w:r>
        <w:rPr/>
        <w:t>二、财务报表</w:t>
      </w:r>
      <w:r>
        <w:rPr>
          <w:b w:val="0"/>
          <w:bCs w:val="0"/>
        </w:rPr>
      </w:r>
    </w:p>
    <w:p>
      <w:pPr>
        <w:spacing w:line="240" w:lineRule="auto" w:before="10"/>
        <w:rPr>
          <w:rFonts w:ascii="宋体" w:hAnsi="宋体" w:cs="宋体" w:eastAsia="宋体" w:hint="default"/>
          <w:b/>
          <w:bCs/>
          <w:sz w:val="19"/>
          <w:szCs w:val="19"/>
        </w:rPr>
      </w:pPr>
    </w:p>
    <w:p>
      <w:pPr>
        <w:spacing w:before="0"/>
        <w:ind w:left="19" w:right="1" w:firstLine="0"/>
        <w:jc w:val="center"/>
        <w:rPr>
          <w:rFonts w:ascii="Times New Roman" w:hAnsi="Times New Roman" w:cs="Times New Roman" w:eastAsia="Times New Roman" w:hint="default"/>
          <w:sz w:val="32"/>
          <w:szCs w:val="32"/>
        </w:rPr>
      </w:pPr>
      <w:r>
        <w:rPr>
          <w:rFonts w:ascii="黑体" w:hAnsi="黑体" w:cs="黑体" w:eastAsia="黑体" w:hint="default"/>
          <w:b/>
          <w:bCs/>
          <w:sz w:val="32"/>
          <w:szCs w:val="32"/>
        </w:rPr>
        <w:t>合并资产负债表</w:t>
      </w:r>
      <w:r>
        <w:rPr>
          <w:rFonts w:ascii="Times New Roman" w:hAnsi="Times New Roman" w:cs="Times New Roman" w:eastAsia="Times New Roman" w:hint="default"/>
          <w:b/>
          <w:bCs/>
          <w:sz w:val="32"/>
          <w:szCs w:val="32"/>
        </w:rPr>
        <w:t>(</w:t>
      </w:r>
      <w:r>
        <w:rPr>
          <w:rFonts w:ascii="黑体" w:hAnsi="黑体" w:cs="黑体" w:eastAsia="黑体" w:hint="default"/>
          <w:b/>
          <w:bCs/>
          <w:sz w:val="32"/>
          <w:szCs w:val="32"/>
        </w:rPr>
        <w:t>资产</w:t>
      </w:r>
      <w:r>
        <w:rPr>
          <w:rFonts w:ascii="Times New Roman" w:hAnsi="Times New Roman" w:cs="Times New Roman" w:eastAsia="Times New Roman" w:hint="default"/>
          <w:b/>
          <w:bCs/>
          <w:sz w:val="32"/>
          <w:szCs w:val="32"/>
        </w:rPr>
        <w:t>)</w:t>
      </w:r>
      <w:r>
        <w:rPr>
          <w:rFonts w:ascii="Times New Roman" w:hAnsi="Times New Roman" w:cs="Times New Roman" w:eastAsia="Times New Roman" w:hint="default"/>
          <w:sz w:val="32"/>
          <w:szCs w:val="32"/>
        </w:rPr>
      </w:r>
    </w:p>
    <w:p>
      <w:pPr>
        <w:pStyle w:val="BodyText"/>
        <w:tabs>
          <w:tab w:pos="7352" w:val="left" w:leader="none"/>
        </w:tabs>
        <w:spacing w:line="240" w:lineRule="auto" w:before="232"/>
        <w:ind w:left="0" w:right="161"/>
        <w:jc w:val="center"/>
      </w:pPr>
      <w:r>
        <w:rPr>
          <w:spacing w:val="-2"/>
        </w:rPr>
        <w:t>编制单位：北京中长石基信息技术股份有限公司</w:t>
        <w:tab/>
        <w:t>单位：人民币元</w:t>
      </w:r>
      <w:r>
        <w:rPr/>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523"/>
        <w:gridCol w:w="996"/>
        <w:gridCol w:w="2671"/>
        <w:gridCol w:w="2671"/>
      </w:tblGrid>
      <w:tr>
        <w:trPr>
          <w:trHeight w:val="290" w:hRule="exact"/>
        </w:trPr>
        <w:tc>
          <w:tcPr>
            <w:tcW w:w="3523" w:type="dxa"/>
            <w:tcBorders>
              <w:top w:val="single" w:sz="12"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资</w:t>
              <w:tab/>
              <w:t>产</w:t>
            </w:r>
          </w:p>
        </w:tc>
        <w:tc>
          <w:tcPr>
            <w:tcW w:w="996"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276"/>
              <w:jc w:val="right"/>
              <w:rPr>
                <w:rFonts w:ascii="宋体" w:hAnsi="宋体" w:cs="宋体" w:eastAsia="宋体" w:hint="default"/>
                <w:sz w:val="21"/>
                <w:szCs w:val="21"/>
              </w:rPr>
            </w:pPr>
            <w:r>
              <w:rPr>
                <w:rFonts w:ascii="宋体" w:hAnsi="宋体" w:cs="宋体" w:eastAsia="宋体" w:hint="default"/>
                <w:sz w:val="21"/>
                <w:szCs w:val="21"/>
              </w:rPr>
              <w:t>附注</w:t>
            </w:r>
          </w:p>
        </w:tc>
        <w:tc>
          <w:tcPr>
            <w:tcW w:w="2671" w:type="dxa"/>
            <w:tcBorders>
              <w:top w:val="single" w:sz="12" w:space="0" w:color="000000"/>
              <w:left w:val="single" w:sz="4" w:space="0" w:color="000000"/>
              <w:bottom w:val="single" w:sz="4" w:space="0" w:color="000000"/>
              <w:right w:val="single" w:sz="4" w:space="0" w:color="000000"/>
            </w:tcBorders>
          </w:tcPr>
          <w:p>
            <w:pPr>
              <w:pStyle w:val="TableParagraph"/>
              <w:spacing w:line="257"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71" w:type="dxa"/>
            <w:tcBorders>
              <w:top w:val="single" w:sz="12" w:space="0" w:color="000000"/>
              <w:left w:val="single" w:sz="4" w:space="0" w:color="000000"/>
              <w:bottom w:val="single" w:sz="4" w:space="0" w:color="000000"/>
              <w:right w:val="nil" w:sz="6" w:space="0" w:color="auto"/>
            </w:tcBorders>
          </w:tcPr>
          <w:p>
            <w:pPr>
              <w:pStyle w:val="TableParagraph"/>
              <w:spacing w:line="257" w:lineRule="exact"/>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97" w:hRule="exact"/>
        </w:trPr>
        <w:tc>
          <w:tcPr>
            <w:tcW w:w="3523" w:type="dxa"/>
            <w:tcBorders>
              <w:top w:val="single" w:sz="4" w:space="0" w:color="000000"/>
              <w:left w:val="nil" w:sz="6" w:space="0" w:color="auto"/>
              <w:bottom w:val="nil" w:sz="6" w:space="0" w:color="auto"/>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996" w:type="dxa"/>
            <w:tcBorders>
              <w:top w:val="single" w:sz="4" w:space="0" w:color="000000"/>
              <w:left w:val="single" w:sz="4" w:space="0" w:color="000000"/>
              <w:bottom w:val="nil" w:sz="6" w:space="0" w:color="auto"/>
              <w:right w:val="single" w:sz="4" w:space="0" w:color="000000"/>
            </w:tcBorders>
          </w:tcPr>
          <w:p>
            <w:pPr/>
          </w:p>
        </w:tc>
        <w:tc>
          <w:tcPr>
            <w:tcW w:w="2671" w:type="dxa"/>
            <w:tcBorders>
              <w:top w:val="single" w:sz="4" w:space="0" w:color="000000"/>
              <w:left w:val="single" w:sz="4" w:space="0" w:color="000000"/>
              <w:bottom w:val="nil" w:sz="6" w:space="0" w:color="auto"/>
              <w:right w:val="single" w:sz="4" w:space="0" w:color="000000"/>
            </w:tcBorders>
          </w:tcPr>
          <w:p>
            <w:pPr/>
          </w:p>
        </w:tc>
        <w:tc>
          <w:tcPr>
            <w:tcW w:w="2671"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3" w:lineRule="exact"/>
              <w:ind w:left="33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83" w:lineRule="exact"/>
              <w:ind w:right="23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).1</w:t>
            </w:r>
          </w:p>
        </w:tc>
        <w:tc>
          <w:tcPr>
            <w:tcW w:w="267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437,931,113.59</w:t>
            </w: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spacing w:val="-1"/>
                <w:sz w:val="21"/>
              </w:rPr>
              <w:t>491,511,005.02</w:t>
            </w:r>
          </w:p>
        </w:tc>
      </w:tr>
      <w:tr>
        <w:trPr>
          <w:trHeight w:val="288"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44" w:lineRule="exact"/>
              <w:ind w:left="33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14"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86" w:lineRule="exact"/>
              <w:ind w:right="23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).2</w:t>
            </w:r>
          </w:p>
        </w:tc>
        <w:tc>
          <w:tcPr>
            <w:tcW w:w="267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98"/>
              <w:jc w:val="right"/>
              <w:rPr>
                <w:rFonts w:ascii="Times New Roman" w:hAnsi="Times New Roman" w:cs="Times New Roman" w:eastAsia="Times New Roman" w:hint="default"/>
                <w:sz w:val="21"/>
                <w:szCs w:val="21"/>
              </w:rPr>
            </w:pPr>
            <w:r>
              <w:rPr>
                <w:rFonts w:ascii="Times New Roman"/>
                <w:spacing w:val="-1"/>
                <w:sz w:val="21"/>
              </w:rPr>
              <w:t>179,099,053.48</w:t>
            </w: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141,469,083.84</w:t>
            </w:r>
          </w:p>
        </w:tc>
      </w:tr>
      <w:tr>
        <w:trPr>
          <w:trHeight w:val="301"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44" w:lineRule="exact"/>
              <w:ind w:left="33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23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).3</w:t>
            </w:r>
          </w:p>
        </w:tc>
        <w:tc>
          <w:tcPr>
            <w:tcW w:w="2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11,806,786.65</w:t>
            </w: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15,936,474.52</w:t>
            </w:r>
          </w:p>
        </w:tc>
      </w:tr>
      <w:tr>
        <w:trPr>
          <w:trHeight w:val="288"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42" w:lineRule="exact"/>
              <w:ind w:left="33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14"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86" w:lineRule="exact"/>
              <w:ind w:right="23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).4</w:t>
            </w:r>
          </w:p>
        </w:tc>
        <w:tc>
          <w:tcPr>
            <w:tcW w:w="267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98"/>
              <w:jc w:val="right"/>
              <w:rPr>
                <w:rFonts w:ascii="Times New Roman" w:hAnsi="Times New Roman" w:cs="Times New Roman" w:eastAsia="Times New Roman" w:hint="default"/>
                <w:sz w:val="21"/>
                <w:szCs w:val="21"/>
              </w:rPr>
            </w:pPr>
            <w:r>
              <w:rPr>
                <w:rFonts w:ascii="Times New Roman"/>
                <w:spacing w:val="-1"/>
                <w:sz w:val="21"/>
              </w:rPr>
              <w:t>19,448,551.72</w:t>
            </w: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16,959,233.27</w:t>
            </w:r>
          </w:p>
        </w:tc>
      </w:tr>
      <w:tr>
        <w:trPr>
          <w:trHeight w:val="288"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44" w:lineRule="exact"/>
              <w:ind w:left="33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14"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86" w:lineRule="exact"/>
              <w:ind w:right="23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).5</w:t>
            </w:r>
          </w:p>
        </w:tc>
        <w:tc>
          <w:tcPr>
            <w:tcW w:w="267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98"/>
              <w:jc w:val="right"/>
              <w:rPr>
                <w:rFonts w:ascii="Times New Roman" w:hAnsi="Times New Roman" w:cs="Times New Roman" w:eastAsia="Times New Roman" w:hint="default"/>
                <w:sz w:val="21"/>
                <w:szCs w:val="21"/>
              </w:rPr>
            </w:pPr>
            <w:r>
              <w:rPr>
                <w:rFonts w:ascii="Times New Roman"/>
                <w:spacing w:val="-1"/>
                <w:sz w:val="21"/>
              </w:rPr>
              <w:t>37,178,667.65</w:t>
            </w: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55,002,269.48</w:t>
            </w:r>
          </w:p>
        </w:tc>
      </w:tr>
      <w:tr>
        <w:trPr>
          <w:trHeight w:val="301"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44" w:lineRule="exact"/>
              <w:ind w:left="33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23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).6</w:t>
            </w: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71,336.17</w:t>
            </w:r>
          </w:p>
        </w:tc>
      </w:tr>
      <w:tr>
        <w:trPr>
          <w:trHeight w:val="300"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42"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73" w:lineRule="exact"/>
              <w:ind w:right="23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).7</w:t>
            </w:r>
          </w:p>
        </w:tc>
        <w:tc>
          <w:tcPr>
            <w:tcW w:w="26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21"/>
                <w:szCs w:val="21"/>
              </w:rPr>
            </w:pPr>
            <w:r>
              <w:rPr>
                <w:rFonts w:ascii="Times New Roman"/>
                <w:spacing w:val="-1"/>
                <w:sz w:val="21"/>
              </w:rPr>
              <w:t>227,200,000.00</w:t>
            </w:r>
          </w:p>
        </w:tc>
        <w:tc>
          <w:tcPr>
            <w:tcW w:w="2671" w:type="dxa"/>
            <w:tcBorders>
              <w:top w:val="nil" w:sz="6" w:space="0" w:color="auto"/>
              <w:left w:val="single" w:sz="4" w:space="0" w:color="000000"/>
              <w:bottom w:val="nil" w:sz="6" w:space="0" w:color="auto"/>
              <w:right w:val="nil" w:sz="6" w:space="0" w:color="auto"/>
            </w:tcBorders>
          </w:tcPr>
          <w:p>
            <w:pPr/>
          </w:p>
        </w:tc>
      </w:tr>
      <w:tr>
        <w:trPr>
          <w:trHeight w:val="292"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912,664,173.09</w:t>
            </w: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720,949,402.30</w:t>
            </w:r>
          </w:p>
        </w:tc>
      </w:tr>
      <w:tr>
        <w:trPr>
          <w:trHeight w:val="298"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14"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87" w:lineRule="exact"/>
              <w:ind w:right="23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).8</w:t>
            </w: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323,342.00</w:t>
            </w:r>
          </w:p>
        </w:tc>
      </w:tr>
      <w:tr>
        <w:trPr>
          <w:trHeight w:val="301"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42" w:lineRule="exact"/>
              <w:ind w:left="33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73" w:lineRule="exact"/>
              <w:ind w:right="23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).9</w:t>
            </w: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2,015,744.44</w:t>
            </w:r>
          </w:p>
        </w:tc>
      </w:tr>
      <w:tr>
        <w:trPr>
          <w:trHeight w:val="288"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44" w:lineRule="exact"/>
              <w:ind w:left="33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13"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86" w:lineRule="exact"/>
              <w:ind w:right="18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).10</w:t>
            </w:r>
          </w:p>
        </w:tc>
        <w:tc>
          <w:tcPr>
            <w:tcW w:w="267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15,750,000.00</w:t>
            </w: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spacing w:val="-1"/>
                <w:sz w:val="21"/>
              </w:rPr>
              <w:t>16,450,000.00</w:t>
            </w:r>
          </w:p>
        </w:tc>
      </w:tr>
      <w:tr>
        <w:trPr>
          <w:trHeight w:val="301"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42" w:lineRule="exact"/>
              <w:ind w:left="33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73" w:lineRule="exact"/>
              <w:ind w:right="18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).11</w:t>
            </w:r>
          </w:p>
        </w:tc>
        <w:tc>
          <w:tcPr>
            <w:tcW w:w="2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18,298,170.93</w:t>
            </w: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18,886,456.29</w:t>
            </w:r>
          </w:p>
        </w:tc>
      </w:tr>
      <w:tr>
        <w:trPr>
          <w:trHeight w:val="301"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44" w:lineRule="exact"/>
              <w:ind w:left="33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8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).12</w:t>
            </w:r>
          </w:p>
        </w:tc>
        <w:tc>
          <w:tcPr>
            <w:tcW w:w="2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131,230,388.58</w:t>
            </w: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129,396,691.58</w:t>
            </w:r>
          </w:p>
        </w:tc>
      </w:tr>
      <w:tr>
        <w:trPr>
          <w:trHeight w:val="301"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42" w:lineRule="exact"/>
              <w:ind w:left="33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73" w:lineRule="exact"/>
              <w:ind w:right="18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).13</w:t>
            </w: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5,348,974.13</w:t>
            </w:r>
          </w:p>
        </w:tc>
      </w:tr>
      <w:tr>
        <w:trPr>
          <w:trHeight w:val="288"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44" w:lineRule="exact"/>
              <w:ind w:left="33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14"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86" w:lineRule="exact"/>
              <w:ind w:right="18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).14</w:t>
            </w:r>
          </w:p>
        </w:tc>
        <w:tc>
          <w:tcPr>
            <w:tcW w:w="267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98"/>
              <w:jc w:val="right"/>
              <w:rPr>
                <w:rFonts w:ascii="Times New Roman" w:hAnsi="Times New Roman" w:cs="Times New Roman" w:eastAsia="Times New Roman" w:hint="default"/>
                <w:sz w:val="21"/>
                <w:szCs w:val="21"/>
              </w:rPr>
            </w:pPr>
            <w:r>
              <w:rPr>
                <w:rFonts w:ascii="Times New Roman"/>
                <w:spacing w:val="-1"/>
                <w:sz w:val="21"/>
              </w:rPr>
              <w:t>52,065,977.47</w:t>
            </w: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63,196,518.59</w:t>
            </w:r>
          </w:p>
        </w:tc>
      </w:tr>
      <w:tr>
        <w:trPr>
          <w:trHeight w:val="301"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44" w:lineRule="exact"/>
              <w:ind w:left="33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8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).15</w:t>
            </w:r>
          </w:p>
        </w:tc>
        <w:tc>
          <w:tcPr>
            <w:tcW w:w="2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33,120,744.94</w:t>
            </w: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3,870,811.01</w:t>
            </w:r>
          </w:p>
        </w:tc>
      </w:tr>
      <w:tr>
        <w:trPr>
          <w:trHeight w:val="301"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42" w:lineRule="exact"/>
              <w:ind w:left="33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73" w:lineRule="exact"/>
              <w:ind w:right="18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).16</w:t>
            </w:r>
          </w:p>
        </w:tc>
        <w:tc>
          <w:tcPr>
            <w:tcW w:w="26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137,570,886.32</w:t>
            </w: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108,234,883.27</w:t>
            </w:r>
          </w:p>
        </w:tc>
      </w:tr>
      <w:tr>
        <w:trPr>
          <w:trHeight w:val="288"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44" w:lineRule="exact"/>
              <w:ind w:left="33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02"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86" w:lineRule="exact"/>
              <w:ind w:right="18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).17</w:t>
            </w:r>
          </w:p>
        </w:tc>
        <w:tc>
          <w:tcPr>
            <w:tcW w:w="267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1,652,746.46</w:t>
            </w: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spacing w:val="-1"/>
                <w:sz w:val="21"/>
              </w:rPr>
              <w:t>1,368,872.62</w:t>
            </w:r>
          </w:p>
        </w:tc>
      </w:tr>
      <w:tr>
        <w:trPr>
          <w:trHeight w:val="299"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3"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nil" w:sz="6" w:space="0" w:color="auto"/>
            </w:tcBorders>
          </w:tcPr>
          <w:p>
            <w:pPr/>
          </w:p>
        </w:tc>
      </w:tr>
      <w:tr>
        <w:trPr>
          <w:trHeight w:val="303" w:hRule="exact"/>
        </w:trPr>
        <w:tc>
          <w:tcPr>
            <w:tcW w:w="3523" w:type="dxa"/>
            <w:tcBorders>
              <w:top w:val="nil" w:sz="6" w:space="0" w:color="auto"/>
              <w:left w:val="nil" w:sz="6" w:space="0" w:color="auto"/>
              <w:bottom w:val="nil" w:sz="6" w:space="0" w:color="auto"/>
              <w:right w:val="single" w:sz="4"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96" w:type="dxa"/>
            <w:tcBorders>
              <w:top w:val="nil" w:sz="6" w:space="0" w:color="auto"/>
              <w:left w:val="single" w:sz="4" w:space="0" w:color="000000"/>
              <w:bottom w:val="nil" w:sz="6" w:space="0" w:color="auto"/>
              <w:right w:val="single" w:sz="4" w:space="0" w:color="000000"/>
            </w:tcBorders>
          </w:tcPr>
          <w:p>
            <w:pPr/>
          </w:p>
        </w:tc>
        <w:tc>
          <w:tcPr>
            <w:tcW w:w="2671"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389,688,914.70</w:t>
            </w:r>
          </w:p>
        </w:tc>
        <w:tc>
          <w:tcPr>
            <w:tcW w:w="2671"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349,092,293.93</w:t>
            </w:r>
          </w:p>
        </w:tc>
      </w:tr>
      <w:tr>
        <w:trPr>
          <w:trHeight w:val="315" w:hRule="exact"/>
        </w:trPr>
        <w:tc>
          <w:tcPr>
            <w:tcW w:w="3523" w:type="dxa"/>
            <w:tcBorders>
              <w:top w:val="nil" w:sz="6" w:space="0" w:color="auto"/>
              <w:left w:val="nil" w:sz="6" w:space="0" w:color="auto"/>
              <w:bottom w:val="single" w:sz="12"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96" w:type="dxa"/>
            <w:tcBorders>
              <w:top w:val="nil" w:sz="6" w:space="0" w:color="auto"/>
              <w:left w:val="single" w:sz="4" w:space="0" w:color="000000"/>
              <w:bottom w:val="single" w:sz="12" w:space="0" w:color="000000"/>
              <w:right w:val="single" w:sz="4" w:space="0" w:color="000000"/>
            </w:tcBorders>
          </w:tcPr>
          <w:p>
            <w:pPr/>
          </w:p>
        </w:tc>
        <w:tc>
          <w:tcPr>
            <w:tcW w:w="267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3"/>
              <w:ind w:right="96"/>
              <w:jc w:val="right"/>
              <w:rPr>
                <w:rFonts w:ascii="Times New Roman" w:hAnsi="Times New Roman" w:cs="Times New Roman" w:eastAsia="Times New Roman" w:hint="default"/>
                <w:sz w:val="21"/>
                <w:szCs w:val="21"/>
              </w:rPr>
            </w:pPr>
            <w:r>
              <w:rPr>
                <w:rFonts w:ascii="Times New Roman"/>
                <w:spacing w:val="-1"/>
                <w:sz w:val="21"/>
              </w:rPr>
              <w:t>1,302,353,087.79</w:t>
            </w:r>
          </w:p>
        </w:tc>
        <w:tc>
          <w:tcPr>
            <w:tcW w:w="2671" w:type="dxa"/>
            <w:tcBorders>
              <w:top w:val="nil" w:sz="6" w:space="0" w:color="auto"/>
              <w:left w:val="single" w:sz="4" w:space="0" w:color="000000"/>
              <w:bottom w:val="single" w:sz="12" w:space="0" w:color="000000"/>
              <w:right w:val="nil" w:sz="6" w:space="0" w:color="auto"/>
            </w:tcBorders>
          </w:tcPr>
          <w:p>
            <w:pPr>
              <w:pStyle w:val="TableParagraph"/>
              <w:spacing w:line="240" w:lineRule="auto" w:before="23"/>
              <w:ind w:right="101"/>
              <w:jc w:val="right"/>
              <w:rPr>
                <w:rFonts w:ascii="Times New Roman" w:hAnsi="Times New Roman" w:cs="Times New Roman" w:eastAsia="Times New Roman" w:hint="default"/>
                <w:sz w:val="21"/>
                <w:szCs w:val="21"/>
              </w:rPr>
            </w:pPr>
            <w:r>
              <w:rPr>
                <w:rFonts w:ascii="Times New Roman"/>
                <w:spacing w:val="-1"/>
                <w:sz w:val="21"/>
              </w:rPr>
              <w:t>1,070,041,696.23</w:t>
            </w:r>
          </w:p>
        </w:tc>
      </w:tr>
    </w:tbl>
    <w:p>
      <w:pPr>
        <w:pStyle w:val="BodyText"/>
        <w:tabs>
          <w:tab w:pos="3172" w:val="left" w:leader="none"/>
          <w:tab w:pos="7058" w:val="left" w:leader="none"/>
        </w:tabs>
        <w:spacing w:line="240" w:lineRule="auto" w:before="86"/>
        <w:ind w:left="547" w:right="0"/>
        <w:jc w:val="left"/>
      </w:pPr>
      <w:r>
        <w:rPr>
          <w:spacing w:val="-1"/>
        </w:rPr>
        <w:t>法定代表人：李仲初</w:t>
        <w:tab/>
      </w:r>
      <w:r>
        <w:rPr>
          <w:spacing w:val="-2"/>
        </w:rPr>
        <w:t>主管会计工作负责人：赖德源</w:t>
        <w:tab/>
        <w:t>会计机构负责人：李天达</w:t>
      </w:r>
      <w:r>
        <w:rPr/>
      </w:r>
    </w:p>
    <w:p>
      <w:pPr>
        <w:spacing w:after="0" w:line="240" w:lineRule="auto"/>
        <w:jc w:val="left"/>
        <w:sectPr>
          <w:pgSz w:w="11900" w:h="16850"/>
          <w:pgMar w:header="718" w:footer="708" w:top="1060" w:bottom="900" w:left="900" w:right="920"/>
        </w:sectPr>
      </w:pPr>
    </w:p>
    <w:p>
      <w:pPr>
        <w:spacing w:line="240" w:lineRule="auto" w:before="10"/>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2pt;height:.75pt;mso-position-horizontal-relative:char;mso-position-vertical-relative:line" coordorigin="0,0" coordsize="9704,15">
            <v:group style="position:absolute;left:7;top:7;width:9689;height:2" coordorigin="7,7" coordsize="9689,2">
              <v:shape style="position:absolute;left:7;top:7;width:9689;height:2" coordorigin="7,7" coordsize="9689,0" path="m7,7l9696,7e" filled="false" stroked="true" strokeweight=".72pt" strokecolor="#000000">
                <v:path arrowok="t"/>
              </v:shape>
            </v:group>
          </v:group>
        </w:pict>
      </w:r>
      <w:r>
        <w:rPr>
          <w:rFonts w:ascii="宋体" w:hAnsi="宋体" w:cs="宋体" w:eastAsia="宋体" w:hint="default"/>
          <w:sz w:val="2"/>
          <w:szCs w:val="2"/>
        </w:rPr>
      </w:r>
    </w:p>
    <w:p>
      <w:pPr>
        <w:spacing w:line="355" w:lineRule="exact" w:before="0"/>
        <w:ind w:left="0" w:right="163" w:firstLine="0"/>
        <w:jc w:val="center"/>
        <w:rPr>
          <w:rFonts w:ascii="Times New Roman" w:hAnsi="Times New Roman" w:cs="Times New Roman" w:eastAsia="Times New Roman" w:hint="default"/>
          <w:sz w:val="30"/>
          <w:szCs w:val="30"/>
        </w:rPr>
      </w:pPr>
      <w:r>
        <w:rPr>
          <w:rFonts w:ascii="黑体" w:hAnsi="黑体" w:cs="黑体" w:eastAsia="黑体" w:hint="default"/>
          <w:b/>
          <w:bCs/>
          <w:sz w:val="30"/>
          <w:szCs w:val="30"/>
        </w:rPr>
        <w:t>合并资产负债表</w:t>
      </w:r>
      <w:r>
        <w:rPr>
          <w:rFonts w:ascii="Times New Roman" w:hAnsi="Times New Roman" w:cs="Times New Roman" w:eastAsia="Times New Roman" w:hint="default"/>
          <w:b/>
          <w:bCs/>
          <w:sz w:val="30"/>
          <w:szCs w:val="30"/>
        </w:rPr>
        <w:t>(</w:t>
      </w:r>
      <w:r>
        <w:rPr>
          <w:rFonts w:ascii="黑体" w:hAnsi="黑体" w:cs="黑体" w:eastAsia="黑体" w:hint="default"/>
          <w:b/>
          <w:bCs/>
          <w:sz w:val="30"/>
          <w:szCs w:val="30"/>
        </w:rPr>
        <w:t>负债及所有者权益</w:t>
      </w:r>
      <w:r>
        <w:rPr>
          <w:rFonts w:ascii="Times New Roman" w:hAnsi="Times New Roman" w:cs="Times New Roman" w:eastAsia="Times New Roman" w:hint="default"/>
          <w:b/>
          <w:bCs/>
          <w:sz w:val="30"/>
          <w:szCs w:val="30"/>
        </w:rPr>
        <w:t>)</w:t>
      </w:r>
      <w:r>
        <w:rPr>
          <w:rFonts w:ascii="Times New Roman" w:hAnsi="Times New Roman" w:cs="Times New Roman" w:eastAsia="Times New Roman" w:hint="default"/>
          <w:sz w:val="30"/>
          <w:szCs w:val="30"/>
        </w:rPr>
      </w:r>
    </w:p>
    <w:p>
      <w:pPr>
        <w:pStyle w:val="BodyText"/>
        <w:tabs>
          <w:tab w:pos="7352" w:val="left" w:leader="none"/>
        </w:tabs>
        <w:spacing w:line="271" w:lineRule="exact"/>
        <w:ind w:left="0" w:right="157"/>
        <w:jc w:val="center"/>
      </w:pPr>
      <w:r>
        <w:rPr>
          <w:spacing w:val="-2"/>
        </w:rPr>
        <w:t>编制单位：北京中长石基信息技术股份有限公司</w:t>
        <w:tab/>
        <w:t>单位：人民币元</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562"/>
        <w:gridCol w:w="955"/>
        <w:gridCol w:w="2762"/>
        <w:gridCol w:w="2760"/>
      </w:tblGrid>
      <w:tr>
        <w:trPr>
          <w:trHeight w:val="310" w:hRule="exact"/>
        </w:trPr>
        <w:tc>
          <w:tcPr>
            <w:tcW w:w="3562" w:type="dxa"/>
            <w:tcBorders>
              <w:top w:val="single" w:sz="12" w:space="0" w:color="000000"/>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tc>
        <w:tc>
          <w:tcPr>
            <w:tcW w:w="955" w:type="dxa"/>
            <w:tcBorders>
              <w:top w:val="single" w:sz="12"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762" w:type="dxa"/>
            <w:tcBorders>
              <w:top w:val="single" w:sz="12" w:space="0" w:color="000000"/>
              <w:left w:val="single" w:sz="4" w:space="0" w:color="000000"/>
              <w:bottom w:val="single" w:sz="4" w:space="0" w:color="000000"/>
              <w:right w:val="single" w:sz="4" w:space="0" w:color="000000"/>
            </w:tcBorders>
          </w:tcPr>
          <w:p>
            <w:pPr>
              <w:pStyle w:val="TableParagraph"/>
              <w:spacing w:line="266"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760" w:type="dxa"/>
            <w:tcBorders>
              <w:top w:val="single" w:sz="12" w:space="0" w:color="000000"/>
              <w:left w:val="single" w:sz="4" w:space="0" w:color="000000"/>
              <w:bottom w:val="single" w:sz="4" w:space="0" w:color="000000"/>
              <w:right w:val="nil" w:sz="6" w:space="0" w:color="auto"/>
            </w:tcBorders>
          </w:tcPr>
          <w:p>
            <w:pPr>
              <w:pStyle w:val="TableParagraph"/>
              <w:spacing w:line="266"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94" w:hRule="exact"/>
        </w:trPr>
        <w:tc>
          <w:tcPr>
            <w:tcW w:w="3562" w:type="dxa"/>
            <w:tcBorders>
              <w:top w:val="single" w:sz="4" w:space="0" w:color="000000"/>
              <w:left w:val="nil" w:sz="6" w:space="0" w:color="auto"/>
              <w:bottom w:val="nil" w:sz="6" w:space="0" w:color="auto"/>
              <w:right w:val="single" w:sz="4" w:space="0" w:color="000000"/>
            </w:tcBorders>
          </w:tcPr>
          <w:p>
            <w:pPr>
              <w:pStyle w:val="TableParagraph"/>
              <w:spacing w:line="250" w:lineRule="exact"/>
              <w:ind w:left="22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955" w:type="dxa"/>
            <w:tcBorders>
              <w:top w:val="single" w:sz="4" w:space="0" w:color="000000"/>
              <w:left w:val="single" w:sz="4" w:space="0" w:color="000000"/>
              <w:bottom w:val="nil" w:sz="6" w:space="0" w:color="auto"/>
              <w:right w:val="single" w:sz="4" w:space="0" w:color="000000"/>
            </w:tcBorders>
          </w:tcPr>
          <w:p>
            <w:pPr/>
          </w:p>
        </w:tc>
        <w:tc>
          <w:tcPr>
            <w:tcW w:w="2762" w:type="dxa"/>
            <w:tcBorders>
              <w:top w:val="single" w:sz="4" w:space="0" w:color="000000"/>
              <w:left w:val="single" w:sz="4" w:space="0" w:color="000000"/>
              <w:bottom w:val="nil" w:sz="6" w:space="0" w:color="auto"/>
              <w:right w:val="single" w:sz="4" w:space="0" w:color="000000"/>
            </w:tcBorders>
          </w:tcPr>
          <w:p>
            <w:pPr/>
          </w:p>
        </w:tc>
        <w:tc>
          <w:tcPr>
            <w:tcW w:w="2760" w:type="dxa"/>
            <w:tcBorders>
              <w:top w:val="single" w:sz="4" w:space="0" w:color="000000"/>
              <w:left w:val="single" w:sz="4" w:space="0" w:color="000000"/>
              <w:bottom w:val="nil" w:sz="6" w:space="0" w:color="auto"/>
              <w:right w:val="nil" w:sz="6" w:space="0" w:color="auto"/>
            </w:tcBorders>
          </w:tcPr>
          <w:p>
            <w:pPr/>
          </w:p>
        </w:tc>
      </w:tr>
      <w:tr>
        <w:trPr>
          <w:trHeight w:val="288"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9" w:lineRule="exact"/>
              <w:ind w:left="33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9" w:lineRule="exact"/>
              <w:ind w:left="33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51" w:lineRule="exact"/>
              <w:ind w:left="33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9" w:lineRule="exact"/>
              <w:ind w:left="33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51" w:lineRule="exact"/>
              <w:ind w:left="33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8"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9" w:lineRule="exact"/>
              <w:ind w:left="33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9" w:lineRule="exact"/>
              <w:ind w:left="33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7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).19</w:t>
            </w: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1"/>
                <w:szCs w:val="21"/>
              </w:rPr>
            </w:pPr>
            <w:r>
              <w:rPr>
                <w:rFonts w:ascii="Times New Roman"/>
                <w:spacing w:val="-1"/>
                <w:sz w:val="21"/>
              </w:rPr>
              <w:t>25,306,875.21</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21"/>
                <w:szCs w:val="21"/>
              </w:rPr>
            </w:pPr>
            <w:r>
              <w:rPr>
                <w:rFonts w:ascii="Times New Roman"/>
                <w:spacing w:val="-1"/>
                <w:sz w:val="21"/>
              </w:rPr>
              <w:t>23,529,820.03</w:t>
            </w:r>
          </w:p>
        </w:tc>
      </w:tr>
      <w:tr>
        <w:trPr>
          <w:trHeight w:val="288"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).20</w:t>
            </w: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1"/>
                <w:szCs w:val="21"/>
              </w:rPr>
            </w:pPr>
            <w:r>
              <w:rPr>
                <w:rFonts w:ascii="Times New Roman"/>
                <w:spacing w:val="-1"/>
                <w:sz w:val="21"/>
              </w:rPr>
              <w:t>74,561,353.91</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21"/>
                <w:szCs w:val="21"/>
              </w:rPr>
            </w:pPr>
            <w:r>
              <w:rPr>
                <w:rFonts w:ascii="Times New Roman"/>
                <w:spacing w:val="-1"/>
                <w:sz w:val="21"/>
              </w:rPr>
              <w:t>72,314,623.29</w:t>
            </w:r>
          </w:p>
        </w:tc>
      </w:tr>
      <w:tr>
        <w:trPr>
          <w:trHeight w:val="280"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51" w:lineRule="exact"/>
              <w:ind w:left="33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9" w:lineRule="exact"/>
              <w:ind w:left="33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7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).21</w:t>
            </w: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1"/>
                <w:szCs w:val="21"/>
              </w:rPr>
            </w:pPr>
            <w:r>
              <w:rPr>
                <w:rFonts w:ascii="Times New Roman"/>
                <w:spacing w:val="-1"/>
                <w:sz w:val="21"/>
              </w:rPr>
              <w:t>15,588,299.46</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21"/>
                <w:szCs w:val="21"/>
              </w:rPr>
            </w:pPr>
            <w:r>
              <w:rPr>
                <w:rFonts w:ascii="Times New Roman"/>
                <w:spacing w:val="-1"/>
                <w:sz w:val="21"/>
              </w:rPr>
              <w:t>14,917,588.14</w:t>
            </w:r>
          </w:p>
        </w:tc>
      </w:tr>
      <w:tr>
        <w:trPr>
          <w:trHeight w:val="288"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).22</w:t>
            </w: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1"/>
                <w:szCs w:val="21"/>
              </w:rPr>
            </w:pPr>
            <w:r>
              <w:rPr>
                <w:rFonts w:ascii="Times New Roman"/>
                <w:spacing w:val="-1"/>
                <w:sz w:val="21"/>
              </w:rPr>
              <w:t>31,634,003.01</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21"/>
                <w:szCs w:val="21"/>
              </w:rPr>
            </w:pPr>
            <w:r>
              <w:rPr>
                <w:rFonts w:ascii="Times New Roman"/>
                <w:spacing w:val="-1"/>
                <w:sz w:val="21"/>
              </w:rPr>
              <w:t>14,693,609.34</w:t>
            </w:r>
          </w:p>
        </w:tc>
      </w:tr>
      <w:tr>
        <w:trPr>
          <w:trHeight w:val="27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93"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9" w:lineRule="exact"/>
              <w:ind w:left="33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21"/>
                <w:szCs w:val="21"/>
              </w:rPr>
            </w:pPr>
            <w:r>
              <w:rPr>
                <w:rFonts w:ascii="Times New Roman"/>
                <w:spacing w:val="-1"/>
                <w:sz w:val="21"/>
              </w:rPr>
              <w:t>5,958,072.57</w:t>
            </w:r>
          </w:p>
        </w:tc>
      </w:tr>
      <w:tr>
        <w:trPr>
          <w:trHeight w:val="295"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7"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).23</w:t>
            </w: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27,521,081.16</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spacing w:val="-1"/>
                <w:sz w:val="21"/>
              </w:rPr>
              <w:t>31,048,965.15</w:t>
            </w:r>
          </w:p>
        </w:tc>
      </w:tr>
      <w:tr>
        <w:trPr>
          <w:trHeight w:val="280"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51" w:lineRule="exact"/>
              <w:ind w:left="33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8"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9" w:lineRule="exact"/>
              <w:ind w:left="33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9" w:lineRule="exact"/>
              <w:ind w:left="33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51" w:lineRule="exact"/>
              <w:ind w:left="33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9"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91"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51"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174,611,612.75</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105"/>
              <w:jc w:val="right"/>
              <w:rPr>
                <w:rFonts w:ascii="Times New Roman" w:hAnsi="Times New Roman" w:cs="Times New Roman" w:eastAsia="Times New Roman" w:hint="default"/>
                <w:sz w:val="21"/>
                <w:szCs w:val="21"/>
              </w:rPr>
            </w:pPr>
            <w:r>
              <w:rPr>
                <w:rFonts w:ascii="Times New Roman"/>
                <w:spacing w:val="-1"/>
                <w:sz w:val="21"/>
              </w:rPr>
              <w:t>162,462,678.52</w:t>
            </w:r>
          </w:p>
        </w:tc>
      </w:tr>
      <w:tr>
        <w:trPr>
          <w:trHeight w:val="287"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51" w:lineRule="exact"/>
              <w:ind w:left="33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8"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9" w:lineRule="exact"/>
              <w:ind w:left="33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9" w:lineRule="exact"/>
              <w:ind w:left="33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51" w:lineRule="exact"/>
              <w:ind w:left="33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9" w:lineRule="exact"/>
              <w:ind w:left="33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9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51" w:lineRule="exact"/>
              <w:ind w:left="33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).17</w:t>
            </w: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pacing w:val="-1"/>
                <w:sz w:val="21"/>
              </w:rPr>
              <w:t>1,133,712.07</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105"/>
              <w:jc w:val="right"/>
              <w:rPr>
                <w:rFonts w:ascii="Times New Roman" w:hAnsi="Times New Roman" w:cs="Times New Roman" w:eastAsia="Times New Roman" w:hint="default"/>
                <w:sz w:val="21"/>
                <w:szCs w:val="21"/>
              </w:rPr>
            </w:pPr>
            <w:r>
              <w:rPr>
                <w:rFonts w:ascii="Times New Roman"/>
                <w:spacing w:val="-1"/>
                <w:sz w:val="21"/>
              </w:rPr>
              <w:t>1,045,481.46</w:t>
            </w:r>
          </w:p>
        </w:tc>
      </w:tr>
      <w:tr>
        <w:trPr>
          <w:trHeight w:val="288"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).24</w:t>
            </w: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1"/>
                <w:szCs w:val="21"/>
              </w:rPr>
            </w:pPr>
            <w:r>
              <w:rPr>
                <w:rFonts w:ascii="Times New Roman"/>
                <w:spacing w:val="-1"/>
                <w:sz w:val="21"/>
              </w:rPr>
              <w:t>1,187,000.00</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21"/>
                <w:szCs w:val="21"/>
              </w:rPr>
            </w:pPr>
            <w:r>
              <w:rPr>
                <w:rFonts w:ascii="Times New Roman"/>
                <w:spacing w:val="-1"/>
                <w:sz w:val="21"/>
              </w:rPr>
              <w:t>737,000.00</w:t>
            </w:r>
          </w:p>
        </w:tc>
      </w:tr>
      <w:tr>
        <w:trPr>
          <w:trHeight w:val="283"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1"/>
                <w:szCs w:val="21"/>
              </w:rPr>
            </w:pPr>
            <w:r>
              <w:rPr>
                <w:rFonts w:ascii="Times New Roman"/>
                <w:spacing w:val="-1"/>
                <w:sz w:val="21"/>
              </w:rPr>
              <w:t>2,320,712.07</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21"/>
                <w:szCs w:val="21"/>
              </w:rPr>
            </w:pPr>
            <w:r>
              <w:rPr>
                <w:rFonts w:ascii="Times New Roman"/>
                <w:spacing w:val="-1"/>
                <w:sz w:val="21"/>
              </w:rPr>
              <w:t>1,782,481.46</w:t>
            </w:r>
          </w:p>
        </w:tc>
      </w:tr>
      <w:tr>
        <w:trPr>
          <w:trHeight w:val="288"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176,932,324.82</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spacing w:val="-1"/>
                <w:sz w:val="21"/>
              </w:rPr>
              <w:t>164,245,159.98</w:t>
            </w:r>
          </w:p>
        </w:tc>
      </w:tr>
      <w:tr>
        <w:trPr>
          <w:trHeight w:val="287"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9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67" w:lineRule="exact"/>
              <w:ind w:left="33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实收资本</w:t>
            </w:r>
            <w:r>
              <w:rPr>
                <w:rFonts w:ascii="Times New Roman" w:hAnsi="Times New Roman" w:cs="Times New Roman" w:eastAsia="Times New Roman" w:hint="default"/>
                <w:sz w:val="21"/>
                <w:szCs w:val="21"/>
              </w:rPr>
              <w:t>(</w:t>
            </w:r>
            <w:r>
              <w:rPr>
                <w:rFonts w:ascii="宋体" w:hAnsi="宋体" w:cs="宋体" w:eastAsia="宋体" w:hint="default"/>
                <w:sz w:val="21"/>
                <w:szCs w:val="21"/>
              </w:rPr>
              <w:t>或股本</w:t>
            </w:r>
            <w:r>
              <w:rPr>
                <w:rFonts w:ascii="Times New Roman" w:hAnsi="Times New Roman" w:cs="Times New Roman" w:eastAsia="Times New Roman" w:hint="default"/>
                <w:sz w:val="21"/>
                <w:szCs w:val="21"/>
              </w:rPr>
              <w:t>)</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).25</w:t>
            </w: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pacing w:val="-1"/>
                <w:sz w:val="21"/>
              </w:rPr>
              <w:t>309,120,000.00</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105"/>
              <w:jc w:val="right"/>
              <w:rPr>
                <w:rFonts w:ascii="Times New Roman" w:hAnsi="Times New Roman" w:cs="Times New Roman" w:eastAsia="Times New Roman" w:hint="default"/>
                <w:sz w:val="21"/>
                <w:szCs w:val="21"/>
              </w:rPr>
            </w:pPr>
            <w:r>
              <w:rPr>
                <w:rFonts w:ascii="Times New Roman"/>
                <w:spacing w:val="-1"/>
                <w:sz w:val="21"/>
              </w:rPr>
              <w:t>224,000,000.00</w:t>
            </w:r>
          </w:p>
        </w:tc>
      </w:tr>
      <w:tr>
        <w:trPr>
          <w:trHeight w:val="290"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).26</w:t>
            </w: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1"/>
                <w:szCs w:val="21"/>
              </w:rPr>
            </w:pPr>
            <w:r>
              <w:rPr>
                <w:rFonts w:ascii="Times New Roman"/>
                <w:spacing w:val="-1"/>
                <w:sz w:val="21"/>
              </w:rPr>
              <w:t>10,320,876.40</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21"/>
                <w:szCs w:val="21"/>
              </w:rPr>
            </w:pPr>
            <w:r>
              <w:rPr>
                <w:rFonts w:ascii="Times New Roman"/>
                <w:spacing w:val="-1"/>
                <w:sz w:val="21"/>
              </w:rPr>
              <w:t>93,864,464.15</w:t>
            </w:r>
          </w:p>
        </w:tc>
      </w:tr>
      <w:tr>
        <w:trPr>
          <w:trHeight w:val="27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88"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9" w:lineRule="exact"/>
              <w:ind w:left="33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9" w:lineRule="exact"/>
              <w:ind w:left="33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7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).27</w:t>
            </w: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1"/>
                <w:szCs w:val="21"/>
              </w:rPr>
            </w:pPr>
            <w:r>
              <w:rPr>
                <w:rFonts w:ascii="Times New Roman"/>
                <w:spacing w:val="-1"/>
                <w:sz w:val="21"/>
              </w:rPr>
              <w:t>37,457,914.74</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21"/>
                <w:szCs w:val="21"/>
              </w:rPr>
            </w:pPr>
            <w:r>
              <w:rPr>
                <w:rFonts w:ascii="Times New Roman"/>
                <w:spacing w:val="-1"/>
                <w:sz w:val="21"/>
              </w:rPr>
              <w:t>46,187,818.37</w:t>
            </w:r>
          </w:p>
        </w:tc>
      </w:tr>
      <w:tr>
        <w:trPr>
          <w:trHeight w:val="279"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
        </w:tc>
        <w:tc>
          <w:tcPr>
            <w:tcW w:w="2760" w:type="dxa"/>
            <w:tcBorders>
              <w:top w:val="nil" w:sz="6" w:space="0" w:color="auto"/>
              <w:left w:val="single" w:sz="4" w:space="0" w:color="000000"/>
              <w:bottom w:val="nil" w:sz="6" w:space="0" w:color="auto"/>
              <w:right w:val="nil" w:sz="6" w:space="0" w:color="auto"/>
            </w:tcBorders>
          </w:tcPr>
          <w:p>
            <w:pPr/>
          </w:p>
        </w:tc>
      </w:tr>
      <w:tr>
        <w:trPr>
          <w:trHeight w:val="293"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9" w:lineRule="exact"/>
              <w:ind w:left="33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7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).28</w:t>
            </w: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1"/>
                <w:szCs w:val="21"/>
              </w:rPr>
            </w:pPr>
            <w:r>
              <w:rPr>
                <w:rFonts w:ascii="Times New Roman"/>
                <w:spacing w:val="-1"/>
                <w:sz w:val="21"/>
              </w:rPr>
              <w:t>744,859,074.66</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21"/>
                <w:szCs w:val="21"/>
              </w:rPr>
            </w:pPr>
            <w:r>
              <w:rPr>
                <w:rFonts w:ascii="Times New Roman"/>
                <w:spacing w:val="-1"/>
                <w:sz w:val="21"/>
              </w:rPr>
              <w:t>512,092,207.37</w:t>
            </w:r>
          </w:p>
        </w:tc>
      </w:tr>
      <w:tr>
        <w:trPr>
          <w:trHeight w:val="288"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7" w:lineRule="exact"/>
              <w:ind w:left="33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-8,167,787.90</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spacing w:val="-2"/>
                <w:sz w:val="21"/>
              </w:rPr>
              <w:t>-3,669,113.19</w:t>
            </w:r>
          </w:p>
        </w:tc>
      </w:tr>
      <w:tr>
        <w:trPr>
          <w:trHeight w:val="288"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7" w:lineRule="exact"/>
              <w:ind w:left="33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1,093,590,077.90</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spacing w:val="-1"/>
                <w:sz w:val="21"/>
              </w:rPr>
              <w:t>872,475,376.70</w:t>
            </w:r>
          </w:p>
        </w:tc>
      </w:tr>
      <w:tr>
        <w:trPr>
          <w:trHeight w:val="290"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7" w:lineRule="exact"/>
              <w:ind w:left="33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31,830,685.07</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105"/>
              <w:jc w:val="right"/>
              <w:rPr>
                <w:rFonts w:ascii="Times New Roman" w:hAnsi="Times New Roman" w:cs="Times New Roman" w:eastAsia="Times New Roman" w:hint="default"/>
                <w:sz w:val="21"/>
                <w:szCs w:val="21"/>
              </w:rPr>
            </w:pPr>
            <w:r>
              <w:rPr>
                <w:rFonts w:ascii="Times New Roman"/>
                <w:spacing w:val="-1"/>
                <w:sz w:val="21"/>
              </w:rPr>
              <w:t>33,321,159.55</w:t>
            </w:r>
          </w:p>
        </w:tc>
      </w:tr>
      <w:tr>
        <w:trPr>
          <w:trHeight w:val="288"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nil" w:sz="6" w:space="0" w:color="auto"/>
              <w:left w:val="single" w:sz="4" w:space="0" w:color="000000"/>
              <w:bottom w:val="nil" w:sz="6" w:space="0" w:color="auto"/>
              <w:right w:val="single" w:sz="4" w:space="0" w:color="000000"/>
            </w:tcBorders>
          </w:tcPr>
          <w:p>
            <w:pPr/>
          </w:p>
        </w:tc>
        <w:tc>
          <w:tcPr>
            <w:tcW w:w="2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1,125,420,762.97</w:t>
            </w:r>
          </w:p>
        </w:tc>
        <w:tc>
          <w:tcPr>
            <w:tcW w:w="2760"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spacing w:val="-1"/>
                <w:sz w:val="21"/>
              </w:rPr>
              <w:t>905,796,536.25</w:t>
            </w:r>
          </w:p>
        </w:tc>
      </w:tr>
      <w:tr>
        <w:trPr>
          <w:trHeight w:val="304" w:hRule="exact"/>
        </w:trPr>
        <w:tc>
          <w:tcPr>
            <w:tcW w:w="3562" w:type="dxa"/>
            <w:tcBorders>
              <w:top w:val="nil" w:sz="6" w:space="0" w:color="auto"/>
              <w:left w:val="nil" w:sz="6" w:space="0" w:color="auto"/>
              <w:bottom w:val="single" w:sz="12"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nil" w:sz="6" w:space="0" w:color="auto"/>
              <w:left w:val="single" w:sz="4" w:space="0" w:color="000000"/>
              <w:bottom w:val="single" w:sz="12" w:space="0" w:color="000000"/>
              <w:right w:val="single" w:sz="4" w:space="0" w:color="000000"/>
            </w:tcBorders>
          </w:tcPr>
          <w:p>
            <w:pPr/>
          </w:p>
        </w:tc>
        <w:tc>
          <w:tcPr>
            <w:tcW w:w="276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1,302,353,087.79</w:t>
            </w:r>
          </w:p>
        </w:tc>
        <w:tc>
          <w:tcPr>
            <w:tcW w:w="2760" w:type="dxa"/>
            <w:tcBorders>
              <w:top w:val="nil" w:sz="6" w:space="0" w:color="auto"/>
              <w:left w:val="single" w:sz="4" w:space="0" w:color="000000"/>
              <w:bottom w:val="single" w:sz="12" w:space="0" w:color="000000"/>
              <w:right w:val="nil" w:sz="6" w:space="0" w:color="auto"/>
            </w:tcBorders>
          </w:tcPr>
          <w:p>
            <w:pPr>
              <w:pStyle w:val="TableParagraph"/>
              <w:spacing w:line="240" w:lineRule="auto" w:before="17"/>
              <w:ind w:right="103"/>
              <w:jc w:val="right"/>
              <w:rPr>
                <w:rFonts w:ascii="Times New Roman" w:hAnsi="Times New Roman" w:cs="Times New Roman" w:eastAsia="Times New Roman" w:hint="default"/>
                <w:sz w:val="21"/>
                <w:szCs w:val="21"/>
              </w:rPr>
            </w:pPr>
            <w:r>
              <w:rPr>
                <w:rFonts w:ascii="Times New Roman"/>
                <w:spacing w:val="-1"/>
                <w:sz w:val="21"/>
              </w:rPr>
              <w:t>1,070,041,696.23</w:t>
            </w:r>
          </w:p>
        </w:tc>
      </w:tr>
    </w:tbl>
    <w:p>
      <w:pPr>
        <w:pStyle w:val="BodyText"/>
        <w:tabs>
          <w:tab w:pos="3384" w:val="left" w:leader="none"/>
          <w:tab w:pos="7267" w:val="left" w:leader="none"/>
        </w:tabs>
        <w:spacing w:line="241" w:lineRule="exact"/>
        <w:ind w:left="232" w:right="0"/>
        <w:jc w:val="left"/>
      </w:pPr>
      <w:r>
        <w:rPr>
          <w:spacing w:val="-1"/>
        </w:rPr>
        <w:t>法定代表人：李仲初</w:t>
        <w:tab/>
      </w:r>
      <w:r>
        <w:rPr>
          <w:spacing w:val="-2"/>
        </w:rPr>
        <w:t>主管会计工作负责人：赖德源</w:t>
        <w:tab/>
        <w:t>会计机构负责人：李天达</w:t>
      </w:r>
      <w:r>
        <w:rPr/>
      </w:r>
    </w:p>
    <w:p>
      <w:pPr>
        <w:spacing w:after="0" w:line="241" w:lineRule="exact"/>
        <w:jc w:val="left"/>
        <w:sectPr>
          <w:pgSz w:w="11900" w:h="16850"/>
          <w:pgMar w:header="718" w:footer="708" w:top="1060" w:bottom="900" w:left="900" w:right="740"/>
        </w:sectPr>
      </w:pPr>
    </w:p>
    <w:p>
      <w:pPr>
        <w:spacing w:line="240" w:lineRule="auto" w:before="10"/>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2pt;height:.75pt;mso-position-horizontal-relative:char;mso-position-vertical-relative:line" coordorigin="0,0" coordsize="9704,15">
            <v:group style="position:absolute;left:7;top:7;width:9689;height:2" coordorigin="7,7" coordsize="9689,2">
              <v:shape style="position:absolute;left:7;top:7;width:9689;height:2" coordorigin="7,7" coordsize="9689,0" path="m7,7l9696,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3"/>
          <w:szCs w:val="23"/>
        </w:rPr>
      </w:pPr>
    </w:p>
    <w:p>
      <w:pPr>
        <w:spacing w:before="0"/>
        <w:ind w:left="19" w:right="2" w:firstLine="0"/>
        <w:jc w:val="center"/>
        <w:rPr>
          <w:rFonts w:ascii="黑体" w:hAnsi="黑体" w:cs="黑体" w:eastAsia="黑体" w:hint="default"/>
          <w:sz w:val="32"/>
          <w:szCs w:val="32"/>
        </w:rPr>
      </w:pPr>
      <w:r>
        <w:rPr>
          <w:rFonts w:ascii="黑体" w:hAnsi="黑体" w:cs="黑体" w:eastAsia="黑体" w:hint="default"/>
          <w:b/>
          <w:bCs/>
          <w:sz w:val="32"/>
          <w:szCs w:val="32"/>
        </w:rPr>
        <w:t>合并利润表</w:t>
      </w:r>
      <w:r>
        <w:rPr>
          <w:rFonts w:ascii="黑体" w:hAnsi="黑体" w:cs="黑体" w:eastAsia="黑体" w:hint="default"/>
          <w:sz w:val="32"/>
          <w:szCs w:val="32"/>
        </w:rPr>
      </w:r>
    </w:p>
    <w:p>
      <w:pPr>
        <w:pStyle w:val="BodyText"/>
        <w:tabs>
          <w:tab w:pos="7983" w:val="left" w:leader="none"/>
        </w:tabs>
        <w:spacing w:line="240" w:lineRule="auto" w:before="17"/>
        <w:ind w:left="0" w:right="156"/>
        <w:jc w:val="center"/>
      </w:pPr>
      <w:r>
        <w:rPr>
          <w:spacing w:val="-2"/>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704"/>
        <w:gridCol w:w="946"/>
        <w:gridCol w:w="2107"/>
        <w:gridCol w:w="2105"/>
      </w:tblGrid>
      <w:tr>
        <w:trPr>
          <w:trHeight w:val="322" w:hRule="exact"/>
        </w:trPr>
        <w:tc>
          <w:tcPr>
            <w:tcW w:w="4704"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55" w:lineRule="exact"/>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946" w:type="dxa"/>
            <w:tcBorders>
              <w:top w:val="single" w:sz="12" w:space="0" w:color="000000"/>
              <w:left w:val="single" w:sz="4" w:space="0" w:color="000000"/>
              <w:bottom w:val="single" w:sz="4" w:space="0" w:color="000000"/>
              <w:right w:val="single" w:sz="4" w:space="0" w:color="000000"/>
            </w:tcBorders>
          </w:tcPr>
          <w:p>
            <w:pPr>
              <w:pStyle w:val="TableParagraph"/>
              <w:spacing w:line="255" w:lineRule="exact"/>
              <w:ind w:left="5"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107" w:type="dxa"/>
            <w:tcBorders>
              <w:top w:val="single" w:sz="12" w:space="0" w:color="000000"/>
              <w:left w:val="single" w:sz="4" w:space="0" w:color="000000"/>
              <w:bottom w:val="single" w:sz="4" w:space="0" w:color="000000"/>
              <w:right w:val="single" w:sz="4" w:space="0" w:color="000000"/>
            </w:tcBorders>
          </w:tcPr>
          <w:p>
            <w:pPr>
              <w:pStyle w:val="TableParagraph"/>
              <w:spacing w:line="271" w:lineRule="exact"/>
              <w:ind w:left="6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105" w:type="dxa"/>
            <w:tcBorders>
              <w:top w:val="single" w:sz="12" w:space="0" w:color="000000"/>
              <w:left w:val="single" w:sz="4" w:space="0" w:color="000000"/>
              <w:bottom w:val="single" w:sz="4" w:space="0" w:color="000000"/>
              <w:right w:val="nil" w:sz="6" w:space="0" w:color="auto"/>
            </w:tcBorders>
          </w:tcPr>
          <w:p>
            <w:pPr>
              <w:pStyle w:val="TableParagraph"/>
              <w:spacing w:line="271" w:lineRule="exact"/>
              <w:ind w:left="6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07" w:hRule="exact"/>
        </w:trPr>
        <w:tc>
          <w:tcPr>
            <w:tcW w:w="4704" w:type="dxa"/>
            <w:tcBorders>
              <w:top w:val="single" w:sz="4" w:space="0" w:color="000000"/>
              <w:left w:val="nil" w:sz="6" w:space="0" w:color="auto"/>
              <w:bottom w:val="nil" w:sz="6" w:space="0" w:color="auto"/>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46" w:type="dxa"/>
            <w:tcBorders>
              <w:top w:val="single" w:sz="4" w:space="0" w:color="000000"/>
              <w:left w:val="single" w:sz="4" w:space="0" w:color="000000"/>
              <w:bottom w:val="nil" w:sz="6" w:space="0" w:color="auto"/>
              <w:right w:val="single" w:sz="4" w:space="0" w:color="000000"/>
            </w:tcBorders>
          </w:tcPr>
          <w:p>
            <w:pPr/>
          </w:p>
        </w:tc>
        <w:tc>
          <w:tcPr>
            <w:tcW w:w="2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720,871,724.09</w:t>
            </w:r>
          </w:p>
        </w:tc>
        <w:tc>
          <w:tcPr>
            <w:tcW w:w="2105" w:type="dxa"/>
            <w:tcBorders>
              <w:top w:val="single" w:sz="4" w:space="0" w:color="000000"/>
              <w:left w:val="single" w:sz="4" w:space="0" w:color="000000"/>
              <w:bottom w:val="nil" w:sz="6" w:space="0" w:color="auto"/>
              <w:right w:val="nil" w:sz="6" w:space="0" w:color="auto"/>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spacing w:val="-1"/>
                <w:sz w:val="21"/>
              </w:rPr>
              <w:t>610,247,365.99</w:t>
            </w:r>
          </w:p>
        </w:tc>
      </w:tr>
      <w:tr>
        <w:trPr>
          <w:trHeight w:val="305"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).29</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21"/>
                <w:szCs w:val="21"/>
              </w:rPr>
            </w:pPr>
            <w:r>
              <w:rPr>
                <w:rFonts w:ascii="Times New Roman"/>
                <w:spacing w:val="-1"/>
                <w:sz w:val="21"/>
              </w:rPr>
              <w:t>720,871,724.09</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21"/>
                <w:szCs w:val="21"/>
              </w:rPr>
            </w:pPr>
            <w:r>
              <w:rPr>
                <w:rFonts w:ascii="Times New Roman"/>
                <w:spacing w:val="-1"/>
                <w:sz w:val="21"/>
              </w:rPr>
              <w:t>610,247,365.99</w:t>
            </w:r>
          </w:p>
        </w:tc>
      </w:tr>
      <w:tr>
        <w:trPr>
          <w:trHeight w:val="295"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1" w:lineRule="exact"/>
              <w:ind w:left="75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5" w:lineRule="exact"/>
              <w:ind w:left="753"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01"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5" w:lineRule="exact"/>
              <w:ind w:left="753"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03"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459,934,504.50</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403,382,123.12</w:t>
            </w:r>
          </w:p>
        </w:tc>
      </w:tr>
      <w:tr>
        <w:trPr>
          <w:trHeight w:val="305"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).29</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21"/>
                <w:szCs w:val="21"/>
              </w:rPr>
            </w:pPr>
            <w:r>
              <w:rPr>
                <w:rFonts w:ascii="Times New Roman"/>
                <w:spacing w:val="-1"/>
                <w:sz w:val="21"/>
              </w:rPr>
              <w:t>249,352,665.79</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21"/>
                <w:szCs w:val="21"/>
              </w:rPr>
            </w:pPr>
            <w:r>
              <w:rPr>
                <w:rFonts w:ascii="Times New Roman"/>
                <w:spacing w:val="-1"/>
                <w:sz w:val="21"/>
              </w:rPr>
              <w:t>188,026,887.02</w:t>
            </w:r>
          </w:p>
        </w:tc>
      </w:tr>
      <w:tr>
        <w:trPr>
          <w:trHeight w:val="295"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1" w:lineRule="exact"/>
              <w:ind w:left="75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01"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5" w:lineRule="exact"/>
              <w:ind w:left="753"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01"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7" w:lineRule="exact"/>
              <w:ind w:left="753"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5" w:lineRule="exact"/>
              <w:ind w:left="75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01"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5" w:lineRule="exact"/>
              <w:ind w:left="753"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01"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7" w:lineRule="exact"/>
              <w:ind w:left="75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01"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5" w:lineRule="exact"/>
              <w:ind w:left="753"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07"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7" w:lineRule="exact"/>
              <w:ind w:left="75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73"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).30</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15,931,730.99</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13,739,588.16</w:t>
            </w:r>
          </w:p>
        </w:tc>
      </w:tr>
      <w:tr>
        <w:trPr>
          <w:trHeight w:val="300"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0" w:lineRule="exact"/>
              <w:ind w:left="75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).31</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53,248,467.78</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103"/>
              <w:jc w:val="right"/>
              <w:rPr>
                <w:rFonts w:ascii="Times New Roman" w:hAnsi="Times New Roman" w:cs="Times New Roman" w:eastAsia="Times New Roman" w:hint="default"/>
                <w:sz w:val="21"/>
                <w:szCs w:val="21"/>
              </w:rPr>
            </w:pPr>
            <w:r>
              <w:rPr>
                <w:rFonts w:ascii="Times New Roman"/>
                <w:spacing w:val="-1"/>
                <w:sz w:val="21"/>
              </w:rPr>
              <w:t>44,703,163.94</w:t>
            </w:r>
          </w:p>
        </w:tc>
      </w:tr>
      <w:tr>
        <w:trPr>
          <w:trHeight w:val="301"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0" w:lineRule="exact"/>
              <w:ind w:left="75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).32</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21"/>
                <w:szCs w:val="21"/>
              </w:rPr>
            </w:pPr>
            <w:r>
              <w:rPr>
                <w:rFonts w:ascii="Times New Roman"/>
                <w:spacing w:val="-1"/>
                <w:sz w:val="21"/>
              </w:rPr>
              <w:t>148,415,751.23</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21"/>
                <w:szCs w:val="21"/>
              </w:rPr>
            </w:pPr>
            <w:r>
              <w:rPr>
                <w:rFonts w:ascii="Times New Roman"/>
                <w:spacing w:val="-1"/>
                <w:sz w:val="21"/>
              </w:rPr>
              <w:t>156,735,409.08</w:t>
            </w:r>
          </w:p>
        </w:tc>
      </w:tr>
      <w:tr>
        <w:trPr>
          <w:trHeight w:val="301"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1" w:lineRule="exact"/>
              <w:ind w:left="75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).33</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-12,406,744.27</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pacing w:val="-1"/>
                <w:sz w:val="21"/>
              </w:rPr>
              <w:t>-4,182,001.24</w:t>
            </w:r>
          </w:p>
        </w:tc>
      </w:tr>
      <w:tr>
        <w:trPr>
          <w:trHeight w:val="301"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0" w:lineRule="exact"/>
              <w:ind w:left="75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).34</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21"/>
                <w:szCs w:val="21"/>
              </w:rPr>
            </w:pPr>
            <w:r>
              <w:rPr>
                <w:rFonts w:ascii="Times New Roman"/>
                <w:spacing w:val="-1"/>
                <w:sz w:val="21"/>
              </w:rPr>
              <w:t>5,392,632.98</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21"/>
                <w:szCs w:val="21"/>
              </w:rPr>
            </w:pPr>
            <w:r>
              <w:rPr>
                <w:rFonts w:ascii="Times New Roman"/>
                <w:spacing w:val="-1"/>
                <w:sz w:val="21"/>
              </w:rPr>
              <w:t>4,359,076.16</w:t>
            </w:r>
          </w:p>
        </w:tc>
      </w:tr>
      <w:tr>
        <w:trPr>
          <w:trHeight w:val="301"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加：公允价值变动净收益（损失以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01"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66" w:lineRule="exact"/>
              <w:ind w:left="544"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).35</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21"/>
                <w:szCs w:val="21"/>
              </w:rPr>
            </w:pPr>
            <w:r>
              <w:rPr>
                <w:rFonts w:ascii="Times New Roman"/>
                <w:spacing w:val="-1"/>
                <w:sz w:val="21"/>
              </w:rPr>
              <w:t>3,769,847.90</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21"/>
                <w:szCs w:val="21"/>
              </w:rPr>
            </w:pPr>
            <w:r>
              <w:rPr>
                <w:rFonts w:ascii="Times New Roman"/>
                <w:spacing w:val="-1"/>
                <w:sz w:val="21"/>
              </w:rPr>
              <w:t>18,976.37</w:t>
            </w:r>
          </w:p>
        </w:tc>
      </w:tr>
      <w:tr>
        <w:trPr>
          <w:trHeight w:val="295"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1" w:lineRule="exact"/>
              <w:ind w:right="369"/>
              <w:jc w:val="right"/>
              <w:rPr>
                <w:rFonts w:ascii="宋体" w:hAnsi="宋体" w:cs="宋体" w:eastAsia="宋体" w:hint="default"/>
                <w:sz w:val="21"/>
                <w:szCs w:val="21"/>
              </w:rPr>
            </w:pPr>
            <w:r>
              <w:rPr>
                <w:rFonts w:ascii="宋体" w:hAnsi="宋体" w:cs="宋体" w:eastAsia="宋体" w:hint="default"/>
                <w:spacing w:val="-2"/>
                <w:sz w:val="21"/>
                <w:szCs w:val="21"/>
              </w:rPr>
              <w:t>其中：对联营企业和合营企业的投资收益</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06"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71" w:lineRule="exact"/>
              <w:ind w:left="1173"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01"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21"/>
                <w:szCs w:val="21"/>
              </w:rPr>
            </w:pPr>
            <w:r>
              <w:rPr>
                <w:rFonts w:ascii="Times New Roman"/>
                <w:spacing w:val="-1"/>
                <w:sz w:val="21"/>
              </w:rPr>
              <w:t>264,707,067.49</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21"/>
                <w:szCs w:val="21"/>
              </w:rPr>
            </w:pPr>
            <w:r>
              <w:rPr>
                <w:rFonts w:ascii="Times New Roman"/>
                <w:spacing w:val="-1"/>
                <w:sz w:val="21"/>
              </w:rPr>
              <w:t>206,884,219.24</w:t>
            </w:r>
          </w:p>
        </w:tc>
      </w:tr>
      <w:tr>
        <w:trPr>
          <w:trHeight w:val="301"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1" w:lineRule="exact"/>
              <w:ind w:left="12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).36</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41,018,045.90</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103"/>
              <w:jc w:val="right"/>
              <w:rPr>
                <w:rFonts w:ascii="Times New Roman" w:hAnsi="Times New Roman" w:cs="Times New Roman" w:eastAsia="Times New Roman" w:hint="default"/>
                <w:sz w:val="21"/>
                <w:szCs w:val="21"/>
              </w:rPr>
            </w:pPr>
            <w:r>
              <w:rPr>
                <w:rFonts w:ascii="Times New Roman"/>
                <w:spacing w:val="-1"/>
                <w:sz w:val="21"/>
              </w:rPr>
              <w:t>41,060,846.71</w:t>
            </w:r>
          </w:p>
        </w:tc>
      </w:tr>
      <w:tr>
        <w:trPr>
          <w:trHeight w:val="301"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).37</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21"/>
                <w:szCs w:val="21"/>
              </w:rPr>
            </w:pPr>
            <w:r>
              <w:rPr>
                <w:rFonts w:ascii="Times New Roman"/>
                <w:spacing w:val="-1"/>
                <w:sz w:val="21"/>
              </w:rPr>
              <w:t>115,125.47</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21"/>
                <w:szCs w:val="21"/>
              </w:rPr>
            </w:pPr>
            <w:r>
              <w:rPr>
                <w:rFonts w:ascii="Times New Roman"/>
                <w:spacing w:val="-1"/>
                <w:sz w:val="21"/>
              </w:rPr>
              <w:t>3,074,174.09</w:t>
            </w:r>
          </w:p>
        </w:tc>
      </w:tr>
      <w:tr>
        <w:trPr>
          <w:trHeight w:val="298"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1" w:lineRule="exact"/>
              <w:ind w:left="544"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42,107.79</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103"/>
              <w:jc w:val="right"/>
              <w:rPr>
                <w:rFonts w:ascii="Times New Roman" w:hAnsi="Times New Roman" w:cs="Times New Roman" w:eastAsia="Times New Roman" w:hint="default"/>
                <w:sz w:val="21"/>
                <w:szCs w:val="21"/>
              </w:rPr>
            </w:pPr>
            <w:r>
              <w:rPr>
                <w:rFonts w:ascii="Times New Roman"/>
                <w:spacing w:val="-1"/>
                <w:sz w:val="21"/>
              </w:rPr>
              <w:t>66,122.46</w:t>
            </w:r>
          </w:p>
        </w:tc>
      </w:tr>
      <w:tr>
        <w:trPr>
          <w:trHeight w:val="304"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69" w:lineRule="exact"/>
              <w:ind w:left="122"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spacing w:val="-1"/>
                <w:sz w:val="21"/>
              </w:rPr>
              <w:t>305,609,987.92</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244,870,891.86</w:t>
            </w:r>
          </w:p>
        </w:tc>
      </w:tr>
      <w:tr>
        <w:trPr>
          <w:trHeight w:val="301"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).38</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21"/>
                <w:szCs w:val="21"/>
              </w:rPr>
            </w:pPr>
            <w:r>
              <w:rPr>
                <w:rFonts w:ascii="Times New Roman"/>
                <w:spacing w:val="-1"/>
                <w:sz w:val="21"/>
              </w:rPr>
              <w:t>31,275,971.76</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21"/>
                <w:szCs w:val="21"/>
              </w:rPr>
            </w:pPr>
            <w:r>
              <w:rPr>
                <w:rFonts w:ascii="Times New Roman"/>
                <w:spacing w:val="-1"/>
                <w:sz w:val="21"/>
              </w:rPr>
              <w:t>16,221,505.56</w:t>
            </w:r>
          </w:p>
        </w:tc>
      </w:tr>
      <w:tr>
        <w:trPr>
          <w:trHeight w:val="294"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274,334,016.16</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103"/>
              <w:jc w:val="right"/>
              <w:rPr>
                <w:rFonts w:ascii="Times New Roman" w:hAnsi="Times New Roman" w:cs="Times New Roman" w:eastAsia="Times New Roman" w:hint="default"/>
                <w:sz w:val="21"/>
                <w:szCs w:val="21"/>
              </w:rPr>
            </w:pPr>
            <w:r>
              <w:rPr>
                <w:rFonts w:ascii="Times New Roman"/>
                <w:spacing w:val="-1"/>
                <w:sz w:val="21"/>
              </w:rPr>
              <w:t>228,649,386.30</w:t>
            </w:r>
          </w:p>
        </w:tc>
      </w:tr>
      <w:tr>
        <w:trPr>
          <w:trHeight w:val="553"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w:t>
            </w:r>
            <w:r>
              <w:rPr>
                <w:rFonts w:ascii="宋体" w:hAnsi="宋体" w:cs="宋体" w:eastAsia="宋体" w:hint="default"/>
                <w:sz w:val="21"/>
                <w:szCs w:val="21"/>
              </w:rPr>
              <w:t>被合并方在合并前取得的被合并方</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在合并日以前实现的净利润</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297"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48" w:lineRule="exact"/>
              <w:ind w:left="54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264,113,700.63</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103"/>
              <w:jc w:val="right"/>
              <w:rPr>
                <w:rFonts w:ascii="Times New Roman" w:hAnsi="Times New Roman" w:cs="Times New Roman" w:eastAsia="Times New Roman" w:hint="default"/>
                <w:sz w:val="21"/>
                <w:szCs w:val="21"/>
              </w:rPr>
            </w:pPr>
            <w:r>
              <w:rPr>
                <w:rFonts w:ascii="Times New Roman"/>
                <w:spacing w:val="-1"/>
                <w:sz w:val="21"/>
              </w:rPr>
              <w:t>213,897,872.25</w:t>
            </w:r>
          </w:p>
        </w:tc>
      </w:tr>
      <w:tr>
        <w:trPr>
          <w:trHeight w:val="300"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3" w:lineRule="exact"/>
              <w:ind w:left="54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spacing w:val="-1"/>
                <w:sz w:val="21"/>
              </w:rPr>
              <w:t>10,220,315.53</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14,751,514.05</w:t>
            </w:r>
          </w:p>
        </w:tc>
      </w:tr>
      <w:tr>
        <w:trPr>
          <w:trHeight w:val="298"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07"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（一）基本每股收益（元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).39</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98"/>
              <w:jc w:val="right"/>
              <w:rPr>
                <w:rFonts w:ascii="Times New Roman" w:hAnsi="Times New Roman" w:cs="Times New Roman" w:eastAsia="Times New Roman" w:hint="default"/>
                <w:sz w:val="21"/>
                <w:szCs w:val="21"/>
              </w:rPr>
            </w:pPr>
            <w:r>
              <w:rPr>
                <w:rFonts w:ascii="Times New Roman"/>
                <w:sz w:val="21"/>
              </w:rPr>
              <w:t>0.85</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z w:val="21"/>
              </w:rPr>
              <w:t>0.69</w:t>
            </w:r>
          </w:p>
        </w:tc>
      </w:tr>
      <w:tr>
        <w:trPr>
          <w:trHeight w:val="301"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（二）稀释每股收益（元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).39</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0.85</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103"/>
              <w:jc w:val="right"/>
              <w:rPr>
                <w:rFonts w:ascii="Times New Roman" w:hAnsi="Times New Roman" w:cs="Times New Roman" w:eastAsia="Times New Roman" w:hint="default"/>
                <w:sz w:val="21"/>
                <w:szCs w:val="21"/>
              </w:rPr>
            </w:pPr>
            <w:r>
              <w:rPr>
                <w:rFonts w:ascii="Times New Roman"/>
                <w:sz w:val="21"/>
              </w:rPr>
              <w:t>0.69</w:t>
            </w:r>
          </w:p>
        </w:tc>
      </w:tr>
      <w:tr>
        <w:trPr>
          <w:trHeight w:val="299"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五</w:t>
            </w:r>
            <w:r>
              <w:rPr>
                <w:rFonts w:ascii="Times New Roman" w:hAnsi="Times New Roman" w:cs="Times New Roman" w:eastAsia="Times New Roman" w:hint="default"/>
                <w:sz w:val="21"/>
                <w:szCs w:val="21"/>
              </w:rPr>
              <w:t>).40</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6"/>
              <w:jc w:val="right"/>
              <w:rPr>
                <w:rFonts w:ascii="Times New Roman" w:hAnsi="Times New Roman" w:cs="Times New Roman" w:eastAsia="Times New Roman" w:hint="default"/>
                <w:sz w:val="21"/>
                <w:szCs w:val="21"/>
              </w:rPr>
            </w:pPr>
            <w:r>
              <w:rPr>
                <w:rFonts w:ascii="Times New Roman"/>
                <w:spacing w:val="-1"/>
                <w:sz w:val="21"/>
              </w:rPr>
              <w:t>-4,498,674.71</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1"/>
              <w:jc w:val="right"/>
              <w:rPr>
                <w:rFonts w:ascii="Times New Roman" w:hAnsi="Times New Roman" w:cs="Times New Roman" w:eastAsia="Times New Roman" w:hint="default"/>
                <w:sz w:val="21"/>
                <w:szCs w:val="21"/>
              </w:rPr>
            </w:pPr>
            <w:r>
              <w:rPr>
                <w:rFonts w:ascii="Times New Roman"/>
                <w:spacing w:val="-1"/>
                <w:sz w:val="21"/>
              </w:rPr>
              <w:t>-2,157,144.14</w:t>
            </w:r>
          </w:p>
        </w:tc>
      </w:tr>
      <w:tr>
        <w:trPr>
          <w:trHeight w:val="300"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spacing w:val="-1"/>
                <w:sz w:val="21"/>
              </w:rPr>
              <w:t>269,835,341.45</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226,492,242.16</w:t>
            </w:r>
          </w:p>
        </w:tc>
      </w:tr>
      <w:tr>
        <w:trPr>
          <w:trHeight w:val="305" w:hRule="exact"/>
        </w:trPr>
        <w:tc>
          <w:tcPr>
            <w:tcW w:w="4704" w:type="dxa"/>
            <w:tcBorders>
              <w:top w:val="nil" w:sz="6" w:space="0" w:color="auto"/>
              <w:left w:val="nil" w:sz="6" w:space="0" w:color="auto"/>
              <w:bottom w:val="nil" w:sz="6" w:space="0" w:color="auto"/>
              <w:right w:val="single" w:sz="4" w:space="0" w:color="000000"/>
            </w:tcBorders>
          </w:tcPr>
          <w:p>
            <w:pPr>
              <w:pStyle w:val="TableParagraph"/>
              <w:spacing w:line="269" w:lineRule="exact"/>
              <w:ind w:right="311"/>
              <w:jc w:val="right"/>
              <w:rPr>
                <w:rFonts w:ascii="宋体" w:hAnsi="宋体" w:cs="宋体" w:eastAsia="宋体" w:hint="default"/>
                <w:sz w:val="21"/>
                <w:szCs w:val="21"/>
              </w:rPr>
            </w:pPr>
            <w:r>
              <w:rPr>
                <w:rFonts w:ascii="宋体" w:hAnsi="宋体" w:cs="宋体" w:eastAsia="宋体" w:hint="default"/>
                <w:spacing w:val="-2"/>
                <w:sz w:val="21"/>
                <w:szCs w:val="21"/>
              </w:rPr>
              <w:t>其中</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归属于母公司所有者的综合收益总额</w:t>
            </w:r>
          </w:p>
        </w:tc>
        <w:tc>
          <w:tcPr>
            <w:tcW w:w="946" w:type="dxa"/>
            <w:tcBorders>
              <w:top w:val="nil" w:sz="6" w:space="0" w:color="auto"/>
              <w:left w:val="single" w:sz="4" w:space="0" w:color="000000"/>
              <w:bottom w:val="nil" w:sz="6" w:space="0" w:color="auto"/>
              <w:right w:val="single" w:sz="4" w:space="0" w:color="000000"/>
            </w:tcBorders>
          </w:tcPr>
          <w:p>
            <w:pP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21"/>
                <w:szCs w:val="21"/>
              </w:rPr>
            </w:pPr>
            <w:r>
              <w:rPr>
                <w:rFonts w:ascii="Times New Roman"/>
                <w:spacing w:val="-1"/>
                <w:sz w:val="21"/>
              </w:rPr>
              <w:t>259,615,025.92</w:t>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21"/>
                <w:szCs w:val="21"/>
              </w:rPr>
            </w:pPr>
            <w:r>
              <w:rPr>
                <w:rFonts w:ascii="Times New Roman"/>
                <w:spacing w:val="-1"/>
                <w:sz w:val="21"/>
              </w:rPr>
              <w:t>211,740,728.11</w:t>
            </w:r>
          </w:p>
        </w:tc>
      </w:tr>
      <w:tr>
        <w:trPr>
          <w:trHeight w:val="313" w:hRule="exact"/>
        </w:trPr>
        <w:tc>
          <w:tcPr>
            <w:tcW w:w="4704" w:type="dxa"/>
            <w:tcBorders>
              <w:top w:val="nil" w:sz="6" w:space="0" w:color="auto"/>
              <w:left w:val="nil" w:sz="6" w:space="0" w:color="auto"/>
              <w:bottom w:val="single" w:sz="12" w:space="0" w:color="000000"/>
              <w:right w:val="single" w:sz="4" w:space="0" w:color="000000"/>
            </w:tcBorders>
          </w:tcPr>
          <w:p>
            <w:pPr>
              <w:pStyle w:val="TableParagraph"/>
              <w:spacing w:line="267" w:lineRule="exact"/>
              <w:ind w:left="54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w:t>
            </w:r>
            <w:r>
              <w:rPr>
                <w:rFonts w:ascii="宋体" w:hAnsi="宋体" w:cs="宋体" w:eastAsia="宋体" w:hint="default"/>
                <w:sz w:val="21"/>
                <w:szCs w:val="21"/>
              </w:rPr>
              <w:t>归属于少数股东的综合收益总额</w:t>
            </w:r>
          </w:p>
        </w:tc>
        <w:tc>
          <w:tcPr>
            <w:tcW w:w="946" w:type="dxa"/>
            <w:tcBorders>
              <w:top w:val="nil" w:sz="6" w:space="0" w:color="auto"/>
              <w:left w:val="single" w:sz="4" w:space="0" w:color="000000"/>
              <w:bottom w:val="single" w:sz="12" w:space="0" w:color="000000"/>
              <w:right w:val="single" w:sz="4" w:space="0" w:color="000000"/>
            </w:tcBorders>
          </w:tcPr>
          <w:p>
            <w:pPr/>
          </w:p>
        </w:tc>
        <w:tc>
          <w:tcPr>
            <w:tcW w:w="210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10,220,315.53</w:t>
            </w:r>
          </w:p>
        </w:tc>
        <w:tc>
          <w:tcPr>
            <w:tcW w:w="2105" w:type="dxa"/>
            <w:tcBorders>
              <w:top w:val="nil" w:sz="6" w:space="0" w:color="auto"/>
              <w:left w:val="single" w:sz="4" w:space="0" w:color="000000"/>
              <w:bottom w:val="single" w:sz="12" w:space="0" w:color="000000"/>
              <w:right w:val="nil" w:sz="6" w:space="0" w:color="auto"/>
            </w:tcBorders>
          </w:tcPr>
          <w:p>
            <w:pPr>
              <w:pStyle w:val="TableParagraph"/>
              <w:spacing w:line="240" w:lineRule="auto" w:before="18"/>
              <w:ind w:right="103"/>
              <w:jc w:val="right"/>
              <w:rPr>
                <w:rFonts w:ascii="Times New Roman" w:hAnsi="Times New Roman" w:cs="Times New Roman" w:eastAsia="Times New Roman" w:hint="default"/>
                <w:sz w:val="21"/>
                <w:szCs w:val="21"/>
              </w:rPr>
            </w:pPr>
            <w:r>
              <w:rPr>
                <w:rFonts w:ascii="Times New Roman"/>
                <w:spacing w:val="-1"/>
                <w:sz w:val="21"/>
              </w:rPr>
              <w:t>14,751,514.05</w:t>
            </w:r>
          </w:p>
        </w:tc>
      </w:tr>
    </w:tbl>
    <w:p>
      <w:pPr>
        <w:pStyle w:val="BodyText"/>
        <w:tabs>
          <w:tab w:pos="3384" w:val="left" w:leader="none"/>
          <w:tab w:pos="7267" w:val="left" w:leader="none"/>
        </w:tabs>
        <w:spacing w:line="240" w:lineRule="auto" w:before="86"/>
        <w:ind w:left="232" w:right="0"/>
        <w:jc w:val="left"/>
      </w:pPr>
      <w:r>
        <w:rPr>
          <w:spacing w:val="-1"/>
        </w:rPr>
        <w:t>法定代表人：李仲初</w:t>
        <w:tab/>
      </w:r>
      <w:r>
        <w:rPr>
          <w:spacing w:val="-2"/>
        </w:rPr>
        <w:t>主管会计工作负责人：赖德源</w:t>
        <w:tab/>
        <w:t>会计机构负责人：李天达</w:t>
      </w:r>
      <w:r>
        <w:rPr/>
      </w:r>
    </w:p>
    <w:p>
      <w:pPr>
        <w:spacing w:after="0" w:line="240" w:lineRule="auto"/>
        <w:jc w:val="left"/>
        <w:sectPr>
          <w:pgSz w:w="11900" w:h="16850"/>
          <w:pgMar w:header="718" w:footer="708" w:top="1060" w:bottom="900" w:left="900" w:right="920"/>
        </w:sectPr>
      </w:pPr>
    </w:p>
    <w:p>
      <w:pPr>
        <w:spacing w:before="9"/>
        <w:ind w:left="19" w:right="3" w:firstLine="0"/>
        <w:jc w:val="center"/>
        <w:rPr>
          <w:rFonts w:ascii="黑体" w:hAnsi="黑体" w:cs="黑体" w:eastAsia="黑体" w:hint="default"/>
          <w:sz w:val="32"/>
          <w:szCs w:val="32"/>
        </w:rPr>
      </w:pPr>
      <w:r>
        <w:rPr/>
        <w:pict>
          <v:group style="position:absolute;margin-left:55.200001pt;margin-top:2.817522pt;width:484.45pt;height:.1pt;mso-position-horizontal-relative:page;mso-position-vertical-relative:paragraph;z-index:-771784" coordorigin="1104,56" coordsize="9689,2">
            <v:shape style="position:absolute;left:1104;top:56;width:9689;height:2" coordorigin="1104,56" coordsize="9689,0" path="m1104,56l10793,56e" filled="false" stroked="true" strokeweight=".72pt" strokecolor="#000000">
              <v:path arrowok="t"/>
            </v:shape>
            <w10:wrap type="none"/>
          </v:group>
        </w:pict>
      </w:r>
      <w:r>
        <w:rPr>
          <w:rFonts w:ascii="黑体" w:hAnsi="黑体" w:cs="黑体" w:eastAsia="黑体" w:hint="default"/>
          <w:b/>
          <w:bCs/>
          <w:sz w:val="32"/>
          <w:szCs w:val="32"/>
        </w:rPr>
        <w:t>合并现金流量表</w:t>
      </w:r>
      <w:r>
        <w:rPr>
          <w:rFonts w:ascii="黑体" w:hAnsi="黑体" w:cs="黑体" w:eastAsia="黑体" w:hint="default"/>
          <w:sz w:val="32"/>
          <w:szCs w:val="32"/>
        </w:rPr>
      </w:r>
    </w:p>
    <w:p>
      <w:pPr>
        <w:pStyle w:val="BodyText"/>
        <w:tabs>
          <w:tab w:pos="7585" w:val="left" w:leader="none"/>
        </w:tabs>
        <w:spacing w:line="240" w:lineRule="auto" w:before="17"/>
        <w:ind w:left="232" w:right="0"/>
        <w:jc w:val="left"/>
      </w:pPr>
      <w:r>
        <w:rPr>
          <w:spacing w:val="-2"/>
        </w:rPr>
        <w:t>编制单位：北京中长石基信息技术股份有限公司</w:t>
        <w:tab/>
        <w:t>单位：人民币元</w:t>
      </w:r>
      <w:r>
        <w:rPr/>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506"/>
        <w:gridCol w:w="1027"/>
        <w:gridCol w:w="1642"/>
        <w:gridCol w:w="1687"/>
      </w:tblGrid>
      <w:tr>
        <w:trPr>
          <w:trHeight w:val="254" w:hRule="exact"/>
        </w:trPr>
        <w:tc>
          <w:tcPr>
            <w:tcW w:w="5506" w:type="dxa"/>
            <w:tcBorders>
              <w:top w:val="single" w:sz="12" w:space="0" w:color="000000"/>
              <w:left w:val="nil" w:sz="6" w:space="0" w:color="auto"/>
              <w:bottom w:val="single" w:sz="4" w:space="0" w:color="000000"/>
              <w:right w:val="single" w:sz="4" w:space="0" w:color="000000"/>
            </w:tcBorders>
          </w:tcPr>
          <w:p>
            <w:pPr>
              <w:pStyle w:val="TableParagraph"/>
              <w:tabs>
                <w:tab w:pos="559" w:val="left" w:leader="none"/>
              </w:tabs>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27"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19" w:lineRule="exact"/>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87" w:type="dxa"/>
            <w:tcBorders>
              <w:top w:val="single" w:sz="12" w:space="0" w:color="000000"/>
              <w:left w:val="single" w:sz="4" w:space="0" w:color="000000"/>
              <w:bottom w:val="single" w:sz="4" w:space="0" w:color="000000"/>
              <w:right w:val="nil" w:sz="6" w:space="0" w:color="auto"/>
            </w:tcBorders>
          </w:tcPr>
          <w:p>
            <w:pPr>
              <w:pStyle w:val="TableParagraph"/>
              <w:spacing w:line="219" w:lineRule="exact"/>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37" w:hRule="exact"/>
        </w:trPr>
        <w:tc>
          <w:tcPr>
            <w:tcW w:w="5506"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027"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87" w:type="dxa"/>
            <w:tcBorders>
              <w:top w:val="single" w:sz="4" w:space="0" w:color="000000"/>
              <w:left w:val="single" w:sz="4" w:space="0" w:color="000000"/>
              <w:bottom w:val="nil" w:sz="6" w:space="0" w:color="auto"/>
              <w:right w:val="nil" w:sz="6" w:space="0" w:color="auto"/>
            </w:tcBorders>
          </w:tcPr>
          <w:p>
            <w:pPr/>
          </w:p>
        </w:tc>
      </w:tr>
      <w:tr>
        <w:trPr>
          <w:trHeight w:val="235"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785,282,491.07</w:t>
            </w:r>
            <w:r>
              <w:rPr>
                <w:rFonts w:ascii="Times New Roman"/>
                <w:sz w:val="18"/>
              </w:rPr>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18"/>
                <w:szCs w:val="18"/>
              </w:rPr>
            </w:pPr>
            <w:r>
              <w:rPr>
                <w:rFonts w:ascii="Times New Roman"/>
                <w:spacing w:val="-1"/>
                <w:sz w:val="18"/>
              </w:rPr>
              <w:t>623,109,607.96</w:t>
            </w:r>
            <w:r>
              <w:rPr>
                <w:rFonts w:ascii="Times New Roman"/>
                <w:sz w:val="18"/>
              </w:rPr>
            </w:r>
          </w:p>
        </w:tc>
      </w:tr>
      <w:tr>
        <w:trPr>
          <w:trHeight w:val="231"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4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8" w:lineRule="exact"/>
              <w:ind w:left="4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8" w:lineRule="exact"/>
              <w:ind w:left="30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30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30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8" w:lineRule="exact"/>
              <w:ind w:left="4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5"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34,189,780.64</w:t>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38,116,451.74</w:t>
            </w:r>
          </w:p>
        </w:tc>
      </w:tr>
      <w:tr>
        <w:trPr>
          <w:trHeight w:val="235"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4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18"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).41.(1)</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18,544,550.06</w:t>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18"/>
                <w:szCs w:val="18"/>
              </w:rPr>
            </w:pPr>
            <w:r>
              <w:rPr>
                <w:rFonts w:ascii="Times New Roman"/>
                <w:spacing w:val="-1"/>
                <w:sz w:val="18"/>
              </w:rPr>
              <w:t>7,018,396.21</w:t>
            </w:r>
            <w:r>
              <w:rPr>
                <w:rFonts w:ascii="Times New Roman"/>
                <w:sz w:val="18"/>
              </w:rPr>
            </w: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1" w:lineRule="exact"/>
              <w:ind w:left="66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6"/>
              <w:jc w:val="right"/>
              <w:rPr>
                <w:rFonts w:ascii="Times New Roman" w:hAnsi="Times New Roman" w:cs="Times New Roman" w:eastAsia="Times New Roman" w:hint="default"/>
                <w:sz w:val="18"/>
                <w:szCs w:val="18"/>
              </w:rPr>
            </w:pPr>
            <w:r>
              <w:rPr>
                <w:rFonts w:ascii="Times New Roman"/>
                <w:spacing w:val="-1"/>
                <w:sz w:val="18"/>
              </w:rPr>
              <w:t>838,016,821.77</w:t>
            </w:r>
            <w:r>
              <w:rPr>
                <w:rFonts w:ascii="Times New Roman"/>
                <w:sz w:val="18"/>
              </w:rPr>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18"/>
                <w:szCs w:val="18"/>
              </w:rPr>
            </w:pPr>
            <w:r>
              <w:rPr>
                <w:rFonts w:ascii="Times New Roman"/>
                <w:spacing w:val="-1"/>
                <w:sz w:val="18"/>
              </w:rPr>
              <w:t>668,244,455.91</w:t>
            </w:r>
            <w:r>
              <w:rPr>
                <w:rFonts w:ascii="Times New Roman"/>
                <w:sz w:val="18"/>
              </w:rPr>
            </w: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4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6"/>
              <w:jc w:val="right"/>
              <w:rPr>
                <w:rFonts w:ascii="Times New Roman" w:hAnsi="Times New Roman" w:cs="Times New Roman" w:eastAsia="Times New Roman" w:hint="default"/>
                <w:sz w:val="18"/>
                <w:szCs w:val="18"/>
              </w:rPr>
            </w:pPr>
            <w:r>
              <w:rPr>
                <w:rFonts w:ascii="Times New Roman"/>
                <w:spacing w:val="-1"/>
                <w:sz w:val="18"/>
              </w:rPr>
              <w:t>287,918,321.23</w:t>
            </w:r>
            <w:r>
              <w:rPr>
                <w:rFonts w:ascii="Times New Roman"/>
                <w:sz w:val="18"/>
              </w:rPr>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18"/>
                <w:szCs w:val="18"/>
              </w:rPr>
            </w:pPr>
            <w:r>
              <w:rPr>
                <w:rFonts w:ascii="Times New Roman"/>
                <w:spacing w:val="-1"/>
                <w:sz w:val="18"/>
              </w:rPr>
              <w:t>211,117,914.73</w:t>
            </w:r>
            <w:r>
              <w:rPr>
                <w:rFonts w:ascii="Times New Roman"/>
                <w:sz w:val="18"/>
              </w:rPr>
            </w:r>
          </w:p>
        </w:tc>
      </w:tr>
      <w:tr>
        <w:trPr>
          <w:trHeight w:val="230"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4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8" w:lineRule="exact"/>
              <w:ind w:left="30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30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8"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98,804,838.65</w:t>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7"/>
              <w:jc w:val="right"/>
              <w:rPr>
                <w:rFonts w:ascii="Times New Roman" w:hAnsi="Times New Roman" w:cs="Times New Roman" w:eastAsia="Times New Roman" w:hint="default"/>
                <w:sz w:val="18"/>
                <w:szCs w:val="18"/>
              </w:rPr>
            </w:pPr>
            <w:r>
              <w:rPr>
                <w:rFonts w:ascii="Times New Roman"/>
                <w:spacing w:val="-1"/>
                <w:sz w:val="18"/>
              </w:rPr>
              <w:t>87,700,858.63</w:t>
            </w: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4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0"/>
              <w:jc w:val="right"/>
              <w:rPr>
                <w:rFonts w:ascii="Times New Roman" w:hAnsi="Times New Roman" w:cs="Times New Roman" w:eastAsia="Times New Roman" w:hint="default"/>
                <w:sz w:val="18"/>
                <w:szCs w:val="18"/>
              </w:rPr>
            </w:pPr>
            <w:r>
              <w:rPr>
                <w:rFonts w:ascii="Times New Roman"/>
                <w:spacing w:val="-1"/>
                <w:sz w:val="18"/>
              </w:rPr>
              <w:t>82,125,136.47</w:t>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107"/>
              <w:jc w:val="right"/>
              <w:rPr>
                <w:rFonts w:ascii="Times New Roman" w:hAnsi="Times New Roman" w:cs="Times New Roman" w:eastAsia="Times New Roman" w:hint="default"/>
                <w:sz w:val="18"/>
                <w:szCs w:val="18"/>
              </w:rPr>
            </w:pPr>
            <w:r>
              <w:rPr>
                <w:rFonts w:ascii="Times New Roman"/>
                <w:spacing w:val="-1"/>
                <w:sz w:val="18"/>
              </w:rPr>
              <w:t>77,695,328.50</w:t>
            </w:r>
          </w:p>
        </w:tc>
      </w:tr>
      <w:tr>
        <w:trPr>
          <w:trHeight w:val="235"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4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18"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).41.(2)</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1"/>
              <w:jc w:val="right"/>
              <w:rPr>
                <w:rFonts w:ascii="Times New Roman" w:hAnsi="Times New Roman" w:cs="Times New Roman" w:eastAsia="Times New Roman" w:hint="default"/>
                <w:sz w:val="18"/>
                <w:szCs w:val="18"/>
              </w:rPr>
            </w:pPr>
            <w:r>
              <w:rPr>
                <w:rFonts w:ascii="Times New Roman"/>
                <w:spacing w:val="-1"/>
                <w:sz w:val="18"/>
              </w:rPr>
              <w:t>93,961,361.77</w:t>
            </w:r>
            <w:r>
              <w:rPr>
                <w:rFonts w:ascii="Times New Roman"/>
                <w:sz w:val="18"/>
              </w:rPr>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107"/>
              <w:jc w:val="right"/>
              <w:rPr>
                <w:rFonts w:ascii="Times New Roman" w:hAnsi="Times New Roman" w:cs="Times New Roman" w:eastAsia="Times New Roman" w:hint="default"/>
                <w:sz w:val="18"/>
                <w:szCs w:val="18"/>
              </w:rPr>
            </w:pPr>
            <w:r>
              <w:rPr>
                <w:rFonts w:ascii="Times New Roman"/>
                <w:spacing w:val="-1"/>
                <w:sz w:val="18"/>
              </w:rPr>
              <w:t>88,463,929.72</w:t>
            </w:r>
          </w:p>
        </w:tc>
      </w:tr>
      <w:tr>
        <w:trPr>
          <w:trHeight w:val="232"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1" w:lineRule="exact"/>
              <w:ind w:left="66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7"/>
              <w:jc w:val="right"/>
              <w:rPr>
                <w:rFonts w:ascii="Times New Roman" w:hAnsi="Times New Roman" w:cs="Times New Roman" w:eastAsia="Times New Roman" w:hint="default"/>
                <w:sz w:val="18"/>
                <w:szCs w:val="18"/>
              </w:rPr>
            </w:pPr>
            <w:r>
              <w:rPr>
                <w:rFonts w:ascii="Times New Roman"/>
                <w:spacing w:val="-1"/>
                <w:sz w:val="18"/>
              </w:rPr>
              <w:t>562,809,658.12</w:t>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18"/>
                <w:szCs w:val="18"/>
              </w:rPr>
            </w:pPr>
            <w:r>
              <w:rPr>
                <w:rFonts w:ascii="Times New Roman"/>
                <w:spacing w:val="-1"/>
                <w:sz w:val="18"/>
              </w:rPr>
              <w:t>464,978,031.58</w:t>
            </w:r>
            <w:r>
              <w:rPr>
                <w:rFonts w:ascii="Times New Roman"/>
                <w:sz w:val="18"/>
              </w:rPr>
            </w: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3" w:lineRule="exact"/>
              <w:ind w:left="48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275,207,163.65</w:t>
            </w:r>
            <w:r>
              <w:rPr>
                <w:rFonts w:ascii="Times New Roman"/>
                <w:sz w:val="18"/>
              </w:rPr>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203,266,424.33</w:t>
            </w:r>
            <w:r>
              <w:rPr>
                <w:rFonts w:ascii="Times New Roman"/>
                <w:sz w:val="18"/>
              </w:rPr>
            </w:r>
          </w:p>
        </w:tc>
      </w:tr>
      <w:tr>
        <w:trPr>
          <w:trHeight w:val="230"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5"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1,492,515,034.00</w:t>
            </w:r>
          </w:p>
        </w:tc>
        <w:tc>
          <w:tcPr>
            <w:tcW w:w="1687" w:type="dxa"/>
            <w:tcBorders>
              <w:top w:val="nil" w:sz="6" w:space="0" w:color="auto"/>
              <w:left w:val="single" w:sz="4" w:space="0" w:color="000000"/>
              <w:bottom w:val="nil" w:sz="6" w:space="0" w:color="auto"/>
              <w:right w:val="nil" w:sz="6" w:space="0" w:color="auto"/>
            </w:tcBorders>
          </w:tcPr>
          <w:p>
            <w:pP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4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4,293,900.34</w:t>
            </w:r>
            <w:r>
              <w:rPr>
                <w:rFonts w:ascii="Times New Roman"/>
                <w:sz w:val="18"/>
              </w:rPr>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70,148.41</w:t>
            </w:r>
          </w:p>
        </w:tc>
      </w:tr>
      <w:tr>
        <w:trPr>
          <w:trHeight w:val="230"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3" w:lineRule="exact"/>
              <w:ind w:left="4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8" w:lineRule="exact"/>
              <w:ind w:left="4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7"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84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1,496,808,934.34</w:t>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7"/>
              <w:jc w:val="right"/>
              <w:rPr>
                <w:rFonts w:ascii="Times New Roman" w:hAnsi="Times New Roman" w:cs="Times New Roman" w:eastAsia="Times New Roman" w:hint="default"/>
                <w:sz w:val="18"/>
                <w:szCs w:val="18"/>
              </w:rPr>
            </w:pPr>
            <w:r>
              <w:rPr>
                <w:rFonts w:ascii="Times New Roman"/>
                <w:spacing w:val="-1"/>
                <w:sz w:val="18"/>
              </w:rPr>
              <w:t>70,148.41</w:t>
            </w: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3" w:lineRule="exact"/>
              <w:ind w:left="4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36,212,746.67</w:t>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14,611,854.92</w:t>
            </w: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4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9"/>
              <w:jc w:val="right"/>
              <w:rPr>
                <w:rFonts w:ascii="Times New Roman" w:hAnsi="Times New Roman" w:cs="Times New Roman" w:eastAsia="Times New Roman" w:hint="default"/>
                <w:sz w:val="18"/>
                <w:szCs w:val="18"/>
              </w:rPr>
            </w:pPr>
            <w:r>
              <w:rPr>
                <w:rFonts w:ascii="Times New Roman"/>
                <w:spacing w:val="-1"/>
                <w:sz w:val="18"/>
              </w:rPr>
              <w:t>1,747,200,000.00</w:t>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107"/>
              <w:jc w:val="right"/>
              <w:rPr>
                <w:rFonts w:ascii="Times New Roman" w:hAnsi="Times New Roman" w:cs="Times New Roman" w:eastAsia="Times New Roman" w:hint="default"/>
                <w:sz w:val="18"/>
                <w:szCs w:val="18"/>
              </w:rPr>
            </w:pPr>
            <w:r>
              <w:rPr>
                <w:rFonts w:ascii="Times New Roman"/>
                <w:spacing w:val="-1"/>
                <w:sz w:val="18"/>
              </w:rPr>
              <w:t>17,750,000.00</w:t>
            </w:r>
          </w:p>
        </w:tc>
      </w:tr>
      <w:tr>
        <w:trPr>
          <w:trHeight w:val="230"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4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8"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).41.(4)</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13,346,483.24</w:t>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7"/>
              <w:jc w:val="right"/>
              <w:rPr>
                <w:rFonts w:ascii="Times New Roman" w:hAnsi="Times New Roman" w:cs="Times New Roman" w:eastAsia="Times New Roman" w:hint="default"/>
                <w:sz w:val="18"/>
                <w:szCs w:val="18"/>
              </w:rPr>
            </w:pPr>
            <w:r>
              <w:rPr>
                <w:rFonts w:ascii="Times New Roman"/>
                <w:spacing w:val="-1"/>
                <w:sz w:val="18"/>
              </w:rPr>
              <w:t>24,490,418.97</w:t>
            </w: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4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107"/>
              <w:jc w:val="right"/>
              <w:rPr>
                <w:rFonts w:ascii="Times New Roman" w:hAnsi="Times New Roman" w:cs="Times New Roman" w:eastAsia="Times New Roman" w:hint="default"/>
                <w:sz w:val="18"/>
                <w:szCs w:val="18"/>
              </w:rPr>
            </w:pPr>
            <w:r>
              <w:rPr>
                <w:rFonts w:ascii="Times New Roman"/>
                <w:spacing w:val="-1"/>
                <w:sz w:val="18"/>
              </w:rPr>
              <w:t>30,742.72</w:t>
            </w: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84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9"/>
              <w:jc w:val="right"/>
              <w:rPr>
                <w:rFonts w:ascii="Times New Roman" w:hAnsi="Times New Roman" w:cs="Times New Roman" w:eastAsia="Times New Roman" w:hint="default"/>
                <w:sz w:val="18"/>
                <w:szCs w:val="18"/>
              </w:rPr>
            </w:pPr>
            <w:r>
              <w:rPr>
                <w:rFonts w:ascii="Times New Roman"/>
                <w:spacing w:val="-1"/>
                <w:sz w:val="18"/>
              </w:rPr>
              <w:t>1,796,759,229.91</w:t>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107"/>
              <w:jc w:val="right"/>
              <w:rPr>
                <w:rFonts w:ascii="Times New Roman" w:hAnsi="Times New Roman" w:cs="Times New Roman" w:eastAsia="Times New Roman" w:hint="default"/>
                <w:sz w:val="18"/>
                <w:szCs w:val="18"/>
              </w:rPr>
            </w:pPr>
            <w:r>
              <w:rPr>
                <w:rFonts w:ascii="Times New Roman"/>
                <w:spacing w:val="-1"/>
                <w:sz w:val="18"/>
              </w:rPr>
              <w:t>56,883,016.61</w:t>
            </w: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48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-299,950,295.57</w:t>
            </w:r>
            <w:r>
              <w:rPr>
                <w:rFonts w:ascii="Times New Roman"/>
                <w:sz w:val="18"/>
              </w:rPr>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-56,812,868.20</w:t>
            </w:r>
          </w:p>
        </w:tc>
      </w:tr>
      <w:tr>
        <w:trPr>
          <w:trHeight w:val="230"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8" w:lineRule="exact"/>
              <w:ind w:left="4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8" w:lineRule="exact"/>
              <w:ind w:left="4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84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8"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29,062,072.57</w:t>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7"/>
              <w:jc w:val="right"/>
              <w:rPr>
                <w:rFonts w:ascii="Times New Roman" w:hAnsi="Times New Roman" w:cs="Times New Roman" w:eastAsia="Times New Roman" w:hint="default"/>
                <w:sz w:val="18"/>
                <w:szCs w:val="18"/>
              </w:rPr>
            </w:pPr>
            <w:r>
              <w:rPr>
                <w:rFonts w:ascii="Times New Roman"/>
                <w:spacing w:val="-1"/>
                <w:sz w:val="18"/>
              </w:rPr>
              <w:t>67,552,000.00</w:t>
            </w: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484"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6"/>
              <w:jc w:val="right"/>
              <w:rPr>
                <w:rFonts w:ascii="Times New Roman" w:hAnsi="Times New Roman" w:cs="Times New Roman" w:eastAsia="Times New Roman" w:hint="default"/>
                <w:sz w:val="18"/>
                <w:szCs w:val="18"/>
              </w:rPr>
            </w:pPr>
            <w:r>
              <w:rPr>
                <w:rFonts w:ascii="Times New Roman"/>
                <w:spacing w:val="-1"/>
                <w:sz w:val="18"/>
              </w:rPr>
              <w:t>6,662,072.57</w:t>
            </w:r>
            <w:r>
              <w:rPr>
                <w:rFonts w:ascii="Times New Roman"/>
                <w:sz w:val="18"/>
              </w:rPr>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18"/>
                <w:szCs w:val="18"/>
              </w:rPr>
            </w:pPr>
            <w:r>
              <w:rPr>
                <w:rFonts w:ascii="Times New Roman"/>
                <w:sz w:val="18"/>
              </w:rPr>
              <w:t>352,000.00</w:t>
            </w:r>
          </w:p>
        </w:tc>
      </w:tr>
      <w:tr>
        <w:trPr>
          <w:trHeight w:val="230"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4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nil" w:sz="6" w:space="0" w:color="auto"/>
            </w:tcBorders>
          </w:tcPr>
          <w:p>
            <w:pPr/>
          </w:p>
        </w:tc>
      </w:tr>
      <w:tr>
        <w:trPr>
          <w:trHeight w:val="238"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6" w:lineRule="exact"/>
              <w:ind w:left="84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29,062,072.57</w:t>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7"/>
              <w:jc w:val="right"/>
              <w:rPr>
                <w:rFonts w:ascii="Times New Roman" w:hAnsi="Times New Roman" w:cs="Times New Roman" w:eastAsia="Times New Roman" w:hint="default"/>
                <w:sz w:val="18"/>
                <w:szCs w:val="18"/>
              </w:rPr>
            </w:pPr>
            <w:r>
              <w:rPr>
                <w:rFonts w:ascii="Times New Roman"/>
                <w:spacing w:val="-1"/>
                <w:sz w:val="18"/>
              </w:rPr>
              <w:t>67,552,000.00</w:t>
            </w: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48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9"/>
              <w:jc w:val="right"/>
              <w:rPr>
                <w:rFonts w:ascii="Times New Roman" w:hAnsi="Times New Roman" w:cs="Times New Roman" w:eastAsia="Times New Roman" w:hint="default"/>
                <w:sz w:val="18"/>
                <w:szCs w:val="18"/>
              </w:rPr>
            </w:pPr>
            <w:r>
              <w:rPr>
                <w:rFonts w:ascii="Times New Roman"/>
                <w:spacing w:val="-1"/>
                <w:sz w:val="18"/>
              </w:rPr>
              <w:t>-29,062,072.57</w:t>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107"/>
              <w:jc w:val="right"/>
              <w:rPr>
                <w:rFonts w:ascii="Times New Roman" w:hAnsi="Times New Roman" w:cs="Times New Roman" w:eastAsia="Times New Roman" w:hint="default"/>
                <w:sz w:val="18"/>
                <w:szCs w:val="18"/>
              </w:rPr>
            </w:pPr>
            <w:r>
              <w:rPr>
                <w:rFonts w:ascii="Times New Roman"/>
                <w:spacing w:val="-1"/>
                <w:sz w:val="18"/>
              </w:rPr>
              <w:t>-67,552,000.00</w:t>
            </w:r>
          </w:p>
        </w:tc>
      </w:tr>
      <w:tr>
        <w:trPr>
          <w:trHeight w:val="233"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四、汇率变动对现金的影响</w:t>
            </w:r>
            <w:r>
              <w:rPr>
                <w:rFonts w:ascii="宋体" w:hAnsi="宋体" w:cs="宋体" w:eastAsia="宋体" w:hint="default"/>
                <w:sz w:val="18"/>
                <w:szCs w:val="18"/>
              </w:rPr>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6"/>
              <w:jc w:val="right"/>
              <w:rPr>
                <w:rFonts w:ascii="Times New Roman" w:hAnsi="Times New Roman" w:cs="Times New Roman" w:eastAsia="Times New Roman" w:hint="default"/>
                <w:sz w:val="18"/>
                <w:szCs w:val="18"/>
              </w:rPr>
            </w:pPr>
            <w:r>
              <w:rPr>
                <w:rFonts w:ascii="Times New Roman"/>
                <w:sz w:val="18"/>
              </w:rPr>
              <w:t>225,313.06</w:t>
            </w:r>
          </w:p>
        </w:tc>
        <w:tc>
          <w:tcPr>
            <w:tcW w:w="1687" w:type="dxa"/>
            <w:tcBorders>
              <w:top w:val="nil" w:sz="6" w:space="0" w:color="auto"/>
              <w:left w:val="single" w:sz="4" w:space="0" w:color="000000"/>
              <w:bottom w:val="nil" w:sz="6" w:space="0" w:color="auto"/>
              <w:right w:val="nil" w:sz="6" w:space="0" w:color="auto"/>
            </w:tcBorders>
          </w:tcPr>
          <w:p>
            <w:pP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-53,579,891.43</w:t>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78,901,556.13</w:t>
            </w:r>
          </w:p>
        </w:tc>
      </w:tr>
      <w:tr>
        <w:trPr>
          <w:trHeight w:val="234" w:hRule="exact"/>
        </w:trPr>
        <w:tc>
          <w:tcPr>
            <w:tcW w:w="5506" w:type="dxa"/>
            <w:tcBorders>
              <w:top w:val="nil" w:sz="6" w:space="0" w:color="auto"/>
              <w:left w:val="nil" w:sz="6" w:space="0" w:color="auto"/>
              <w:bottom w:val="nil" w:sz="6" w:space="0" w:color="auto"/>
              <w:right w:val="single" w:sz="4" w:space="0" w:color="000000"/>
            </w:tcBorders>
          </w:tcPr>
          <w:p>
            <w:pPr>
              <w:pStyle w:val="TableParagraph"/>
              <w:spacing w:line="203" w:lineRule="exact"/>
              <w:ind w:left="84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27"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491,511,005.02</w:t>
            </w:r>
            <w:r>
              <w:rPr>
                <w:rFonts w:ascii="Times New Roman"/>
                <w:sz w:val="18"/>
              </w:rPr>
            </w:r>
          </w:p>
        </w:tc>
        <w:tc>
          <w:tcPr>
            <w:tcW w:w="1687"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412,609,448.89</w:t>
            </w:r>
            <w:r>
              <w:rPr>
                <w:rFonts w:ascii="Times New Roman"/>
                <w:sz w:val="18"/>
              </w:rPr>
            </w:r>
          </w:p>
        </w:tc>
      </w:tr>
      <w:tr>
        <w:trPr>
          <w:trHeight w:val="246" w:hRule="exact"/>
        </w:trPr>
        <w:tc>
          <w:tcPr>
            <w:tcW w:w="5506" w:type="dxa"/>
            <w:tcBorders>
              <w:top w:val="nil" w:sz="6" w:space="0" w:color="auto"/>
              <w:left w:val="nil" w:sz="6" w:space="0" w:color="auto"/>
              <w:bottom w:val="single" w:sz="12" w:space="0" w:color="000000"/>
              <w:right w:val="single" w:sz="4" w:space="0" w:color="000000"/>
            </w:tcBorders>
          </w:tcPr>
          <w:p>
            <w:pPr>
              <w:pStyle w:val="TableParagraph"/>
              <w:spacing w:line="204" w:lineRule="exact"/>
              <w:ind w:left="21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027" w:type="dxa"/>
            <w:tcBorders>
              <w:top w:val="nil" w:sz="6" w:space="0" w:color="auto"/>
              <w:left w:val="single" w:sz="4" w:space="0" w:color="000000"/>
              <w:bottom w:val="single" w:sz="12" w:space="0" w:color="000000"/>
              <w:right w:val="single" w:sz="4" w:space="0" w:color="000000"/>
            </w:tcBorders>
          </w:tcPr>
          <w:p>
            <w:pPr/>
          </w:p>
        </w:tc>
        <w:tc>
          <w:tcPr>
            <w:tcW w:w="16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96"/>
              <w:jc w:val="right"/>
              <w:rPr>
                <w:rFonts w:ascii="Times New Roman" w:hAnsi="Times New Roman" w:cs="Times New Roman" w:eastAsia="Times New Roman" w:hint="default"/>
                <w:sz w:val="18"/>
                <w:szCs w:val="18"/>
              </w:rPr>
            </w:pPr>
            <w:r>
              <w:rPr>
                <w:rFonts w:ascii="Times New Roman"/>
                <w:spacing w:val="-1"/>
                <w:sz w:val="18"/>
              </w:rPr>
              <w:t>437,931,113.59</w:t>
            </w:r>
            <w:r>
              <w:rPr>
                <w:rFonts w:ascii="Times New Roman"/>
                <w:sz w:val="18"/>
              </w:rPr>
            </w:r>
          </w:p>
        </w:tc>
        <w:tc>
          <w:tcPr>
            <w:tcW w:w="1687" w:type="dxa"/>
            <w:tcBorders>
              <w:top w:val="nil" w:sz="6" w:space="0" w:color="auto"/>
              <w:left w:val="single" w:sz="4" w:space="0" w:color="000000"/>
              <w:bottom w:val="single" w:sz="12" w:space="0" w:color="000000"/>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18"/>
                <w:szCs w:val="18"/>
              </w:rPr>
            </w:pPr>
            <w:r>
              <w:rPr>
                <w:rFonts w:ascii="Times New Roman"/>
                <w:spacing w:val="-1"/>
                <w:sz w:val="18"/>
              </w:rPr>
              <w:t>491,511,005.02</w:t>
            </w:r>
            <w:r>
              <w:rPr>
                <w:rFonts w:ascii="Times New Roman"/>
                <w:sz w:val="18"/>
              </w:rPr>
            </w:r>
          </w:p>
        </w:tc>
      </w:tr>
    </w:tbl>
    <w:p>
      <w:pPr>
        <w:pStyle w:val="BodyText"/>
        <w:tabs>
          <w:tab w:pos="3069" w:val="left" w:leader="none"/>
          <w:tab w:pos="7164" w:val="left" w:leader="none"/>
        </w:tabs>
        <w:spacing w:line="240" w:lineRule="auto" w:before="86"/>
        <w:ind w:left="232" w:right="0"/>
        <w:jc w:val="left"/>
      </w:pPr>
      <w:r>
        <w:rPr>
          <w:spacing w:val="-1"/>
        </w:rPr>
        <w:t>法定代表人：李仲初</w:t>
        <w:tab/>
      </w:r>
      <w:r>
        <w:rPr>
          <w:spacing w:val="-2"/>
        </w:rPr>
        <w:t>主管会计工作负责人：赖德源</w:t>
        <w:tab/>
        <w:t>会计机构负责人：李天达</w:t>
      </w:r>
      <w:r>
        <w:rPr/>
      </w:r>
    </w:p>
    <w:p>
      <w:pPr>
        <w:spacing w:after="0" w:line="240" w:lineRule="auto"/>
        <w:jc w:val="left"/>
        <w:sectPr>
          <w:pgSz w:w="11900" w:h="16850"/>
          <w:pgMar w:header="718" w:footer="708" w:top="1060" w:bottom="900" w:left="900" w:right="920"/>
        </w:sectPr>
      </w:pPr>
    </w:p>
    <w:p>
      <w:pPr>
        <w:spacing w:before="80"/>
        <w:ind w:left="6092" w:right="6077" w:firstLine="0"/>
        <w:jc w:val="center"/>
        <w:rPr>
          <w:rFonts w:ascii="黑体" w:hAnsi="黑体" w:cs="黑体" w:eastAsia="黑体" w:hint="default"/>
          <w:sz w:val="28"/>
          <w:szCs w:val="28"/>
        </w:rPr>
      </w:pPr>
      <w:r>
        <w:rPr/>
        <w:pict>
          <v:group style="position:absolute;margin-left:55.200001pt;margin-top:5.951555pt;width:731.55pt;height:.1pt;mso-position-horizontal-relative:page;mso-position-vertical-relative:paragraph;z-index:-771760" coordorigin="1104,119" coordsize="14631,2">
            <v:shape style="position:absolute;left:1104;top:119;width:14631;height:2" coordorigin="1104,119" coordsize="14631,0" path="m1104,119l15734,119e" filled="false" stroked="true" strokeweight=".72pt" strokecolor="#000000">
              <v:path arrowok="t"/>
            </v:shape>
            <w10:wrap type="none"/>
          </v:group>
        </w:pict>
      </w:r>
      <w:r>
        <w:rPr>
          <w:rFonts w:ascii="黑体" w:hAnsi="黑体" w:cs="黑体" w:eastAsia="黑体" w:hint="default"/>
          <w:b/>
          <w:bCs/>
          <w:sz w:val="28"/>
          <w:szCs w:val="28"/>
        </w:rPr>
        <w:t>合并所有者权益变动表</w:t>
      </w:r>
      <w:r>
        <w:rPr>
          <w:rFonts w:ascii="黑体" w:hAnsi="黑体" w:cs="黑体" w:eastAsia="黑体" w:hint="default"/>
          <w:sz w:val="28"/>
          <w:szCs w:val="28"/>
        </w:rPr>
      </w:r>
    </w:p>
    <w:p>
      <w:pPr>
        <w:pStyle w:val="BodyText"/>
        <w:tabs>
          <w:tab w:pos="12832" w:val="left" w:leader="none"/>
        </w:tabs>
        <w:spacing w:line="240" w:lineRule="auto" w:before="8"/>
        <w:ind w:left="232" w:right="0"/>
        <w:jc w:val="left"/>
      </w:pPr>
      <w:r>
        <w:rPr>
          <w:spacing w:val="-2"/>
        </w:rPr>
        <w:t>编制单位：北京中长石基信息技术股份有限公司</w:t>
        <w:tab/>
        <w:t>单位：人民币元</w:t>
      </w:r>
      <w:r>
        <w:rPr/>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790"/>
        <w:gridCol w:w="1342"/>
        <w:gridCol w:w="1310"/>
        <w:gridCol w:w="636"/>
        <w:gridCol w:w="473"/>
        <w:gridCol w:w="1310"/>
        <w:gridCol w:w="588"/>
        <w:gridCol w:w="1342"/>
        <w:gridCol w:w="1224"/>
        <w:gridCol w:w="1313"/>
        <w:gridCol w:w="1476"/>
      </w:tblGrid>
      <w:tr>
        <w:trPr>
          <w:trHeight w:val="276" w:hRule="exact"/>
        </w:trPr>
        <w:tc>
          <w:tcPr>
            <w:tcW w:w="379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tabs>
                <w:tab w:pos="475" w:val="left" w:leader="none"/>
              </w:tabs>
              <w:spacing w:line="240" w:lineRule="auto" w:before="125"/>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1014" w:type="dxa"/>
            <w:gridSpan w:val="10"/>
            <w:tcBorders>
              <w:top w:val="single" w:sz="12" w:space="0" w:color="000000"/>
              <w:left w:val="single" w:sz="4" w:space="0" w:color="000000"/>
              <w:bottom w:val="single" w:sz="4" w:space="0" w:color="000000"/>
              <w:right w:val="nil" w:sz="6" w:space="0" w:color="auto"/>
            </w:tcBorders>
          </w:tcPr>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74" w:hRule="exact"/>
        </w:trPr>
        <w:tc>
          <w:tcPr>
            <w:tcW w:w="3790" w:type="dxa"/>
            <w:vMerge/>
            <w:tcBorders>
              <w:left w:val="nil" w:sz="6" w:space="0" w:color="auto"/>
              <w:right w:val="single" w:sz="4" w:space="0" w:color="000000"/>
            </w:tcBorders>
          </w:tcPr>
          <w:p>
            <w:pPr/>
          </w:p>
        </w:tc>
        <w:tc>
          <w:tcPr>
            <w:tcW w:w="82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955" w:hRule="exact"/>
        </w:trPr>
        <w:tc>
          <w:tcPr>
            <w:tcW w:w="3790" w:type="dxa"/>
            <w:vMerge/>
            <w:tcBorders>
              <w:left w:val="nil" w:sz="6" w:space="0" w:color="auto"/>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9"/>
              <w:ind w:left="134" w:right="130"/>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41" w:right="0"/>
              <w:jc w:val="both"/>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2" w:lineRule="exact" w:before="24"/>
              <w:ind w:left="141" w:right="139"/>
              <w:jc w:val="both"/>
              <w:rPr>
                <w:rFonts w:ascii="宋体" w:hAnsi="宋体" w:cs="宋体" w:eastAsia="宋体" w:hint="default"/>
                <w:sz w:val="18"/>
                <w:szCs w:val="18"/>
              </w:rPr>
            </w:pPr>
            <w:r>
              <w:rPr>
                <w:rFonts w:ascii="宋体" w:hAnsi="宋体" w:cs="宋体" w:eastAsia="宋体" w:hint="default"/>
                <w:sz w:val="18"/>
                <w:szCs w:val="18"/>
              </w:rPr>
              <w:t>项 储 备</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9"/>
              <w:ind w:left="108" w:right="108"/>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13"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nil" w:sz="6" w:space="0" w:color="auto"/>
            </w:tcBorders>
          </w:tcPr>
          <w:p>
            <w:pPr/>
          </w:p>
        </w:tc>
      </w:tr>
      <w:tr>
        <w:trPr>
          <w:trHeight w:val="261" w:hRule="exact"/>
        </w:trPr>
        <w:tc>
          <w:tcPr>
            <w:tcW w:w="3790" w:type="dxa"/>
            <w:tcBorders>
              <w:top w:val="single" w:sz="4" w:space="0" w:color="000000"/>
              <w:left w:val="nil" w:sz="6" w:space="0" w:color="auto"/>
              <w:bottom w:val="nil" w:sz="6" w:space="0" w:color="auto"/>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
              <w:ind w:right="96"/>
              <w:jc w:val="right"/>
              <w:rPr>
                <w:rFonts w:ascii="Times New Roman" w:hAnsi="Times New Roman" w:cs="Times New Roman" w:eastAsia="Times New Roman" w:hint="default"/>
                <w:sz w:val="18"/>
                <w:szCs w:val="18"/>
              </w:rPr>
            </w:pPr>
            <w:r>
              <w:rPr>
                <w:rFonts w:ascii="Times New Roman"/>
                <w:spacing w:val="-1"/>
                <w:sz w:val="18"/>
              </w:rPr>
              <w:t>224,000,000.00</w:t>
            </w:r>
            <w:r>
              <w:rPr>
                <w:rFonts w:ascii="Times New Roman"/>
                <w:sz w:val="18"/>
              </w:rPr>
            </w:r>
          </w:p>
        </w:tc>
        <w:tc>
          <w:tcPr>
            <w:tcW w:w="13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
              <w:ind w:left="61" w:right="0"/>
              <w:jc w:val="center"/>
              <w:rPr>
                <w:rFonts w:ascii="Times New Roman" w:hAnsi="Times New Roman" w:cs="Times New Roman" w:eastAsia="Times New Roman" w:hint="default"/>
                <w:sz w:val="18"/>
                <w:szCs w:val="18"/>
              </w:rPr>
            </w:pPr>
            <w:r>
              <w:rPr>
                <w:rFonts w:ascii="Times New Roman"/>
                <w:sz w:val="18"/>
              </w:rPr>
              <w:t>93,864,464.15</w:t>
            </w:r>
          </w:p>
        </w:tc>
        <w:tc>
          <w:tcPr>
            <w:tcW w:w="636" w:type="dxa"/>
            <w:vMerge w:val="restart"/>
            <w:tcBorders>
              <w:top w:val="single" w:sz="4" w:space="0" w:color="000000"/>
              <w:left w:val="single" w:sz="4" w:space="0" w:color="000000"/>
              <w:right w:val="single" w:sz="4" w:space="0" w:color="000000"/>
            </w:tcBorders>
          </w:tcPr>
          <w:p>
            <w:pPr/>
          </w:p>
        </w:tc>
        <w:tc>
          <w:tcPr>
            <w:tcW w:w="473" w:type="dxa"/>
            <w:vMerge w:val="restart"/>
            <w:tcBorders>
              <w:top w:val="single" w:sz="4" w:space="0" w:color="000000"/>
              <w:left w:val="single" w:sz="4" w:space="0" w:color="000000"/>
              <w:right w:val="single" w:sz="4" w:space="0" w:color="000000"/>
            </w:tcBorders>
          </w:tcPr>
          <w:p>
            <w:pPr/>
          </w:p>
        </w:tc>
        <w:tc>
          <w:tcPr>
            <w:tcW w:w="13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8"/>
                <w:szCs w:val="18"/>
              </w:rPr>
            </w:pPr>
            <w:r>
              <w:rPr>
                <w:rFonts w:ascii="Times New Roman"/>
                <w:spacing w:val="-1"/>
                <w:sz w:val="18"/>
              </w:rPr>
              <w:t>46,187,818.37</w:t>
            </w:r>
          </w:p>
        </w:tc>
        <w:tc>
          <w:tcPr>
            <w:tcW w:w="588" w:type="dxa"/>
            <w:vMerge w:val="restart"/>
            <w:tcBorders>
              <w:top w:val="single" w:sz="4" w:space="0" w:color="000000"/>
              <w:left w:val="single" w:sz="4" w:space="0" w:color="000000"/>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512,092,207.37</w:t>
            </w:r>
            <w:r>
              <w:rPr>
                <w:rFonts w:ascii="Times New Roman"/>
                <w:sz w:val="18"/>
              </w:rPr>
            </w: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
              <w:ind w:left="9" w:right="0"/>
              <w:jc w:val="center"/>
              <w:rPr>
                <w:rFonts w:ascii="Times New Roman" w:hAnsi="Times New Roman" w:cs="Times New Roman" w:eastAsia="Times New Roman" w:hint="default"/>
                <w:sz w:val="18"/>
                <w:szCs w:val="18"/>
              </w:rPr>
            </w:pPr>
            <w:r>
              <w:rPr>
                <w:rFonts w:ascii="Times New Roman"/>
                <w:sz w:val="18"/>
              </w:rPr>
              <w:t>-3,669,113.19</w:t>
            </w:r>
          </w:p>
        </w:tc>
        <w:tc>
          <w:tcPr>
            <w:tcW w:w="13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8"/>
                <w:szCs w:val="18"/>
              </w:rPr>
            </w:pPr>
            <w:r>
              <w:rPr>
                <w:rFonts w:ascii="Times New Roman"/>
                <w:spacing w:val="-1"/>
                <w:sz w:val="18"/>
              </w:rPr>
              <w:t>33,321,159.55</w:t>
            </w:r>
          </w:p>
        </w:tc>
        <w:tc>
          <w:tcPr>
            <w:tcW w:w="1476" w:type="dxa"/>
            <w:tcBorders>
              <w:top w:val="single" w:sz="4" w:space="0" w:color="000000"/>
              <w:left w:val="single" w:sz="4" w:space="0" w:color="000000"/>
              <w:bottom w:val="nil" w:sz="6" w:space="0" w:color="auto"/>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18"/>
                <w:szCs w:val="18"/>
              </w:rPr>
            </w:pPr>
            <w:r>
              <w:rPr>
                <w:rFonts w:ascii="Times New Roman"/>
                <w:spacing w:val="-1"/>
                <w:sz w:val="18"/>
              </w:rPr>
              <w:t>905,796,536.25</w:t>
            </w:r>
            <w:r>
              <w:rPr>
                <w:rFonts w:ascii="Times New Roman"/>
                <w:sz w:val="18"/>
              </w:rPr>
            </w:r>
          </w:p>
        </w:tc>
      </w:tr>
      <w:tr>
        <w:trPr>
          <w:trHeight w:val="252"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56"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18" w:lineRule="exact"/>
              <w:ind w:left="48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54"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17" w:lineRule="exact"/>
              <w:ind w:left="4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58"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96"/>
              <w:jc w:val="right"/>
              <w:rPr>
                <w:rFonts w:ascii="Times New Roman" w:hAnsi="Times New Roman" w:cs="Times New Roman" w:eastAsia="Times New Roman" w:hint="default"/>
                <w:sz w:val="18"/>
                <w:szCs w:val="18"/>
              </w:rPr>
            </w:pPr>
            <w:r>
              <w:rPr>
                <w:rFonts w:ascii="Times New Roman"/>
                <w:spacing w:val="-1"/>
                <w:sz w:val="18"/>
              </w:rPr>
              <w:t>224,000,000.00</w:t>
            </w:r>
            <w:r>
              <w:rPr>
                <w:rFonts w:ascii="Times New Roman"/>
                <w:sz w:val="18"/>
              </w:rPr>
            </w: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61" w:right="0"/>
              <w:jc w:val="center"/>
              <w:rPr>
                <w:rFonts w:ascii="Times New Roman" w:hAnsi="Times New Roman" w:cs="Times New Roman" w:eastAsia="Times New Roman" w:hint="default"/>
                <w:sz w:val="18"/>
                <w:szCs w:val="18"/>
              </w:rPr>
            </w:pPr>
            <w:r>
              <w:rPr>
                <w:rFonts w:ascii="Times New Roman"/>
                <w:sz w:val="18"/>
              </w:rPr>
              <w:t>93,864,464.15</w:t>
            </w: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46,187,818.37</w:t>
            </w: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512,092,207.37</w:t>
            </w:r>
            <w:r>
              <w:rPr>
                <w:rFonts w:ascii="Times New Roman"/>
                <w:sz w:val="18"/>
              </w:rPr>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9" w:right="0"/>
              <w:jc w:val="center"/>
              <w:rPr>
                <w:rFonts w:ascii="Times New Roman" w:hAnsi="Times New Roman" w:cs="Times New Roman" w:eastAsia="Times New Roman" w:hint="default"/>
                <w:sz w:val="18"/>
                <w:szCs w:val="18"/>
              </w:rPr>
            </w:pPr>
            <w:r>
              <w:rPr>
                <w:rFonts w:ascii="Times New Roman"/>
                <w:sz w:val="18"/>
              </w:rPr>
              <w:t>-3,669,113.19</w:t>
            </w: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33,321,159.55</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905,796,536.25</w:t>
            </w:r>
            <w:r>
              <w:rPr>
                <w:rFonts w:ascii="Times New Roman"/>
                <w:sz w:val="18"/>
              </w:rPr>
            </w:r>
          </w:p>
        </w:tc>
      </w:tr>
      <w:tr>
        <w:trPr>
          <w:trHeight w:val="257"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18"/>
                <w:szCs w:val="18"/>
              </w:rPr>
            </w:pPr>
            <w:r>
              <w:rPr>
                <w:rFonts w:ascii="Times New Roman"/>
                <w:spacing w:val="-1"/>
                <w:sz w:val="18"/>
              </w:rPr>
              <w:t>85,120,000.00</w:t>
            </w: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6" w:right="0"/>
              <w:jc w:val="center"/>
              <w:rPr>
                <w:rFonts w:ascii="Times New Roman" w:hAnsi="Times New Roman" w:cs="Times New Roman" w:eastAsia="Times New Roman" w:hint="default"/>
                <w:sz w:val="18"/>
                <w:szCs w:val="18"/>
              </w:rPr>
            </w:pPr>
            <w:r>
              <w:rPr>
                <w:rFonts w:ascii="Times New Roman"/>
                <w:sz w:val="18"/>
              </w:rPr>
              <w:t>-83,543,587.75</w:t>
            </w: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spacing w:val="-1"/>
                <w:sz w:val="18"/>
              </w:rPr>
              <w:t>-8,729,903.63</w:t>
            </w:r>
            <w:r>
              <w:rPr>
                <w:rFonts w:ascii="Times New Roman"/>
                <w:sz w:val="18"/>
              </w:rPr>
            </w: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spacing w:val="-1"/>
                <w:sz w:val="18"/>
              </w:rPr>
              <w:t>232,766,867.29</w:t>
            </w:r>
            <w:r>
              <w:rPr>
                <w:rFonts w:ascii="Times New Roman"/>
                <w:sz w:val="18"/>
              </w:rPr>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9" w:right="0"/>
              <w:jc w:val="center"/>
              <w:rPr>
                <w:rFonts w:ascii="Times New Roman" w:hAnsi="Times New Roman" w:cs="Times New Roman" w:eastAsia="Times New Roman" w:hint="default"/>
                <w:sz w:val="18"/>
                <w:szCs w:val="18"/>
              </w:rPr>
            </w:pPr>
            <w:r>
              <w:rPr>
                <w:rFonts w:ascii="Times New Roman"/>
                <w:sz w:val="18"/>
              </w:rPr>
              <w:t>-4,498,674.71</w:t>
            </w: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spacing w:val="-1"/>
                <w:sz w:val="18"/>
              </w:rPr>
              <w:t>-1,490,474.48</w:t>
            </w:r>
            <w:r>
              <w:rPr>
                <w:rFonts w:ascii="Times New Roman"/>
                <w:sz w:val="18"/>
              </w:rPr>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103"/>
              <w:jc w:val="right"/>
              <w:rPr>
                <w:rFonts w:ascii="Times New Roman" w:hAnsi="Times New Roman" w:cs="Times New Roman" w:eastAsia="Times New Roman" w:hint="default"/>
                <w:sz w:val="18"/>
                <w:szCs w:val="18"/>
              </w:rPr>
            </w:pPr>
            <w:r>
              <w:rPr>
                <w:rFonts w:ascii="Times New Roman"/>
                <w:spacing w:val="-1"/>
                <w:sz w:val="18"/>
              </w:rPr>
              <w:t>219,624,226.72</w:t>
            </w:r>
            <w:r>
              <w:rPr>
                <w:rFonts w:ascii="Times New Roman"/>
                <w:sz w:val="18"/>
              </w:rPr>
            </w:r>
          </w:p>
        </w:tc>
      </w:tr>
      <w:tr>
        <w:trPr>
          <w:trHeight w:val="253"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13" w:lineRule="exact"/>
              <w:ind w:left="30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18"/>
                <w:szCs w:val="18"/>
              </w:rPr>
            </w:pPr>
            <w:r>
              <w:rPr>
                <w:rFonts w:ascii="Times New Roman"/>
                <w:spacing w:val="-1"/>
                <w:sz w:val="18"/>
              </w:rPr>
              <w:t>264,113,700.63</w:t>
            </w:r>
            <w:r>
              <w:rPr>
                <w:rFonts w:ascii="Times New Roman"/>
                <w:sz w:val="18"/>
              </w:rPr>
            </w: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18"/>
                <w:szCs w:val="18"/>
              </w:rPr>
            </w:pPr>
            <w:r>
              <w:rPr>
                <w:rFonts w:ascii="Times New Roman"/>
                <w:spacing w:val="-1"/>
                <w:sz w:val="18"/>
              </w:rPr>
              <w:t>10,220,315.53</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18"/>
                <w:szCs w:val="18"/>
              </w:rPr>
            </w:pPr>
            <w:r>
              <w:rPr>
                <w:rFonts w:ascii="Times New Roman"/>
                <w:spacing w:val="-1"/>
                <w:sz w:val="18"/>
              </w:rPr>
              <w:t>274,334,016.16</w:t>
            </w:r>
            <w:r>
              <w:rPr>
                <w:rFonts w:ascii="Times New Roman"/>
                <w:sz w:val="18"/>
              </w:rPr>
            </w:r>
          </w:p>
        </w:tc>
      </w:tr>
      <w:tr>
        <w:trPr>
          <w:trHeight w:val="254"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15" w:lineRule="exact"/>
              <w:ind w:left="30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9" w:right="0"/>
              <w:jc w:val="center"/>
              <w:rPr>
                <w:rFonts w:ascii="Times New Roman" w:hAnsi="Times New Roman" w:cs="Times New Roman" w:eastAsia="Times New Roman" w:hint="default"/>
                <w:sz w:val="18"/>
                <w:szCs w:val="18"/>
              </w:rPr>
            </w:pPr>
            <w:r>
              <w:rPr>
                <w:rFonts w:ascii="Times New Roman"/>
                <w:sz w:val="18"/>
              </w:rPr>
              <w:t>-4,498,674.71</w:t>
            </w: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3"/>
              <w:jc w:val="right"/>
              <w:rPr>
                <w:rFonts w:ascii="Times New Roman" w:hAnsi="Times New Roman" w:cs="Times New Roman" w:eastAsia="Times New Roman" w:hint="default"/>
                <w:sz w:val="18"/>
                <w:szCs w:val="18"/>
              </w:rPr>
            </w:pPr>
            <w:r>
              <w:rPr>
                <w:rFonts w:ascii="Times New Roman"/>
                <w:spacing w:val="-1"/>
                <w:sz w:val="18"/>
              </w:rPr>
              <w:t>-4,498,674.71</w:t>
            </w:r>
            <w:r>
              <w:rPr>
                <w:rFonts w:ascii="Times New Roman"/>
                <w:sz w:val="18"/>
              </w:rPr>
            </w:r>
          </w:p>
        </w:tc>
      </w:tr>
      <w:tr>
        <w:trPr>
          <w:trHeight w:val="257"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28" w:lineRule="exact"/>
              <w:ind w:left="1152"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小计</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264,113,700.63</w:t>
            </w:r>
            <w:r>
              <w:rPr>
                <w:rFonts w:ascii="Times New Roman"/>
                <w:sz w:val="18"/>
              </w:rPr>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8" w:right="0"/>
              <w:jc w:val="center"/>
              <w:rPr>
                <w:rFonts w:ascii="Times New Roman" w:hAnsi="Times New Roman" w:cs="Times New Roman" w:eastAsia="Times New Roman" w:hint="default"/>
                <w:sz w:val="18"/>
                <w:szCs w:val="18"/>
              </w:rPr>
            </w:pPr>
            <w:r>
              <w:rPr>
                <w:rFonts w:ascii="Times New Roman"/>
                <w:sz w:val="18"/>
              </w:rPr>
              <w:t>-4,498,674.71</w:t>
            </w: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8"/>
                <w:szCs w:val="18"/>
              </w:rPr>
            </w:pPr>
            <w:r>
              <w:rPr>
                <w:rFonts w:ascii="Times New Roman"/>
                <w:spacing w:val="-1"/>
                <w:sz w:val="18"/>
              </w:rPr>
              <w:t>10,220,315.53</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18"/>
                <w:szCs w:val="18"/>
              </w:rPr>
            </w:pPr>
            <w:r>
              <w:rPr>
                <w:rFonts w:ascii="Times New Roman"/>
                <w:spacing w:val="-1"/>
                <w:sz w:val="18"/>
              </w:rPr>
              <w:t>269,835,341.45</w:t>
            </w:r>
            <w:r>
              <w:rPr>
                <w:rFonts w:ascii="Times New Roman"/>
                <w:sz w:val="18"/>
              </w:rPr>
            </w:r>
          </w:p>
        </w:tc>
      </w:tr>
      <w:tr>
        <w:trPr>
          <w:trHeight w:val="254"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12" w:lineRule="exact"/>
              <w:ind w:left="30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9"/>
              <w:jc w:val="right"/>
              <w:rPr>
                <w:rFonts w:ascii="Times New Roman" w:hAnsi="Times New Roman" w:cs="Times New Roman" w:eastAsia="Times New Roman" w:hint="default"/>
                <w:sz w:val="18"/>
                <w:szCs w:val="18"/>
              </w:rPr>
            </w:pPr>
            <w:r>
              <w:rPr>
                <w:rFonts w:ascii="Times New Roman"/>
                <w:spacing w:val="-1"/>
                <w:sz w:val="18"/>
              </w:rPr>
              <w:t>-11,006,790.01</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7"/>
              <w:jc w:val="right"/>
              <w:rPr>
                <w:rFonts w:ascii="Times New Roman" w:hAnsi="Times New Roman" w:cs="Times New Roman" w:eastAsia="Times New Roman" w:hint="default"/>
                <w:sz w:val="18"/>
                <w:szCs w:val="18"/>
              </w:rPr>
            </w:pPr>
            <w:r>
              <w:rPr>
                <w:rFonts w:ascii="Times New Roman"/>
                <w:spacing w:val="-1"/>
                <w:sz w:val="18"/>
              </w:rPr>
              <w:t>-11,006,790.01</w:t>
            </w:r>
          </w:p>
        </w:tc>
      </w:tr>
      <w:tr>
        <w:trPr>
          <w:trHeight w:val="257"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28" w:lineRule="exact"/>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所有者投入资本</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54"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26" w:lineRule="exact"/>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股份支付计入股东权益的金额</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54"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26" w:lineRule="exact"/>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9"/>
              <w:jc w:val="right"/>
              <w:rPr>
                <w:rFonts w:ascii="Times New Roman" w:hAnsi="Times New Roman" w:cs="Times New Roman" w:eastAsia="Times New Roman" w:hint="default"/>
                <w:sz w:val="18"/>
                <w:szCs w:val="18"/>
              </w:rPr>
            </w:pPr>
            <w:r>
              <w:rPr>
                <w:rFonts w:ascii="Times New Roman"/>
                <w:spacing w:val="-1"/>
                <w:sz w:val="18"/>
              </w:rPr>
              <w:t>-11,006,790.01</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7"/>
              <w:jc w:val="right"/>
              <w:rPr>
                <w:rFonts w:ascii="Times New Roman" w:hAnsi="Times New Roman" w:cs="Times New Roman" w:eastAsia="Times New Roman" w:hint="default"/>
                <w:sz w:val="18"/>
                <w:szCs w:val="18"/>
              </w:rPr>
            </w:pPr>
            <w:r>
              <w:rPr>
                <w:rFonts w:ascii="Times New Roman"/>
                <w:spacing w:val="-1"/>
                <w:sz w:val="18"/>
              </w:rPr>
              <w:t>-11,006,790.01</w:t>
            </w:r>
          </w:p>
        </w:tc>
      </w:tr>
      <w:tr>
        <w:trPr>
          <w:trHeight w:val="254"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12" w:lineRule="exact"/>
              <w:ind w:left="30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pacing w:val="-1"/>
                <w:sz w:val="18"/>
              </w:rPr>
              <w:t>8,946,833.34</w:t>
            </w:r>
            <w:r>
              <w:rPr>
                <w:rFonts w:ascii="Times New Roman"/>
                <w:sz w:val="18"/>
              </w:rPr>
            </w: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2"/>
              <w:jc w:val="right"/>
              <w:rPr>
                <w:rFonts w:ascii="Times New Roman" w:hAnsi="Times New Roman" w:cs="Times New Roman" w:eastAsia="Times New Roman" w:hint="default"/>
                <w:sz w:val="18"/>
                <w:szCs w:val="18"/>
              </w:rPr>
            </w:pPr>
            <w:r>
              <w:rPr>
                <w:rFonts w:ascii="Times New Roman"/>
                <w:spacing w:val="-1"/>
                <w:sz w:val="18"/>
              </w:rPr>
              <w:t>-31,346,833.34</w:t>
            </w: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-704,000.00</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7"/>
              <w:jc w:val="right"/>
              <w:rPr>
                <w:rFonts w:ascii="Times New Roman" w:hAnsi="Times New Roman" w:cs="Times New Roman" w:eastAsia="Times New Roman" w:hint="default"/>
                <w:sz w:val="18"/>
                <w:szCs w:val="18"/>
              </w:rPr>
            </w:pPr>
            <w:r>
              <w:rPr>
                <w:rFonts w:ascii="Times New Roman"/>
                <w:spacing w:val="-1"/>
                <w:sz w:val="18"/>
              </w:rPr>
              <w:t>-23,104,000.00</w:t>
            </w:r>
          </w:p>
        </w:tc>
      </w:tr>
      <w:tr>
        <w:trPr>
          <w:trHeight w:val="257"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28" w:lineRule="exact"/>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pacing w:val="-1"/>
                <w:sz w:val="18"/>
              </w:rPr>
              <w:t>8,946,833.34</w:t>
            </w:r>
            <w:r>
              <w:rPr>
                <w:rFonts w:ascii="Times New Roman"/>
                <w:sz w:val="18"/>
              </w:rPr>
            </w: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pacing w:val="-1"/>
                <w:sz w:val="18"/>
              </w:rPr>
              <w:t>-8,946,833.34</w:t>
            </w:r>
            <w:r>
              <w:rPr>
                <w:rFonts w:ascii="Times New Roman"/>
                <w:sz w:val="18"/>
              </w:rPr>
            </w: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54"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26" w:lineRule="exact"/>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54"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26" w:lineRule="exact"/>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的分配</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2"/>
              <w:jc w:val="right"/>
              <w:rPr>
                <w:rFonts w:ascii="Times New Roman" w:hAnsi="Times New Roman" w:cs="Times New Roman" w:eastAsia="Times New Roman" w:hint="default"/>
                <w:sz w:val="18"/>
                <w:szCs w:val="18"/>
              </w:rPr>
            </w:pPr>
            <w:r>
              <w:rPr>
                <w:rFonts w:ascii="Times New Roman"/>
                <w:spacing w:val="-1"/>
                <w:sz w:val="18"/>
              </w:rPr>
              <w:t>-22,400,000.00</w:t>
            </w: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-704,000.00</w:t>
            </w: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107"/>
              <w:jc w:val="right"/>
              <w:rPr>
                <w:rFonts w:ascii="Times New Roman" w:hAnsi="Times New Roman" w:cs="Times New Roman" w:eastAsia="Times New Roman" w:hint="default"/>
                <w:sz w:val="18"/>
                <w:szCs w:val="18"/>
              </w:rPr>
            </w:pPr>
            <w:r>
              <w:rPr>
                <w:rFonts w:ascii="Times New Roman"/>
                <w:spacing w:val="-1"/>
                <w:sz w:val="18"/>
              </w:rPr>
              <w:t>-23,104,000.00</w:t>
            </w:r>
          </w:p>
        </w:tc>
      </w:tr>
      <w:tr>
        <w:trPr>
          <w:trHeight w:val="256"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26" w:lineRule="exact"/>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53"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13" w:lineRule="exact"/>
              <w:ind w:left="304"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18"/>
                <w:szCs w:val="18"/>
              </w:rPr>
            </w:pPr>
            <w:r>
              <w:rPr>
                <w:rFonts w:ascii="Times New Roman"/>
                <w:spacing w:val="-1"/>
                <w:sz w:val="18"/>
              </w:rPr>
              <w:t>85,120,000.00</w:t>
            </w: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6" w:right="0"/>
              <w:jc w:val="center"/>
              <w:rPr>
                <w:rFonts w:ascii="Times New Roman" w:hAnsi="Times New Roman" w:cs="Times New Roman" w:eastAsia="Times New Roman" w:hint="default"/>
                <w:sz w:val="18"/>
                <w:szCs w:val="18"/>
              </w:rPr>
            </w:pPr>
            <w:r>
              <w:rPr>
                <w:rFonts w:ascii="Times New Roman"/>
                <w:sz w:val="18"/>
              </w:rPr>
              <w:t>-85,120,000.00</w:t>
            </w: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57"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28" w:lineRule="exact"/>
              <w:ind w:left="39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85,120,000.00</w:t>
            </w: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6" w:right="0"/>
              <w:jc w:val="center"/>
              <w:rPr>
                <w:rFonts w:ascii="Times New Roman" w:hAnsi="Times New Roman" w:cs="Times New Roman" w:eastAsia="Times New Roman" w:hint="default"/>
                <w:sz w:val="18"/>
                <w:szCs w:val="18"/>
              </w:rPr>
            </w:pPr>
            <w:r>
              <w:rPr>
                <w:rFonts w:ascii="Times New Roman"/>
                <w:sz w:val="18"/>
              </w:rPr>
              <w:t>-85,120,000.00</w:t>
            </w: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54"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26" w:lineRule="exact"/>
              <w:ind w:left="39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56"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26" w:lineRule="exact"/>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56"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27" w:lineRule="exact"/>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49"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12" w:lineRule="exact"/>
              <w:ind w:left="48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59"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31" w:lineRule="exact"/>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56"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26" w:lineRule="exact"/>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
        </w:tc>
      </w:tr>
      <w:tr>
        <w:trPr>
          <w:trHeight w:val="253" w:hRule="exact"/>
        </w:trPr>
        <w:tc>
          <w:tcPr>
            <w:tcW w:w="3790" w:type="dxa"/>
            <w:tcBorders>
              <w:top w:val="nil" w:sz="6" w:space="0" w:color="auto"/>
              <w:left w:val="nil" w:sz="6" w:space="0" w:color="auto"/>
              <w:bottom w:val="nil" w:sz="6" w:space="0" w:color="auto"/>
              <w:right w:val="single" w:sz="4" w:space="0" w:color="000000"/>
            </w:tcBorders>
          </w:tcPr>
          <w:p>
            <w:pPr>
              <w:pStyle w:val="TableParagraph"/>
              <w:spacing w:line="213" w:lineRule="exact"/>
              <w:ind w:left="48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2"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56" w:right="0"/>
              <w:jc w:val="center"/>
              <w:rPr>
                <w:rFonts w:ascii="Times New Roman" w:hAnsi="Times New Roman" w:cs="Times New Roman" w:eastAsia="Times New Roman" w:hint="default"/>
                <w:sz w:val="18"/>
                <w:szCs w:val="18"/>
              </w:rPr>
            </w:pPr>
            <w:r>
              <w:rPr>
                <w:rFonts w:ascii="Times New Roman"/>
                <w:sz w:val="18"/>
              </w:rPr>
              <w:t>1,576,412.25</w:t>
            </w:r>
          </w:p>
        </w:tc>
        <w:tc>
          <w:tcPr>
            <w:tcW w:w="636" w:type="dxa"/>
            <w:vMerge/>
            <w:tcBorders>
              <w:left w:val="single" w:sz="4" w:space="0" w:color="000000"/>
              <w:right w:val="single" w:sz="4" w:space="0" w:color="000000"/>
            </w:tcBorders>
          </w:tcPr>
          <w:p>
            <w:pPr/>
          </w:p>
        </w:tc>
        <w:tc>
          <w:tcPr>
            <w:tcW w:w="473" w:type="dxa"/>
            <w:vMerge/>
            <w:tcBorders>
              <w:left w:val="single" w:sz="4" w:space="0" w:color="000000"/>
              <w:right w:val="single" w:sz="4" w:space="0" w:color="000000"/>
            </w:tcBorders>
          </w:tcPr>
          <w:p>
            <w:pP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8"/>
                <w:szCs w:val="18"/>
              </w:rPr>
            </w:pPr>
            <w:r>
              <w:rPr>
                <w:rFonts w:ascii="Times New Roman"/>
                <w:spacing w:val="-1"/>
                <w:sz w:val="18"/>
              </w:rPr>
              <w:t>-17,676,736.97</w:t>
            </w:r>
          </w:p>
        </w:tc>
        <w:tc>
          <w:tcPr>
            <w:tcW w:w="58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313"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18"/>
                <w:szCs w:val="18"/>
              </w:rPr>
            </w:pPr>
            <w:r>
              <w:rPr>
                <w:rFonts w:ascii="Times New Roman"/>
                <w:spacing w:val="-1"/>
                <w:sz w:val="18"/>
              </w:rPr>
              <w:t>-16,100,324.72</w:t>
            </w:r>
          </w:p>
        </w:tc>
      </w:tr>
      <w:tr>
        <w:trPr>
          <w:trHeight w:val="269" w:hRule="exact"/>
        </w:trPr>
        <w:tc>
          <w:tcPr>
            <w:tcW w:w="3790" w:type="dxa"/>
            <w:tcBorders>
              <w:top w:val="nil" w:sz="6" w:space="0" w:color="auto"/>
              <w:left w:val="nil" w:sz="6" w:space="0" w:color="auto"/>
              <w:bottom w:val="single" w:sz="12"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96"/>
              <w:jc w:val="right"/>
              <w:rPr>
                <w:rFonts w:ascii="Times New Roman" w:hAnsi="Times New Roman" w:cs="Times New Roman" w:eastAsia="Times New Roman" w:hint="default"/>
                <w:sz w:val="18"/>
                <w:szCs w:val="18"/>
              </w:rPr>
            </w:pPr>
            <w:r>
              <w:rPr>
                <w:rFonts w:ascii="Times New Roman"/>
                <w:spacing w:val="-1"/>
                <w:sz w:val="18"/>
              </w:rPr>
              <w:t>309,120,000.00</w:t>
            </w:r>
            <w:r>
              <w:rPr>
                <w:rFonts w:ascii="Times New Roman"/>
                <w:sz w:val="18"/>
              </w:rPr>
            </w:r>
          </w:p>
        </w:tc>
        <w:tc>
          <w:tcPr>
            <w:tcW w:w="13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left="61" w:right="0"/>
              <w:jc w:val="center"/>
              <w:rPr>
                <w:rFonts w:ascii="Times New Roman" w:hAnsi="Times New Roman" w:cs="Times New Roman" w:eastAsia="Times New Roman" w:hint="default"/>
                <w:sz w:val="18"/>
                <w:szCs w:val="18"/>
              </w:rPr>
            </w:pPr>
            <w:r>
              <w:rPr>
                <w:rFonts w:ascii="Times New Roman"/>
                <w:sz w:val="18"/>
              </w:rPr>
              <w:t>10,320,876.40</w:t>
            </w:r>
          </w:p>
        </w:tc>
        <w:tc>
          <w:tcPr>
            <w:tcW w:w="636" w:type="dxa"/>
            <w:vMerge/>
            <w:tcBorders>
              <w:left w:val="single" w:sz="4" w:space="0" w:color="000000"/>
              <w:bottom w:val="single" w:sz="12" w:space="0" w:color="000000"/>
              <w:right w:val="single" w:sz="4" w:space="0" w:color="000000"/>
            </w:tcBorders>
          </w:tcPr>
          <w:p>
            <w:pPr/>
          </w:p>
        </w:tc>
        <w:tc>
          <w:tcPr>
            <w:tcW w:w="473" w:type="dxa"/>
            <w:vMerge/>
            <w:tcBorders>
              <w:left w:val="single" w:sz="4" w:space="0" w:color="000000"/>
              <w:bottom w:val="single" w:sz="12" w:space="0" w:color="000000"/>
              <w:right w:val="single" w:sz="4" w:space="0" w:color="000000"/>
            </w:tcBorders>
          </w:tcPr>
          <w:p>
            <w:pPr/>
          </w:p>
        </w:tc>
        <w:tc>
          <w:tcPr>
            <w:tcW w:w="13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102"/>
              <w:jc w:val="right"/>
              <w:rPr>
                <w:rFonts w:ascii="Times New Roman" w:hAnsi="Times New Roman" w:cs="Times New Roman" w:eastAsia="Times New Roman" w:hint="default"/>
                <w:sz w:val="18"/>
                <w:szCs w:val="18"/>
              </w:rPr>
            </w:pPr>
            <w:r>
              <w:rPr>
                <w:rFonts w:ascii="Times New Roman"/>
                <w:spacing w:val="-1"/>
                <w:sz w:val="18"/>
              </w:rPr>
              <w:t>37,457,914.74</w:t>
            </w:r>
          </w:p>
        </w:tc>
        <w:tc>
          <w:tcPr>
            <w:tcW w:w="588" w:type="dxa"/>
            <w:vMerge/>
            <w:tcBorders>
              <w:left w:val="single" w:sz="4" w:space="0" w:color="000000"/>
              <w:bottom w:val="single" w:sz="12" w:space="0" w:color="000000"/>
              <w:right w:val="single" w:sz="4" w:space="0" w:color="000000"/>
            </w:tcBorders>
          </w:tcPr>
          <w:p>
            <w:pPr/>
          </w:p>
        </w:tc>
        <w:tc>
          <w:tcPr>
            <w:tcW w:w="13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pacing w:val="-1"/>
                <w:sz w:val="18"/>
              </w:rPr>
              <w:t>744,859,074.66</w:t>
            </w:r>
            <w:r>
              <w:rPr>
                <w:rFonts w:ascii="Times New Roman"/>
                <w:sz w:val="18"/>
              </w:rPr>
            </w:r>
          </w:p>
        </w:tc>
        <w:tc>
          <w:tcPr>
            <w:tcW w:w="122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left="9" w:right="0"/>
              <w:jc w:val="center"/>
              <w:rPr>
                <w:rFonts w:ascii="Times New Roman" w:hAnsi="Times New Roman" w:cs="Times New Roman" w:eastAsia="Times New Roman" w:hint="default"/>
                <w:sz w:val="18"/>
                <w:szCs w:val="18"/>
              </w:rPr>
            </w:pPr>
            <w:r>
              <w:rPr>
                <w:rFonts w:ascii="Times New Roman"/>
                <w:sz w:val="18"/>
              </w:rPr>
              <w:t>-8,167,787.90</w:t>
            </w:r>
          </w:p>
        </w:tc>
        <w:tc>
          <w:tcPr>
            <w:tcW w:w="131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6"/>
              <w:ind w:right="102"/>
              <w:jc w:val="right"/>
              <w:rPr>
                <w:rFonts w:ascii="Times New Roman" w:hAnsi="Times New Roman" w:cs="Times New Roman" w:eastAsia="Times New Roman" w:hint="default"/>
                <w:sz w:val="18"/>
                <w:szCs w:val="18"/>
              </w:rPr>
            </w:pPr>
            <w:r>
              <w:rPr>
                <w:rFonts w:ascii="Times New Roman"/>
                <w:spacing w:val="-1"/>
                <w:sz w:val="18"/>
              </w:rPr>
              <w:t>31,830,685.07</w:t>
            </w:r>
          </w:p>
        </w:tc>
        <w:tc>
          <w:tcPr>
            <w:tcW w:w="1476" w:type="dxa"/>
            <w:tcBorders>
              <w:top w:val="nil" w:sz="6" w:space="0" w:color="auto"/>
              <w:left w:val="single" w:sz="4" w:space="0" w:color="000000"/>
              <w:bottom w:val="single" w:sz="12" w:space="0" w:color="000000"/>
              <w:right w:val="nil" w:sz="6" w:space="0" w:color="auto"/>
            </w:tcBorders>
          </w:tcPr>
          <w:p>
            <w:pPr>
              <w:pStyle w:val="TableParagraph"/>
              <w:spacing w:line="240" w:lineRule="auto" w:before="16"/>
              <w:ind w:right="104"/>
              <w:jc w:val="right"/>
              <w:rPr>
                <w:rFonts w:ascii="Times New Roman" w:hAnsi="Times New Roman" w:cs="Times New Roman" w:eastAsia="Times New Roman" w:hint="default"/>
                <w:sz w:val="18"/>
                <w:szCs w:val="18"/>
              </w:rPr>
            </w:pPr>
            <w:r>
              <w:rPr>
                <w:rFonts w:ascii="Times New Roman"/>
                <w:spacing w:val="-1"/>
                <w:sz w:val="18"/>
              </w:rPr>
              <w:t>1,125,420,762.97</w:t>
            </w:r>
          </w:p>
        </w:tc>
      </w:tr>
    </w:tbl>
    <w:p>
      <w:pPr>
        <w:spacing w:after="0" w:line="240" w:lineRule="auto"/>
        <w:jc w:val="right"/>
        <w:rPr>
          <w:rFonts w:ascii="Times New Roman" w:hAnsi="Times New Roman" w:cs="Times New Roman" w:eastAsia="Times New Roman" w:hint="default"/>
          <w:sz w:val="18"/>
          <w:szCs w:val="18"/>
        </w:rPr>
        <w:sectPr>
          <w:headerReference w:type="default" r:id="rId28"/>
          <w:footerReference w:type="default" r:id="rId29"/>
          <w:pgSz w:w="16850" w:h="11900" w:orient="landscape"/>
          <w:pgMar w:header="718" w:footer="914" w:top="1060" w:bottom="1100" w:left="900" w:right="920"/>
        </w:sectPr>
      </w:pPr>
    </w:p>
    <w:tbl>
      <w:tblPr>
        <w:tblW w:w="0" w:type="auto"/>
        <w:jc w:val="left"/>
        <w:tblInd w:w="111" w:type="dxa"/>
        <w:tblLayout w:type="fixed"/>
        <w:tblCellMar>
          <w:top w:w="0" w:type="dxa"/>
          <w:left w:w="0" w:type="dxa"/>
          <w:bottom w:w="0" w:type="dxa"/>
          <w:right w:w="0" w:type="dxa"/>
        </w:tblCellMar>
        <w:tblLook w:val="01E0"/>
      </w:tblPr>
      <w:tblGrid>
        <w:gridCol w:w="173"/>
        <w:gridCol w:w="5146"/>
        <w:gridCol w:w="3797"/>
        <w:gridCol w:w="634"/>
        <w:gridCol w:w="1378"/>
        <w:gridCol w:w="3677"/>
        <w:gridCol w:w="156"/>
      </w:tblGrid>
      <w:tr>
        <w:trPr>
          <w:trHeight w:val="652" w:hRule="exact"/>
        </w:trPr>
        <w:tc>
          <w:tcPr>
            <w:tcW w:w="173" w:type="dxa"/>
            <w:vMerge w:val="restart"/>
            <w:tcBorders>
              <w:top w:val="nil" w:sz="6" w:space="0" w:color="auto"/>
              <w:left w:val="nil" w:sz="6" w:space="0" w:color="auto"/>
              <w:right w:val="nil" w:sz="6" w:space="0" w:color="auto"/>
            </w:tcBorders>
          </w:tcPr>
          <w:p>
            <w:pPr/>
          </w:p>
        </w:tc>
        <w:tc>
          <w:tcPr>
            <w:tcW w:w="5146" w:type="dxa"/>
            <w:tcBorders>
              <w:top w:val="single" w:sz="6" w:space="0" w:color="000000"/>
              <w:left w:val="nil" w:sz="6" w:space="0" w:color="auto"/>
              <w:bottom w:val="nil" w:sz="6" w:space="0" w:color="auto"/>
              <w:right w:val="nil" w:sz="6" w:space="0" w:color="auto"/>
            </w:tcBorders>
          </w:tcPr>
          <w:p>
            <w:pPr>
              <w:pStyle w:val="TableParagraph"/>
              <w:spacing w:line="218" w:lineRule="exact"/>
              <w:ind w:left="28" w:right="0"/>
              <w:jc w:val="left"/>
              <w:rPr>
                <w:rFonts w:ascii="宋体" w:hAnsi="宋体" w:cs="宋体" w:eastAsia="宋体" w:hint="default"/>
                <w:sz w:val="21"/>
                <w:szCs w:val="21"/>
              </w:rPr>
            </w:pPr>
            <w:r>
              <w:rPr>
                <w:rFonts w:ascii="宋体" w:hAnsi="宋体" w:cs="宋体" w:eastAsia="宋体" w:hint="default"/>
                <w:sz w:val="21"/>
                <w:szCs w:val="21"/>
              </w:rPr>
              <w:t>法定代表人：李仲初</w:t>
            </w:r>
          </w:p>
        </w:tc>
        <w:tc>
          <w:tcPr>
            <w:tcW w:w="3797" w:type="dxa"/>
            <w:tcBorders>
              <w:top w:val="single" w:sz="6" w:space="0" w:color="000000"/>
              <w:left w:val="nil" w:sz="6" w:space="0" w:color="auto"/>
              <w:bottom w:val="nil" w:sz="6" w:space="0" w:color="auto"/>
              <w:right w:val="nil" w:sz="6" w:space="0" w:color="auto"/>
            </w:tcBorders>
          </w:tcPr>
          <w:p>
            <w:pPr>
              <w:pStyle w:val="TableParagraph"/>
              <w:spacing w:line="200" w:lineRule="exact"/>
              <w:ind w:left="237" w:right="0"/>
              <w:jc w:val="left"/>
              <w:rPr>
                <w:rFonts w:ascii="宋体" w:hAnsi="宋体" w:cs="宋体" w:eastAsia="宋体" w:hint="default"/>
                <w:sz w:val="21"/>
                <w:szCs w:val="21"/>
              </w:rPr>
            </w:pPr>
            <w:r>
              <w:rPr>
                <w:rFonts w:ascii="宋体" w:hAnsi="宋体" w:cs="宋体" w:eastAsia="宋体" w:hint="default"/>
                <w:sz w:val="21"/>
                <w:szCs w:val="21"/>
              </w:rPr>
              <w:t>主管会计工作负责人：赖德源</w:t>
            </w:r>
          </w:p>
          <w:p>
            <w:pPr>
              <w:pStyle w:val="TableParagraph"/>
              <w:spacing w:line="401" w:lineRule="exact"/>
              <w:ind w:left="561" w:right="0"/>
              <w:jc w:val="left"/>
              <w:rPr>
                <w:rFonts w:ascii="黑体" w:hAnsi="黑体" w:cs="黑体" w:eastAsia="黑体" w:hint="default"/>
                <w:sz w:val="32"/>
                <w:szCs w:val="32"/>
              </w:rPr>
            </w:pPr>
            <w:r>
              <w:rPr>
                <w:rFonts w:ascii="黑体" w:hAnsi="黑体" w:cs="黑体" w:eastAsia="黑体" w:hint="default"/>
                <w:b/>
                <w:bCs/>
                <w:sz w:val="32"/>
                <w:szCs w:val="32"/>
              </w:rPr>
              <w:t>合并所有者权益变动表</w:t>
            </w:r>
            <w:r>
              <w:rPr>
                <w:rFonts w:ascii="黑体" w:hAnsi="黑体" w:cs="黑体" w:eastAsia="黑体" w:hint="default"/>
                <w:sz w:val="32"/>
                <w:szCs w:val="32"/>
              </w:rPr>
            </w:r>
          </w:p>
        </w:tc>
        <w:tc>
          <w:tcPr>
            <w:tcW w:w="634" w:type="dxa"/>
            <w:tcBorders>
              <w:top w:val="single" w:sz="6" w:space="0" w:color="000000"/>
              <w:left w:val="nil" w:sz="6" w:space="0" w:color="auto"/>
              <w:bottom w:val="nil" w:sz="6" w:space="0" w:color="auto"/>
              <w:right w:val="nil" w:sz="6" w:space="0" w:color="auto"/>
            </w:tcBorders>
          </w:tcPr>
          <w:p>
            <w:pPr/>
          </w:p>
        </w:tc>
        <w:tc>
          <w:tcPr>
            <w:tcW w:w="1378" w:type="dxa"/>
            <w:tcBorders>
              <w:top w:val="single" w:sz="6" w:space="0" w:color="000000"/>
              <w:left w:val="nil" w:sz="6" w:space="0" w:color="auto"/>
              <w:bottom w:val="nil" w:sz="6" w:space="0" w:color="auto"/>
              <w:right w:val="nil" w:sz="6" w:space="0" w:color="auto"/>
            </w:tcBorders>
          </w:tcPr>
          <w:p>
            <w:pPr/>
          </w:p>
        </w:tc>
        <w:tc>
          <w:tcPr>
            <w:tcW w:w="3677" w:type="dxa"/>
            <w:tcBorders>
              <w:top w:val="single" w:sz="6" w:space="0" w:color="000000"/>
              <w:left w:val="nil" w:sz="6" w:space="0" w:color="auto"/>
              <w:bottom w:val="nil" w:sz="6" w:space="0" w:color="auto"/>
              <w:right w:val="nil" w:sz="6" w:space="0" w:color="auto"/>
            </w:tcBorders>
          </w:tcPr>
          <w:p>
            <w:pPr>
              <w:pStyle w:val="TableParagraph"/>
              <w:spacing w:line="218" w:lineRule="exact"/>
              <w:ind w:left="624" w:right="0"/>
              <w:jc w:val="left"/>
              <w:rPr>
                <w:rFonts w:ascii="宋体" w:hAnsi="宋体" w:cs="宋体" w:eastAsia="宋体" w:hint="default"/>
                <w:sz w:val="21"/>
                <w:szCs w:val="21"/>
              </w:rPr>
            </w:pPr>
            <w:r>
              <w:rPr>
                <w:rFonts w:ascii="宋体" w:hAnsi="宋体" w:cs="宋体" w:eastAsia="宋体" w:hint="default"/>
                <w:sz w:val="21"/>
                <w:szCs w:val="21"/>
              </w:rPr>
              <w:t>会计机构负责人：李天达</w:t>
            </w:r>
          </w:p>
        </w:tc>
        <w:tc>
          <w:tcPr>
            <w:tcW w:w="156" w:type="dxa"/>
            <w:tcBorders>
              <w:top w:val="nil" w:sz="6" w:space="0" w:color="auto"/>
              <w:left w:val="nil" w:sz="6" w:space="0" w:color="auto"/>
              <w:bottom w:val="nil" w:sz="6" w:space="0" w:color="auto"/>
              <w:right w:val="nil" w:sz="6" w:space="0" w:color="auto"/>
            </w:tcBorders>
          </w:tcPr>
          <w:p>
            <w:pPr/>
          </w:p>
        </w:tc>
      </w:tr>
      <w:tr>
        <w:trPr>
          <w:trHeight w:val="299" w:hRule="exact"/>
        </w:trPr>
        <w:tc>
          <w:tcPr>
            <w:tcW w:w="173" w:type="dxa"/>
            <w:vMerge/>
            <w:tcBorders>
              <w:left w:val="nil" w:sz="6" w:space="0" w:color="auto"/>
              <w:bottom w:val="nil" w:sz="6" w:space="0" w:color="auto"/>
              <w:right w:val="nil" w:sz="6" w:space="0" w:color="auto"/>
            </w:tcBorders>
          </w:tcPr>
          <w:p>
            <w:pPr/>
          </w:p>
        </w:tc>
        <w:tc>
          <w:tcPr>
            <w:tcW w:w="5146" w:type="dxa"/>
            <w:tcBorders>
              <w:top w:val="nil" w:sz="6" w:space="0" w:color="auto"/>
              <w:left w:val="nil" w:sz="6" w:space="0" w:color="auto"/>
              <w:bottom w:val="nil" w:sz="6" w:space="0" w:color="auto"/>
              <w:right w:val="nil" w:sz="6" w:space="0" w:color="auto"/>
            </w:tcBorders>
          </w:tcPr>
          <w:p>
            <w:pPr>
              <w:pStyle w:val="TableParagraph"/>
              <w:spacing w:line="248" w:lineRule="exact"/>
              <w:ind w:left="28" w:right="0"/>
              <w:jc w:val="left"/>
              <w:rPr>
                <w:rFonts w:ascii="宋体" w:hAnsi="宋体" w:cs="宋体" w:eastAsia="宋体" w:hint="default"/>
                <w:sz w:val="21"/>
                <w:szCs w:val="21"/>
              </w:rPr>
            </w:pPr>
            <w:r>
              <w:rPr>
                <w:rFonts w:ascii="宋体" w:hAnsi="宋体" w:cs="宋体" w:eastAsia="宋体" w:hint="default"/>
                <w:sz w:val="21"/>
                <w:szCs w:val="21"/>
              </w:rPr>
              <w:t>编制单位：北京中长石基信息技术股份有限公司</w:t>
            </w:r>
          </w:p>
        </w:tc>
        <w:tc>
          <w:tcPr>
            <w:tcW w:w="3797"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3677" w:type="dxa"/>
            <w:tcBorders>
              <w:top w:val="nil" w:sz="6" w:space="0" w:color="auto"/>
              <w:left w:val="nil" w:sz="6" w:space="0" w:color="auto"/>
              <w:bottom w:val="nil" w:sz="6" w:space="0" w:color="auto"/>
              <w:right w:val="nil" w:sz="6" w:space="0" w:color="auto"/>
            </w:tcBorders>
          </w:tcPr>
          <w:p>
            <w:pPr>
              <w:pStyle w:val="TableParagraph"/>
              <w:spacing w:line="248" w:lineRule="exact"/>
              <w:ind w:left="1675" w:right="0"/>
              <w:jc w:val="left"/>
              <w:rPr>
                <w:rFonts w:ascii="宋体" w:hAnsi="宋体" w:cs="宋体" w:eastAsia="宋体" w:hint="default"/>
                <w:sz w:val="21"/>
                <w:szCs w:val="21"/>
              </w:rPr>
            </w:pPr>
            <w:r>
              <w:rPr>
                <w:rFonts w:ascii="宋体" w:hAnsi="宋体" w:cs="宋体" w:eastAsia="宋体" w:hint="default"/>
                <w:sz w:val="21"/>
                <w:szCs w:val="21"/>
              </w:rPr>
              <w:t>单位：人民币元</w:t>
            </w:r>
          </w:p>
        </w:tc>
        <w:tc>
          <w:tcPr>
            <w:tcW w:w="156" w:type="dxa"/>
            <w:tcBorders>
              <w:top w:val="nil" w:sz="6" w:space="0" w:color="auto"/>
              <w:left w:val="nil" w:sz="6" w:space="0" w:color="auto"/>
              <w:bottom w:val="nil" w:sz="6" w:space="0" w:color="auto"/>
              <w:right w:val="nil" w:sz="6" w:space="0" w:color="auto"/>
            </w:tcBorders>
          </w:tcPr>
          <w:p>
            <w:pPr/>
          </w:p>
        </w:tc>
      </w:tr>
      <w:tr>
        <w:trPr>
          <w:trHeight w:val="293" w:hRule="exact"/>
        </w:trPr>
        <w:tc>
          <w:tcPr>
            <w:tcW w:w="173" w:type="dxa"/>
            <w:tcBorders>
              <w:top w:val="nil" w:sz="6" w:space="0" w:color="auto"/>
              <w:left w:val="nil" w:sz="6" w:space="0" w:color="auto"/>
              <w:bottom w:val="nil" w:sz="6" w:space="0" w:color="auto"/>
              <w:right w:val="nil" w:sz="6" w:space="0" w:color="auto"/>
            </w:tcBorders>
          </w:tcPr>
          <w:p>
            <w:pPr/>
          </w:p>
        </w:tc>
        <w:tc>
          <w:tcPr>
            <w:tcW w:w="5146"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367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r>
      <w:tr>
        <w:trPr>
          <w:trHeight w:val="290" w:hRule="exact"/>
        </w:trPr>
        <w:tc>
          <w:tcPr>
            <w:tcW w:w="173" w:type="dxa"/>
            <w:tcBorders>
              <w:top w:val="nil" w:sz="6" w:space="0" w:color="auto"/>
              <w:left w:val="nil" w:sz="6" w:space="0" w:color="auto"/>
              <w:bottom w:val="nil" w:sz="6" w:space="0" w:color="auto"/>
              <w:right w:val="nil" w:sz="6" w:space="0" w:color="auto"/>
            </w:tcBorders>
          </w:tcPr>
          <w:p>
            <w:pPr/>
          </w:p>
        </w:tc>
        <w:tc>
          <w:tcPr>
            <w:tcW w:w="5146"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367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r>
      <w:tr>
        <w:trPr>
          <w:trHeight w:val="420" w:hRule="exact"/>
        </w:trPr>
        <w:tc>
          <w:tcPr>
            <w:tcW w:w="173" w:type="dxa"/>
            <w:tcBorders>
              <w:top w:val="nil" w:sz="6" w:space="0" w:color="auto"/>
              <w:left w:val="nil" w:sz="6" w:space="0" w:color="auto"/>
              <w:bottom w:val="nil" w:sz="6" w:space="0" w:color="auto"/>
              <w:right w:val="nil" w:sz="6" w:space="0" w:color="auto"/>
            </w:tcBorders>
          </w:tcPr>
          <w:p>
            <w:pPr/>
          </w:p>
        </w:tc>
        <w:tc>
          <w:tcPr>
            <w:tcW w:w="5146"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367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r>
      <w:tr>
        <w:trPr>
          <w:trHeight w:val="7637" w:hRule="exact"/>
        </w:trPr>
        <w:tc>
          <w:tcPr>
            <w:tcW w:w="173" w:type="dxa"/>
            <w:tcBorders>
              <w:top w:val="nil" w:sz="6" w:space="0" w:color="auto"/>
              <w:left w:val="nil" w:sz="6" w:space="0" w:color="auto"/>
              <w:bottom w:val="nil" w:sz="6" w:space="0" w:color="auto"/>
              <w:right w:val="nil" w:sz="6" w:space="0" w:color="auto"/>
            </w:tcBorders>
          </w:tcPr>
          <w:p>
            <w:pPr/>
          </w:p>
        </w:tc>
        <w:tc>
          <w:tcPr>
            <w:tcW w:w="5146"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3677"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r>
    </w:tbl>
    <w:p>
      <w:pPr>
        <w:rPr>
          <w:sz w:val="2"/>
          <w:szCs w:val="2"/>
        </w:rPr>
      </w:pPr>
      <w:r>
        <w:rPr/>
        <w:pict>
          <v:shape style="position:absolute;margin-left:46.560001pt;margin-top:103.56002pt;width:748pt;height:433.45pt;mso-position-horizontal-relative:page;mso-position-vertical-relative:page;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0"/>
                    <w:gridCol w:w="1349"/>
                    <w:gridCol w:w="1457"/>
                    <w:gridCol w:w="554"/>
                    <w:gridCol w:w="509"/>
                    <w:gridCol w:w="1277"/>
                    <w:gridCol w:w="634"/>
                    <w:gridCol w:w="1378"/>
                    <w:gridCol w:w="1205"/>
                    <w:gridCol w:w="1346"/>
                    <w:gridCol w:w="1282"/>
                  </w:tblGrid>
                  <w:tr>
                    <w:trPr>
                      <w:trHeight w:val="293" w:hRule="exact"/>
                    </w:trPr>
                    <w:tc>
                      <w:tcPr>
                        <w:tcW w:w="3970"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473"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990" w:type="dxa"/>
                        <w:gridSpan w:val="10"/>
                        <w:tcBorders>
                          <w:top w:val="single" w:sz="12" w:space="0" w:color="000000"/>
                          <w:left w:val="single" w:sz="4" w:space="0" w:color="000000"/>
                          <w:bottom w:val="single" w:sz="4" w:space="0" w:color="000000"/>
                          <w:right w:val="nil" w:sz="6" w:space="0" w:color="auto"/>
                        </w:tcBorders>
                      </w:tcPr>
                      <w:p>
                        <w:pPr>
                          <w:pStyle w:val="TableParagraph"/>
                          <w:spacing w:line="236"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90" w:hRule="exact"/>
                    </w:trPr>
                    <w:tc>
                      <w:tcPr>
                        <w:tcW w:w="3970" w:type="dxa"/>
                        <w:vMerge/>
                        <w:tcBorders>
                          <w:left w:val="nil" w:sz="6" w:space="0" w:color="auto"/>
                          <w:right w:val="single" w:sz="4" w:space="0" w:color="000000"/>
                        </w:tcBorders>
                      </w:tcPr>
                      <w:p>
                        <w:pPr/>
                      </w:p>
                    </w:tc>
                    <w:tc>
                      <w:tcPr>
                        <w:tcW w:w="8362" w:type="dxa"/>
                        <w:gridSpan w:val="8"/>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4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82"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20" w:hRule="exact"/>
                    </w:trPr>
                    <w:tc>
                      <w:tcPr>
                        <w:tcW w:w="3970" w:type="dxa"/>
                        <w:vMerge/>
                        <w:tcBorders>
                          <w:left w:val="nil" w:sz="6" w:space="0" w:color="auto"/>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
                          <w:jc w:val="center"/>
                          <w:rPr>
                            <w:rFonts w:ascii="宋体" w:hAnsi="宋体" w:cs="宋体" w:eastAsia="宋体" w:hint="default"/>
                            <w:sz w:val="18"/>
                            <w:szCs w:val="18"/>
                          </w:rPr>
                        </w:pPr>
                        <w:r>
                          <w:rPr>
                            <w:rFonts w:ascii="宋体" w:hAnsi="宋体" w:cs="宋体" w:eastAsia="宋体" w:hint="default"/>
                            <w:sz w:val="18"/>
                            <w:szCs w:val="18"/>
                          </w:rPr>
                          <w:t>股本</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3"/>
                          <w:ind w:left="88" w:right="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3"/>
                          <w:ind w:left="64" w:right="7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3"/>
                          <w:ind w:left="36" w:right="4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
                          <w:jc w:val="center"/>
                          <w:rPr>
                            <w:rFonts w:ascii="宋体" w:hAnsi="宋体" w:cs="宋体" w:eastAsia="宋体" w:hint="default"/>
                            <w:sz w:val="18"/>
                            <w:szCs w:val="18"/>
                          </w:rPr>
                        </w:pPr>
                        <w:r>
                          <w:rPr>
                            <w:rFonts w:ascii="宋体" w:hAnsi="宋体" w:cs="宋体" w:eastAsia="宋体" w:hint="default"/>
                            <w:sz w:val="18"/>
                            <w:szCs w:val="18"/>
                          </w:rPr>
                          <w:t>其他</w:t>
                        </w:r>
                      </w:p>
                    </w:tc>
                    <w:tc>
                      <w:tcPr>
                        <w:tcW w:w="1346" w:type="dxa"/>
                        <w:vMerge/>
                        <w:tcBorders>
                          <w:left w:val="single" w:sz="4" w:space="0" w:color="000000"/>
                          <w:bottom w:val="single" w:sz="4" w:space="0" w:color="000000"/>
                          <w:right w:val="single" w:sz="4" w:space="0" w:color="000000"/>
                        </w:tcBorders>
                      </w:tcPr>
                      <w:p>
                        <w:pPr/>
                      </w:p>
                    </w:tc>
                    <w:tc>
                      <w:tcPr>
                        <w:tcW w:w="1282" w:type="dxa"/>
                        <w:vMerge/>
                        <w:tcBorders>
                          <w:left w:val="single" w:sz="4" w:space="0" w:color="000000"/>
                          <w:bottom w:val="single" w:sz="4" w:space="0" w:color="000000"/>
                          <w:right w:val="nil" w:sz="6" w:space="0" w:color="auto"/>
                        </w:tcBorders>
                      </w:tcPr>
                      <w:p>
                        <w:pPr/>
                      </w:p>
                    </w:tc>
                  </w:tr>
                  <w:tr>
                    <w:trPr>
                      <w:trHeight w:val="279" w:hRule="exact"/>
                    </w:trPr>
                    <w:tc>
                      <w:tcPr>
                        <w:tcW w:w="3970" w:type="dxa"/>
                        <w:tcBorders>
                          <w:top w:val="single" w:sz="4" w:space="0" w:color="000000"/>
                          <w:left w:val="nil" w:sz="6" w:space="0" w:color="auto"/>
                          <w:bottom w:val="nil" w:sz="6" w:space="0" w:color="auto"/>
                          <w:right w:val="single" w:sz="4" w:space="0" w:color="000000"/>
                        </w:tcBorders>
                      </w:tcPr>
                      <w:p>
                        <w:pPr>
                          <w:pStyle w:val="TableParagraph"/>
                          <w:spacing w:line="222" w:lineRule="exact"/>
                          <w:ind w:left="16"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0"/>
                          <w:jc w:val="right"/>
                          <w:rPr>
                            <w:rFonts w:ascii="Times New Roman" w:hAnsi="Times New Roman" w:cs="Times New Roman" w:eastAsia="Times New Roman" w:hint="default"/>
                            <w:sz w:val="18"/>
                            <w:szCs w:val="18"/>
                          </w:rPr>
                        </w:pPr>
                        <w:r>
                          <w:rPr>
                            <w:rFonts w:ascii="Times New Roman"/>
                            <w:spacing w:val="-1"/>
                            <w:sz w:val="18"/>
                          </w:rPr>
                          <w:t>224,000,000.00</w:t>
                        </w:r>
                        <w:r>
                          <w:rPr>
                            <w:rFonts w:ascii="Times New Roman"/>
                            <w:sz w:val="18"/>
                          </w:rPr>
                        </w:r>
                      </w:p>
                    </w:tc>
                    <w:tc>
                      <w:tcPr>
                        <w:tcW w:w="14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
                          <w:jc w:val="right"/>
                          <w:rPr>
                            <w:rFonts w:ascii="Times New Roman" w:hAnsi="Times New Roman" w:cs="Times New Roman" w:eastAsia="Times New Roman" w:hint="default"/>
                            <w:sz w:val="18"/>
                            <w:szCs w:val="18"/>
                          </w:rPr>
                        </w:pPr>
                        <w:r>
                          <w:rPr>
                            <w:rFonts w:ascii="Times New Roman"/>
                            <w:spacing w:val="-1"/>
                            <w:sz w:val="18"/>
                          </w:rPr>
                          <w:t>86,262,108.98</w:t>
                        </w:r>
                      </w:p>
                    </w:tc>
                    <w:tc>
                      <w:tcPr>
                        <w:tcW w:w="554" w:type="dxa"/>
                        <w:vMerge w:val="restart"/>
                        <w:tcBorders>
                          <w:top w:val="single" w:sz="4" w:space="0" w:color="000000"/>
                          <w:left w:val="single" w:sz="4" w:space="0" w:color="000000"/>
                          <w:right w:val="single" w:sz="4" w:space="0" w:color="000000"/>
                        </w:tcBorders>
                      </w:tcPr>
                      <w:p>
                        <w:pPr/>
                      </w:p>
                    </w:tc>
                    <w:tc>
                      <w:tcPr>
                        <w:tcW w:w="509"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27" w:right="0"/>
                          <w:jc w:val="left"/>
                          <w:rPr>
                            <w:rFonts w:ascii="Times New Roman" w:hAnsi="Times New Roman" w:cs="Times New Roman" w:eastAsia="Times New Roman" w:hint="default"/>
                            <w:sz w:val="18"/>
                            <w:szCs w:val="18"/>
                          </w:rPr>
                        </w:pPr>
                        <w:r>
                          <w:rPr>
                            <w:rFonts w:ascii="Times New Roman"/>
                            <w:sz w:val="18"/>
                          </w:rPr>
                          <w:t>32,255,696.32</w:t>
                        </w:r>
                      </w:p>
                    </w:tc>
                    <w:tc>
                      <w:tcPr>
                        <w:tcW w:w="634" w:type="dxa"/>
                        <w:vMerge w:val="restart"/>
                        <w:tcBorders>
                          <w:top w:val="single" w:sz="4" w:space="0" w:color="000000"/>
                          <w:left w:val="single" w:sz="4" w:space="0" w:color="000000"/>
                          <w:right w:val="single" w:sz="4" w:space="0" w:color="000000"/>
                        </w:tcBorders>
                      </w:tcPr>
                      <w:p>
                        <w:pPr/>
                      </w:p>
                    </w:tc>
                    <w:tc>
                      <w:tcPr>
                        <w:tcW w:w="13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7" w:right="0"/>
                          <w:jc w:val="left"/>
                          <w:rPr>
                            <w:rFonts w:ascii="Times New Roman" w:hAnsi="Times New Roman" w:cs="Times New Roman" w:eastAsia="Times New Roman" w:hint="default"/>
                            <w:sz w:val="18"/>
                            <w:szCs w:val="18"/>
                          </w:rPr>
                        </w:pPr>
                        <w:r>
                          <w:rPr>
                            <w:rFonts w:ascii="Times New Roman"/>
                            <w:sz w:val="18"/>
                          </w:rPr>
                          <w:t>379,326,457.17</w:t>
                        </w: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0"/>
                          <w:jc w:val="right"/>
                          <w:rPr>
                            <w:rFonts w:ascii="Times New Roman" w:hAnsi="Times New Roman" w:cs="Times New Roman" w:eastAsia="Times New Roman" w:hint="default"/>
                            <w:sz w:val="18"/>
                            <w:szCs w:val="18"/>
                          </w:rPr>
                        </w:pPr>
                        <w:r>
                          <w:rPr>
                            <w:rFonts w:ascii="Times New Roman"/>
                            <w:spacing w:val="-1"/>
                            <w:sz w:val="18"/>
                          </w:rPr>
                          <w:t>-1,511,969.05</w:t>
                        </w:r>
                        <w:r>
                          <w:rPr>
                            <w:rFonts w:ascii="Times New Roman"/>
                            <w:sz w:val="18"/>
                          </w:rPr>
                        </w:r>
                      </w:p>
                    </w:tc>
                    <w:tc>
                      <w:tcPr>
                        <w:tcW w:w="13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4"/>
                          <w:jc w:val="right"/>
                          <w:rPr>
                            <w:rFonts w:ascii="Times New Roman" w:hAnsi="Times New Roman" w:cs="Times New Roman" w:eastAsia="Times New Roman" w:hint="default"/>
                            <w:sz w:val="18"/>
                            <w:szCs w:val="18"/>
                          </w:rPr>
                        </w:pPr>
                        <w:r>
                          <w:rPr>
                            <w:rFonts w:ascii="Times New Roman"/>
                            <w:spacing w:val="-1"/>
                            <w:sz w:val="18"/>
                          </w:rPr>
                          <w:t>24,879,718.07</w:t>
                        </w:r>
                      </w:p>
                    </w:tc>
                    <w:tc>
                      <w:tcPr>
                        <w:tcW w:w="1282" w:type="dxa"/>
                        <w:tcBorders>
                          <w:top w:val="single" w:sz="4" w:space="0" w:color="000000"/>
                          <w:left w:val="single" w:sz="4" w:space="0" w:color="000000"/>
                          <w:bottom w:val="nil" w:sz="6" w:space="0" w:color="auto"/>
                          <w:right w:val="nil" w:sz="6" w:space="0" w:color="auto"/>
                        </w:tcBorders>
                      </w:tcPr>
                      <w:p>
                        <w:pPr>
                          <w:pStyle w:val="TableParagraph"/>
                          <w:spacing w:line="240" w:lineRule="auto" w:before="28"/>
                          <w:ind w:right="1"/>
                          <w:jc w:val="right"/>
                          <w:rPr>
                            <w:rFonts w:ascii="Times New Roman" w:hAnsi="Times New Roman" w:cs="Times New Roman" w:eastAsia="Times New Roman" w:hint="default"/>
                            <w:sz w:val="18"/>
                            <w:szCs w:val="18"/>
                          </w:rPr>
                        </w:pPr>
                        <w:r>
                          <w:rPr>
                            <w:rFonts w:ascii="Times New Roman"/>
                            <w:spacing w:val="-1"/>
                            <w:sz w:val="18"/>
                          </w:rPr>
                          <w:t>745,212,011.49</w:t>
                        </w:r>
                      </w:p>
                    </w:tc>
                  </w:tr>
                  <w:tr>
                    <w:trPr>
                      <w:trHeight w:val="267"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2" w:lineRule="exact"/>
                          <w:ind w:left="16"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37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3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77"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7" w:lineRule="exact"/>
                          <w:ind w:left="16"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224,000,000.00</w:t>
                        </w:r>
                        <w:r>
                          <w:rPr>
                            <w:rFonts w:ascii="Times New Roman"/>
                            <w:sz w:val="18"/>
                          </w:rPr>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86,262,108.98</w:t>
                        </w: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27" w:right="0"/>
                          <w:jc w:val="left"/>
                          <w:rPr>
                            <w:rFonts w:ascii="Times New Roman" w:hAnsi="Times New Roman" w:cs="Times New Roman" w:eastAsia="Times New Roman" w:hint="default"/>
                            <w:sz w:val="18"/>
                            <w:szCs w:val="18"/>
                          </w:rPr>
                        </w:pPr>
                        <w:r>
                          <w:rPr>
                            <w:rFonts w:ascii="Times New Roman"/>
                            <w:sz w:val="18"/>
                          </w:rPr>
                          <w:t>32,255,696.32</w:t>
                        </w: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37" w:right="0"/>
                          <w:jc w:val="left"/>
                          <w:rPr>
                            <w:rFonts w:ascii="Times New Roman" w:hAnsi="Times New Roman" w:cs="Times New Roman" w:eastAsia="Times New Roman" w:hint="default"/>
                            <w:sz w:val="18"/>
                            <w:szCs w:val="18"/>
                          </w:rPr>
                        </w:pPr>
                        <w:r>
                          <w:rPr>
                            <w:rFonts w:ascii="Times New Roman"/>
                            <w:sz w:val="18"/>
                          </w:rPr>
                          <w:t>379,326,457.17</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-1,511,969.05</w:t>
                        </w:r>
                        <w:r>
                          <w:rPr>
                            <w:rFonts w:ascii="Times New Roman"/>
                            <w:sz w:val="18"/>
                          </w:rPr>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4"/>
                          <w:jc w:val="right"/>
                          <w:rPr>
                            <w:rFonts w:ascii="Times New Roman" w:hAnsi="Times New Roman" w:cs="Times New Roman" w:eastAsia="Times New Roman" w:hint="default"/>
                            <w:sz w:val="18"/>
                            <w:szCs w:val="18"/>
                          </w:rPr>
                        </w:pPr>
                        <w:r>
                          <w:rPr>
                            <w:rFonts w:ascii="Times New Roman"/>
                            <w:spacing w:val="-1"/>
                            <w:sz w:val="18"/>
                          </w:rPr>
                          <w:t>24,879,718.07</w:t>
                        </w:r>
                      </w:p>
                    </w:tc>
                    <w:tc>
                      <w:tcPr>
                        <w:tcW w:w="1282"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745,212,011.49</w:t>
                        </w:r>
                      </w:p>
                    </w:tc>
                  </w:tr>
                  <w:tr>
                    <w:trPr>
                      <w:trHeight w:val="271"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34" w:lineRule="exact"/>
                          <w:ind w:left="16"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
                          <w:jc w:val="right"/>
                          <w:rPr>
                            <w:rFonts w:ascii="Times New Roman" w:hAnsi="Times New Roman" w:cs="Times New Roman" w:eastAsia="Times New Roman" w:hint="default"/>
                            <w:sz w:val="18"/>
                            <w:szCs w:val="18"/>
                          </w:rPr>
                        </w:pPr>
                        <w:r>
                          <w:rPr>
                            <w:rFonts w:ascii="Times New Roman"/>
                            <w:spacing w:val="-1"/>
                            <w:sz w:val="18"/>
                          </w:rPr>
                          <w:t>7,602,355.17</w:t>
                        </w:r>
                        <w:r>
                          <w:rPr>
                            <w:rFonts w:ascii="Times New Roman"/>
                            <w:sz w:val="18"/>
                          </w:rPr>
                        </w: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27" w:right="0"/>
                          <w:jc w:val="left"/>
                          <w:rPr>
                            <w:rFonts w:ascii="Times New Roman" w:hAnsi="Times New Roman" w:cs="Times New Roman" w:eastAsia="Times New Roman" w:hint="default"/>
                            <w:sz w:val="18"/>
                            <w:szCs w:val="18"/>
                          </w:rPr>
                        </w:pPr>
                        <w:r>
                          <w:rPr>
                            <w:rFonts w:ascii="Times New Roman"/>
                            <w:sz w:val="18"/>
                          </w:rPr>
                          <w:t>13,932,122.05</w:t>
                        </w: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37" w:right="0"/>
                          <w:jc w:val="left"/>
                          <w:rPr>
                            <w:rFonts w:ascii="Times New Roman" w:hAnsi="Times New Roman" w:cs="Times New Roman" w:eastAsia="Times New Roman" w:hint="default"/>
                            <w:sz w:val="18"/>
                            <w:szCs w:val="18"/>
                          </w:rPr>
                        </w:pPr>
                        <w:r>
                          <w:rPr>
                            <w:rFonts w:ascii="Times New Roman"/>
                            <w:sz w:val="18"/>
                          </w:rPr>
                          <w:t>132,765,750.20</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0"/>
                          <w:jc w:val="right"/>
                          <w:rPr>
                            <w:rFonts w:ascii="Times New Roman" w:hAnsi="Times New Roman" w:cs="Times New Roman" w:eastAsia="Times New Roman" w:hint="default"/>
                            <w:sz w:val="18"/>
                            <w:szCs w:val="18"/>
                          </w:rPr>
                        </w:pPr>
                        <w:r>
                          <w:rPr>
                            <w:rFonts w:ascii="Times New Roman"/>
                            <w:spacing w:val="-1"/>
                            <w:sz w:val="18"/>
                          </w:rPr>
                          <w:t>-2,157,144.14</w:t>
                        </w:r>
                        <w:r>
                          <w:rPr>
                            <w:rFonts w:ascii="Times New Roman"/>
                            <w:sz w:val="18"/>
                          </w:rPr>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0"/>
                          <w:jc w:val="right"/>
                          <w:rPr>
                            <w:rFonts w:ascii="Times New Roman" w:hAnsi="Times New Roman" w:cs="Times New Roman" w:eastAsia="Times New Roman" w:hint="default"/>
                            <w:sz w:val="18"/>
                            <w:szCs w:val="18"/>
                          </w:rPr>
                        </w:pPr>
                        <w:r>
                          <w:rPr>
                            <w:rFonts w:ascii="Times New Roman"/>
                            <w:spacing w:val="-1"/>
                            <w:sz w:val="18"/>
                          </w:rPr>
                          <w:t>8,441,441.48</w:t>
                        </w:r>
                        <w:r>
                          <w:rPr>
                            <w:rFonts w:ascii="Times New Roman"/>
                            <w:sz w:val="18"/>
                          </w:rPr>
                        </w:r>
                      </w:p>
                    </w:tc>
                    <w:tc>
                      <w:tcPr>
                        <w:tcW w:w="1282"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
                          <w:jc w:val="right"/>
                          <w:rPr>
                            <w:rFonts w:ascii="Times New Roman" w:hAnsi="Times New Roman" w:cs="Times New Roman" w:eastAsia="Times New Roman" w:hint="default"/>
                            <w:sz w:val="18"/>
                            <w:szCs w:val="18"/>
                          </w:rPr>
                        </w:pPr>
                        <w:r>
                          <w:rPr>
                            <w:rFonts w:ascii="Times New Roman"/>
                            <w:spacing w:val="-1"/>
                            <w:sz w:val="18"/>
                          </w:rPr>
                          <w:t>160,584,524.76</w:t>
                        </w:r>
                        <w:r>
                          <w:rPr>
                            <w:rFonts w:ascii="Times New Roman"/>
                            <w:sz w:val="18"/>
                          </w:rPr>
                        </w: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1" w:lineRule="exact"/>
                          <w:ind w:left="199"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37" w:right="0"/>
                          <w:jc w:val="left"/>
                          <w:rPr>
                            <w:rFonts w:ascii="Times New Roman" w:hAnsi="Times New Roman" w:cs="Times New Roman" w:eastAsia="Times New Roman" w:hint="default"/>
                            <w:sz w:val="18"/>
                            <w:szCs w:val="18"/>
                          </w:rPr>
                        </w:pPr>
                        <w:r>
                          <w:rPr>
                            <w:rFonts w:ascii="Times New Roman"/>
                            <w:sz w:val="18"/>
                          </w:rPr>
                          <w:t>213,897,872.25</w:t>
                        </w: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4"/>
                          <w:jc w:val="right"/>
                          <w:rPr>
                            <w:rFonts w:ascii="Times New Roman" w:hAnsi="Times New Roman" w:cs="Times New Roman" w:eastAsia="Times New Roman" w:hint="default"/>
                            <w:sz w:val="18"/>
                            <w:szCs w:val="18"/>
                          </w:rPr>
                        </w:pPr>
                        <w:r>
                          <w:rPr>
                            <w:rFonts w:ascii="Times New Roman"/>
                            <w:spacing w:val="-1"/>
                            <w:sz w:val="18"/>
                          </w:rPr>
                          <w:t>14,751,514.05</w:t>
                        </w:r>
                      </w:p>
                    </w:tc>
                    <w:tc>
                      <w:tcPr>
                        <w:tcW w:w="1282"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
                          <w:jc w:val="right"/>
                          <w:rPr>
                            <w:rFonts w:ascii="Times New Roman" w:hAnsi="Times New Roman" w:cs="Times New Roman" w:eastAsia="Times New Roman" w:hint="default"/>
                            <w:sz w:val="18"/>
                            <w:szCs w:val="18"/>
                          </w:rPr>
                        </w:pPr>
                        <w:r>
                          <w:rPr>
                            <w:rFonts w:ascii="Times New Roman"/>
                            <w:spacing w:val="-1"/>
                            <w:sz w:val="18"/>
                          </w:rPr>
                          <w:t>228,649,386.30</w:t>
                        </w:r>
                        <w:r>
                          <w:rPr>
                            <w:rFonts w:ascii="Times New Roman"/>
                            <w:sz w:val="18"/>
                          </w:rPr>
                        </w: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2" w:lineRule="exact"/>
                          <w:ind w:left="199"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0"/>
                          <w:jc w:val="right"/>
                          <w:rPr>
                            <w:rFonts w:ascii="Times New Roman" w:hAnsi="Times New Roman" w:cs="Times New Roman" w:eastAsia="Times New Roman" w:hint="default"/>
                            <w:sz w:val="18"/>
                            <w:szCs w:val="18"/>
                          </w:rPr>
                        </w:pPr>
                        <w:r>
                          <w:rPr>
                            <w:rFonts w:ascii="Times New Roman"/>
                            <w:spacing w:val="-1"/>
                            <w:sz w:val="18"/>
                          </w:rPr>
                          <w:t>-2,157,144.14</w:t>
                        </w:r>
                        <w:r>
                          <w:rPr>
                            <w:rFonts w:ascii="Times New Roman"/>
                            <w:sz w:val="18"/>
                          </w:rPr>
                        </w: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1"/>
                          <w:jc w:val="right"/>
                          <w:rPr>
                            <w:rFonts w:ascii="Times New Roman" w:hAnsi="Times New Roman" w:cs="Times New Roman" w:eastAsia="Times New Roman" w:hint="default"/>
                            <w:sz w:val="18"/>
                            <w:szCs w:val="18"/>
                          </w:rPr>
                        </w:pPr>
                        <w:r>
                          <w:rPr>
                            <w:rFonts w:ascii="Times New Roman"/>
                            <w:spacing w:val="-1"/>
                            <w:sz w:val="18"/>
                          </w:rPr>
                          <w:t>-2,157,144.14</w:t>
                        </w:r>
                        <w:r>
                          <w:rPr>
                            <w:rFonts w:ascii="Times New Roman"/>
                            <w:sz w:val="18"/>
                          </w:rPr>
                        </w:r>
                      </w:p>
                    </w:tc>
                  </w:tr>
                  <w:tr>
                    <w:trPr>
                      <w:trHeight w:val="271"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34" w:lineRule="exact"/>
                          <w:ind w:left="1240"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小计</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37" w:right="0"/>
                          <w:jc w:val="left"/>
                          <w:rPr>
                            <w:rFonts w:ascii="Times New Roman" w:hAnsi="Times New Roman" w:cs="Times New Roman" w:eastAsia="Times New Roman" w:hint="default"/>
                            <w:sz w:val="18"/>
                            <w:szCs w:val="18"/>
                          </w:rPr>
                        </w:pPr>
                        <w:r>
                          <w:rPr>
                            <w:rFonts w:ascii="Times New Roman"/>
                            <w:sz w:val="18"/>
                          </w:rPr>
                          <w:t>213,897,872.25</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0"/>
                          <w:jc w:val="right"/>
                          <w:rPr>
                            <w:rFonts w:ascii="Times New Roman" w:hAnsi="Times New Roman" w:cs="Times New Roman" w:eastAsia="Times New Roman" w:hint="default"/>
                            <w:sz w:val="18"/>
                            <w:szCs w:val="18"/>
                          </w:rPr>
                        </w:pPr>
                        <w:r>
                          <w:rPr>
                            <w:rFonts w:ascii="Times New Roman"/>
                            <w:spacing w:val="-1"/>
                            <w:sz w:val="18"/>
                          </w:rPr>
                          <w:t>-2,157,144.14</w:t>
                        </w:r>
                        <w:r>
                          <w:rPr>
                            <w:rFonts w:ascii="Times New Roman"/>
                            <w:sz w:val="18"/>
                          </w:rPr>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4"/>
                          <w:jc w:val="right"/>
                          <w:rPr>
                            <w:rFonts w:ascii="Times New Roman" w:hAnsi="Times New Roman" w:cs="Times New Roman" w:eastAsia="Times New Roman" w:hint="default"/>
                            <w:sz w:val="18"/>
                            <w:szCs w:val="18"/>
                          </w:rPr>
                        </w:pPr>
                        <w:r>
                          <w:rPr>
                            <w:rFonts w:ascii="Times New Roman"/>
                            <w:spacing w:val="-1"/>
                            <w:sz w:val="18"/>
                          </w:rPr>
                          <w:t>14,751,514.05</w:t>
                        </w:r>
                      </w:p>
                    </w:tc>
                    <w:tc>
                      <w:tcPr>
                        <w:tcW w:w="1282"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
                          <w:jc w:val="right"/>
                          <w:rPr>
                            <w:rFonts w:ascii="Times New Roman" w:hAnsi="Times New Roman" w:cs="Times New Roman" w:eastAsia="Times New Roman" w:hint="default"/>
                            <w:sz w:val="18"/>
                            <w:szCs w:val="18"/>
                          </w:rPr>
                        </w:pPr>
                        <w:r>
                          <w:rPr>
                            <w:rFonts w:ascii="Times New Roman"/>
                            <w:spacing w:val="-1"/>
                            <w:sz w:val="18"/>
                          </w:rPr>
                          <w:t>226,492,242.16</w:t>
                        </w:r>
                        <w:r>
                          <w:rPr>
                            <w:rFonts w:ascii="Times New Roman"/>
                            <w:sz w:val="18"/>
                          </w:rPr>
                        </w:r>
                      </w:p>
                    </w:tc>
                  </w:tr>
                  <w:tr>
                    <w:trPr>
                      <w:trHeight w:val="267"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1" w:lineRule="exact"/>
                          <w:ind w:left="199"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77"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40" w:lineRule="exact"/>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所有者投入资本</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34" w:lineRule="exact"/>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股份支付计入股东权益的金额</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34" w:lineRule="exact"/>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2" w:lineRule="exact"/>
                          <w:ind w:left="199"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27" w:right="0"/>
                          <w:jc w:val="left"/>
                          <w:rPr>
                            <w:rFonts w:ascii="Times New Roman" w:hAnsi="Times New Roman" w:cs="Times New Roman" w:eastAsia="Times New Roman" w:hint="default"/>
                            <w:sz w:val="18"/>
                            <w:szCs w:val="18"/>
                          </w:rPr>
                        </w:pPr>
                        <w:r>
                          <w:rPr>
                            <w:rFonts w:ascii="Times New Roman"/>
                            <w:sz w:val="18"/>
                          </w:rPr>
                          <w:t>13,932,122.05</w:t>
                        </w: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66" w:right="0"/>
                          <w:jc w:val="left"/>
                          <w:rPr>
                            <w:rFonts w:ascii="Times New Roman" w:hAnsi="Times New Roman" w:cs="Times New Roman" w:eastAsia="Times New Roman" w:hint="default"/>
                            <w:sz w:val="18"/>
                            <w:szCs w:val="18"/>
                          </w:rPr>
                        </w:pPr>
                        <w:r>
                          <w:rPr>
                            <w:rFonts w:ascii="Times New Roman"/>
                            <w:sz w:val="18"/>
                          </w:rPr>
                          <w:t>-81,132,122.05</w:t>
                        </w: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0"/>
                          <w:jc w:val="right"/>
                          <w:rPr>
                            <w:rFonts w:ascii="Times New Roman" w:hAnsi="Times New Roman" w:cs="Times New Roman" w:eastAsia="Times New Roman" w:hint="default"/>
                            <w:sz w:val="18"/>
                            <w:szCs w:val="18"/>
                          </w:rPr>
                        </w:pPr>
                        <w:r>
                          <w:rPr>
                            <w:rFonts w:ascii="Times New Roman"/>
                            <w:spacing w:val="-1"/>
                            <w:sz w:val="18"/>
                          </w:rPr>
                          <w:t>-6,310,072.57</w:t>
                        </w:r>
                        <w:r>
                          <w:rPr>
                            <w:rFonts w:ascii="Times New Roman"/>
                            <w:sz w:val="18"/>
                          </w:rPr>
                        </w:r>
                      </w:p>
                    </w:tc>
                    <w:tc>
                      <w:tcPr>
                        <w:tcW w:w="1282"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1"/>
                          <w:jc w:val="right"/>
                          <w:rPr>
                            <w:rFonts w:ascii="Times New Roman" w:hAnsi="Times New Roman" w:cs="Times New Roman" w:eastAsia="Times New Roman" w:hint="default"/>
                            <w:sz w:val="18"/>
                            <w:szCs w:val="18"/>
                          </w:rPr>
                        </w:pPr>
                        <w:r>
                          <w:rPr>
                            <w:rFonts w:ascii="Times New Roman"/>
                            <w:spacing w:val="-1"/>
                            <w:sz w:val="18"/>
                          </w:rPr>
                          <w:t>-73,510,072.57</w:t>
                        </w:r>
                      </w:p>
                    </w:tc>
                  </w:tr>
                  <w:tr>
                    <w:trPr>
                      <w:trHeight w:val="271"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34" w:lineRule="exact"/>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27" w:right="0"/>
                          <w:jc w:val="left"/>
                          <w:rPr>
                            <w:rFonts w:ascii="Times New Roman" w:hAnsi="Times New Roman" w:cs="Times New Roman" w:eastAsia="Times New Roman" w:hint="default"/>
                            <w:sz w:val="18"/>
                            <w:szCs w:val="18"/>
                          </w:rPr>
                        </w:pPr>
                        <w:r>
                          <w:rPr>
                            <w:rFonts w:ascii="Times New Roman"/>
                            <w:sz w:val="18"/>
                          </w:rPr>
                          <w:t>13,932,122.05</w:t>
                        </w: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66" w:right="0"/>
                          <w:jc w:val="left"/>
                          <w:rPr>
                            <w:rFonts w:ascii="Times New Roman" w:hAnsi="Times New Roman" w:cs="Times New Roman" w:eastAsia="Times New Roman" w:hint="default"/>
                            <w:sz w:val="18"/>
                            <w:szCs w:val="18"/>
                          </w:rPr>
                        </w:pPr>
                        <w:r>
                          <w:rPr>
                            <w:rFonts w:ascii="Times New Roman"/>
                            <w:sz w:val="18"/>
                          </w:rPr>
                          <w:t>-13,932,122.05</w:t>
                        </w: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34" w:lineRule="exact"/>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35" w:lineRule="exact"/>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的分配</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66" w:right="0"/>
                          <w:jc w:val="left"/>
                          <w:rPr>
                            <w:rFonts w:ascii="Times New Roman" w:hAnsi="Times New Roman" w:cs="Times New Roman" w:eastAsia="Times New Roman" w:hint="default"/>
                            <w:sz w:val="18"/>
                            <w:szCs w:val="18"/>
                          </w:rPr>
                        </w:pPr>
                        <w:r>
                          <w:rPr>
                            <w:rFonts w:ascii="Times New Roman"/>
                            <w:sz w:val="18"/>
                          </w:rPr>
                          <w:t>-67,200,000.00</w:t>
                        </w: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0"/>
                          <w:jc w:val="right"/>
                          <w:rPr>
                            <w:rFonts w:ascii="Times New Roman" w:hAnsi="Times New Roman" w:cs="Times New Roman" w:eastAsia="Times New Roman" w:hint="default"/>
                            <w:sz w:val="18"/>
                            <w:szCs w:val="18"/>
                          </w:rPr>
                        </w:pPr>
                        <w:r>
                          <w:rPr>
                            <w:rFonts w:ascii="Times New Roman"/>
                            <w:spacing w:val="-1"/>
                            <w:sz w:val="18"/>
                          </w:rPr>
                          <w:t>-6,310,072.57</w:t>
                        </w:r>
                        <w:r>
                          <w:rPr>
                            <w:rFonts w:ascii="Times New Roman"/>
                            <w:sz w:val="18"/>
                          </w:rPr>
                        </w:r>
                      </w:p>
                    </w:tc>
                    <w:tc>
                      <w:tcPr>
                        <w:tcW w:w="1282"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1"/>
                          <w:jc w:val="right"/>
                          <w:rPr>
                            <w:rFonts w:ascii="Times New Roman" w:hAnsi="Times New Roman" w:cs="Times New Roman" w:eastAsia="Times New Roman" w:hint="default"/>
                            <w:sz w:val="18"/>
                            <w:szCs w:val="18"/>
                          </w:rPr>
                        </w:pPr>
                        <w:r>
                          <w:rPr>
                            <w:rFonts w:ascii="Times New Roman"/>
                            <w:spacing w:val="-1"/>
                            <w:sz w:val="18"/>
                          </w:rPr>
                          <w:t>-73,510,072.57</w:t>
                        </w:r>
                      </w:p>
                    </w:tc>
                  </w:tr>
                  <w:tr>
                    <w:trPr>
                      <w:trHeight w:val="271"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34" w:lineRule="exact"/>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67"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1" w:lineRule="exact"/>
                          <w:ind w:left="199"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77"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40" w:lineRule="exact"/>
                          <w:ind w:left="2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34" w:lineRule="exact"/>
                          <w:ind w:left="2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34" w:lineRule="exact"/>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35" w:lineRule="exact"/>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1" w:lineRule="exact"/>
                          <w:ind w:left="290"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77"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39" w:lineRule="exact"/>
                          <w:ind w:left="3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35" w:lineRule="exact"/>
                          <w:ind w:left="3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
                    </w:tc>
                  </w:tr>
                  <w:tr>
                    <w:trPr>
                      <w:trHeight w:val="277"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1" w:lineRule="exact"/>
                          <w:ind w:left="290"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9"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
                          <w:jc w:val="right"/>
                          <w:rPr>
                            <w:rFonts w:ascii="Times New Roman" w:hAnsi="Times New Roman" w:cs="Times New Roman" w:eastAsia="Times New Roman" w:hint="default"/>
                            <w:sz w:val="18"/>
                            <w:szCs w:val="18"/>
                          </w:rPr>
                        </w:pPr>
                        <w:r>
                          <w:rPr>
                            <w:rFonts w:ascii="Times New Roman"/>
                            <w:spacing w:val="-1"/>
                            <w:sz w:val="18"/>
                          </w:rPr>
                          <w:t>7,602,355.17</w:t>
                        </w:r>
                        <w:r>
                          <w:rPr>
                            <w:rFonts w:ascii="Times New Roman"/>
                            <w:sz w:val="18"/>
                          </w:rPr>
                        </w:r>
                      </w:p>
                    </w:tc>
                    <w:tc>
                      <w:tcPr>
                        <w:tcW w:w="55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4" w:type="dxa"/>
                        <w:vMerge/>
                        <w:tcBorders>
                          <w:left w:val="single" w:sz="4" w:space="0" w:color="000000"/>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
                          <w:jc w:val="right"/>
                          <w:rPr>
                            <w:rFonts w:ascii="Times New Roman" w:hAnsi="Times New Roman" w:cs="Times New Roman" w:eastAsia="Times New Roman" w:hint="default"/>
                            <w:sz w:val="18"/>
                            <w:szCs w:val="18"/>
                          </w:rPr>
                        </w:pPr>
                        <w:r>
                          <w:rPr>
                            <w:rFonts w:ascii="Times New Roman"/>
                            <w:spacing w:val="-1"/>
                            <w:sz w:val="18"/>
                          </w:rPr>
                          <w:t>7,602,355.17</w:t>
                        </w:r>
                        <w:r>
                          <w:rPr>
                            <w:rFonts w:ascii="Times New Roman"/>
                            <w:sz w:val="18"/>
                          </w:rPr>
                        </w:r>
                      </w:p>
                    </w:tc>
                  </w:tr>
                  <w:tr>
                    <w:trPr>
                      <w:trHeight w:val="281" w:hRule="exact"/>
                    </w:trPr>
                    <w:tc>
                      <w:tcPr>
                        <w:tcW w:w="3970" w:type="dxa"/>
                        <w:tcBorders>
                          <w:top w:val="nil" w:sz="6" w:space="0" w:color="auto"/>
                          <w:left w:val="nil" w:sz="6" w:space="0" w:color="auto"/>
                          <w:bottom w:val="single" w:sz="12" w:space="0" w:color="000000"/>
                          <w:right w:val="single" w:sz="4" w:space="0" w:color="000000"/>
                        </w:tcBorders>
                      </w:tcPr>
                      <w:p>
                        <w:pPr>
                          <w:pStyle w:val="TableParagraph"/>
                          <w:spacing w:line="227" w:lineRule="exact"/>
                          <w:ind w:left="16"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4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224,000,000.00</w:t>
                        </w:r>
                        <w:r>
                          <w:rPr>
                            <w:rFonts w:ascii="Times New Roman"/>
                            <w:sz w:val="18"/>
                          </w:rPr>
                        </w:r>
                      </w:p>
                    </w:tc>
                    <w:tc>
                      <w:tcPr>
                        <w:tcW w:w="145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3"/>
                          <w:ind w:right="3"/>
                          <w:jc w:val="right"/>
                          <w:rPr>
                            <w:rFonts w:ascii="Times New Roman" w:hAnsi="Times New Roman" w:cs="Times New Roman" w:eastAsia="Times New Roman" w:hint="default"/>
                            <w:sz w:val="18"/>
                            <w:szCs w:val="18"/>
                          </w:rPr>
                        </w:pPr>
                        <w:r>
                          <w:rPr>
                            <w:rFonts w:ascii="Times New Roman"/>
                            <w:spacing w:val="-1"/>
                            <w:sz w:val="18"/>
                          </w:rPr>
                          <w:t>93,864,464.15</w:t>
                        </w:r>
                        <w:r>
                          <w:rPr>
                            <w:rFonts w:ascii="Times New Roman"/>
                            <w:sz w:val="18"/>
                          </w:rPr>
                        </w:r>
                      </w:p>
                    </w:tc>
                    <w:tc>
                      <w:tcPr>
                        <w:tcW w:w="554" w:type="dxa"/>
                        <w:vMerge/>
                        <w:tcBorders>
                          <w:left w:val="single" w:sz="4" w:space="0" w:color="000000"/>
                          <w:bottom w:val="single" w:sz="12" w:space="0" w:color="000000"/>
                          <w:right w:val="single" w:sz="4" w:space="0" w:color="000000"/>
                        </w:tcBorders>
                      </w:tcPr>
                      <w:p>
                        <w:pPr/>
                      </w:p>
                    </w:tc>
                    <w:tc>
                      <w:tcPr>
                        <w:tcW w:w="509" w:type="dxa"/>
                        <w:vMerge/>
                        <w:tcBorders>
                          <w:left w:val="single" w:sz="4" w:space="0" w:color="000000"/>
                          <w:bottom w:val="single" w:sz="12" w:space="0" w:color="000000"/>
                          <w:right w:val="single" w:sz="4" w:space="0" w:color="000000"/>
                        </w:tcBorders>
                      </w:tcPr>
                      <w:p>
                        <w:pP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3"/>
                          <w:ind w:left="227" w:right="0"/>
                          <w:jc w:val="left"/>
                          <w:rPr>
                            <w:rFonts w:ascii="Times New Roman" w:hAnsi="Times New Roman" w:cs="Times New Roman" w:eastAsia="Times New Roman" w:hint="default"/>
                            <w:sz w:val="18"/>
                            <w:szCs w:val="18"/>
                          </w:rPr>
                        </w:pPr>
                        <w:r>
                          <w:rPr>
                            <w:rFonts w:ascii="Times New Roman"/>
                            <w:sz w:val="18"/>
                          </w:rPr>
                          <w:t>46,187,818.37</w:t>
                        </w:r>
                      </w:p>
                    </w:tc>
                    <w:tc>
                      <w:tcPr>
                        <w:tcW w:w="634" w:type="dxa"/>
                        <w:vMerge/>
                        <w:tcBorders>
                          <w:left w:val="single" w:sz="4" w:space="0" w:color="000000"/>
                          <w:bottom w:val="single" w:sz="12" w:space="0" w:color="000000"/>
                          <w:right w:val="single" w:sz="4" w:space="0" w:color="000000"/>
                        </w:tcBorders>
                      </w:tcPr>
                      <w:p>
                        <w:pPr/>
                      </w:p>
                    </w:tc>
                    <w:tc>
                      <w:tcPr>
                        <w:tcW w:w="13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3"/>
                          <w:ind w:left="237" w:right="0"/>
                          <w:jc w:val="left"/>
                          <w:rPr>
                            <w:rFonts w:ascii="Times New Roman" w:hAnsi="Times New Roman" w:cs="Times New Roman" w:eastAsia="Times New Roman" w:hint="default"/>
                            <w:sz w:val="18"/>
                            <w:szCs w:val="18"/>
                          </w:rPr>
                        </w:pPr>
                        <w:r>
                          <w:rPr>
                            <w:rFonts w:ascii="Times New Roman"/>
                            <w:sz w:val="18"/>
                          </w:rPr>
                          <w:t>512,092,207.37</w:t>
                        </w:r>
                      </w:p>
                    </w:tc>
                    <w:tc>
                      <w:tcPr>
                        <w:tcW w:w="12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-3,669,113.19</w:t>
                        </w:r>
                      </w:p>
                    </w:tc>
                    <w:tc>
                      <w:tcPr>
                        <w:tcW w:w="13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3"/>
                          <w:ind w:right="4"/>
                          <w:jc w:val="right"/>
                          <w:rPr>
                            <w:rFonts w:ascii="Times New Roman" w:hAnsi="Times New Roman" w:cs="Times New Roman" w:eastAsia="Times New Roman" w:hint="default"/>
                            <w:sz w:val="18"/>
                            <w:szCs w:val="18"/>
                          </w:rPr>
                        </w:pPr>
                        <w:r>
                          <w:rPr>
                            <w:rFonts w:ascii="Times New Roman"/>
                            <w:spacing w:val="-1"/>
                            <w:sz w:val="18"/>
                          </w:rPr>
                          <w:t>33,321,159.55</w:t>
                        </w:r>
                      </w:p>
                    </w:tc>
                    <w:tc>
                      <w:tcPr>
                        <w:tcW w:w="1282" w:type="dxa"/>
                        <w:tcBorders>
                          <w:top w:val="nil" w:sz="6" w:space="0" w:color="auto"/>
                          <w:left w:val="single" w:sz="4" w:space="0" w:color="000000"/>
                          <w:bottom w:val="single" w:sz="12" w:space="0" w:color="000000"/>
                          <w:right w:val="nil" w:sz="6" w:space="0" w:color="auto"/>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pacing w:val="-1"/>
                            <w:sz w:val="18"/>
                          </w:rPr>
                          <w:t>905,796,536.25</w:t>
                        </w:r>
                        <w:r>
                          <w:rPr>
                            <w:rFonts w:ascii="Times New Roman"/>
                            <w:sz w:val="18"/>
                          </w:rPr>
                        </w:r>
                      </w:p>
                    </w:tc>
                  </w:tr>
                </w:tbl>
                <w:p>
                  <w:pPr/>
                </w:p>
              </w:txbxContent>
            </v:textbox>
            <w10:wrap type="none"/>
          </v:shape>
        </w:pict>
      </w:r>
    </w:p>
    <w:p>
      <w:pPr>
        <w:spacing w:after="0"/>
        <w:rPr>
          <w:sz w:val="2"/>
          <w:szCs w:val="2"/>
        </w:rPr>
        <w:sectPr>
          <w:footerReference w:type="default" r:id="rId30"/>
          <w:pgSz w:w="16850" w:h="11900" w:orient="landscape"/>
          <w:pgMar w:footer="706" w:header="718" w:top="1120" w:bottom="900" w:left="820" w:right="840"/>
          <w:pgNumType w:start="72"/>
        </w:sectPr>
      </w:pPr>
    </w:p>
    <w:p>
      <w:pPr>
        <w:pStyle w:val="BodyText"/>
        <w:tabs>
          <w:tab w:pos="5862" w:val="left" w:leader="none"/>
          <w:tab w:pos="12056" w:val="left" w:leader="none"/>
        </w:tabs>
        <w:spacing w:line="240" w:lineRule="auto" w:before="30"/>
        <w:ind w:left="508" w:right="0"/>
        <w:jc w:val="left"/>
      </w:pPr>
      <w:r>
        <w:rPr/>
        <w:pict>
          <v:group style="position:absolute;margin-left:55.200001pt;margin-top:2.843701pt;width:731.55pt;height:.1pt;mso-position-horizontal-relative:page;mso-position-vertical-relative:paragraph;z-index:-771712" coordorigin="1104,57" coordsize="14631,2">
            <v:shape style="position:absolute;left:1104;top:57;width:14631;height:2" coordorigin="1104,57" coordsize="14631,0" path="m1104,57l15734,57e" filled="false" stroked="true" strokeweight=".72pt" strokecolor="#000000">
              <v:path arrowok="t"/>
            </v:shape>
            <w10:wrap type="none"/>
          </v:group>
        </w:pict>
      </w:r>
      <w:r>
        <w:rPr>
          <w:spacing w:val="-1"/>
        </w:rPr>
        <w:t>法定代表人：李仲初</w:t>
        <w:tab/>
      </w:r>
      <w:r>
        <w:rPr>
          <w:spacing w:val="-2"/>
        </w:rPr>
        <w:t>主管会计工作负责人：赖德源</w:t>
        <w:tab/>
        <w:t>会计机构负责人：李天达</w:t>
      </w:r>
    </w:p>
    <w:p>
      <w:pPr>
        <w:spacing w:after="0" w:line="240" w:lineRule="auto"/>
        <w:jc w:val="left"/>
        <w:sectPr>
          <w:pgSz w:w="16850" w:h="11900" w:orient="landscape"/>
          <w:pgMar w:header="718" w:footer="706" w:top="1060" w:bottom="900" w:left="980" w:right="980"/>
        </w:sectPr>
      </w:pPr>
    </w:p>
    <w:p>
      <w:pPr>
        <w:spacing w:before="71"/>
        <w:ind w:left="19" w:right="1" w:firstLine="0"/>
        <w:jc w:val="center"/>
        <w:rPr>
          <w:rFonts w:ascii="Times New Roman" w:hAnsi="Times New Roman" w:cs="Times New Roman" w:eastAsia="Times New Roman" w:hint="default"/>
          <w:sz w:val="32"/>
          <w:szCs w:val="32"/>
        </w:rPr>
      </w:pPr>
      <w:r>
        <w:rPr/>
        <w:pict>
          <v:group style="position:absolute;margin-left:55.200001pt;margin-top:5.917527pt;width:484.45pt;height:.1pt;mso-position-horizontal-relative:page;mso-position-vertical-relative:paragraph;z-index:-771688" coordorigin="1104,118" coordsize="9689,2">
            <v:shape style="position:absolute;left:1104;top:118;width:9689;height:2" coordorigin="1104,118" coordsize="9689,0" path="m1104,118l10793,118e" filled="false" stroked="true" strokeweight=".72pt" strokecolor="#000000">
              <v:path arrowok="t"/>
            </v:shape>
            <w10:wrap type="none"/>
          </v:group>
        </w:pict>
      </w:r>
      <w:r>
        <w:rPr>
          <w:rFonts w:ascii="黑体" w:hAnsi="黑体" w:cs="黑体" w:eastAsia="黑体" w:hint="default"/>
          <w:b/>
          <w:bCs/>
          <w:sz w:val="32"/>
          <w:szCs w:val="32"/>
        </w:rPr>
        <w:t>母公司资产负债表</w:t>
      </w:r>
      <w:r>
        <w:rPr>
          <w:rFonts w:ascii="Times New Roman" w:hAnsi="Times New Roman" w:cs="Times New Roman" w:eastAsia="Times New Roman" w:hint="default"/>
          <w:b/>
          <w:bCs/>
          <w:sz w:val="32"/>
          <w:szCs w:val="32"/>
        </w:rPr>
        <w:t>(</w:t>
      </w:r>
      <w:r>
        <w:rPr>
          <w:rFonts w:ascii="黑体" w:hAnsi="黑体" w:cs="黑体" w:eastAsia="黑体" w:hint="default"/>
          <w:b/>
          <w:bCs/>
          <w:sz w:val="32"/>
          <w:szCs w:val="32"/>
        </w:rPr>
        <w:t>资产</w:t>
      </w:r>
      <w:r>
        <w:rPr>
          <w:rFonts w:ascii="Times New Roman" w:hAnsi="Times New Roman" w:cs="Times New Roman" w:eastAsia="Times New Roman" w:hint="default"/>
          <w:b/>
          <w:bCs/>
          <w:sz w:val="32"/>
          <w:szCs w:val="32"/>
        </w:rPr>
        <w:t>)</w:t>
      </w:r>
      <w:r>
        <w:rPr>
          <w:rFonts w:ascii="Times New Roman" w:hAnsi="Times New Roman" w:cs="Times New Roman" w:eastAsia="Times New Roman" w:hint="default"/>
          <w:sz w:val="32"/>
          <w:szCs w:val="32"/>
        </w:rPr>
      </w:r>
    </w:p>
    <w:p>
      <w:pPr>
        <w:spacing w:line="240" w:lineRule="auto" w:before="3"/>
        <w:rPr>
          <w:rFonts w:ascii="Times New Roman" w:hAnsi="Times New Roman" w:cs="Times New Roman" w:eastAsia="Times New Roman" w:hint="default"/>
          <w:b/>
          <w:bCs/>
          <w:sz w:val="31"/>
          <w:szCs w:val="31"/>
        </w:rPr>
      </w:pPr>
    </w:p>
    <w:p>
      <w:pPr>
        <w:pStyle w:val="BodyText"/>
        <w:tabs>
          <w:tab w:pos="7369" w:val="left" w:leader="none"/>
        </w:tabs>
        <w:spacing w:line="240" w:lineRule="auto"/>
        <w:ind w:left="17" w:right="0"/>
        <w:jc w:val="center"/>
      </w:pPr>
      <w:r>
        <w:rPr>
          <w:spacing w:val="-2"/>
        </w:rPr>
        <w:t>编制单位：北京中长石基信息技术股份有限公司</w:t>
        <w:tab/>
        <w:t>单位：人民币元</w:t>
      </w:r>
      <w:r>
        <w:rPr/>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584"/>
        <w:gridCol w:w="1102"/>
        <w:gridCol w:w="2088"/>
        <w:gridCol w:w="2088"/>
      </w:tblGrid>
      <w:tr>
        <w:trPr>
          <w:trHeight w:val="360" w:hRule="exact"/>
        </w:trPr>
        <w:tc>
          <w:tcPr>
            <w:tcW w:w="4584" w:type="dxa"/>
            <w:tcBorders>
              <w:top w:val="single" w:sz="12" w:space="0" w:color="000000"/>
              <w:left w:val="nil" w:sz="6" w:space="0" w:color="auto"/>
              <w:bottom w:val="single" w:sz="4" w:space="0" w:color="000000"/>
              <w:right w:val="single" w:sz="4" w:space="0" w:color="000000"/>
            </w:tcBorders>
          </w:tcPr>
          <w:p>
            <w:pPr>
              <w:pStyle w:val="TableParagraph"/>
              <w:tabs>
                <w:tab w:pos="753" w:val="left" w:leader="none"/>
              </w:tabs>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资</w:t>
              <w:tab/>
              <w:t>产</w:t>
            </w:r>
          </w:p>
        </w:tc>
        <w:tc>
          <w:tcPr>
            <w:tcW w:w="1102"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088" w:type="dxa"/>
            <w:tcBorders>
              <w:top w:val="single" w:sz="12" w:space="0" w:color="000000"/>
              <w:left w:val="single" w:sz="4" w:space="0" w:color="000000"/>
              <w:bottom w:val="single" w:sz="4" w:space="0" w:color="000000"/>
              <w:right w:val="single" w:sz="4" w:space="0" w:color="000000"/>
            </w:tcBorders>
          </w:tcPr>
          <w:p>
            <w:pPr>
              <w:pStyle w:val="TableParagraph"/>
              <w:spacing w:line="290" w:lineRule="exact"/>
              <w:ind w:right="165"/>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88" w:type="dxa"/>
            <w:tcBorders>
              <w:top w:val="single" w:sz="12" w:space="0" w:color="000000"/>
              <w:left w:val="single" w:sz="4" w:space="0" w:color="000000"/>
              <w:bottom w:val="single" w:sz="4" w:space="0" w:color="000000"/>
              <w:right w:val="nil" w:sz="6" w:space="0" w:color="auto"/>
            </w:tcBorders>
          </w:tcPr>
          <w:p>
            <w:pPr>
              <w:pStyle w:val="TableParagraph"/>
              <w:spacing w:line="290" w:lineRule="exact"/>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44" w:hRule="exact"/>
        </w:trPr>
        <w:tc>
          <w:tcPr>
            <w:tcW w:w="4584" w:type="dxa"/>
            <w:tcBorders>
              <w:top w:val="single" w:sz="4" w:space="0" w:color="000000"/>
              <w:left w:val="nil" w:sz="6" w:space="0" w:color="auto"/>
              <w:bottom w:val="nil" w:sz="6" w:space="0" w:color="auto"/>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02" w:type="dxa"/>
            <w:tcBorders>
              <w:top w:val="single" w:sz="4" w:space="0" w:color="000000"/>
              <w:left w:val="single" w:sz="4" w:space="0" w:color="000000"/>
              <w:bottom w:val="nil" w:sz="6" w:space="0" w:color="auto"/>
              <w:right w:val="single" w:sz="4" w:space="0" w:color="000000"/>
            </w:tcBorders>
          </w:tcPr>
          <w:p>
            <w:pPr/>
          </w:p>
        </w:tc>
        <w:tc>
          <w:tcPr>
            <w:tcW w:w="2088" w:type="dxa"/>
            <w:tcBorders>
              <w:top w:val="single" w:sz="4" w:space="0" w:color="000000"/>
              <w:left w:val="single" w:sz="4" w:space="0" w:color="000000"/>
              <w:bottom w:val="nil" w:sz="6" w:space="0" w:color="auto"/>
              <w:right w:val="single" w:sz="4" w:space="0" w:color="000000"/>
            </w:tcBorders>
          </w:tcPr>
          <w:p>
            <w:pPr/>
          </w:p>
        </w:tc>
        <w:tc>
          <w:tcPr>
            <w:tcW w:w="2088" w:type="dxa"/>
            <w:tcBorders>
              <w:top w:val="single" w:sz="4" w:space="0" w:color="000000"/>
              <w:left w:val="single" w:sz="4" w:space="0" w:color="000000"/>
              <w:bottom w:val="nil" w:sz="6" w:space="0" w:color="auto"/>
              <w:right w:val="nil" w:sz="6" w:space="0" w:color="auto"/>
            </w:tcBorders>
          </w:tcPr>
          <w:p>
            <w:pPr/>
          </w:p>
        </w:tc>
      </w:tr>
      <w:tr>
        <w:trPr>
          <w:trHeight w:val="342"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82,654,828.91</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224,363,560.34</w:t>
            </w:r>
          </w:p>
        </w:tc>
      </w:tr>
      <w:tr>
        <w:trPr>
          <w:trHeight w:val="337"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2" w:lineRule="exact"/>
              <w:ind w:left="33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1"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5"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十一</w:t>
            </w:r>
            <w:r>
              <w:rPr>
                <w:rFonts w:ascii="Times New Roman" w:hAnsi="Times New Roman" w:cs="Times New Roman" w:eastAsia="Times New Roman" w:hint="default"/>
                <w:sz w:val="21"/>
                <w:szCs w:val="21"/>
              </w:rPr>
              <w:t>).1</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14,942,394.57</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20,068,193.59</w:t>
            </w:r>
          </w:p>
        </w:tc>
      </w:tr>
      <w:tr>
        <w:trPr>
          <w:trHeight w:val="337"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69" w:lineRule="exact"/>
              <w:ind w:left="33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pacing w:val="-1"/>
                <w:sz w:val="21"/>
              </w:rPr>
              <w:t>8,773,923.03</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21"/>
                <w:szCs w:val="21"/>
              </w:rPr>
            </w:pPr>
            <w:r>
              <w:rPr>
                <w:rFonts w:ascii="Times New Roman"/>
                <w:spacing w:val="-1"/>
                <w:sz w:val="21"/>
              </w:rPr>
              <w:t>9,656,611.03</w:t>
            </w:r>
          </w:p>
        </w:tc>
      </w:tr>
      <w:tr>
        <w:trPr>
          <w:trHeight w:val="337"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2" w:lineRule="exact"/>
              <w:ind w:left="33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5"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十一</w:t>
            </w:r>
            <w:r>
              <w:rPr>
                <w:rFonts w:ascii="Times New Roman" w:hAnsi="Times New Roman" w:cs="Times New Roman" w:eastAsia="Times New Roman" w:hint="default"/>
                <w:sz w:val="21"/>
                <w:szCs w:val="21"/>
              </w:rPr>
              <w:t>).2</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201,495,516.50</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56,870,798.34</w:t>
            </w:r>
          </w:p>
        </w:tc>
      </w:tr>
      <w:tr>
        <w:trPr>
          <w:trHeight w:val="338"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0" w:lineRule="exact"/>
              <w:ind w:left="33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20,826,030.39</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1"/>
                <w:sz w:val="21"/>
              </w:rPr>
              <w:t>30,512,143.38</w:t>
            </w:r>
          </w:p>
        </w:tc>
      </w:tr>
      <w:tr>
        <w:trPr>
          <w:trHeight w:val="336"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2" w:lineRule="exact"/>
              <w:ind w:left="33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4"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54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98"/>
              <w:jc w:val="right"/>
              <w:rPr>
                <w:rFonts w:ascii="Times New Roman" w:hAnsi="Times New Roman" w:cs="Times New Roman" w:eastAsia="Times New Roman" w:hint="default"/>
                <w:sz w:val="21"/>
                <w:szCs w:val="21"/>
              </w:rPr>
            </w:pPr>
            <w:r>
              <w:rPr>
                <w:rFonts w:ascii="Times New Roman"/>
                <w:spacing w:val="-1"/>
                <w:sz w:val="21"/>
              </w:rPr>
              <w:t>328,692,693.40</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5"/>
              <w:ind w:right="103"/>
              <w:jc w:val="right"/>
              <w:rPr>
                <w:rFonts w:ascii="Times New Roman" w:hAnsi="Times New Roman" w:cs="Times New Roman" w:eastAsia="Times New Roman" w:hint="default"/>
                <w:sz w:val="21"/>
                <w:szCs w:val="21"/>
              </w:rPr>
            </w:pPr>
            <w:r>
              <w:rPr>
                <w:rFonts w:ascii="Times New Roman"/>
                <w:spacing w:val="-1"/>
                <w:sz w:val="21"/>
              </w:rPr>
              <w:t>341,471,306.68</w:t>
            </w:r>
          </w:p>
        </w:tc>
      </w:tr>
      <w:tr>
        <w:trPr>
          <w:trHeight w:val="336"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1"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3"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十一</w:t>
            </w:r>
            <w:r>
              <w:rPr>
                <w:rFonts w:ascii="Times New Roman" w:hAnsi="Times New Roman" w:cs="Times New Roman" w:eastAsia="Times New Roman" w:hint="default"/>
                <w:sz w:val="21"/>
                <w:szCs w:val="21"/>
              </w:rPr>
              <w:t>).3</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388,093,500.00</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239,843,500.00</w:t>
            </w:r>
          </w:p>
        </w:tc>
      </w:tr>
      <w:tr>
        <w:trPr>
          <w:trHeight w:val="337"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2" w:lineRule="exact"/>
              <w:ind w:left="33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2"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118,925,410.95</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125,439,708.55</w:t>
            </w:r>
          </w:p>
        </w:tc>
      </w:tr>
      <w:tr>
        <w:trPr>
          <w:trHeight w:val="337"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2" w:lineRule="exact"/>
              <w:ind w:left="33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1"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1"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2"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45,973,674.10</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58,845,076.42</w:t>
            </w:r>
          </w:p>
        </w:tc>
      </w:tr>
      <w:tr>
        <w:trPr>
          <w:trHeight w:val="337"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2" w:lineRule="exact"/>
              <w:ind w:left="33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1"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1"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2"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02"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552,992,585.05</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424,128,284.97</w:t>
            </w:r>
          </w:p>
        </w:tc>
      </w:tr>
      <w:tr>
        <w:trPr>
          <w:trHeight w:val="356" w:hRule="exact"/>
        </w:trPr>
        <w:tc>
          <w:tcPr>
            <w:tcW w:w="4584" w:type="dxa"/>
            <w:tcBorders>
              <w:top w:val="nil" w:sz="6" w:space="0" w:color="auto"/>
              <w:left w:val="nil" w:sz="6" w:space="0" w:color="auto"/>
              <w:bottom w:val="single" w:sz="12" w:space="0" w:color="000000"/>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102" w:type="dxa"/>
            <w:tcBorders>
              <w:top w:val="nil" w:sz="6" w:space="0" w:color="auto"/>
              <w:left w:val="single" w:sz="4" w:space="0" w:color="000000"/>
              <w:bottom w:val="single" w:sz="12" w:space="0" w:color="000000"/>
              <w:right w:val="single" w:sz="4" w:space="0" w:color="000000"/>
            </w:tcBorders>
          </w:tcPr>
          <w:p>
            <w:pPr/>
          </w:p>
        </w:tc>
        <w:tc>
          <w:tcPr>
            <w:tcW w:w="208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881,685,278.45</w:t>
            </w:r>
          </w:p>
        </w:tc>
        <w:tc>
          <w:tcPr>
            <w:tcW w:w="2088" w:type="dxa"/>
            <w:tcBorders>
              <w:top w:val="nil" w:sz="6" w:space="0" w:color="auto"/>
              <w:left w:val="single" w:sz="4" w:space="0" w:color="000000"/>
              <w:bottom w:val="single" w:sz="12"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765,599,591.65</w:t>
            </w:r>
          </w:p>
        </w:tc>
      </w:tr>
    </w:tbl>
    <w:p>
      <w:pPr>
        <w:pStyle w:val="BodyText"/>
        <w:tabs>
          <w:tab w:pos="3172" w:val="left" w:leader="none"/>
          <w:tab w:pos="7058" w:val="left" w:leader="none"/>
        </w:tabs>
        <w:spacing w:line="240" w:lineRule="auto" w:before="86"/>
        <w:ind w:left="232" w:right="0"/>
        <w:jc w:val="left"/>
      </w:pPr>
      <w:r>
        <w:rPr>
          <w:spacing w:val="-1"/>
        </w:rPr>
        <w:t>法定代表人：李仲初</w:t>
        <w:tab/>
      </w:r>
      <w:r>
        <w:rPr>
          <w:spacing w:val="-2"/>
        </w:rPr>
        <w:t>主管会计工作负责人：赖德源</w:t>
        <w:tab/>
        <w:t>会计机构负责人：李天达</w:t>
      </w:r>
    </w:p>
    <w:p>
      <w:pPr>
        <w:spacing w:after="0" w:line="240" w:lineRule="auto"/>
        <w:jc w:val="left"/>
        <w:sectPr>
          <w:headerReference w:type="default" r:id="rId31"/>
          <w:footerReference w:type="default" r:id="rId32"/>
          <w:pgSz w:w="11900" w:h="16850"/>
          <w:pgMar w:header="718" w:footer="917" w:top="1060" w:bottom="1100" w:left="900" w:right="920"/>
        </w:sectPr>
      </w:pPr>
    </w:p>
    <w:p>
      <w:pPr>
        <w:spacing w:line="392" w:lineRule="exact" w:before="0"/>
        <w:ind w:left="19" w:right="4" w:firstLine="0"/>
        <w:jc w:val="center"/>
        <w:rPr>
          <w:rFonts w:ascii="Times New Roman" w:hAnsi="Times New Roman" w:cs="Times New Roman" w:eastAsia="Times New Roman" w:hint="default"/>
          <w:sz w:val="32"/>
          <w:szCs w:val="32"/>
        </w:rPr>
      </w:pPr>
      <w:r>
        <w:rPr/>
        <w:pict>
          <v:group style="position:absolute;margin-left:55.200001pt;margin-top:-.165pt;width:484.45pt;height:.1pt;mso-position-horizontal-relative:page;mso-position-vertical-relative:paragraph;z-index:2824" coordorigin="1104,-3" coordsize="9689,2">
            <v:shape style="position:absolute;left:1104;top:-3;width:9689;height:2" coordorigin="1104,-3" coordsize="9689,0" path="m1104,-3l10793,-3e" filled="false" stroked="true" strokeweight=".72pt" strokecolor="#000000">
              <v:path arrowok="t"/>
            </v:shape>
            <w10:wrap type="none"/>
          </v:group>
        </w:pict>
      </w:r>
      <w:r>
        <w:rPr>
          <w:rFonts w:ascii="黑体" w:hAnsi="黑体" w:cs="黑体" w:eastAsia="黑体" w:hint="default"/>
          <w:b/>
          <w:bCs/>
          <w:sz w:val="32"/>
          <w:szCs w:val="32"/>
        </w:rPr>
        <w:t>母公司资产负债表</w:t>
      </w:r>
      <w:r>
        <w:rPr>
          <w:rFonts w:ascii="Times New Roman" w:hAnsi="Times New Roman" w:cs="Times New Roman" w:eastAsia="Times New Roman" w:hint="default"/>
          <w:b/>
          <w:bCs/>
          <w:sz w:val="32"/>
          <w:szCs w:val="32"/>
        </w:rPr>
        <w:t>(</w:t>
      </w:r>
      <w:r>
        <w:rPr>
          <w:rFonts w:ascii="黑体" w:hAnsi="黑体" w:cs="黑体" w:eastAsia="黑体" w:hint="default"/>
          <w:b/>
          <w:bCs/>
          <w:sz w:val="32"/>
          <w:szCs w:val="32"/>
        </w:rPr>
        <w:t>负债及股东权益</w:t>
      </w:r>
      <w:r>
        <w:rPr>
          <w:rFonts w:ascii="Times New Roman" w:hAnsi="Times New Roman" w:cs="Times New Roman" w:eastAsia="Times New Roman" w:hint="default"/>
          <w:b/>
          <w:bCs/>
          <w:sz w:val="32"/>
          <w:szCs w:val="32"/>
        </w:rPr>
        <w:t>)</w:t>
      </w:r>
      <w:r>
        <w:rPr>
          <w:rFonts w:ascii="Times New Roman" w:hAnsi="Times New Roman" w:cs="Times New Roman" w:eastAsia="Times New Roman" w:hint="default"/>
          <w:sz w:val="32"/>
          <w:szCs w:val="32"/>
        </w:rPr>
      </w:r>
    </w:p>
    <w:p>
      <w:pPr>
        <w:pStyle w:val="BodyText"/>
        <w:tabs>
          <w:tab w:pos="7371" w:val="left" w:leader="none"/>
        </w:tabs>
        <w:spacing w:line="240" w:lineRule="auto" w:before="112"/>
        <w:ind w:left="19" w:right="0"/>
        <w:jc w:val="center"/>
      </w:pPr>
      <w:r>
        <w:rPr>
          <w:spacing w:val="-2"/>
        </w:rPr>
        <w:t>编制单位：北京中长石基信息技术股份有限公司</w:t>
        <w:tab/>
        <w:t>单位：人民币元</w:t>
      </w:r>
      <w:r>
        <w:rPr/>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584"/>
        <w:gridCol w:w="1102"/>
        <w:gridCol w:w="2088"/>
        <w:gridCol w:w="2088"/>
      </w:tblGrid>
      <w:tr>
        <w:trPr>
          <w:trHeight w:val="360" w:hRule="exact"/>
        </w:trPr>
        <w:tc>
          <w:tcPr>
            <w:tcW w:w="4584"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722"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tc>
        <w:tc>
          <w:tcPr>
            <w:tcW w:w="1102"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335"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088" w:type="dxa"/>
            <w:tcBorders>
              <w:top w:val="single" w:sz="12" w:space="0" w:color="000000"/>
              <w:left w:val="single" w:sz="4" w:space="0" w:color="000000"/>
              <w:bottom w:val="single" w:sz="4" w:space="0" w:color="000000"/>
              <w:right w:val="single" w:sz="4" w:space="0" w:color="000000"/>
            </w:tcBorders>
          </w:tcPr>
          <w:p>
            <w:pPr>
              <w:pStyle w:val="TableParagraph"/>
              <w:spacing w:line="290" w:lineRule="exact"/>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88" w:type="dxa"/>
            <w:tcBorders>
              <w:top w:val="single" w:sz="12" w:space="0" w:color="000000"/>
              <w:left w:val="single" w:sz="4" w:space="0" w:color="000000"/>
              <w:bottom w:val="single" w:sz="4" w:space="0" w:color="000000"/>
              <w:right w:val="nil" w:sz="6" w:space="0" w:color="auto"/>
            </w:tcBorders>
          </w:tcPr>
          <w:p>
            <w:pPr>
              <w:pStyle w:val="TableParagraph"/>
              <w:spacing w:line="290" w:lineRule="exact"/>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44" w:hRule="exact"/>
        </w:trPr>
        <w:tc>
          <w:tcPr>
            <w:tcW w:w="4584" w:type="dxa"/>
            <w:tcBorders>
              <w:top w:val="single" w:sz="4" w:space="0" w:color="000000"/>
              <w:left w:val="nil" w:sz="6" w:space="0" w:color="auto"/>
              <w:bottom w:val="nil" w:sz="6" w:space="0" w:color="auto"/>
              <w:right w:val="single" w:sz="4" w:space="0" w:color="000000"/>
            </w:tcBorders>
          </w:tcPr>
          <w:p>
            <w:pPr>
              <w:pStyle w:val="TableParagraph"/>
              <w:spacing w:line="274" w:lineRule="exact"/>
              <w:ind w:left="22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102" w:type="dxa"/>
            <w:vMerge w:val="restart"/>
            <w:tcBorders>
              <w:top w:val="single" w:sz="4" w:space="0" w:color="000000"/>
              <w:left w:val="single" w:sz="4" w:space="0" w:color="000000"/>
              <w:right w:val="single" w:sz="4" w:space="0" w:color="000000"/>
            </w:tcBorders>
          </w:tcPr>
          <w:p>
            <w:pPr/>
          </w:p>
        </w:tc>
        <w:tc>
          <w:tcPr>
            <w:tcW w:w="2088" w:type="dxa"/>
            <w:tcBorders>
              <w:top w:val="single" w:sz="4" w:space="0" w:color="000000"/>
              <w:left w:val="single" w:sz="4" w:space="0" w:color="000000"/>
              <w:bottom w:val="nil" w:sz="6" w:space="0" w:color="auto"/>
              <w:right w:val="single" w:sz="4" w:space="0" w:color="000000"/>
            </w:tcBorders>
          </w:tcPr>
          <w:p>
            <w:pPr/>
          </w:p>
        </w:tc>
        <w:tc>
          <w:tcPr>
            <w:tcW w:w="2088" w:type="dxa"/>
            <w:tcBorders>
              <w:top w:val="single" w:sz="4" w:space="0" w:color="000000"/>
              <w:left w:val="single" w:sz="4" w:space="0" w:color="000000"/>
              <w:bottom w:val="nil" w:sz="6" w:space="0" w:color="auto"/>
              <w:right w:val="nil" w:sz="6" w:space="0" w:color="auto"/>
            </w:tcBorders>
          </w:tcPr>
          <w:p>
            <w:pPr/>
          </w:p>
        </w:tc>
      </w:tr>
      <w:tr>
        <w:trPr>
          <w:trHeight w:val="341"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3"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17,340,782.89</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12,481,241.57</w:t>
            </w: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4" w:lineRule="exact"/>
              <w:ind w:left="33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9,034,500.88</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7,609,044.70</w:t>
            </w:r>
          </w:p>
        </w:tc>
      </w:tr>
      <w:tr>
        <w:trPr>
          <w:trHeight w:val="341"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2" w:lineRule="exact"/>
              <w:ind w:left="33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3,157,800.59</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2,896,723.86</w:t>
            </w: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2" w:lineRule="exact"/>
              <w:ind w:left="33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279,747.91</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-2,994,267.59</w:t>
            </w:r>
          </w:p>
        </w:tc>
      </w:tr>
      <w:tr>
        <w:trPr>
          <w:trHeight w:val="337"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4" w:lineRule="exact"/>
              <w:ind w:left="33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3"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214,556,670.98</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177,549,314.36</w:t>
            </w:r>
          </w:p>
        </w:tc>
      </w:tr>
      <w:tr>
        <w:trPr>
          <w:trHeight w:val="337"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4" w:lineRule="exact"/>
              <w:ind w:left="33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3"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12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244,369,503.25</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197,542,056.90</w:t>
            </w:r>
          </w:p>
        </w:tc>
      </w:tr>
      <w:tr>
        <w:trPr>
          <w:trHeight w:val="337"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1"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1"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2"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528,614.17</w:t>
            </w:r>
          </w:p>
        </w:tc>
      </w:tr>
      <w:tr>
        <w:trPr>
          <w:trHeight w:val="337"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2"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3"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12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528,614.17</w:t>
            </w: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244,369,503.25</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198,070,671.07</w:t>
            </w:r>
          </w:p>
        </w:tc>
      </w:tr>
      <w:tr>
        <w:trPr>
          <w:trHeight w:val="337"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3"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309,120,000.00</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224,000,000.00</w:t>
            </w: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4" w:lineRule="exact"/>
              <w:ind w:left="33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27,370,876.40</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109,772,355.17</w:t>
            </w:r>
          </w:p>
        </w:tc>
      </w:tr>
      <w:tr>
        <w:trPr>
          <w:trHeight w:val="337"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2" w:lineRule="exact"/>
              <w:ind w:left="33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1"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2"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55,134,651.71</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46,187,818.37</w:t>
            </w:r>
          </w:p>
        </w:tc>
      </w:tr>
      <w:tr>
        <w:trPr>
          <w:trHeight w:val="337"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2" w:lineRule="exact"/>
              <w:ind w:left="33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
        </w:tc>
        <w:tc>
          <w:tcPr>
            <w:tcW w:w="2088" w:type="dxa"/>
            <w:tcBorders>
              <w:top w:val="nil" w:sz="6" w:space="0" w:color="auto"/>
              <w:left w:val="single" w:sz="4" w:space="0" w:color="000000"/>
              <w:bottom w:val="nil" w:sz="6" w:space="0" w:color="auto"/>
              <w:right w:val="nil" w:sz="6" w:space="0" w:color="auto"/>
            </w:tcBorders>
          </w:tcPr>
          <w:p>
            <w:pPr/>
          </w:p>
        </w:tc>
      </w:tr>
      <w:tr>
        <w:trPr>
          <w:trHeight w:val="343"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33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245,690,247.09</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187,568,747.04</w:t>
            </w:r>
          </w:p>
        </w:tc>
      </w:tr>
      <w:tr>
        <w:trPr>
          <w:trHeight w:val="340" w:hRule="exact"/>
        </w:trPr>
        <w:tc>
          <w:tcPr>
            <w:tcW w:w="4584" w:type="dxa"/>
            <w:tcBorders>
              <w:top w:val="nil" w:sz="6" w:space="0" w:color="auto"/>
              <w:left w:val="nil" w:sz="6" w:space="0" w:color="auto"/>
              <w:bottom w:val="nil" w:sz="6" w:space="0" w:color="auto"/>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102" w:type="dxa"/>
            <w:vMerge/>
            <w:tcBorders>
              <w:left w:val="single" w:sz="4" w:space="0" w:color="000000"/>
              <w:right w:val="single" w:sz="4" w:space="0" w:color="000000"/>
            </w:tcBorders>
          </w:tcPr>
          <w:p>
            <w:pP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637,315,775.20</w:t>
            </w:r>
          </w:p>
        </w:tc>
        <w:tc>
          <w:tcPr>
            <w:tcW w:w="2088"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567,528,920.58</w:t>
            </w:r>
          </w:p>
        </w:tc>
      </w:tr>
      <w:tr>
        <w:trPr>
          <w:trHeight w:val="353" w:hRule="exact"/>
        </w:trPr>
        <w:tc>
          <w:tcPr>
            <w:tcW w:w="4584" w:type="dxa"/>
            <w:tcBorders>
              <w:top w:val="nil" w:sz="6" w:space="0" w:color="auto"/>
              <w:left w:val="nil" w:sz="6" w:space="0" w:color="auto"/>
              <w:bottom w:val="single" w:sz="12" w:space="0" w:color="000000"/>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负债和所有者权益（股东权益）总计</w:t>
            </w:r>
          </w:p>
        </w:tc>
        <w:tc>
          <w:tcPr>
            <w:tcW w:w="1102" w:type="dxa"/>
            <w:vMerge/>
            <w:tcBorders>
              <w:left w:val="single" w:sz="4" w:space="0" w:color="000000"/>
              <w:bottom w:val="single" w:sz="12" w:space="0" w:color="000000"/>
              <w:right w:val="single" w:sz="4" w:space="0" w:color="000000"/>
            </w:tcBorders>
          </w:tcPr>
          <w:p>
            <w:pPr/>
          </w:p>
        </w:tc>
        <w:tc>
          <w:tcPr>
            <w:tcW w:w="208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881,685,278.45</w:t>
            </w:r>
          </w:p>
        </w:tc>
        <w:tc>
          <w:tcPr>
            <w:tcW w:w="2088" w:type="dxa"/>
            <w:tcBorders>
              <w:top w:val="nil" w:sz="6" w:space="0" w:color="auto"/>
              <w:left w:val="single" w:sz="4" w:space="0" w:color="000000"/>
              <w:bottom w:val="single" w:sz="12"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765,599,591.65</w:t>
            </w:r>
          </w:p>
        </w:tc>
      </w:tr>
    </w:tbl>
    <w:p>
      <w:pPr>
        <w:pStyle w:val="BodyText"/>
        <w:tabs>
          <w:tab w:pos="3384" w:val="left" w:leader="none"/>
          <w:tab w:pos="7477" w:val="left" w:leader="none"/>
        </w:tabs>
        <w:spacing w:line="240" w:lineRule="auto" w:before="86"/>
        <w:ind w:left="232" w:right="0"/>
        <w:jc w:val="left"/>
      </w:pPr>
      <w:r>
        <w:rPr>
          <w:spacing w:val="-1"/>
        </w:rPr>
        <w:t>法定代表人：李仲初</w:t>
        <w:tab/>
      </w:r>
      <w:r>
        <w:rPr>
          <w:spacing w:val="-2"/>
        </w:rPr>
        <w:t>主管会计工作负责人：赖德源</w:t>
        <w:tab/>
        <w:t>会计机构负责人：李天达</w:t>
      </w:r>
    </w:p>
    <w:p>
      <w:pPr>
        <w:spacing w:after="0" w:line="240" w:lineRule="auto"/>
        <w:jc w:val="left"/>
        <w:sectPr>
          <w:footerReference w:type="default" r:id="rId33"/>
          <w:pgSz w:w="11900" w:h="16850"/>
          <w:pgMar w:footer="708" w:header="718" w:top="1120" w:bottom="900" w:left="900" w:right="920"/>
          <w:pgNumType w:start="75"/>
        </w:sectPr>
      </w:pPr>
    </w:p>
    <w:p>
      <w:pPr>
        <w:spacing w:before="9"/>
        <w:ind w:left="19" w:right="2" w:firstLine="0"/>
        <w:jc w:val="center"/>
        <w:rPr>
          <w:rFonts w:ascii="黑体" w:hAnsi="黑体" w:cs="黑体" w:eastAsia="黑体" w:hint="default"/>
          <w:sz w:val="32"/>
          <w:szCs w:val="32"/>
        </w:rPr>
      </w:pPr>
      <w:r>
        <w:rPr/>
        <w:pict>
          <v:group style="position:absolute;margin-left:55.200001pt;margin-top:2.817522pt;width:484.45pt;height:.1pt;mso-position-horizontal-relative:page;mso-position-vertical-relative:paragraph;z-index:-771640" coordorigin="1104,56" coordsize="9689,2">
            <v:shape style="position:absolute;left:1104;top:56;width:9689;height:2" coordorigin="1104,56" coordsize="9689,0" path="m1104,56l10793,56e" filled="false" stroked="true" strokeweight=".72pt" strokecolor="#000000">
              <v:path arrowok="t"/>
            </v:shape>
            <w10:wrap type="none"/>
          </v:group>
        </w:pict>
      </w:r>
      <w:r>
        <w:rPr>
          <w:rFonts w:ascii="黑体" w:hAnsi="黑体" w:cs="黑体" w:eastAsia="黑体" w:hint="default"/>
          <w:b/>
          <w:bCs/>
          <w:sz w:val="32"/>
          <w:szCs w:val="32"/>
        </w:rPr>
        <w:t>母公司利润表</w:t>
      </w:r>
      <w:r>
        <w:rPr>
          <w:rFonts w:ascii="黑体" w:hAnsi="黑体" w:cs="黑体" w:eastAsia="黑体" w:hint="default"/>
          <w:sz w:val="32"/>
          <w:szCs w:val="32"/>
        </w:rPr>
      </w:r>
    </w:p>
    <w:p>
      <w:pPr>
        <w:pStyle w:val="BodyText"/>
        <w:tabs>
          <w:tab w:pos="7371" w:val="left" w:leader="none"/>
        </w:tabs>
        <w:spacing w:line="240" w:lineRule="auto" w:before="259"/>
        <w:ind w:left="19" w:right="0"/>
        <w:jc w:val="center"/>
      </w:pPr>
      <w:r>
        <w:rPr>
          <w:spacing w:val="-2"/>
        </w:rPr>
        <w:t>编制单位：北京中长石基信息技术股份有限公司</w:t>
        <w:tab/>
        <w:t>单位：人民币元</w:t>
      </w:r>
      <w:r>
        <w:rPr/>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030"/>
        <w:gridCol w:w="1082"/>
        <w:gridCol w:w="1858"/>
        <w:gridCol w:w="1891"/>
      </w:tblGrid>
      <w:tr>
        <w:trPr>
          <w:trHeight w:val="362" w:hRule="exact"/>
        </w:trPr>
        <w:tc>
          <w:tcPr>
            <w:tcW w:w="5030"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18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4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9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left="4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50" w:hRule="exact"/>
        </w:trPr>
        <w:tc>
          <w:tcPr>
            <w:tcW w:w="5030" w:type="dxa"/>
            <w:tcBorders>
              <w:top w:val="single" w:sz="4" w:space="0" w:color="000000"/>
              <w:left w:val="nil" w:sz="6" w:space="0" w:color="auto"/>
              <w:bottom w:val="nil" w:sz="6" w:space="0" w:color="auto"/>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82" w:type="dxa"/>
            <w:tcBorders>
              <w:top w:val="single" w:sz="4" w:space="0" w:color="000000"/>
              <w:left w:val="single" w:sz="4" w:space="0" w:color="000000"/>
              <w:bottom w:val="nil" w:sz="6" w:space="0" w:color="auto"/>
              <w:right w:val="single" w:sz="4" w:space="0" w:color="000000"/>
            </w:tcBorders>
          </w:tcPr>
          <w:p>
            <w:pPr>
              <w:pStyle w:val="TableParagraph"/>
              <w:spacing w:line="290"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十一</w:t>
            </w:r>
            <w:r>
              <w:rPr>
                <w:rFonts w:ascii="Times New Roman" w:hAnsi="Times New Roman" w:cs="Times New Roman" w:eastAsia="Times New Roman" w:hint="default"/>
                <w:sz w:val="21"/>
                <w:szCs w:val="21"/>
              </w:rPr>
              <w:t>).4</w:t>
            </w:r>
          </w:p>
        </w:tc>
        <w:tc>
          <w:tcPr>
            <w:tcW w:w="18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153,844,449.96</w:t>
            </w:r>
          </w:p>
        </w:tc>
        <w:tc>
          <w:tcPr>
            <w:tcW w:w="1891" w:type="dxa"/>
            <w:tcBorders>
              <w:top w:val="single" w:sz="4" w:space="0" w:color="000000"/>
              <w:left w:val="single" w:sz="4" w:space="0" w:color="000000"/>
              <w:bottom w:val="nil" w:sz="6" w:space="0" w:color="auto"/>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123,834,912.51</w:t>
            </w:r>
          </w:p>
        </w:tc>
      </w:tr>
      <w:tr>
        <w:trPr>
          <w:trHeight w:val="340"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82" w:type="dxa"/>
            <w:tcBorders>
              <w:top w:val="nil" w:sz="6" w:space="0" w:color="auto"/>
              <w:left w:val="single" w:sz="4" w:space="0" w:color="000000"/>
              <w:bottom w:val="nil" w:sz="6" w:space="0" w:color="auto"/>
              <w:right w:val="single" w:sz="4" w:space="0" w:color="000000"/>
            </w:tcBorders>
          </w:tcPr>
          <w:p>
            <w:pPr>
              <w:pStyle w:val="TableParagraph"/>
              <w:spacing w:line="286"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十一</w:t>
            </w:r>
            <w:r>
              <w:rPr>
                <w:rFonts w:ascii="Times New Roman" w:hAnsi="Times New Roman" w:cs="Times New Roman" w:eastAsia="Times New Roman" w:hint="default"/>
                <w:sz w:val="21"/>
                <w:szCs w:val="21"/>
              </w:rPr>
              <w:t>).4</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pacing w:val="-1"/>
                <w:sz w:val="21"/>
              </w:rPr>
              <w:t>124,748,078.90</w:t>
            </w:r>
          </w:p>
        </w:tc>
        <w:tc>
          <w:tcPr>
            <w:tcW w:w="1891"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3"/>
              <w:jc w:val="right"/>
              <w:rPr>
                <w:rFonts w:ascii="Times New Roman" w:hAnsi="Times New Roman" w:cs="Times New Roman" w:eastAsia="Times New Roman" w:hint="default"/>
                <w:sz w:val="21"/>
                <w:szCs w:val="21"/>
              </w:rPr>
            </w:pPr>
            <w:r>
              <w:rPr>
                <w:rFonts w:ascii="Times New Roman"/>
                <w:spacing w:val="-1"/>
                <w:sz w:val="21"/>
              </w:rPr>
              <w:t>102,942,638.23</w:t>
            </w:r>
          </w:p>
        </w:tc>
      </w:tr>
      <w:tr>
        <w:trPr>
          <w:trHeight w:val="337"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69" w:lineRule="exact"/>
              <w:ind w:left="54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pacing w:val="-1"/>
                <w:sz w:val="21"/>
              </w:rPr>
              <w:t>729,271.09</w:t>
            </w:r>
          </w:p>
        </w:tc>
        <w:tc>
          <w:tcPr>
            <w:tcW w:w="1891"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21"/>
                <w:szCs w:val="21"/>
              </w:rPr>
            </w:pPr>
            <w:r>
              <w:rPr>
                <w:rFonts w:ascii="Times New Roman"/>
                <w:spacing w:val="-1"/>
                <w:sz w:val="21"/>
              </w:rPr>
              <w:t>732,556.96</w:t>
            </w:r>
          </w:p>
        </w:tc>
      </w:tr>
      <w:tr>
        <w:trPr>
          <w:trHeight w:val="340"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72" w:lineRule="exact"/>
              <w:ind w:left="544" w:right="0"/>
              <w:jc w:val="left"/>
              <w:rPr>
                <w:rFonts w:ascii="宋体" w:hAnsi="宋体" w:cs="宋体" w:eastAsia="宋体" w:hint="default"/>
                <w:sz w:val="21"/>
                <w:szCs w:val="21"/>
              </w:rPr>
            </w:pPr>
            <w:r>
              <w:rPr>
                <w:rFonts w:ascii="宋体" w:hAnsi="宋体" w:cs="宋体" w:eastAsia="宋体" w:hint="default"/>
                <w:spacing w:val="-3"/>
                <w:sz w:val="21"/>
                <w:szCs w:val="21"/>
              </w:rPr>
              <w:t>销售费用</w:t>
            </w:r>
            <w:r>
              <w:rPr>
                <w:rFonts w:ascii="宋体" w:hAnsi="宋体" w:cs="宋体" w:eastAsia="宋体" w:hint="default"/>
                <w:sz w:val="21"/>
                <w:szCs w:val="21"/>
              </w:rPr>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3,491,682.71</w:t>
            </w:r>
          </w:p>
        </w:tc>
        <w:tc>
          <w:tcPr>
            <w:tcW w:w="189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1"/>
                <w:sz w:val="21"/>
              </w:rPr>
              <w:t>1,947,980.93</w:t>
            </w:r>
          </w:p>
        </w:tc>
      </w:tr>
      <w:tr>
        <w:trPr>
          <w:trHeight w:val="340"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74" w:lineRule="exact"/>
              <w:ind w:left="544" w:right="0"/>
              <w:jc w:val="left"/>
              <w:rPr>
                <w:rFonts w:ascii="宋体" w:hAnsi="宋体" w:cs="宋体" w:eastAsia="宋体" w:hint="default"/>
                <w:sz w:val="21"/>
                <w:szCs w:val="21"/>
              </w:rPr>
            </w:pPr>
            <w:r>
              <w:rPr>
                <w:rFonts w:ascii="宋体" w:hAnsi="宋体" w:cs="宋体" w:eastAsia="宋体" w:hint="default"/>
                <w:spacing w:val="-3"/>
                <w:sz w:val="21"/>
                <w:szCs w:val="21"/>
              </w:rPr>
              <w:t>管理费用</w:t>
            </w:r>
            <w:r>
              <w:rPr>
                <w:rFonts w:ascii="宋体" w:hAnsi="宋体" w:cs="宋体" w:eastAsia="宋体" w:hint="default"/>
                <w:sz w:val="21"/>
                <w:szCs w:val="21"/>
              </w:rPr>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26,172,315.81</w:t>
            </w:r>
          </w:p>
        </w:tc>
        <w:tc>
          <w:tcPr>
            <w:tcW w:w="1891"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59,375,173.70</w:t>
            </w:r>
          </w:p>
        </w:tc>
      </w:tr>
      <w:tr>
        <w:trPr>
          <w:trHeight w:val="341"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72" w:lineRule="exact"/>
              <w:ind w:left="544" w:right="0"/>
              <w:jc w:val="left"/>
              <w:rPr>
                <w:rFonts w:ascii="宋体" w:hAnsi="宋体" w:cs="宋体" w:eastAsia="宋体" w:hint="default"/>
                <w:sz w:val="21"/>
                <w:szCs w:val="21"/>
              </w:rPr>
            </w:pPr>
            <w:r>
              <w:rPr>
                <w:rFonts w:ascii="宋体" w:hAnsi="宋体" w:cs="宋体" w:eastAsia="宋体" w:hint="default"/>
                <w:spacing w:val="-3"/>
                <w:sz w:val="21"/>
                <w:szCs w:val="21"/>
              </w:rPr>
              <w:t>财务费用</w:t>
            </w:r>
            <w:r>
              <w:rPr>
                <w:rFonts w:ascii="宋体" w:hAnsi="宋体" w:cs="宋体" w:eastAsia="宋体" w:hint="default"/>
                <w:sz w:val="21"/>
                <w:szCs w:val="21"/>
              </w:rPr>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-8,855,751.93</w:t>
            </w:r>
          </w:p>
        </w:tc>
        <w:tc>
          <w:tcPr>
            <w:tcW w:w="1891" w:type="dxa"/>
            <w:tcBorders>
              <w:top w:val="nil" w:sz="6" w:space="0" w:color="auto"/>
              <w:left w:val="single" w:sz="4" w:space="0" w:color="000000"/>
              <w:bottom w:val="nil" w:sz="6" w:space="0" w:color="auto"/>
              <w:right w:val="nil" w:sz="6" w:space="0" w:color="auto"/>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-1,873,612.86</w:t>
            </w:r>
          </w:p>
        </w:tc>
      </w:tr>
      <w:tr>
        <w:trPr>
          <w:trHeight w:val="340"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72" w:lineRule="exact"/>
              <w:ind w:left="54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8,819,880.78</w:t>
            </w:r>
          </w:p>
        </w:tc>
        <w:tc>
          <w:tcPr>
            <w:tcW w:w="189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1"/>
                <w:sz w:val="21"/>
              </w:rPr>
              <w:t>3,187,720.06</w:t>
            </w:r>
          </w:p>
        </w:tc>
      </w:tr>
      <w:tr>
        <w:trPr>
          <w:trHeight w:val="343"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90" w:lineRule="exact"/>
              <w:ind w:left="122" w:right="0"/>
              <w:jc w:val="left"/>
              <w:rPr>
                <w:rFonts w:ascii="宋体" w:hAnsi="宋体" w:cs="宋体" w:eastAsia="宋体" w:hint="default"/>
                <w:sz w:val="21"/>
                <w:szCs w:val="21"/>
              </w:rPr>
            </w:pPr>
            <w:r>
              <w:rPr>
                <w:rFonts w:ascii="宋体" w:hAnsi="宋体" w:cs="宋体" w:eastAsia="宋体" w:hint="default"/>
                <w:sz w:val="21"/>
                <w:szCs w:val="21"/>
              </w:rPr>
              <w:t>加：公允价值变动净收益（损失以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nil" w:sz="6" w:space="0" w:color="auto"/>
            </w:tcBorders>
          </w:tcPr>
          <w:p>
            <w:pPr/>
          </w:p>
        </w:tc>
      </w:tr>
      <w:tr>
        <w:trPr>
          <w:trHeight w:val="340"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85" w:lineRule="exact"/>
              <w:ind w:left="544"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2" w:type="dxa"/>
            <w:tcBorders>
              <w:top w:val="nil" w:sz="6" w:space="0" w:color="auto"/>
              <w:left w:val="single" w:sz="4" w:space="0" w:color="000000"/>
              <w:bottom w:val="nil" w:sz="6" w:space="0" w:color="auto"/>
              <w:right w:val="single" w:sz="4" w:space="0" w:color="000000"/>
            </w:tcBorders>
          </w:tcPr>
          <w:p>
            <w:pPr>
              <w:pStyle w:val="TableParagraph"/>
              <w:spacing w:line="285"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十一</w:t>
            </w:r>
            <w:r>
              <w:rPr>
                <w:rFonts w:ascii="Times New Roman" w:hAnsi="Times New Roman" w:cs="Times New Roman" w:eastAsia="Times New Roman" w:hint="default"/>
                <w:sz w:val="21"/>
                <w:szCs w:val="21"/>
              </w:rPr>
              <w:t>).5</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pacing w:val="-1"/>
                <w:sz w:val="21"/>
              </w:rPr>
              <w:t>88,720,457.89</w:t>
            </w:r>
          </w:p>
        </w:tc>
        <w:tc>
          <w:tcPr>
            <w:tcW w:w="1891"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21"/>
                <w:szCs w:val="21"/>
              </w:rPr>
            </w:pPr>
            <w:r>
              <w:rPr>
                <w:rFonts w:ascii="Times New Roman"/>
                <w:spacing w:val="-1"/>
                <w:sz w:val="21"/>
              </w:rPr>
              <w:t>184,151,169.79</w:t>
            </w:r>
          </w:p>
        </w:tc>
      </w:tr>
      <w:tr>
        <w:trPr>
          <w:trHeight w:val="335"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70" w:lineRule="exact"/>
              <w:ind w:left="54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nil" w:sz="6" w:space="0" w:color="auto"/>
            </w:tcBorders>
          </w:tcPr>
          <w:p>
            <w:pPr/>
          </w:p>
        </w:tc>
      </w:tr>
      <w:tr>
        <w:trPr>
          <w:trHeight w:val="345"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122"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87,459,430.49</w:t>
            </w:r>
          </w:p>
        </w:tc>
        <w:tc>
          <w:tcPr>
            <w:tcW w:w="1891"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141,673,625.28</w:t>
            </w:r>
          </w:p>
        </w:tc>
      </w:tr>
      <w:tr>
        <w:trPr>
          <w:trHeight w:val="337"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69" w:lineRule="exact"/>
              <w:ind w:left="12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pacing w:val="-1"/>
                <w:sz w:val="21"/>
              </w:rPr>
              <w:t>1,480,331.46</w:t>
            </w:r>
          </w:p>
        </w:tc>
        <w:tc>
          <w:tcPr>
            <w:tcW w:w="1891"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21"/>
                <w:szCs w:val="21"/>
              </w:rPr>
            </w:pPr>
            <w:r>
              <w:rPr>
                <w:rFonts w:ascii="Times New Roman"/>
                <w:spacing w:val="-1"/>
                <w:sz w:val="21"/>
              </w:rPr>
              <w:t>1,459,630.36</w:t>
            </w:r>
          </w:p>
        </w:tc>
      </w:tr>
      <w:tr>
        <w:trPr>
          <w:trHeight w:val="340"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z w:val="21"/>
              </w:rPr>
              <w:t>42.71</w:t>
            </w:r>
          </w:p>
        </w:tc>
        <w:tc>
          <w:tcPr>
            <w:tcW w:w="189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1"/>
                <w:sz w:val="21"/>
              </w:rPr>
              <w:t>3,002,304.74</w:t>
            </w:r>
          </w:p>
        </w:tc>
      </w:tr>
      <w:tr>
        <w:trPr>
          <w:trHeight w:val="337"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nil" w:sz="6" w:space="0" w:color="auto"/>
            </w:tcBorders>
          </w:tcPr>
          <w:p>
            <w:pPr/>
          </w:p>
        </w:tc>
      </w:tr>
      <w:tr>
        <w:trPr>
          <w:trHeight w:val="345"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88,939,719.24</w:t>
            </w:r>
          </w:p>
        </w:tc>
        <w:tc>
          <w:tcPr>
            <w:tcW w:w="1891" w:type="dxa"/>
            <w:tcBorders>
              <w:top w:val="nil" w:sz="6" w:space="0" w:color="auto"/>
              <w:left w:val="single" w:sz="4" w:space="0" w:color="000000"/>
              <w:bottom w:val="nil" w:sz="6" w:space="0" w:color="auto"/>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140,130,950.90</w:t>
            </w:r>
          </w:p>
        </w:tc>
      </w:tr>
      <w:tr>
        <w:trPr>
          <w:trHeight w:val="337"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pacing w:val="-1"/>
                <w:sz w:val="21"/>
              </w:rPr>
              <w:t>-528,614.15</w:t>
            </w:r>
          </w:p>
        </w:tc>
        <w:tc>
          <w:tcPr>
            <w:tcW w:w="1891"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3"/>
              <w:jc w:val="right"/>
              <w:rPr>
                <w:rFonts w:ascii="Times New Roman" w:hAnsi="Times New Roman" w:cs="Times New Roman" w:eastAsia="Times New Roman" w:hint="default"/>
                <w:sz w:val="21"/>
                <w:szCs w:val="21"/>
              </w:rPr>
            </w:pPr>
            <w:r>
              <w:rPr>
                <w:rFonts w:ascii="Times New Roman"/>
                <w:spacing w:val="-1"/>
                <w:sz w:val="21"/>
              </w:rPr>
              <w:t>809,730.37</w:t>
            </w:r>
          </w:p>
        </w:tc>
      </w:tr>
      <w:tr>
        <w:trPr>
          <w:trHeight w:val="343"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9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89,468,333.39</w:t>
            </w:r>
          </w:p>
        </w:tc>
        <w:tc>
          <w:tcPr>
            <w:tcW w:w="1891"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139,321,220.53</w:t>
            </w:r>
          </w:p>
        </w:tc>
      </w:tr>
      <w:tr>
        <w:trPr>
          <w:trHeight w:val="334"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69" w:lineRule="exact"/>
              <w:ind w:left="122"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nil" w:sz="6" w:space="0" w:color="auto"/>
            </w:tcBorders>
          </w:tcPr>
          <w:p>
            <w:pPr/>
          </w:p>
        </w:tc>
      </w:tr>
      <w:tr>
        <w:trPr>
          <w:trHeight w:val="347"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122" w:right="0"/>
              <w:jc w:val="left"/>
              <w:rPr>
                <w:rFonts w:ascii="宋体" w:hAnsi="宋体" w:cs="宋体" w:eastAsia="宋体" w:hint="default"/>
                <w:sz w:val="21"/>
                <w:szCs w:val="21"/>
              </w:rPr>
            </w:pPr>
            <w:r>
              <w:rPr>
                <w:rFonts w:ascii="宋体" w:hAnsi="宋体" w:cs="宋体" w:eastAsia="宋体" w:hint="default"/>
                <w:sz w:val="21"/>
                <w:szCs w:val="21"/>
              </w:rPr>
              <w:t>（一）基本每股收益（元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nil" w:sz="6" w:space="0" w:color="auto"/>
            </w:tcBorders>
          </w:tcPr>
          <w:p>
            <w:pPr/>
          </w:p>
        </w:tc>
      </w:tr>
      <w:tr>
        <w:trPr>
          <w:trHeight w:val="340"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86" w:lineRule="exact"/>
              <w:ind w:left="122" w:right="0"/>
              <w:jc w:val="left"/>
              <w:rPr>
                <w:rFonts w:ascii="宋体" w:hAnsi="宋体" w:cs="宋体" w:eastAsia="宋体" w:hint="default"/>
                <w:sz w:val="21"/>
                <w:szCs w:val="21"/>
              </w:rPr>
            </w:pPr>
            <w:r>
              <w:rPr>
                <w:rFonts w:ascii="宋体" w:hAnsi="宋体" w:cs="宋体" w:eastAsia="宋体" w:hint="default"/>
                <w:sz w:val="21"/>
                <w:szCs w:val="21"/>
              </w:rPr>
              <w:t>（二）稀释每股收益（元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nil" w:sz="6" w:space="0" w:color="auto"/>
            </w:tcBorders>
          </w:tcPr>
          <w:p>
            <w:pPr/>
          </w:p>
        </w:tc>
      </w:tr>
      <w:tr>
        <w:trPr>
          <w:trHeight w:val="334" w:hRule="exact"/>
        </w:trPr>
        <w:tc>
          <w:tcPr>
            <w:tcW w:w="5030" w:type="dxa"/>
            <w:tcBorders>
              <w:top w:val="nil" w:sz="6" w:space="0" w:color="auto"/>
              <w:left w:val="nil" w:sz="6" w:space="0" w:color="auto"/>
              <w:bottom w:val="nil" w:sz="6" w:space="0" w:color="auto"/>
              <w:right w:val="single" w:sz="4" w:space="0" w:color="000000"/>
            </w:tcBorders>
          </w:tcPr>
          <w:p>
            <w:pPr>
              <w:pStyle w:val="TableParagraph"/>
              <w:spacing w:line="269" w:lineRule="exact"/>
              <w:ind w:left="122"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82" w:type="dxa"/>
            <w:tcBorders>
              <w:top w:val="nil" w:sz="6" w:space="0" w:color="auto"/>
              <w:left w:val="single" w:sz="4" w:space="0" w:color="000000"/>
              <w:bottom w:val="nil" w:sz="6" w:space="0" w:color="auto"/>
              <w:right w:val="single" w:sz="4" w:space="0" w:color="000000"/>
            </w:tcBorders>
          </w:tcPr>
          <w:p>
            <w:pPr/>
          </w:p>
        </w:tc>
        <w:tc>
          <w:tcPr>
            <w:tcW w:w="1858" w:type="dxa"/>
            <w:tcBorders>
              <w:top w:val="nil" w:sz="6" w:space="0" w:color="auto"/>
              <w:left w:val="single" w:sz="4" w:space="0" w:color="000000"/>
              <w:bottom w:val="nil" w:sz="6" w:space="0" w:color="auto"/>
              <w:right w:val="single" w:sz="4" w:space="0" w:color="000000"/>
            </w:tcBorders>
          </w:tcPr>
          <w:p>
            <w:pPr/>
          </w:p>
        </w:tc>
        <w:tc>
          <w:tcPr>
            <w:tcW w:w="1891" w:type="dxa"/>
            <w:tcBorders>
              <w:top w:val="nil" w:sz="6" w:space="0" w:color="auto"/>
              <w:left w:val="single" w:sz="4" w:space="0" w:color="000000"/>
              <w:bottom w:val="nil" w:sz="6" w:space="0" w:color="auto"/>
              <w:right w:val="nil" w:sz="6" w:space="0" w:color="auto"/>
            </w:tcBorders>
          </w:tcPr>
          <w:p>
            <w:pPr/>
          </w:p>
        </w:tc>
      </w:tr>
      <w:tr>
        <w:trPr>
          <w:trHeight w:val="357" w:hRule="exact"/>
        </w:trPr>
        <w:tc>
          <w:tcPr>
            <w:tcW w:w="5030" w:type="dxa"/>
            <w:tcBorders>
              <w:top w:val="nil" w:sz="6" w:space="0" w:color="auto"/>
              <w:left w:val="nil" w:sz="6" w:space="0" w:color="auto"/>
              <w:bottom w:val="single" w:sz="12"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82" w:type="dxa"/>
            <w:tcBorders>
              <w:top w:val="nil" w:sz="6" w:space="0" w:color="auto"/>
              <w:left w:val="single" w:sz="4" w:space="0" w:color="000000"/>
              <w:bottom w:val="single" w:sz="12" w:space="0" w:color="000000"/>
              <w:right w:val="single" w:sz="4" w:space="0" w:color="000000"/>
            </w:tcBorders>
          </w:tcPr>
          <w:p>
            <w:pPr/>
          </w:p>
        </w:tc>
        <w:tc>
          <w:tcPr>
            <w:tcW w:w="18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89,468,333.39</w:t>
            </w:r>
          </w:p>
        </w:tc>
        <w:tc>
          <w:tcPr>
            <w:tcW w:w="1891" w:type="dxa"/>
            <w:tcBorders>
              <w:top w:val="nil" w:sz="6" w:space="0" w:color="auto"/>
              <w:left w:val="single" w:sz="4" w:space="0" w:color="000000"/>
              <w:bottom w:val="single" w:sz="12" w:space="0" w:color="000000"/>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139,321,220.53</w:t>
            </w:r>
          </w:p>
        </w:tc>
      </w:tr>
    </w:tbl>
    <w:p>
      <w:pPr>
        <w:pStyle w:val="BodyText"/>
        <w:tabs>
          <w:tab w:pos="3384" w:val="left" w:leader="none"/>
          <w:tab w:pos="7476" w:val="left" w:leader="none"/>
        </w:tabs>
        <w:spacing w:line="240" w:lineRule="auto" w:before="86"/>
        <w:ind w:left="232" w:right="0"/>
        <w:jc w:val="left"/>
      </w:pPr>
      <w:r>
        <w:rPr>
          <w:spacing w:val="-1"/>
        </w:rPr>
        <w:t>法定代表人：李仲初</w:t>
        <w:tab/>
      </w:r>
      <w:r>
        <w:rPr>
          <w:spacing w:val="-2"/>
        </w:rPr>
        <w:t>主管会计工作负责人：赖德源</w:t>
        <w:tab/>
        <w:t>会计机构负责人：李天达</w:t>
      </w:r>
    </w:p>
    <w:p>
      <w:pPr>
        <w:spacing w:after="0" w:line="240" w:lineRule="auto"/>
        <w:jc w:val="left"/>
        <w:sectPr>
          <w:pgSz w:w="11900" w:h="16850"/>
          <w:pgMar w:header="718" w:footer="708" w:top="1060" w:bottom="900" w:left="900" w:right="920"/>
        </w:sectPr>
      </w:pPr>
    </w:p>
    <w:p>
      <w:pPr>
        <w:spacing w:before="9"/>
        <w:ind w:left="19" w:right="5" w:firstLine="0"/>
        <w:jc w:val="center"/>
        <w:rPr>
          <w:rFonts w:ascii="黑体" w:hAnsi="黑体" w:cs="黑体" w:eastAsia="黑体" w:hint="default"/>
          <w:sz w:val="32"/>
          <w:szCs w:val="32"/>
        </w:rPr>
      </w:pPr>
      <w:r>
        <w:rPr/>
        <w:pict>
          <v:group style="position:absolute;margin-left:55.200001pt;margin-top:2.817522pt;width:484.45pt;height:.1pt;mso-position-horizontal-relative:page;mso-position-vertical-relative:paragraph;z-index:-771616" coordorigin="1104,56" coordsize="9689,2">
            <v:shape style="position:absolute;left:1104;top:56;width:9689;height:2" coordorigin="1104,56" coordsize="9689,0" path="m1104,56l10793,56e" filled="false" stroked="true" strokeweight=".72pt" strokecolor="#000000">
              <v:path arrowok="t"/>
            </v:shape>
            <w10:wrap type="none"/>
          </v:group>
        </w:pict>
      </w:r>
      <w:r>
        <w:rPr>
          <w:rFonts w:ascii="黑体" w:hAnsi="黑体" w:cs="黑体" w:eastAsia="黑体" w:hint="default"/>
          <w:b/>
          <w:bCs/>
          <w:sz w:val="32"/>
          <w:szCs w:val="32"/>
        </w:rPr>
        <w:t>母公司现金流量表</w:t>
      </w:r>
      <w:r>
        <w:rPr>
          <w:rFonts w:ascii="黑体" w:hAnsi="黑体" w:cs="黑体" w:eastAsia="黑体" w:hint="default"/>
          <w:sz w:val="32"/>
          <w:szCs w:val="32"/>
        </w:rPr>
      </w:r>
    </w:p>
    <w:p>
      <w:pPr>
        <w:pStyle w:val="BodyText"/>
        <w:tabs>
          <w:tab w:pos="7371" w:val="left" w:leader="none"/>
        </w:tabs>
        <w:spacing w:line="240" w:lineRule="auto" w:before="45"/>
        <w:ind w:left="19" w:right="0"/>
        <w:jc w:val="center"/>
      </w:pPr>
      <w:r>
        <w:rPr>
          <w:spacing w:val="-2"/>
        </w:rPr>
        <w:t>编制单位：北京中长石基信息技术股份有限公司</w:t>
        <w:tab/>
        <w:t>单位：人民币元</w:t>
      </w:r>
      <w:r>
        <w:rPr/>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218"/>
        <w:gridCol w:w="2558"/>
        <w:gridCol w:w="2086"/>
      </w:tblGrid>
      <w:tr>
        <w:trPr>
          <w:trHeight w:val="305" w:hRule="exact"/>
        </w:trPr>
        <w:tc>
          <w:tcPr>
            <w:tcW w:w="5218" w:type="dxa"/>
            <w:tcBorders>
              <w:top w:val="single" w:sz="12" w:space="0" w:color="000000"/>
              <w:left w:val="nil" w:sz="6" w:space="0" w:color="auto"/>
              <w:bottom w:val="single" w:sz="4" w:space="0" w:color="000000"/>
              <w:right w:val="single" w:sz="4" w:space="0" w:color="000000"/>
            </w:tcBorders>
          </w:tcPr>
          <w:p>
            <w:pPr>
              <w:pStyle w:val="TableParagraph"/>
              <w:tabs>
                <w:tab w:pos="559"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58" w:type="dxa"/>
            <w:tcBorders>
              <w:top w:val="single" w:sz="12" w:space="0" w:color="000000"/>
              <w:left w:val="single" w:sz="4" w:space="0" w:color="000000"/>
              <w:bottom w:val="single" w:sz="4" w:space="0" w:color="000000"/>
              <w:right w:val="single" w:sz="4" w:space="0" w:color="000000"/>
            </w:tcBorders>
          </w:tcPr>
          <w:p>
            <w:pPr>
              <w:pStyle w:val="TableParagraph"/>
              <w:spacing w:line="245"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086" w:type="dxa"/>
            <w:tcBorders>
              <w:top w:val="single" w:sz="12" w:space="0" w:color="000000"/>
              <w:left w:val="single" w:sz="4" w:space="0" w:color="000000"/>
              <w:bottom w:val="single" w:sz="4" w:space="0" w:color="000000"/>
              <w:right w:val="nil" w:sz="6" w:space="0" w:color="auto"/>
            </w:tcBorders>
          </w:tcPr>
          <w:p>
            <w:pPr>
              <w:pStyle w:val="TableParagraph"/>
              <w:spacing w:line="245" w:lineRule="exact"/>
              <w:ind w:left="6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598" w:hRule="exact"/>
        </w:trPr>
        <w:tc>
          <w:tcPr>
            <w:tcW w:w="5218"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2558" w:type="dxa"/>
            <w:tcBorders>
              <w:top w:val="single" w:sz="4" w:space="0" w:color="000000"/>
              <w:left w:val="single" w:sz="4" w:space="0" w:color="000000"/>
              <w:bottom w:val="nil" w:sz="6" w:space="0" w:color="auto"/>
              <w:right w:val="single" w:sz="4" w:space="0" w:color="000000"/>
            </w:tcBorders>
          </w:tcPr>
          <w:p>
            <w:pPr/>
          </w:p>
        </w:tc>
        <w:tc>
          <w:tcPr>
            <w:tcW w:w="2086" w:type="dxa"/>
            <w:tcBorders>
              <w:top w:val="single" w:sz="4" w:space="0" w:color="000000"/>
              <w:left w:val="single" w:sz="4" w:space="0" w:color="000000"/>
              <w:bottom w:val="nil" w:sz="6" w:space="0" w:color="auto"/>
              <w:right w:val="nil" w:sz="6" w:space="0" w:color="auto"/>
            </w:tcBorders>
          </w:tcPr>
          <w:p>
            <w:pPr/>
          </w:p>
        </w:tc>
      </w:tr>
      <w:tr>
        <w:trPr>
          <w:trHeight w:val="293"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32" w:lineRule="exact"/>
              <w:ind w:left="84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183,332,407.01</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134,763,483.08</w:t>
            </w:r>
            <w:r>
              <w:rPr>
                <w:rFonts w:ascii="Times New Roman"/>
                <w:sz w:val="18"/>
              </w:rPr>
            </w:r>
          </w:p>
        </w:tc>
      </w:tr>
      <w:tr>
        <w:trPr>
          <w:trHeight w:val="284"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2" w:lineRule="exact"/>
              <w:ind w:left="84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1,561,022.66</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1,429,328.01</w:t>
            </w:r>
            <w:r>
              <w:rPr>
                <w:rFonts w:ascii="Times New Roman"/>
                <w:sz w:val="18"/>
              </w:rPr>
            </w:r>
          </w:p>
        </w:tc>
      </w:tr>
      <w:tr>
        <w:trPr>
          <w:trHeight w:val="284"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3" w:lineRule="exact"/>
              <w:ind w:left="844"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96"/>
              <w:jc w:val="right"/>
              <w:rPr>
                <w:rFonts w:ascii="Times New Roman" w:hAnsi="Times New Roman" w:cs="Times New Roman" w:eastAsia="Times New Roman" w:hint="default"/>
                <w:sz w:val="18"/>
                <w:szCs w:val="18"/>
              </w:rPr>
            </w:pPr>
            <w:r>
              <w:rPr>
                <w:rFonts w:ascii="Times New Roman"/>
                <w:spacing w:val="-1"/>
                <w:sz w:val="18"/>
              </w:rPr>
              <w:t>39,985,726.32</w:t>
            </w:r>
            <w:r>
              <w:rPr>
                <w:rFonts w:ascii="Times New Roman"/>
                <w:sz w:val="18"/>
              </w:rPr>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18"/>
                <w:szCs w:val="18"/>
              </w:rPr>
            </w:pPr>
            <w:r>
              <w:rPr>
                <w:rFonts w:ascii="Times New Roman"/>
                <w:spacing w:val="-1"/>
                <w:sz w:val="18"/>
              </w:rPr>
              <w:t>68,783,187.07</w:t>
            </w:r>
          </w:p>
        </w:tc>
      </w:tr>
      <w:tr>
        <w:trPr>
          <w:trHeight w:val="283"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2" w:lineRule="exact"/>
              <w:ind w:left="1022"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224,879,155.99</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204,975,998.16</w:t>
            </w:r>
            <w:r>
              <w:rPr>
                <w:rFonts w:ascii="Times New Roman"/>
                <w:sz w:val="18"/>
              </w:rPr>
            </w:r>
          </w:p>
        </w:tc>
      </w:tr>
      <w:tr>
        <w:trPr>
          <w:trHeight w:val="284"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2" w:lineRule="exact"/>
              <w:ind w:left="84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115,063,145.82</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spacing w:val="-1"/>
                <w:sz w:val="18"/>
              </w:rPr>
              <w:t>97,739,974.42</w:t>
            </w:r>
          </w:p>
        </w:tc>
      </w:tr>
      <w:tr>
        <w:trPr>
          <w:trHeight w:val="284"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3" w:lineRule="exact"/>
              <w:ind w:left="84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8,485,262.53</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6,195,676.29</w:t>
            </w:r>
            <w:r>
              <w:rPr>
                <w:rFonts w:ascii="Times New Roman"/>
                <w:sz w:val="18"/>
              </w:rPr>
            </w:r>
          </w:p>
        </w:tc>
      </w:tr>
      <w:tr>
        <w:trPr>
          <w:trHeight w:val="283"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2" w:lineRule="exact"/>
              <w:ind w:left="84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3,878,317.92</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spacing w:val="-1"/>
                <w:sz w:val="18"/>
              </w:rPr>
              <w:t>20,418,191.40</w:t>
            </w:r>
          </w:p>
        </w:tc>
      </w:tr>
      <w:tr>
        <w:trPr>
          <w:trHeight w:val="284"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2" w:lineRule="exact"/>
              <w:ind w:left="844"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96"/>
              <w:jc w:val="right"/>
              <w:rPr>
                <w:rFonts w:ascii="Times New Roman" w:hAnsi="Times New Roman" w:cs="Times New Roman" w:eastAsia="Times New Roman" w:hint="default"/>
                <w:sz w:val="18"/>
                <w:szCs w:val="18"/>
              </w:rPr>
            </w:pPr>
            <w:r>
              <w:rPr>
                <w:rFonts w:ascii="Times New Roman"/>
                <w:spacing w:val="-1"/>
                <w:sz w:val="18"/>
              </w:rPr>
              <w:t>89,247,496.99</w:t>
            </w:r>
            <w:r>
              <w:rPr>
                <w:rFonts w:ascii="Times New Roman"/>
                <w:sz w:val="18"/>
              </w:rPr>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spacing w:val="-1"/>
                <w:sz w:val="18"/>
              </w:rPr>
              <w:t>55,950,274.76</w:t>
            </w:r>
          </w:p>
        </w:tc>
      </w:tr>
      <w:tr>
        <w:trPr>
          <w:trHeight w:val="284"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3" w:lineRule="exact"/>
              <w:ind w:left="1113"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216,674,223.26</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180,304,116.87</w:t>
            </w:r>
            <w:r>
              <w:rPr>
                <w:rFonts w:ascii="Times New Roman"/>
                <w:sz w:val="18"/>
              </w:rPr>
            </w:r>
          </w:p>
        </w:tc>
      </w:tr>
      <w:tr>
        <w:trPr>
          <w:trHeight w:val="426"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2" w:lineRule="exact"/>
              <w:ind w:left="482"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8,204,932.73</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spacing w:val="-1"/>
                <w:sz w:val="18"/>
              </w:rPr>
              <w:t>24,671,881.29</w:t>
            </w:r>
          </w:p>
        </w:tc>
      </w:tr>
      <w:tr>
        <w:trPr>
          <w:trHeight w:val="416"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255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293"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32" w:lineRule="exact"/>
              <w:ind w:left="844"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720,000,000.00</w:t>
            </w:r>
          </w:p>
        </w:tc>
        <w:tc>
          <w:tcPr>
            <w:tcW w:w="2086" w:type="dxa"/>
            <w:tcBorders>
              <w:top w:val="nil" w:sz="6" w:space="0" w:color="auto"/>
              <w:left w:val="single" w:sz="4" w:space="0" w:color="000000"/>
              <w:bottom w:val="nil" w:sz="6" w:space="0" w:color="auto"/>
              <w:right w:val="nil" w:sz="6" w:space="0" w:color="auto"/>
            </w:tcBorders>
          </w:tcPr>
          <w:p>
            <w:pPr/>
          </w:p>
        </w:tc>
      </w:tr>
      <w:tr>
        <w:trPr>
          <w:trHeight w:val="259"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2" w:lineRule="exact"/>
              <w:ind w:left="84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96"/>
              <w:jc w:val="right"/>
              <w:rPr>
                <w:rFonts w:ascii="Times New Roman" w:hAnsi="Times New Roman" w:cs="Times New Roman" w:eastAsia="Times New Roman" w:hint="default"/>
                <w:sz w:val="18"/>
                <w:szCs w:val="18"/>
              </w:rPr>
            </w:pPr>
            <w:r>
              <w:rPr>
                <w:rFonts w:ascii="Times New Roman"/>
                <w:spacing w:val="-1"/>
                <w:sz w:val="18"/>
              </w:rPr>
              <w:t>28,175,102.25</w:t>
            </w:r>
            <w:r>
              <w:rPr>
                <w:rFonts w:ascii="Times New Roman"/>
                <w:sz w:val="18"/>
              </w:rPr>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spacing w:val="-1"/>
                <w:sz w:val="18"/>
              </w:rPr>
              <w:t>70,948,756.87</w:t>
            </w:r>
          </w:p>
        </w:tc>
      </w:tr>
      <w:tr>
        <w:trPr>
          <w:trHeight w:val="482"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196" w:lineRule="exact"/>
              <w:ind w:left="844"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处置固定资产、无形资产和其他长期资产所收回的现金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255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294"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32" w:lineRule="exact"/>
              <w:ind w:left="4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15,750,000.00</w:t>
            </w:r>
            <w:r>
              <w:rPr>
                <w:rFonts w:ascii="Times New Roman"/>
                <w:sz w:val="18"/>
              </w:rPr>
            </w:r>
          </w:p>
        </w:tc>
        <w:tc>
          <w:tcPr>
            <w:tcW w:w="2086" w:type="dxa"/>
            <w:tcBorders>
              <w:top w:val="nil" w:sz="6" w:space="0" w:color="auto"/>
              <w:left w:val="single" w:sz="4" w:space="0" w:color="000000"/>
              <w:bottom w:val="nil" w:sz="6" w:space="0" w:color="auto"/>
              <w:right w:val="nil" w:sz="6" w:space="0" w:color="auto"/>
            </w:tcBorders>
          </w:tcPr>
          <w:p>
            <w:pPr/>
          </w:p>
        </w:tc>
      </w:tr>
      <w:tr>
        <w:trPr>
          <w:trHeight w:val="275"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3" w:lineRule="exact"/>
              <w:ind w:left="844"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255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293"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32" w:lineRule="exact"/>
              <w:ind w:left="1202"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763,925,102.25</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70,948,756.87</w:t>
            </w:r>
          </w:p>
        </w:tc>
      </w:tr>
      <w:tr>
        <w:trPr>
          <w:trHeight w:val="284"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2" w:lineRule="exact"/>
              <w:ind w:left="844"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购建固定资产、无形资产和其他长期资产所支付的现金</w:t>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pacing w:val="-1"/>
                <w:sz w:val="18"/>
              </w:rPr>
              <w:t>169,610.05</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2,115,652.80</w:t>
            </w:r>
          </w:p>
        </w:tc>
      </w:tr>
      <w:tr>
        <w:trPr>
          <w:trHeight w:val="284"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3" w:lineRule="exact"/>
              <w:ind w:left="844"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750,000,000.00</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18"/>
                <w:szCs w:val="18"/>
              </w:rPr>
            </w:pPr>
            <w:r>
              <w:rPr>
                <w:rFonts w:ascii="Times New Roman"/>
                <w:spacing w:val="-1"/>
                <w:sz w:val="18"/>
              </w:rPr>
              <w:t>15,750,000.00</w:t>
            </w:r>
          </w:p>
        </w:tc>
      </w:tr>
      <w:tr>
        <w:trPr>
          <w:trHeight w:val="283"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2" w:lineRule="exact"/>
              <w:ind w:left="4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141,269,000.00</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275"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2" w:lineRule="exact"/>
              <w:ind w:left="844"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255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294"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33" w:lineRule="exact"/>
              <w:ind w:left="1202"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891,438,610.05</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104"/>
              <w:jc w:val="right"/>
              <w:rPr>
                <w:rFonts w:ascii="Times New Roman" w:hAnsi="Times New Roman" w:cs="Times New Roman" w:eastAsia="Times New Roman" w:hint="default"/>
                <w:sz w:val="18"/>
                <w:szCs w:val="18"/>
              </w:rPr>
            </w:pPr>
            <w:r>
              <w:rPr>
                <w:rFonts w:ascii="Times New Roman"/>
                <w:spacing w:val="-1"/>
                <w:sz w:val="18"/>
              </w:rPr>
              <w:t>72,865,652.80</w:t>
            </w:r>
          </w:p>
        </w:tc>
      </w:tr>
      <w:tr>
        <w:trPr>
          <w:trHeight w:val="426"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2" w:lineRule="exact"/>
              <w:ind w:left="842"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96"/>
              <w:jc w:val="right"/>
              <w:rPr>
                <w:rFonts w:ascii="Times New Roman" w:hAnsi="Times New Roman" w:cs="Times New Roman" w:eastAsia="Times New Roman" w:hint="default"/>
                <w:sz w:val="18"/>
                <w:szCs w:val="18"/>
              </w:rPr>
            </w:pPr>
            <w:r>
              <w:rPr>
                <w:rFonts w:ascii="Times New Roman"/>
                <w:spacing w:val="-1"/>
                <w:sz w:val="18"/>
              </w:rPr>
              <w:t>-127,513,507.80</w:t>
            </w:r>
            <w:r>
              <w:rPr>
                <w:rFonts w:ascii="Times New Roman"/>
                <w:sz w:val="18"/>
              </w:rPr>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-1,916,895.93</w:t>
            </w:r>
            <w:r>
              <w:rPr>
                <w:rFonts w:ascii="Times New Roman"/>
                <w:sz w:val="18"/>
              </w:rPr>
            </w:r>
          </w:p>
        </w:tc>
      </w:tr>
      <w:tr>
        <w:trPr>
          <w:trHeight w:val="416"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255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283"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32" w:lineRule="exact"/>
              <w:ind w:left="844" w:right="0"/>
              <w:jc w:val="left"/>
              <w:rPr>
                <w:rFonts w:ascii="宋体" w:hAnsi="宋体" w:cs="宋体" w:eastAsia="宋体" w:hint="default"/>
                <w:sz w:val="18"/>
                <w:szCs w:val="18"/>
              </w:rPr>
            </w:pPr>
            <w:r>
              <w:rPr>
                <w:rFonts w:ascii="宋体" w:hAnsi="宋体" w:cs="宋体" w:eastAsia="宋体" w:hint="default"/>
                <w:sz w:val="18"/>
                <w:szCs w:val="18"/>
              </w:rPr>
              <w:t>吸收投资所收到的现金</w:t>
            </w:r>
          </w:p>
        </w:tc>
        <w:tc>
          <w:tcPr>
            <w:tcW w:w="255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32" w:lineRule="exact"/>
              <w:ind w:left="844" w:right="0"/>
              <w:jc w:val="left"/>
              <w:rPr>
                <w:rFonts w:ascii="宋体" w:hAnsi="宋体" w:cs="宋体" w:eastAsia="宋体" w:hint="default"/>
                <w:sz w:val="18"/>
                <w:szCs w:val="18"/>
              </w:rPr>
            </w:pPr>
            <w:r>
              <w:rPr>
                <w:rFonts w:ascii="宋体" w:hAnsi="宋体" w:cs="宋体" w:eastAsia="宋体" w:hint="default"/>
                <w:sz w:val="18"/>
                <w:szCs w:val="18"/>
              </w:rPr>
              <w:t>借款所收到的现金</w:t>
            </w:r>
          </w:p>
        </w:tc>
        <w:tc>
          <w:tcPr>
            <w:tcW w:w="255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33" w:lineRule="exact"/>
              <w:ind w:left="844"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255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283"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32" w:lineRule="exact"/>
              <w:ind w:left="1202"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255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284"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32" w:lineRule="exact"/>
              <w:ind w:left="844"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255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294"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33" w:lineRule="exact"/>
              <w:ind w:left="84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Times New Roman"/>
                <w:spacing w:val="-1"/>
                <w:sz w:val="18"/>
              </w:rPr>
              <w:t>22,400,000.00</w:t>
            </w:r>
            <w:r>
              <w:rPr>
                <w:rFonts w:ascii="Times New Roman"/>
                <w:sz w:val="18"/>
              </w:rPr>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104"/>
              <w:jc w:val="right"/>
              <w:rPr>
                <w:rFonts w:ascii="Times New Roman" w:hAnsi="Times New Roman" w:cs="Times New Roman" w:eastAsia="Times New Roman" w:hint="default"/>
                <w:sz w:val="18"/>
                <w:szCs w:val="18"/>
              </w:rPr>
            </w:pPr>
            <w:r>
              <w:rPr>
                <w:rFonts w:ascii="Times New Roman"/>
                <w:spacing w:val="-1"/>
                <w:sz w:val="18"/>
              </w:rPr>
              <w:t>67,200,000.00</w:t>
            </w:r>
          </w:p>
        </w:tc>
      </w:tr>
      <w:tr>
        <w:trPr>
          <w:trHeight w:val="273"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2" w:lineRule="exact"/>
              <w:ind w:left="844"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255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nil" w:sz="6" w:space="0" w:color="auto"/>
            </w:tcBorders>
          </w:tcPr>
          <w:p>
            <w:pPr/>
          </w:p>
        </w:tc>
      </w:tr>
      <w:tr>
        <w:trPr>
          <w:trHeight w:val="294"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32" w:lineRule="exact"/>
              <w:ind w:left="1202"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22,400,000.00</w:t>
            </w:r>
            <w:r>
              <w:rPr>
                <w:rFonts w:ascii="Times New Roman"/>
                <w:sz w:val="18"/>
              </w:rPr>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67,200,000.00</w:t>
            </w:r>
          </w:p>
        </w:tc>
      </w:tr>
      <w:tr>
        <w:trPr>
          <w:trHeight w:val="491"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3" w:lineRule="exact"/>
              <w:ind w:left="842"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-22,400,000.00</w:t>
            </w:r>
            <w:r>
              <w:rPr>
                <w:rFonts w:ascii="Times New Roman"/>
                <w:sz w:val="18"/>
              </w:rPr>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18"/>
                <w:szCs w:val="18"/>
              </w:rPr>
            </w:pPr>
            <w:r>
              <w:rPr>
                <w:rFonts w:ascii="Times New Roman"/>
                <w:spacing w:val="-1"/>
                <w:sz w:val="18"/>
              </w:rPr>
              <w:t>-67,200,000.00</w:t>
            </w:r>
          </w:p>
        </w:tc>
      </w:tr>
      <w:tr>
        <w:trPr>
          <w:trHeight w:val="632"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-156.36</w:t>
            </w:r>
          </w:p>
        </w:tc>
        <w:tc>
          <w:tcPr>
            <w:tcW w:w="2086" w:type="dxa"/>
            <w:tcBorders>
              <w:top w:val="nil" w:sz="6" w:space="0" w:color="auto"/>
              <w:left w:val="single" w:sz="4" w:space="0" w:color="000000"/>
              <w:bottom w:val="nil" w:sz="6" w:space="0" w:color="auto"/>
              <w:right w:val="nil" w:sz="6" w:space="0" w:color="auto"/>
            </w:tcBorders>
          </w:tcPr>
          <w:p>
            <w:pPr/>
          </w:p>
        </w:tc>
      </w:tr>
      <w:tr>
        <w:trPr>
          <w:trHeight w:val="426"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-141,708,731.43</w:t>
            </w:r>
            <w:r>
              <w:rPr>
                <w:rFonts w:ascii="Times New Roman"/>
                <w:sz w:val="18"/>
              </w:rPr>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-44,445,014.64</w:t>
            </w:r>
          </w:p>
        </w:tc>
      </w:tr>
      <w:tr>
        <w:trPr>
          <w:trHeight w:val="349" w:hRule="exact"/>
        </w:trPr>
        <w:tc>
          <w:tcPr>
            <w:tcW w:w="5218" w:type="dxa"/>
            <w:tcBorders>
              <w:top w:val="nil" w:sz="6" w:space="0" w:color="auto"/>
              <w:left w:val="nil" w:sz="6" w:space="0" w:color="auto"/>
              <w:bottom w:val="nil" w:sz="6" w:space="0" w:color="auto"/>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224,363,560.34</w:t>
            </w:r>
          </w:p>
        </w:tc>
        <w:tc>
          <w:tcPr>
            <w:tcW w:w="208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268,808,574.98</w:t>
            </w:r>
            <w:r>
              <w:rPr>
                <w:rFonts w:ascii="Times New Roman"/>
                <w:sz w:val="18"/>
              </w:rPr>
            </w:r>
          </w:p>
        </w:tc>
      </w:tr>
      <w:tr>
        <w:trPr>
          <w:trHeight w:val="332" w:hRule="exact"/>
        </w:trPr>
        <w:tc>
          <w:tcPr>
            <w:tcW w:w="5218" w:type="dxa"/>
            <w:tcBorders>
              <w:top w:val="nil" w:sz="6" w:space="0" w:color="auto"/>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25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4"/>
              <w:ind w:right="96"/>
              <w:jc w:val="right"/>
              <w:rPr>
                <w:rFonts w:ascii="Times New Roman" w:hAnsi="Times New Roman" w:cs="Times New Roman" w:eastAsia="Times New Roman" w:hint="default"/>
                <w:sz w:val="18"/>
                <w:szCs w:val="18"/>
              </w:rPr>
            </w:pPr>
            <w:r>
              <w:rPr>
                <w:rFonts w:ascii="Times New Roman"/>
                <w:spacing w:val="-1"/>
                <w:sz w:val="18"/>
              </w:rPr>
              <w:t>82,654,828.91</w:t>
            </w:r>
            <w:r>
              <w:rPr>
                <w:rFonts w:ascii="Times New Roman"/>
                <w:sz w:val="18"/>
              </w:rPr>
            </w:r>
          </w:p>
        </w:tc>
        <w:tc>
          <w:tcPr>
            <w:tcW w:w="2086" w:type="dxa"/>
            <w:tcBorders>
              <w:top w:val="nil" w:sz="6" w:space="0" w:color="auto"/>
              <w:left w:val="single" w:sz="4" w:space="0" w:color="000000"/>
              <w:bottom w:val="single" w:sz="12" w:space="0" w:color="000000"/>
              <w:right w:val="nil" w:sz="6" w:space="0" w:color="auto"/>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224,363,560.34</w:t>
            </w:r>
            <w:r>
              <w:rPr>
                <w:rFonts w:ascii="Times New Roman"/>
                <w:sz w:val="18"/>
              </w:rPr>
            </w:r>
          </w:p>
        </w:tc>
      </w:tr>
    </w:tbl>
    <w:p>
      <w:pPr>
        <w:pStyle w:val="BodyText"/>
        <w:tabs>
          <w:tab w:pos="2858" w:val="left" w:leader="none"/>
          <w:tab w:pos="6744" w:val="left" w:leader="none"/>
        </w:tabs>
        <w:spacing w:line="240" w:lineRule="auto" w:before="86"/>
        <w:ind w:left="232" w:right="0"/>
        <w:jc w:val="left"/>
      </w:pPr>
      <w:r>
        <w:rPr>
          <w:spacing w:val="-1"/>
        </w:rPr>
        <w:t>法定代表人：李仲初</w:t>
        <w:tab/>
      </w:r>
      <w:r>
        <w:rPr>
          <w:spacing w:val="-2"/>
        </w:rPr>
        <w:t>主管会计工作负责人：赖德源</w:t>
        <w:tab/>
        <w:t>会计机构负责人：李天达</w:t>
      </w:r>
      <w:r>
        <w:rPr/>
      </w:r>
    </w:p>
    <w:p>
      <w:pPr>
        <w:spacing w:after="0" w:line="240" w:lineRule="auto"/>
        <w:jc w:val="left"/>
        <w:sectPr>
          <w:pgSz w:w="11900" w:h="16850"/>
          <w:pgMar w:header="718" w:footer="708" w:top="1060" w:bottom="900" w:left="900" w:right="920"/>
        </w:sectPr>
      </w:pPr>
    </w:p>
    <w:p>
      <w:pPr>
        <w:spacing w:before="11"/>
        <w:ind w:left="5733" w:right="5754" w:firstLine="0"/>
        <w:jc w:val="center"/>
        <w:rPr>
          <w:rFonts w:ascii="黑体" w:hAnsi="黑体" w:cs="黑体" w:eastAsia="黑体" w:hint="default"/>
          <w:sz w:val="32"/>
          <w:szCs w:val="32"/>
        </w:rPr>
      </w:pPr>
      <w:r>
        <w:rPr/>
        <w:pict>
          <v:group style="position:absolute;margin-left:55.200001pt;margin-top:2.917388pt;width:731.55pt;height:.1pt;mso-position-horizontal-relative:page;mso-position-vertical-relative:paragraph;z-index:-771592" coordorigin="1104,58" coordsize="14631,2">
            <v:shape style="position:absolute;left:1104;top:58;width:14631;height:2" coordorigin="1104,58" coordsize="14631,0" path="m1104,58l15734,58e" filled="false" stroked="true" strokeweight=".72pt" strokecolor="#000000">
              <v:path arrowok="t"/>
            </v:shape>
            <w10:wrap type="none"/>
          </v:group>
        </w:pict>
      </w:r>
      <w:r>
        <w:rPr>
          <w:rFonts w:ascii="黑体" w:hAnsi="黑体" w:cs="黑体" w:eastAsia="黑体" w:hint="default"/>
          <w:b/>
          <w:bCs/>
          <w:sz w:val="32"/>
          <w:szCs w:val="32"/>
        </w:rPr>
        <w:t>母公司所有者权益变动表</w:t>
      </w:r>
      <w:r>
        <w:rPr>
          <w:rFonts w:ascii="黑体" w:hAnsi="黑体" w:cs="黑体" w:eastAsia="黑体" w:hint="default"/>
          <w:sz w:val="32"/>
          <w:szCs w:val="32"/>
        </w:rPr>
      </w:r>
    </w:p>
    <w:p>
      <w:pPr>
        <w:pStyle w:val="BodyText"/>
        <w:tabs>
          <w:tab w:pos="12832" w:val="left" w:leader="none"/>
        </w:tabs>
        <w:spacing w:line="240" w:lineRule="auto" w:before="17"/>
        <w:ind w:left="232" w:right="0"/>
        <w:jc w:val="left"/>
      </w:pPr>
      <w:r>
        <w:rPr>
          <w:spacing w:val="-2"/>
        </w:rPr>
        <w:t>编制单位：北京中长石基信息技术股份有限公司</w:t>
        <w:tab/>
        <w:t>单位：人民币元</w:t>
      </w:r>
      <w:r>
        <w:rPr/>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267"/>
        <w:gridCol w:w="1675"/>
        <w:gridCol w:w="1675"/>
        <w:gridCol w:w="1171"/>
        <w:gridCol w:w="1054"/>
        <w:gridCol w:w="1615"/>
        <w:gridCol w:w="1673"/>
        <w:gridCol w:w="1673"/>
      </w:tblGrid>
      <w:tr>
        <w:trPr>
          <w:trHeight w:val="269" w:hRule="exact"/>
        </w:trPr>
        <w:tc>
          <w:tcPr>
            <w:tcW w:w="4267" w:type="dxa"/>
            <w:vMerge w:val="restart"/>
            <w:tcBorders>
              <w:top w:val="single" w:sz="12" w:space="0" w:color="000000"/>
              <w:left w:val="nil" w:sz="6" w:space="0" w:color="auto"/>
              <w:right w:val="single" w:sz="4" w:space="0" w:color="000000"/>
            </w:tcBorders>
          </w:tcPr>
          <w:p>
            <w:pPr>
              <w:pStyle w:val="TableParagraph"/>
              <w:tabs>
                <w:tab w:pos="547" w:val="left" w:leader="none"/>
              </w:tabs>
              <w:spacing w:line="240" w:lineRule="auto" w:before="88"/>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75" w:type="dxa"/>
            <w:tcBorders>
              <w:top w:val="single" w:sz="12" w:space="0" w:color="000000"/>
              <w:left w:val="single" w:sz="4" w:space="0" w:color="000000"/>
              <w:bottom w:val="single" w:sz="4" w:space="0" w:color="000000"/>
              <w:right w:val="nil" w:sz="6" w:space="0" w:color="auto"/>
            </w:tcBorders>
          </w:tcPr>
          <w:p>
            <w:pPr/>
          </w:p>
        </w:tc>
        <w:tc>
          <w:tcPr>
            <w:tcW w:w="1675" w:type="dxa"/>
            <w:tcBorders>
              <w:top w:val="single" w:sz="12" w:space="0" w:color="000000"/>
              <w:left w:val="nil" w:sz="6" w:space="0" w:color="auto"/>
              <w:bottom w:val="single" w:sz="4" w:space="0" w:color="000000"/>
              <w:right w:val="nil" w:sz="6" w:space="0" w:color="auto"/>
            </w:tcBorders>
          </w:tcPr>
          <w:p>
            <w:pPr/>
          </w:p>
        </w:tc>
        <w:tc>
          <w:tcPr>
            <w:tcW w:w="1171" w:type="dxa"/>
            <w:tcBorders>
              <w:top w:val="single" w:sz="12" w:space="0" w:color="000000"/>
              <w:left w:val="nil" w:sz="6" w:space="0" w:color="auto"/>
              <w:bottom w:val="single" w:sz="4" w:space="0" w:color="000000"/>
              <w:right w:val="nil" w:sz="6" w:space="0" w:color="auto"/>
            </w:tcBorders>
          </w:tcPr>
          <w:p>
            <w:pPr/>
          </w:p>
        </w:tc>
        <w:tc>
          <w:tcPr>
            <w:tcW w:w="2669" w:type="dxa"/>
            <w:gridSpan w:val="2"/>
            <w:tcBorders>
              <w:top w:val="single" w:sz="12" w:space="0" w:color="000000"/>
              <w:left w:val="nil" w:sz="6" w:space="0" w:color="auto"/>
              <w:bottom w:val="single" w:sz="4" w:space="0" w:color="000000"/>
              <w:right w:val="nil" w:sz="6" w:space="0" w:color="auto"/>
            </w:tcBorders>
          </w:tcPr>
          <w:p>
            <w:pPr>
              <w:pStyle w:val="TableParagraph"/>
              <w:spacing w:line="259" w:lineRule="exact"/>
              <w:ind w:left="3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673" w:type="dxa"/>
            <w:tcBorders>
              <w:top w:val="single" w:sz="12" w:space="0" w:color="000000"/>
              <w:left w:val="nil" w:sz="6" w:space="0" w:color="auto"/>
              <w:bottom w:val="single" w:sz="4" w:space="0" w:color="000000"/>
              <w:right w:val="nil" w:sz="6" w:space="0" w:color="auto"/>
            </w:tcBorders>
          </w:tcPr>
          <w:p>
            <w:pPr/>
          </w:p>
        </w:tc>
        <w:tc>
          <w:tcPr>
            <w:tcW w:w="1673" w:type="dxa"/>
            <w:tcBorders>
              <w:top w:val="single" w:sz="12" w:space="0" w:color="000000"/>
              <w:left w:val="nil" w:sz="6" w:space="0" w:color="auto"/>
              <w:bottom w:val="single" w:sz="4" w:space="0" w:color="000000"/>
              <w:right w:val="nil" w:sz="6" w:space="0" w:color="auto"/>
            </w:tcBorders>
          </w:tcPr>
          <w:p>
            <w:pPr/>
          </w:p>
        </w:tc>
      </w:tr>
      <w:tr>
        <w:trPr>
          <w:trHeight w:val="266" w:hRule="exact"/>
        </w:trPr>
        <w:tc>
          <w:tcPr>
            <w:tcW w:w="4267" w:type="dxa"/>
            <w:vMerge/>
            <w:tcBorders>
              <w:left w:val="nil" w:sz="6" w:space="0" w:color="auto"/>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97"/>
                <w:w w:val="100"/>
                <w:sz w:val="21"/>
                <w:szCs w:val="21"/>
              </w:rPr>
              <w:t>：</w:t>
            </w:r>
            <w:r>
              <w:rPr>
                <w:rFonts w:ascii="宋体" w:hAnsi="宋体" w:cs="宋体" w:eastAsia="宋体" w:hint="default"/>
                <w:w w:val="100"/>
                <w:sz w:val="21"/>
                <w:szCs w:val="21"/>
              </w:rPr>
              <w:t>库</w:t>
            </w:r>
            <w:r>
              <w:rPr>
                <w:rFonts w:ascii="宋体" w:hAnsi="宋体" w:cs="宋体" w:eastAsia="宋体" w:hint="default"/>
                <w:spacing w:val="-3"/>
                <w:w w:val="100"/>
                <w:sz w:val="21"/>
                <w:szCs w:val="21"/>
              </w:rPr>
              <w:t>存</w:t>
            </w:r>
            <w:r>
              <w:rPr>
                <w:rFonts w:ascii="宋体" w:hAnsi="宋体" w:cs="宋体" w:eastAsia="宋体" w:hint="default"/>
                <w:w w:val="100"/>
                <w:sz w:val="21"/>
                <w:szCs w:val="21"/>
              </w:rPr>
              <w:t>股</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08" w:right="0"/>
              <w:jc w:val="left"/>
              <w:rPr>
                <w:rFonts w:ascii="宋体" w:hAnsi="宋体" w:cs="宋体" w:eastAsia="宋体" w:hint="default"/>
                <w:sz w:val="21"/>
                <w:szCs w:val="21"/>
              </w:rPr>
            </w:pPr>
            <w:r>
              <w:rPr>
                <w:rFonts w:ascii="宋体" w:hAnsi="宋体" w:cs="宋体" w:eastAsia="宋体" w:hint="default"/>
                <w:sz w:val="21"/>
                <w:szCs w:val="21"/>
              </w:rPr>
              <w:t>专项储</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0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201" w:right="0"/>
              <w:jc w:val="left"/>
              <w:rPr>
                <w:rFonts w:ascii="宋体" w:hAnsi="宋体" w:cs="宋体" w:eastAsia="宋体" w:hint="default"/>
                <w:sz w:val="21"/>
                <w:szCs w:val="21"/>
              </w:rPr>
            </w:pPr>
            <w:r>
              <w:rPr>
                <w:rFonts w:ascii="宋体" w:hAnsi="宋体" w:cs="宋体" w:eastAsia="宋体" w:hint="default"/>
                <w:sz w:val="21"/>
                <w:szCs w:val="21"/>
              </w:rPr>
              <w:t>所有者权益合</w:t>
            </w:r>
          </w:p>
        </w:tc>
      </w:tr>
      <w:tr>
        <w:trPr>
          <w:trHeight w:val="271" w:hRule="exact"/>
        </w:trPr>
        <w:tc>
          <w:tcPr>
            <w:tcW w:w="4267"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pacing w:val="-1"/>
                <w:sz w:val="21"/>
              </w:rPr>
              <w:t>224,000,000.00</w:t>
            </w:r>
          </w:p>
        </w:tc>
        <w:tc>
          <w:tcPr>
            <w:tcW w:w="16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pacing w:val="-1"/>
                <w:sz w:val="21"/>
              </w:rPr>
              <w:t>109,772,355.17</w:t>
            </w:r>
          </w:p>
        </w:tc>
        <w:tc>
          <w:tcPr>
            <w:tcW w:w="1171" w:type="dxa"/>
            <w:tcBorders>
              <w:top w:val="single" w:sz="4" w:space="0" w:color="000000"/>
              <w:left w:val="single" w:sz="4" w:space="0" w:color="000000"/>
              <w:bottom w:val="nil" w:sz="6" w:space="0" w:color="auto"/>
              <w:right w:val="single" w:sz="4" w:space="0" w:color="000000"/>
            </w:tcBorders>
          </w:tcPr>
          <w:p>
            <w:pPr/>
          </w:p>
        </w:tc>
        <w:tc>
          <w:tcPr>
            <w:tcW w:w="1054" w:type="dxa"/>
            <w:tcBorders>
              <w:top w:val="single" w:sz="4" w:space="0" w:color="000000"/>
              <w:left w:val="single" w:sz="4" w:space="0" w:color="000000"/>
              <w:bottom w:val="nil" w:sz="6" w:space="0" w:color="auto"/>
              <w:right w:val="single" w:sz="4" w:space="0" w:color="000000"/>
            </w:tcBorders>
          </w:tcPr>
          <w:p>
            <w:pPr/>
          </w:p>
        </w:tc>
        <w:tc>
          <w:tcPr>
            <w:tcW w:w="1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pacing w:val="-1"/>
                <w:sz w:val="21"/>
              </w:rPr>
              <w:t>46,187,818.37</w:t>
            </w:r>
          </w:p>
        </w:tc>
        <w:tc>
          <w:tcPr>
            <w:tcW w:w="16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pacing w:val="-1"/>
                <w:sz w:val="21"/>
              </w:rPr>
              <w:t>187,568,747.04</w:t>
            </w:r>
          </w:p>
        </w:tc>
        <w:tc>
          <w:tcPr>
            <w:tcW w:w="16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pacing w:val="-1"/>
                <w:sz w:val="21"/>
              </w:rPr>
              <w:t>567,528,920.58</w:t>
            </w:r>
          </w:p>
        </w:tc>
      </w:tr>
      <w:tr>
        <w:trPr>
          <w:trHeight w:val="273"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2" w:lineRule="exact"/>
              <w:ind w:left="333"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会计政策变更</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72"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2" w:lineRule="exact"/>
              <w:ind w:left="15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前期差错更正</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71"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1" w:lineRule="exact"/>
              <w:ind w:right="497"/>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70"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35" w:lineRule="exact"/>
              <w:ind w:left="12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21"/>
                <w:szCs w:val="21"/>
              </w:rPr>
            </w:pPr>
            <w:r>
              <w:rPr>
                <w:rFonts w:ascii="Times New Roman"/>
                <w:spacing w:val="-1"/>
                <w:sz w:val="21"/>
              </w:rPr>
              <w:t>224,000,000.00</w:t>
            </w:r>
          </w:p>
        </w:tc>
        <w:tc>
          <w:tcPr>
            <w:tcW w:w="16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1"/>
              <w:jc w:val="right"/>
              <w:rPr>
                <w:rFonts w:ascii="Times New Roman" w:hAnsi="Times New Roman" w:cs="Times New Roman" w:eastAsia="Times New Roman" w:hint="default"/>
                <w:sz w:val="21"/>
                <w:szCs w:val="21"/>
              </w:rPr>
            </w:pPr>
            <w:r>
              <w:rPr>
                <w:rFonts w:ascii="Times New Roman"/>
                <w:spacing w:val="-1"/>
                <w:sz w:val="21"/>
              </w:rPr>
              <w:t>109,772,355.17</w:t>
            </w: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1"/>
              <w:jc w:val="right"/>
              <w:rPr>
                <w:rFonts w:ascii="Times New Roman" w:hAnsi="Times New Roman" w:cs="Times New Roman" w:eastAsia="Times New Roman" w:hint="default"/>
                <w:sz w:val="21"/>
                <w:szCs w:val="21"/>
              </w:rPr>
            </w:pPr>
            <w:r>
              <w:rPr>
                <w:rFonts w:ascii="Times New Roman"/>
                <w:spacing w:val="-1"/>
                <w:sz w:val="21"/>
              </w:rPr>
              <w:t>46,187,818.37</w:t>
            </w: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1"/>
              <w:jc w:val="right"/>
              <w:rPr>
                <w:rFonts w:ascii="Times New Roman" w:hAnsi="Times New Roman" w:cs="Times New Roman" w:eastAsia="Times New Roman" w:hint="default"/>
                <w:sz w:val="21"/>
                <w:szCs w:val="21"/>
              </w:rPr>
            </w:pPr>
            <w:r>
              <w:rPr>
                <w:rFonts w:ascii="Times New Roman"/>
                <w:spacing w:val="-1"/>
                <w:sz w:val="21"/>
              </w:rPr>
              <w:t>187,568,747.04</w:t>
            </w:r>
          </w:p>
        </w:tc>
        <w:tc>
          <w:tcPr>
            <w:tcW w:w="1673"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21"/>
                <w:szCs w:val="21"/>
              </w:rPr>
            </w:pPr>
            <w:r>
              <w:rPr>
                <w:rFonts w:ascii="Times New Roman"/>
                <w:spacing w:val="-1"/>
                <w:sz w:val="21"/>
              </w:rPr>
              <w:t>567,528,920.58</w:t>
            </w:r>
          </w:p>
        </w:tc>
      </w:tr>
      <w:tr>
        <w:trPr>
          <w:trHeight w:val="275"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三、本年增减变动金额（减少以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21"/>
                <w:szCs w:val="21"/>
              </w:rPr>
            </w:pPr>
            <w:r>
              <w:rPr>
                <w:rFonts w:ascii="Times New Roman"/>
                <w:spacing w:val="-1"/>
                <w:sz w:val="21"/>
              </w:rPr>
              <w:t>85,120,000.00</w:t>
            </w:r>
          </w:p>
        </w:tc>
        <w:tc>
          <w:tcPr>
            <w:tcW w:w="16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21"/>
                <w:szCs w:val="21"/>
              </w:rPr>
            </w:pPr>
            <w:r>
              <w:rPr>
                <w:rFonts w:ascii="Times New Roman"/>
                <w:spacing w:val="-1"/>
                <w:sz w:val="21"/>
              </w:rPr>
              <w:t>-82,401,478.77</w:t>
            </w: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21"/>
                <w:szCs w:val="21"/>
              </w:rPr>
            </w:pPr>
            <w:r>
              <w:rPr>
                <w:rFonts w:ascii="Times New Roman"/>
                <w:spacing w:val="-1"/>
                <w:sz w:val="21"/>
              </w:rPr>
              <w:t>8,946,833.34</w:t>
            </w: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21"/>
                <w:szCs w:val="21"/>
              </w:rPr>
            </w:pPr>
            <w:r>
              <w:rPr>
                <w:rFonts w:ascii="Times New Roman"/>
                <w:spacing w:val="-1"/>
                <w:sz w:val="21"/>
              </w:rPr>
              <w:t>58,121,500.05</w:t>
            </w:r>
          </w:p>
        </w:tc>
        <w:tc>
          <w:tcPr>
            <w:tcW w:w="1673"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05"/>
              <w:jc w:val="right"/>
              <w:rPr>
                <w:rFonts w:ascii="Times New Roman" w:hAnsi="Times New Roman" w:cs="Times New Roman" w:eastAsia="Times New Roman" w:hint="default"/>
                <w:sz w:val="21"/>
                <w:szCs w:val="21"/>
              </w:rPr>
            </w:pPr>
            <w:r>
              <w:rPr>
                <w:rFonts w:ascii="Times New Roman"/>
                <w:spacing w:val="-1"/>
                <w:sz w:val="21"/>
              </w:rPr>
              <w:t>69,786,854.62</w:t>
            </w:r>
          </w:p>
        </w:tc>
      </w:tr>
      <w:tr>
        <w:trPr>
          <w:trHeight w:val="268"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35" w:lineRule="exact"/>
              <w:ind w:left="33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21"/>
                <w:szCs w:val="21"/>
              </w:rPr>
            </w:pPr>
            <w:r>
              <w:rPr>
                <w:rFonts w:ascii="Times New Roman"/>
                <w:spacing w:val="-1"/>
                <w:sz w:val="21"/>
              </w:rPr>
              <w:t>89,468,333.39</w:t>
            </w:r>
          </w:p>
        </w:tc>
        <w:tc>
          <w:tcPr>
            <w:tcW w:w="1673"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21"/>
                <w:szCs w:val="21"/>
              </w:rPr>
            </w:pPr>
            <w:r>
              <w:rPr>
                <w:rFonts w:ascii="Times New Roman"/>
                <w:spacing w:val="-1"/>
                <w:sz w:val="21"/>
              </w:rPr>
              <w:t>89,468,333.39</w:t>
            </w:r>
          </w:p>
        </w:tc>
      </w:tr>
      <w:tr>
        <w:trPr>
          <w:trHeight w:val="270"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39" w:lineRule="exact"/>
              <w:ind w:left="333"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8" w:lineRule="exact"/>
              <w:ind w:left="1264" w:right="0"/>
              <w:jc w:val="left"/>
              <w:rPr>
                <w:rFonts w:ascii="宋体" w:hAnsi="宋体" w:cs="宋体" w:eastAsia="宋体" w:hint="default"/>
                <w:sz w:val="21"/>
                <w:szCs w:val="21"/>
              </w:rPr>
            </w:pPr>
            <w:r>
              <w:rPr>
                <w:rFonts w:ascii="宋体" w:hAnsi="宋体" w:cs="宋体" w:eastAsia="宋体" w:hint="default"/>
                <w:sz w:val="21"/>
                <w:szCs w:val="21"/>
              </w:rPr>
              <w:t>上述</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小计</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1"/>
                <w:szCs w:val="21"/>
              </w:rPr>
            </w:pPr>
            <w:r>
              <w:rPr>
                <w:rFonts w:ascii="Times New Roman"/>
                <w:spacing w:val="-1"/>
                <w:sz w:val="21"/>
              </w:rPr>
              <w:t>89,468,333.39</w:t>
            </w:r>
          </w:p>
        </w:tc>
        <w:tc>
          <w:tcPr>
            <w:tcW w:w="1673"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21"/>
                <w:szCs w:val="21"/>
              </w:rPr>
            </w:pPr>
            <w:r>
              <w:rPr>
                <w:rFonts w:ascii="Times New Roman"/>
                <w:spacing w:val="-1"/>
                <w:sz w:val="21"/>
              </w:rPr>
              <w:t>89,468,333.39</w:t>
            </w:r>
          </w:p>
        </w:tc>
      </w:tr>
      <w:tr>
        <w:trPr>
          <w:trHeight w:val="265"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35" w:lineRule="exact"/>
              <w:ind w:left="333"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78"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7"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所有者投入资本</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72"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2"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股份支付计入股东权益的金额</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71"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1"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70"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35" w:lineRule="exact"/>
              <w:ind w:left="33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1"/>
              <w:jc w:val="right"/>
              <w:rPr>
                <w:rFonts w:ascii="Times New Roman" w:hAnsi="Times New Roman" w:cs="Times New Roman" w:eastAsia="Times New Roman" w:hint="default"/>
                <w:sz w:val="21"/>
                <w:szCs w:val="21"/>
              </w:rPr>
            </w:pPr>
            <w:r>
              <w:rPr>
                <w:rFonts w:ascii="Times New Roman"/>
                <w:spacing w:val="-1"/>
                <w:sz w:val="21"/>
              </w:rPr>
              <w:t>8,946,833.34</w:t>
            </w: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1"/>
              <w:jc w:val="right"/>
              <w:rPr>
                <w:rFonts w:ascii="Times New Roman" w:hAnsi="Times New Roman" w:cs="Times New Roman" w:eastAsia="Times New Roman" w:hint="default"/>
                <w:sz w:val="21"/>
                <w:szCs w:val="21"/>
              </w:rPr>
            </w:pPr>
            <w:r>
              <w:rPr>
                <w:rFonts w:ascii="Times New Roman"/>
                <w:spacing w:val="-1"/>
                <w:sz w:val="21"/>
              </w:rPr>
              <w:t>-31,346,833.34</w:t>
            </w:r>
          </w:p>
        </w:tc>
        <w:tc>
          <w:tcPr>
            <w:tcW w:w="1673"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21"/>
                <w:szCs w:val="21"/>
              </w:rPr>
            </w:pPr>
            <w:r>
              <w:rPr>
                <w:rFonts w:ascii="Times New Roman"/>
                <w:spacing w:val="-1"/>
                <w:sz w:val="21"/>
              </w:rPr>
              <w:t>-22,400,000.00</w:t>
            </w:r>
          </w:p>
        </w:tc>
      </w:tr>
      <w:tr>
        <w:trPr>
          <w:trHeight w:val="275"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5"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21"/>
                <w:szCs w:val="21"/>
              </w:rPr>
            </w:pPr>
            <w:r>
              <w:rPr>
                <w:rFonts w:ascii="Times New Roman"/>
                <w:spacing w:val="-1"/>
                <w:sz w:val="21"/>
              </w:rPr>
              <w:t>8,946,833.34</w:t>
            </w: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21"/>
                <w:szCs w:val="21"/>
              </w:rPr>
            </w:pPr>
            <w:r>
              <w:rPr>
                <w:rFonts w:ascii="Times New Roman"/>
                <w:spacing w:val="-1"/>
                <w:sz w:val="21"/>
              </w:rPr>
              <w:t>-8,946,833.34</w:t>
            </w:r>
          </w:p>
        </w:tc>
        <w:tc>
          <w:tcPr>
            <w:tcW w:w="1673" w:type="dxa"/>
            <w:tcBorders>
              <w:top w:val="nil" w:sz="6" w:space="0" w:color="auto"/>
              <w:left w:val="single" w:sz="4" w:space="0" w:color="000000"/>
              <w:bottom w:val="nil" w:sz="6" w:space="0" w:color="auto"/>
              <w:right w:val="nil" w:sz="6" w:space="0" w:color="auto"/>
            </w:tcBorders>
          </w:tcPr>
          <w:p>
            <w:pPr/>
          </w:p>
        </w:tc>
      </w:tr>
      <w:tr>
        <w:trPr>
          <w:trHeight w:val="271"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1"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72"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1"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r>
              <w:rPr>
                <w:rFonts w:ascii="Times New Roman" w:hAnsi="Times New Roman" w:cs="Times New Roman" w:eastAsia="Times New Roman" w:hint="default"/>
                <w:sz w:val="21"/>
                <w:szCs w:val="21"/>
              </w:rPr>
              <w:t>(</w:t>
            </w:r>
            <w:r>
              <w:rPr>
                <w:rFonts w:ascii="宋体" w:hAnsi="宋体" w:cs="宋体" w:eastAsia="宋体" w:hint="default"/>
                <w:sz w:val="21"/>
                <w:szCs w:val="21"/>
              </w:rPr>
              <w:t>或股东</w:t>
            </w:r>
            <w:r>
              <w:rPr>
                <w:rFonts w:ascii="Times New Roman" w:hAnsi="Times New Roman" w:cs="Times New Roman" w:eastAsia="Times New Roman" w:hint="default"/>
                <w:sz w:val="21"/>
                <w:szCs w:val="21"/>
              </w:rPr>
              <w:t>)</w:t>
            </w:r>
            <w:r>
              <w:rPr>
                <w:rFonts w:ascii="宋体" w:hAnsi="宋体" w:cs="宋体" w:eastAsia="宋体" w:hint="default"/>
                <w:sz w:val="21"/>
                <w:szCs w:val="21"/>
              </w:rPr>
              <w:t>的分配</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1"/>
              <w:jc w:val="right"/>
              <w:rPr>
                <w:rFonts w:ascii="Times New Roman" w:hAnsi="Times New Roman" w:cs="Times New Roman" w:eastAsia="Times New Roman" w:hint="default"/>
                <w:sz w:val="21"/>
                <w:szCs w:val="21"/>
              </w:rPr>
            </w:pPr>
            <w:r>
              <w:rPr>
                <w:rFonts w:ascii="Times New Roman"/>
                <w:spacing w:val="-1"/>
                <w:sz w:val="21"/>
              </w:rPr>
              <w:t>-22,400,000.00</w:t>
            </w:r>
          </w:p>
        </w:tc>
        <w:tc>
          <w:tcPr>
            <w:tcW w:w="1673"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21"/>
                <w:szCs w:val="21"/>
              </w:rPr>
            </w:pPr>
            <w:r>
              <w:rPr>
                <w:rFonts w:ascii="Times New Roman"/>
                <w:spacing w:val="-1"/>
                <w:sz w:val="21"/>
              </w:rPr>
              <w:t>-22,400,000.00</w:t>
            </w:r>
          </w:p>
        </w:tc>
      </w:tr>
      <w:tr>
        <w:trPr>
          <w:trHeight w:val="272"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2"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68"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35" w:lineRule="exact"/>
              <w:ind w:left="333"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7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21"/>
                <w:szCs w:val="21"/>
              </w:rPr>
            </w:pPr>
            <w:r>
              <w:rPr>
                <w:rFonts w:ascii="Times New Roman"/>
                <w:spacing w:val="-1"/>
                <w:sz w:val="21"/>
              </w:rPr>
              <w:t>85,120,000.00</w:t>
            </w:r>
          </w:p>
        </w:tc>
        <w:tc>
          <w:tcPr>
            <w:tcW w:w="167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21"/>
                <w:szCs w:val="21"/>
              </w:rPr>
            </w:pPr>
            <w:r>
              <w:rPr>
                <w:rFonts w:ascii="Times New Roman"/>
                <w:spacing w:val="-1"/>
                <w:sz w:val="21"/>
              </w:rPr>
              <w:t>-85,120,000.00</w:t>
            </w: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76"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5" w:lineRule="exact"/>
              <w:ind w:left="43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w:t>
            </w:r>
            <w:r>
              <w:rPr>
                <w:rFonts w:ascii="Times New Roman" w:hAnsi="Times New Roman" w:cs="Times New Roman" w:eastAsia="Times New Roman" w:hint="default"/>
                <w:sz w:val="21"/>
                <w:szCs w:val="21"/>
              </w:rPr>
              <w:t>(</w:t>
            </w:r>
            <w:r>
              <w:rPr>
                <w:rFonts w:ascii="宋体" w:hAnsi="宋体" w:cs="宋体" w:eastAsia="宋体" w:hint="default"/>
                <w:sz w:val="21"/>
                <w:szCs w:val="21"/>
              </w:rPr>
              <w:t>或股本</w:t>
            </w:r>
            <w:r>
              <w:rPr>
                <w:rFonts w:ascii="Times New Roman" w:hAnsi="Times New Roman" w:cs="Times New Roman" w:eastAsia="Times New Roman" w:hint="default"/>
                <w:sz w:val="21"/>
                <w:szCs w:val="21"/>
              </w:rPr>
              <w:t>)</w:t>
            </w:r>
          </w:p>
        </w:tc>
        <w:tc>
          <w:tcPr>
            <w:tcW w:w="167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85,120,000.00</w:t>
            </w:r>
          </w:p>
        </w:tc>
        <w:tc>
          <w:tcPr>
            <w:tcW w:w="167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-85,120,000.00</w:t>
            </w: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72"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2" w:lineRule="exact"/>
              <w:ind w:left="43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w:t>
            </w:r>
            <w:r>
              <w:rPr>
                <w:rFonts w:ascii="Times New Roman" w:hAnsi="Times New Roman" w:cs="Times New Roman" w:eastAsia="Times New Roman" w:hint="default"/>
                <w:sz w:val="21"/>
                <w:szCs w:val="21"/>
              </w:rPr>
              <w:t>(</w:t>
            </w:r>
            <w:r>
              <w:rPr>
                <w:rFonts w:ascii="宋体" w:hAnsi="宋体" w:cs="宋体" w:eastAsia="宋体" w:hint="default"/>
                <w:sz w:val="21"/>
                <w:szCs w:val="21"/>
              </w:rPr>
              <w:t>或股本</w:t>
            </w:r>
            <w:r>
              <w:rPr>
                <w:rFonts w:ascii="Times New Roman" w:hAnsi="Times New Roman" w:cs="Times New Roman" w:eastAsia="Times New Roman" w:hint="default"/>
                <w:sz w:val="21"/>
                <w:szCs w:val="21"/>
              </w:rPr>
              <w:t>)</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71"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1"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72"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1"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67"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36" w:lineRule="exact"/>
              <w:ind w:left="54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77"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7" w:lineRule="exact"/>
              <w:ind w:left="5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72"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51" w:lineRule="exact"/>
              <w:ind w:left="5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
        </w:tc>
      </w:tr>
      <w:tr>
        <w:trPr>
          <w:trHeight w:val="269" w:hRule="exact"/>
        </w:trPr>
        <w:tc>
          <w:tcPr>
            <w:tcW w:w="4267" w:type="dxa"/>
            <w:tcBorders>
              <w:top w:val="nil" w:sz="6" w:space="0" w:color="auto"/>
              <w:left w:val="nil" w:sz="6" w:space="0" w:color="auto"/>
              <w:bottom w:val="nil" w:sz="6" w:space="0" w:color="auto"/>
              <w:right w:val="single" w:sz="4" w:space="0" w:color="000000"/>
            </w:tcBorders>
          </w:tcPr>
          <w:p>
            <w:pPr>
              <w:pStyle w:val="TableParagraph"/>
              <w:spacing w:line="236" w:lineRule="exact"/>
              <w:ind w:left="54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75" w:type="dxa"/>
            <w:tcBorders>
              <w:top w:val="nil" w:sz="6" w:space="0" w:color="auto"/>
              <w:left w:val="single" w:sz="4" w:space="0" w:color="000000"/>
              <w:bottom w:val="nil" w:sz="6" w:space="0" w:color="auto"/>
              <w:right w:val="single" w:sz="4" w:space="0" w:color="000000"/>
            </w:tcBorders>
          </w:tcPr>
          <w:p>
            <w:pPr/>
          </w:p>
        </w:tc>
        <w:tc>
          <w:tcPr>
            <w:tcW w:w="167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pacing w:val="-1"/>
                <w:sz w:val="21"/>
              </w:rPr>
              <w:t>2,718,521.23</w:t>
            </w:r>
          </w:p>
        </w:tc>
        <w:tc>
          <w:tcPr>
            <w:tcW w:w="1171" w:type="dxa"/>
            <w:tcBorders>
              <w:top w:val="nil" w:sz="6" w:space="0" w:color="auto"/>
              <w:left w:val="single" w:sz="4" w:space="0" w:color="000000"/>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single" w:sz="4" w:space="0" w:color="000000"/>
            </w:tcBorders>
          </w:tcPr>
          <w:p>
            <w:pPr/>
          </w:p>
        </w:tc>
        <w:tc>
          <w:tcPr>
            <w:tcW w:w="167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105"/>
              <w:jc w:val="right"/>
              <w:rPr>
                <w:rFonts w:ascii="Times New Roman" w:hAnsi="Times New Roman" w:cs="Times New Roman" w:eastAsia="Times New Roman" w:hint="default"/>
                <w:sz w:val="21"/>
                <w:szCs w:val="21"/>
              </w:rPr>
            </w:pPr>
            <w:r>
              <w:rPr>
                <w:rFonts w:ascii="Times New Roman"/>
                <w:spacing w:val="-1"/>
                <w:sz w:val="21"/>
              </w:rPr>
              <w:t>2,718,521.23</w:t>
            </w:r>
          </w:p>
        </w:tc>
      </w:tr>
      <w:tr>
        <w:trPr>
          <w:trHeight w:val="286" w:hRule="exact"/>
        </w:trPr>
        <w:tc>
          <w:tcPr>
            <w:tcW w:w="4267" w:type="dxa"/>
            <w:tcBorders>
              <w:top w:val="nil" w:sz="6" w:space="0" w:color="auto"/>
              <w:left w:val="nil" w:sz="6" w:space="0" w:color="auto"/>
              <w:bottom w:val="single" w:sz="12"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6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21"/>
                <w:szCs w:val="21"/>
              </w:rPr>
            </w:pPr>
            <w:r>
              <w:rPr>
                <w:rFonts w:ascii="Times New Roman"/>
                <w:spacing w:val="-1"/>
                <w:sz w:val="21"/>
              </w:rPr>
              <w:t>309,120,000.00</w:t>
            </w:r>
          </w:p>
        </w:tc>
        <w:tc>
          <w:tcPr>
            <w:tcW w:w="16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21"/>
                <w:szCs w:val="21"/>
              </w:rPr>
            </w:pPr>
            <w:r>
              <w:rPr>
                <w:rFonts w:ascii="Times New Roman"/>
                <w:spacing w:val="-1"/>
                <w:sz w:val="21"/>
              </w:rPr>
              <w:t>27,370,876.40</w:t>
            </w:r>
          </w:p>
        </w:tc>
        <w:tc>
          <w:tcPr>
            <w:tcW w:w="1171" w:type="dxa"/>
            <w:tcBorders>
              <w:top w:val="nil" w:sz="6" w:space="0" w:color="auto"/>
              <w:left w:val="single" w:sz="4" w:space="0" w:color="000000"/>
              <w:bottom w:val="single" w:sz="12" w:space="0" w:color="000000"/>
              <w:right w:val="single" w:sz="4" w:space="0" w:color="000000"/>
            </w:tcBorders>
          </w:tcPr>
          <w:p>
            <w:pPr/>
          </w:p>
        </w:tc>
        <w:tc>
          <w:tcPr>
            <w:tcW w:w="1054" w:type="dxa"/>
            <w:tcBorders>
              <w:top w:val="nil" w:sz="6" w:space="0" w:color="auto"/>
              <w:left w:val="single" w:sz="4" w:space="0" w:color="000000"/>
              <w:bottom w:val="single" w:sz="12" w:space="0" w:color="000000"/>
              <w:right w:val="single" w:sz="4" w:space="0" w:color="000000"/>
            </w:tcBorders>
          </w:tcPr>
          <w:p>
            <w:pPr/>
          </w:p>
        </w:tc>
        <w:tc>
          <w:tcPr>
            <w:tcW w:w="161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21"/>
                <w:szCs w:val="21"/>
              </w:rPr>
            </w:pPr>
            <w:r>
              <w:rPr>
                <w:rFonts w:ascii="Times New Roman"/>
                <w:spacing w:val="-1"/>
                <w:sz w:val="21"/>
              </w:rPr>
              <w:t>55,134,651.71</w:t>
            </w:r>
          </w:p>
        </w:tc>
        <w:tc>
          <w:tcPr>
            <w:tcW w:w="167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21"/>
                <w:szCs w:val="21"/>
              </w:rPr>
            </w:pPr>
            <w:r>
              <w:rPr>
                <w:rFonts w:ascii="Times New Roman"/>
                <w:spacing w:val="-1"/>
                <w:sz w:val="21"/>
              </w:rPr>
              <w:t>245,690,247.09</w:t>
            </w:r>
          </w:p>
        </w:tc>
        <w:tc>
          <w:tcPr>
            <w:tcW w:w="1673" w:type="dxa"/>
            <w:tcBorders>
              <w:top w:val="nil" w:sz="6" w:space="0" w:color="auto"/>
              <w:left w:val="single" w:sz="4" w:space="0" w:color="000000"/>
              <w:bottom w:val="single" w:sz="12" w:space="0" w:color="000000"/>
              <w:right w:val="nil" w:sz="6" w:space="0" w:color="auto"/>
            </w:tcBorders>
          </w:tcPr>
          <w:p>
            <w:pPr>
              <w:pStyle w:val="TableParagraph"/>
              <w:spacing w:line="240" w:lineRule="auto" w:before="6"/>
              <w:ind w:right="105"/>
              <w:jc w:val="right"/>
              <w:rPr>
                <w:rFonts w:ascii="Times New Roman" w:hAnsi="Times New Roman" w:cs="Times New Roman" w:eastAsia="Times New Roman" w:hint="default"/>
                <w:sz w:val="21"/>
                <w:szCs w:val="21"/>
              </w:rPr>
            </w:pPr>
            <w:r>
              <w:rPr>
                <w:rFonts w:ascii="Times New Roman"/>
                <w:spacing w:val="-1"/>
                <w:sz w:val="21"/>
              </w:rPr>
              <w:t>637,315,775.20</w:t>
            </w:r>
          </w:p>
        </w:tc>
      </w:tr>
    </w:tbl>
    <w:p>
      <w:pPr>
        <w:pStyle w:val="BodyText"/>
        <w:tabs>
          <w:tab w:pos="5942" w:val="left" w:leader="none"/>
          <w:tab w:pos="12136" w:val="left" w:leader="none"/>
        </w:tabs>
        <w:spacing w:line="241" w:lineRule="exact"/>
        <w:ind w:left="588" w:right="0"/>
        <w:jc w:val="left"/>
      </w:pPr>
      <w:r>
        <w:rPr>
          <w:spacing w:val="-1"/>
        </w:rPr>
        <w:t>法定代表人：李仲初</w:t>
        <w:tab/>
      </w:r>
      <w:r>
        <w:rPr>
          <w:spacing w:val="-2"/>
        </w:rPr>
        <w:t>主管会计工作负责人：赖德源</w:t>
        <w:tab/>
        <w:t>会计机构负责人：李天达</w:t>
      </w:r>
    </w:p>
    <w:p>
      <w:pPr>
        <w:spacing w:line="240" w:lineRule="auto" w:before="8"/>
        <w:rPr>
          <w:rFonts w:ascii="宋体" w:hAnsi="宋体" w:cs="宋体" w:eastAsia="宋体" w:hint="default"/>
          <w:sz w:val="27"/>
          <w:szCs w:val="27"/>
        </w:rPr>
      </w:pPr>
    </w:p>
    <w:p>
      <w:pPr>
        <w:spacing w:before="76"/>
        <w:ind w:left="5733" w:right="5753" w:firstLine="0"/>
        <w:jc w:val="center"/>
        <w:rPr>
          <w:rFonts w:ascii="Times New Roman" w:hAnsi="Times New Roman" w:cs="Times New Roman" w:eastAsia="Times New Roman" w:hint="default"/>
          <w:sz w:val="18"/>
          <w:szCs w:val="18"/>
        </w:rPr>
      </w:pPr>
      <w:r>
        <w:rPr>
          <w:rFonts w:ascii="Times New Roman"/>
          <w:sz w:val="18"/>
        </w:rPr>
        <w:t>78</w:t>
      </w:r>
    </w:p>
    <w:p>
      <w:pPr>
        <w:spacing w:after="0"/>
        <w:jc w:val="center"/>
        <w:rPr>
          <w:rFonts w:ascii="Times New Roman" w:hAnsi="Times New Roman" w:cs="Times New Roman" w:eastAsia="Times New Roman" w:hint="default"/>
          <w:sz w:val="18"/>
          <w:szCs w:val="18"/>
        </w:rPr>
        <w:sectPr>
          <w:headerReference w:type="default" r:id="rId34"/>
          <w:footerReference w:type="default" r:id="rId35"/>
          <w:pgSz w:w="16850" w:h="11900" w:orient="landscape"/>
          <w:pgMar w:header="718" w:footer="0" w:top="1120" w:bottom="280" w:left="900" w:right="880"/>
        </w:sectPr>
      </w:pPr>
    </w:p>
    <w:p>
      <w:pPr>
        <w:spacing w:line="368" w:lineRule="exact" w:before="0"/>
        <w:ind w:left="5653" w:right="5654" w:firstLine="0"/>
        <w:jc w:val="center"/>
        <w:rPr>
          <w:rFonts w:ascii="黑体" w:hAnsi="黑体" w:cs="黑体" w:eastAsia="黑体" w:hint="default"/>
          <w:sz w:val="32"/>
          <w:szCs w:val="32"/>
        </w:rPr>
      </w:pPr>
      <w:r>
        <w:rPr/>
        <w:pict>
          <v:group style="position:absolute;margin-left:55.200001pt;margin-top:-.165pt;width:731.55pt;height:.1pt;mso-position-horizontal-relative:page;mso-position-vertical-relative:paragraph;z-index:2920" coordorigin="1104,-3" coordsize="14631,2">
            <v:shape style="position:absolute;left:1104;top:-3;width:14631;height:2" coordorigin="1104,-3" coordsize="14631,0" path="m1104,-3l15734,-3e" filled="false" stroked="true" strokeweight=".72pt" strokecolor="#000000">
              <v:path arrowok="t"/>
            </v:shape>
            <w10:wrap type="none"/>
          </v:group>
        </w:pict>
      </w:r>
      <w:r>
        <w:rPr>
          <w:rFonts w:ascii="黑体" w:hAnsi="黑体" w:cs="黑体" w:eastAsia="黑体" w:hint="default"/>
          <w:b/>
          <w:bCs/>
          <w:sz w:val="32"/>
          <w:szCs w:val="32"/>
        </w:rPr>
        <w:t>母公司所有者权益变动表</w:t>
      </w:r>
      <w:r>
        <w:rPr>
          <w:rFonts w:ascii="黑体" w:hAnsi="黑体" w:cs="黑体" w:eastAsia="黑体" w:hint="default"/>
          <w:sz w:val="32"/>
          <w:szCs w:val="32"/>
        </w:rPr>
      </w:r>
    </w:p>
    <w:p>
      <w:pPr>
        <w:pStyle w:val="BodyText"/>
        <w:tabs>
          <w:tab w:pos="12752" w:val="left" w:leader="none"/>
        </w:tabs>
        <w:spacing w:line="240" w:lineRule="auto" w:before="17"/>
        <w:ind w:right="0"/>
        <w:jc w:val="left"/>
      </w:pPr>
      <w:r>
        <w:rPr>
          <w:spacing w:val="-2"/>
        </w:rPr>
        <w:t>编制单位：北京中长石基信息技术股份有限公司</w:t>
        <w:tab/>
        <w:t>单位：人民币元</w:t>
      </w:r>
      <w:r>
        <w:rPr/>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529"/>
        <w:gridCol w:w="1687"/>
        <w:gridCol w:w="1790"/>
        <w:gridCol w:w="842"/>
        <w:gridCol w:w="720"/>
        <w:gridCol w:w="1582"/>
        <w:gridCol w:w="1687"/>
        <w:gridCol w:w="1771"/>
      </w:tblGrid>
      <w:tr>
        <w:trPr>
          <w:trHeight w:val="274" w:hRule="exact"/>
        </w:trPr>
        <w:tc>
          <w:tcPr>
            <w:tcW w:w="4529" w:type="dxa"/>
            <w:vMerge w:val="restart"/>
            <w:tcBorders>
              <w:top w:val="single" w:sz="12" w:space="0" w:color="000000"/>
              <w:left w:val="nil" w:sz="6" w:space="0" w:color="auto"/>
              <w:right w:val="single" w:sz="4" w:space="0" w:color="000000"/>
            </w:tcBorders>
          </w:tcPr>
          <w:p>
            <w:pPr>
              <w:pStyle w:val="TableParagraph"/>
              <w:tabs>
                <w:tab w:pos="544" w:val="left" w:leader="none"/>
              </w:tabs>
              <w:spacing w:line="240" w:lineRule="auto" w:before="100"/>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080" w:type="dxa"/>
            <w:gridSpan w:val="7"/>
            <w:tcBorders>
              <w:top w:val="single" w:sz="12" w:space="0" w:color="000000"/>
              <w:left w:val="single" w:sz="4" w:space="0" w:color="000000"/>
              <w:bottom w:val="single" w:sz="4" w:space="0" w:color="000000"/>
              <w:right w:val="nil" w:sz="6" w:space="0" w:color="auto"/>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83" w:hRule="exact"/>
        </w:trPr>
        <w:tc>
          <w:tcPr>
            <w:tcW w:w="4529" w:type="dxa"/>
            <w:vMerge/>
            <w:tcBorders>
              <w:left w:val="nil" w:sz="6" w:space="0" w:color="auto"/>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减：库</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46" w:right="0"/>
              <w:jc w:val="left"/>
              <w:rPr>
                <w:rFonts w:ascii="宋体" w:hAnsi="宋体" w:cs="宋体" w:eastAsia="宋体" w:hint="default"/>
                <w:sz w:val="21"/>
                <w:szCs w:val="21"/>
              </w:rPr>
            </w:pPr>
            <w:r>
              <w:rPr>
                <w:rFonts w:ascii="宋体" w:hAnsi="宋体" w:cs="宋体" w:eastAsia="宋体" w:hint="default"/>
                <w:sz w:val="21"/>
                <w:szCs w:val="21"/>
              </w:rPr>
              <w:t>专项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67"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144"/>
              <w:jc w:val="right"/>
              <w:rPr>
                <w:rFonts w:ascii="宋体" w:hAnsi="宋体" w:cs="宋体" w:eastAsia="宋体" w:hint="default"/>
                <w:sz w:val="21"/>
                <w:szCs w:val="21"/>
              </w:rPr>
            </w:pPr>
            <w:r>
              <w:rPr>
                <w:rFonts w:ascii="宋体" w:hAnsi="宋体" w:cs="宋体" w:eastAsia="宋体" w:hint="default"/>
                <w:spacing w:val="-1"/>
                <w:sz w:val="21"/>
                <w:szCs w:val="21"/>
              </w:rPr>
              <w:t>所有者权益合计</w:t>
            </w:r>
          </w:p>
        </w:tc>
      </w:tr>
      <w:tr>
        <w:trPr>
          <w:trHeight w:val="284" w:hRule="exact"/>
        </w:trPr>
        <w:tc>
          <w:tcPr>
            <w:tcW w:w="4529" w:type="dxa"/>
            <w:tcBorders>
              <w:top w:val="single" w:sz="4" w:space="0" w:color="000000"/>
              <w:left w:val="nil" w:sz="6" w:space="0" w:color="auto"/>
              <w:bottom w:val="nil" w:sz="6" w:space="0" w:color="auto"/>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60" w:right="0"/>
              <w:jc w:val="center"/>
              <w:rPr>
                <w:rFonts w:ascii="Times New Roman" w:hAnsi="Times New Roman" w:cs="Times New Roman" w:eastAsia="Times New Roman" w:hint="default"/>
                <w:sz w:val="21"/>
                <w:szCs w:val="21"/>
              </w:rPr>
            </w:pPr>
            <w:r>
              <w:rPr>
                <w:rFonts w:ascii="Times New Roman"/>
                <w:sz w:val="21"/>
              </w:rPr>
              <w:t>224,000,000.00</w:t>
            </w:r>
          </w:p>
        </w:tc>
        <w:tc>
          <w:tcPr>
            <w:tcW w:w="17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102,170,000.00</w:t>
            </w:r>
          </w:p>
        </w:tc>
        <w:tc>
          <w:tcPr>
            <w:tcW w:w="84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15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32,255,696.32</w:t>
            </w:r>
          </w:p>
        </w:tc>
        <w:tc>
          <w:tcPr>
            <w:tcW w:w="16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59" w:right="0"/>
              <w:jc w:val="left"/>
              <w:rPr>
                <w:rFonts w:ascii="Times New Roman" w:hAnsi="Times New Roman" w:cs="Times New Roman" w:eastAsia="Times New Roman" w:hint="default"/>
                <w:sz w:val="21"/>
                <w:szCs w:val="21"/>
              </w:rPr>
            </w:pPr>
            <w:r>
              <w:rPr>
                <w:rFonts w:ascii="Times New Roman"/>
                <w:sz w:val="21"/>
              </w:rPr>
              <w:t>129,379,648.56</w:t>
            </w:r>
          </w:p>
        </w:tc>
        <w:tc>
          <w:tcPr>
            <w:tcW w:w="1771"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487,805,344.88</w:t>
            </w:r>
          </w:p>
        </w:tc>
      </w:tr>
      <w:tr>
        <w:trPr>
          <w:trHeight w:val="286"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58" w:lineRule="exact"/>
              <w:ind w:left="333"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会计政策变更</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58" w:lineRule="exact"/>
              <w:ind w:left="8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前期差错更正</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83"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57" w:lineRule="exact"/>
              <w:ind w:left="-1" w:right="758"/>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82"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60" w:right="0"/>
              <w:jc w:val="center"/>
              <w:rPr>
                <w:rFonts w:ascii="Times New Roman" w:hAnsi="Times New Roman" w:cs="Times New Roman" w:eastAsia="Times New Roman" w:hint="default"/>
                <w:sz w:val="21"/>
                <w:szCs w:val="21"/>
              </w:rPr>
            </w:pPr>
            <w:r>
              <w:rPr>
                <w:rFonts w:ascii="Times New Roman"/>
                <w:sz w:val="21"/>
              </w:rPr>
              <w:t>224,000,000.00</w:t>
            </w:r>
          </w:p>
        </w:tc>
        <w:tc>
          <w:tcPr>
            <w:tcW w:w="1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102,170,000.00</w:t>
            </w: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32,255,696.32</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59" w:right="0"/>
              <w:jc w:val="left"/>
              <w:rPr>
                <w:rFonts w:ascii="Times New Roman" w:hAnsi="Times New Roman" w:cs="Times New Roman" w:eastAsia="Times New Roman" w:hint="default"/>
                <w:sz w:val="21"/>
                <w:szCs w:val="21"/>
              </w:rPr>
            </w:pPr>
            <w:r>
              <w:rPr>
                <w:rFonts w:ascii="Times New Roman"/>
                <w:sz w:val="21"/>
              </w:rPr>
              <w:t>129,379,648.56</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487,805,344.88</w:t>
            </w:r>
          </w:p>
        </w:tc>
      </w:tr>
      <w:tr>
        <w:trPr>
          <w:trHeight w:val="287"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三、本年增减变动金额（减少以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7,602,355.17</w:t>
            </w: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13,932,122.05</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364" w:right="0"/>
              <w:jc w:val="left"/>
              <w:rPr>
                <w:rFonts w:ascii="Times New Roman" w:hAnsi="Times New Roman" w:cs="Times New Roman" w:eastAsia="Times New Roman" w:hint="default"/>
                <w:sz w:val="21"/>
                <w:szCs w:val="21"/>
              </w:rPr>
            </w:pPr>
            <w:r>
              <w:rPr>
                <w:rFonts w:ascii="Times New Roman"/>
                <w:sz w:val="21"/>
              </w:rPr>
              <w:t>58,189,098.48</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72,121,220.53</w:t>
            </w:r>
          </w:p>
        </w:tc>
      </w:tr>
      <w:tr>
        <w:trPr>
          <w:trHeight w:val="280"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59" w:right="0"/>
              <w:jc w:val="left"/>
              <w:rPr>
                <w:rFonts w:ascii="Times New Roman" w:hAnsi="Times New Roman" w:cs="Times New Roman" w:eastAsia="Times New Roman" w:hint="default"/>
                <w:sz w:val="21"/>
                <w:szCs w:val="21"/>
              </w:rPr>
            </w:pPr>
            <w:r>
              <w:rPr>
                <w:rFonts w:ascii="Times New Roman"/>
                <w:sz w:val="21"/>
              </w:rPr>
              <w:t>139,321,220.53</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139,321,220.53</w:t>
            </w:r>
          </w:p>
        </w:tc>
      </w:tr>
      <w:tr>
        <w:trPr>
          <w:trHeight w:val="282"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45" w:lineRule="exact"/>
              <w:ind w:left="333"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90"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64" w:lineRule="exact"/>
              <w:ind w:left="1396" w:right="0"/>
              <w:jc w:val="left"/>
              <w:rPr>
                <w:rFonts w:ascii="宋体" w:hAnsi="宋体" w:cs="宋体" w:eastAsia="宋体" w:hint="default"/>
                <w:sz w:val="21"/>
                <w:szCs w:val="21"/>
              </w:rPr>
            </w:pPr>
            <w:r>
              <w:rPr>
                <w:rFonts w:ascii="宋体" w:hAnsi="宋体" w:cs="宋体" w:eastAsia="宋体" w:hint="default"/>
                <w:sz w:val="21"/>
                <w:szCs w:val="21"/>
              </w:rPr>
              <w:t>上述</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小计</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59" w:right="0"/>
              <w:jc w:val="left"/>
              <w:rPr>
                <w:rFonts w:ascii="Times New Roman" w:hAnsi="Times New Roman" w:cs="Times New Roman" w:eastAsia="Times New Roman" w:hint="default"/>
                <w:sz w:val="21"/>
                <w:szCs w:val="21"/>
              </w:rPr>
            </w:pPr>
            <w:r>
              <w:rPr>
                <w:rFonts w:ascii="Times New Roman"/>
                <w:sz w:val="21"/>
              </w:rPr>
              <w:t>139,321,220.53</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139,321,220.53</w:t>
            </w:r>
          </w:p>
        </w:tc>
      </w:tr>
      <w:tr>
        <w:trPr>
          <w:trHeight w:val="277"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90"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63"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所有者投入资本</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58"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股份支付计入股东权益的金额</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83"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57"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82"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13,932,122.05</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95" w:right="0"/>
              <w:jc w:val="left"/>
              <w:rPr>
                <w:rFonts w:ascii="Times New Roman" w:hAnsi="Times New Roman" w:cs="Times New Roman" w:eastAsia="Times New Roman" w:hint="default"/>
                <w:sz w:val="21"/>
                <w:szCs w:val="21"/>
              </w:rPr>
            </w:pPr>
            <w:r>
              <w:rPr>
                <w:rFonts w:ascii="Times New Roman"/>
                <w:sz w:val="21"/>
              </w:rPr>
              <w:t>-81,132,122.05</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-67,200,000.00</w:t>
            </w:r>
          </w:p>
        </w:tc>
      </w:tr>
      <w:tr>
        <w:trPr>
          <w:trHeight w:val="287"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61"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13,932,122.05</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95" w:right="0"/>
              <w:jc w:val="left"/>
              <w:rPr>
                <w:rFonts w:ascii="Times New Roman" w:hAnsi="Times New Roman" w:cs="Times New Roman" w:eastAsia="Times New Roman" w:hint="default"/>
                <w:sz w:val="21"/>
                <w:szCs w:val="21"/>
              </w:rPr>
            </w:pPr>
            <w:r>
              <w:rPr>
                <w:rFonts w:ascii="Times New Roman"/>
                <w:sz w:val="21"/>
              </w:rPr>
              <w:t>-13,932,122.05</w:t>
            </w:r>
          </w:p>
        </w:tc>
        <w:tc>
          <w:tcPr>
            <w:tcW w:w="1771" w:type="dxa"/>
            <w:tcBorders>
              <w:top w:val="nil" w:sz="6" w:space="0" w:color="auto"/>
              <w:left w:val="single" w:sz="4" w:space="0" w:color="000000"/>
              <w:bottom w:val="nil" w:sz="6" w:space="0" w:color="auto"/>
              <w:right w:val="nil" w:sz="6" w:space="0" w:color="auto"/>
            </w:tcBorders>
          </w:tcPr>
          <w:p>
            <w:pPr/>
          </w:p>
        </w:tc>
      </w:tr>
      <w:tr>
        <w:trPr>
          <w:trHeight w:val="283"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57"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57"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r>
              <w:rPr>
                <w:rFonts w:ascii="Times New Roman" w:hAnsi="Times New Roman" w:cs="Times New Roman" w:eastAsia="Times New Roman" w:hint="default"/>
                <w:sz w:val="21"/>
                <w:szCs w:val="21"/>
              </w:rPr>
              <w:t>(</w:t>
            </w:r>
            <w:r>
              <w:rPr>
                <w:rFonts w:ascii="宋体" w:hAnsi="宋体" w:cs="宋体" w:eastAsia="宋体" w:hint="default"/>
                <w:sz w:val="21"/>
                <w:szCs w:val="21"/>
              </w:rPr>
              <w:t>或股东</w:t>
            </w:r>
            <w:r>
              <w:rPr>
                <w:rFonts w:ascii="Times New Roman" w:hAnsi="Times New Roman" w:cs="Times New Roman" w:eastAsia="Times New Roman" w:hint="default"/>
                <w:sz w:val="21"/>
                <w:szCs w:val="21"/>
              </w:rPr>
              <w:t>)</w:t>
            </w:r>
            <w:r>
              <w:rPr>
                <w:rFonts w:ascii="宋体" w:hAnsi="宋体" w:cs="宋体" w:eastAsia="宋体" w:hint="default"/>
                <w:sz w:val="21"/>
                <w:szCs w:val="21"/>
              </w:rPr>
              <w:t>的分配</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95" w:right="0"/>
              <w:jc w:val="left"/>
              <w:rPr>
                <w:rFonts w:ascii="Times New Roman" w:hAnsi="Times New Roman" w:cs="Times New Roman" w:eastAsia="Times New Roman" w:hint="default"/>
                <w:sz w:val="21"/>
                <w:szCs w:val="21"/>
              </w:rPr>
            </w:pPr>
            <w:r>
              <w:rPr>
                <w:rFonts w:ascii="Times New Roman"/>
                <w:sz w:val="21"/>
              </w:rPr>
              <w:t>-67,200,000.00</w:t>
            </w: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-67,200,000.00</w:t>
            </w:r>
          </w:p>
        </w:tc>
      </w:tr>
      <w:tr>
        <w:trPr>
          <w:trHeight w:val="284"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58"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77"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90"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63" w:lineRule="exact"/>
              <w:ind w:left="43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w:t>
            </w:r>
            <w:r>
              <w:rPr>
                <w:rFonts w:ascii="Times New Roman" w:hAnsi="Times New Roman" w:cs="Times New Roman" w:eastAsia="Times New Roman" w:hint="default"/>
                <w:sz w:val="21"/>
                <w:szCs w:val="21"/>
              </w:rPr>
              <w:t>(</w:t>
            </w:r>
            <w:r>
              <w:rPr>
                <w:rFonts w:ascii="宋体" w:hAnsi="宋体" w:cs="宋体" w:eastAsia="宋体" w:hint="default"/>
                <w:sz w:val="21"/>
                <w:szCs w:val="21"/>
              </w:rPr>
              <w:t>或股本</w:t>
            </w:r>
            <w:r>
              <w:rPr>
                <w:rFonts w:ascii="Times New Roman" w:hAnsi="Times New Roman" w:cs="Times New Roman" w:eastAsia="Times New Roman" w:hint="default"/>
                <w:sz w:val="21"/>
                <w:szCs w:val="21"/>
              </w:rPr>
              <w:t>)</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58" w:lineRule="exact"/>
              <w:ind w:left="43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w:t>
            </w:r>
            <w:r>
              <w:rPr>
                <w:rFonts w:ascii="Times New Roman" w:hAnsi="Times New Roman" w:cs="Times New Roman" w:eastAsia="Times New Roman" w:hint="default"/>
                <w:sz w:val="21"/>
                <w:szCs w:val="21"/>
              </w:rPr>
              <w:t>(</w:t>
            </w:r>
            <w:r>
              <w:rPr>
                <w:rFonts w:ascii="宋体" w:hAnsi="宋体" w:cs="宋体" w:eastAsia="宋体" w:hint="default"/>
                <w:sz w:val="21"/>
                <w:szCs w:val="21"/>
              </w:rPr>
              <w:t>或股本</w:t>
            </w:r>
            <w:r>
              <w:rPr>
                <w:rFonts w:ascii="Times New Roman" w:hAnsi="Times New Roman" w:cs="Times New Roman" w:eastAsia="Times New Roman" w:hint="default"/>
                <w:sz w:val="21"/>
                <w:szCs w:val="21"/>
              </w:rPr>
              <w:t>)</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83"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57"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57" w:lineRule="exact"/>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79"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42" w:lineRule="exact"/>
              <w:ind w:left="54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89"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63" w:lineRule="exact"/>
              <w:ind w:left="5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57" w:lineRule="exact"/>
              <w:ind w:left="5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
        </w:tc>
      </w:tr>
      <w:tr>
        <w:trPr>
          <w:trHeight w:val="281" w:hRule="exact"/>
        </w:trPr>
        <w:tc>
          <w:tcPr>
            <w:tcW w:w="4529" w:type="dxa"/>
            <w:tcBorders>
              <w:top w:val="nil" w:sz="6" w:space="0" w:color="auto"/>
              <w:left w:val="nil" w:sz="6" w:space="0" w:color="auto"/>
              <w:bottom w:val="nil" w:sz="6" w:space="0" w:color="auto"/>
              <w:right w:val="single" w:sz="4" w:space="0" w:color="000000"/>
            </w:tcBorders>
          </w:tcPr>
          <w:p>
            <w:pPr>
              <w:pStyle w:val="TableParagraph"/>
              <w:spacing w:line="242" w:lineRule="exact"/>
              <w:ind w:left="54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87"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21"/>
                <w:szCs w:val="21"/>
              </w:rPr>
            </w:pPr>
            <w:r>
              <w:rPr>
                <w:rFonts w:ascii="Times New Roman"/>
                <w:spacing w:val="-1"/>
                <w:sz w:val="21"/>
              </w:rPr>
              <w:t>7,602,355.17</w:t>
            </w:r>
          </w:p>
        </w:tc>
        <w:tc>
          <w:tcPr>
            <w:tcW w:w="84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771"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21"/>
                <w:szCs w:val="21"/>
              </w:rPr>
            </w:pPr>
            <w:r>
              <w:rPr>
                <w:rFonts w:ascii="Times New Roman"/>
                <w:spacing w:val="-1"/>
                <w:sz w:val="21"/>
              </w:rPr>
              <w:t>7,602,355.17</w:t>
            </w:r>
          </w:p>
        </w:tc>
      </w:tr>
      <w:tr>
        <w:trPr>
          <w:trHeight w:val="297" w:hRule="exact"/>
        </w:trPr>
        <w:tc>
          <w:tcPr>
            <w:tcW w:w="4529" w:type="dxa"/>
            <w:tcBorders>
              <w:top w:val="nil" w:sz="6" w:space="0" w:color="auto"/>
              <w:left w:val="nil" w:sz="6" w:space="0" w:color="auto"/>
              <w:bottom w:val="single" w:sz="12" w:space="0" w:color="000000"/>
              <w:right w:val="single" w:sz="4" w:space="0" w:color="000000"/>
            </w:tcBorders>
          </w:tcPr>
          <w:p>
            <w:pPr>
              <w:pStyle w:val="TableParagraph"/>
              <w:spacing w:line="245" w:lineRule="exact"/>
              <w:ind w:left="122"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68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left="160" w:right="0"/>
              <w:jc w:val="center"/>
              <w:rPr>
                <w:rFonts w:ascii="Times New Roman" w:hAnsi="Times New Roman" w:cs="Times New Roman" w:eastAsia="Times New Roman" w:hint="default"/>
                <w:sz w:val="21"/>
                <w:szCs w:val="21"/>
              </w:rPr>
            </w:pPr>
            <w:r>
              <w:rPr>
                <w:rFonts w:ascii="Times New Roman"/>
                <w:sz w:val="21"/>
              </w:rPr>
              <w:t>224,000,000.00</w:t>
            </w:r>
          </w:p>
        </w:tc>
        <w:tc>
          <w:tcPr>
            <w:tcW w:w="179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109,772,355.17</w:t>
            </w:r>
          </w:p>
        </w:tc>
        <w:tc>
          <w:tcPr>
            <w:tcW w:w="842" w:type="dxa"/>
            <w:vMerge/>
            <w:tcBorders>
              <w:left w:val="single" w:sz="4" w:space="0" w:color="000000"/>
              <w:bottom w:val="single" w:sz="12" w:space="0" w:color="000000"/>
              <w:right w:val="single" w:sz="4" w:space="0" w:color="000000"/>
            </w:tcBorders>
          </w:tcPr>
          <w:p>
            <w:pPr/>
          </w:p>
        </w:tc>
        <w:tc>
          <w:tcPr>
            <w:tcW w:w="720" w:type="dxa"/>
            <w:vMerge/>
            <w:tcBorders>
              <w:left w:val="single" w:sz="4" w:space="0" w:color="000000"/>
              <w:bottom w:val="single" w:sz="12" w:space="0" w:color="000000"/>
              <w:right w:val="single" w:sz="4" w:space="0" w:color="000000"/>
            </w:tcBorders>
          </w:tcPr>
          <w:p>
            <w:pPr/>
          </w:p>
        </w:tc>
        <w:tc>
          <w:tcPr>
            <w:tcW w:w="15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46,187,818.37</w:t>
            </w:r>
          </w:p>
        </w:tc>
        <w:tc>
          <w:tcPr>
            <w:tcW w:w="168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left="259" w:right="0"/>
              <w:jc w:val="left"/>
              <w:rPr>
                <w:rFonts w:ascii="Times New Roman" w:hAnsi="Times New Roman" w:cs="Times New Roman" w:eastAsia="Times New Roman" w:hint="default"/>
                <w:sz w:val="21"/>
                <w:szCs w:val="21"/>
              </w:rPr>
            </w:pPr>
            <w:r>
              <w:rPr>
                <w:rFonts w:ascii="Times New Roman"/>
                <w:sz w:val="21"/>
              </w:rPr>
              <w:t>187,568,747.04</w:t>
            </w:r>
          </w:p>
        </w:tc>
        <w:tc>
          <w:tcPr>
            <w:tcW w:w="1771"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567,528,920.58</w:t>
            </w:r>
          </w:p>
        </w:tc>
      </w:tr>
    </w:tbl>
    <w:p>
      <w:pPr>
        <w:pStyle w:val="BodyText"/>
        <w:tabs>
          <w:tab w:pos="5862" w:val="left" w:leader="none"/>
          <w:tab w:pos="12056" w:val="left" w:leader="none"/>
        </w:tabs>
        <w:spacing w:line="241" w:lineRule="exact"/>
        <w:ind w:left="508" w:right="0"/>
        <w:jc w:val="left"/>
      </w:pPr>
      <w:r>
        <w:rPr>
          <w:spacing w:val="-1"/>
        </w:rPr>
        <w:t>法定代表人：李仲初</w:t>
        <w:tab/>
      </w:r>
      <w:r>
        <w:rPr>
          <w:spacing w:val="-2"/>
        </w:rPr>
        <w:t>主管会计工作负责人：赖德源</w:t>
        <w:tab/>
        <w:t>会计机构负责人：李天达</w:t>
      </w:r>
    </w:p>
    <w:p>
      <w:pPr>
        <w:spacing w:line="240" w:lineRule="auto" w:before="11"/>
        <w:rPr>
          <w:rFonts w:ascii="宋体" w:hAnsi="宋体" w:cs="宋体" w:eastAsia="宋体" w:hint="default"/>
          <w:sz w:val="20"/>
          <w:szCs w:val="20"/>
        </w:rPr>
      </w:pPr>
    </w:p>
    <w:p>
      <w:pPr>
        <w:spacing w:before="76"/>
        <w:ind w:left="5653" w:right="5651" w:firstLine="0"/>
        <w:jc w:val="center"/>
        <w:rPr>
          <w:rFonts w:ascii="Times New Roman" w:hAnsi="Times New Roman" w:cs="Times New Roman" w:eastAsia="Times New Roman" w:hint="default"/>
          <w:sz w:val="18"/>
          <w:szCs w:val="18"/>
        </w:rPr>
      </w:pPr>
      <w:r>
        <w:rPr>
          <w:rFonts w:ascii="Times New Roman"/>
          <w:sz w:val="18"/>
        </w:rPr>
        <w:t>79</w:t>
      </w:r>
    </w:p>
    <w:p>
      <w:pPr>
        <w:spacing w:after="0"/>
        <w:jc w:val="center"/>
        <w:rPr>
          <w:rFonts w:ascii="Times New Roman" w:hAnsi="Times New Roman" w:cs="Times New Roman" w:eastAsia="Times New Roman" w:hint="default"/>
          <w:sz w:val="18"/>
          <w:szCs w:val="18"/>
        </w:rPr>
        <w:sectPr>
          <w:headerReference w:type="default" r:id="rId36"/>
          <w:footerReference w:type="default" r:id="rId37"/>
          <w:pgSz w:w="16850" w:h="11900" w:orient="landscape"/>
          <w:pgMar w:header="718" w:footer="0" w:top="1120" w:bottom="280" w:left="980" w:right="980"/>
        </w:sectPr>
      </w:pPr>
    </w:p>
    <w:p>
      <w:pPr>
        <w:spacing w:before="9"/>
        <w:ind w:left="3438" w:right="3424" w:firstLine="0"/>
        <w:jc w:val="center"/>
        <w:rPr>
          <w:rFonts w:ascii="黑体" w:hAnsi="黑体" w:cs="黑体" w:eastAsia="黑体" w:hint="default"/>
          <w:sz w:val="32"/>
          <w:szCs w:val="32"/>
        </w:rPr>
      </w:pPr>
      <w:r>
        <w:rPr/>
        <w:pict>
          <v:group style="position:absolute;margin-left:55.200001pt;margin-top:2.81749pt;width:484.8pt;height:.1pt;mso-position-horizontal-relative:page;mso-position-vertical-relative:paragraph;z-index:-771544" coordorigin="1104,56" coordsize="9696,2">
            <v:shape style="position:absolute;left:1104;top:56;width:9696;height:2" coordorigin="1104,56" coordsize="9696,0" path="m1104,56l10800,56e" filled="false" stroked="true" strokeweight=".72pt" strokecolor="#000000">
              <v:path arrowok="t"/>
            </v:shape>
            <w10:wrap type="none"/>
          </v:group>
        </w:pict>
      </w:r>
      <w:r>
        <w:rPr>
          <w:rFonts w:ascii="黑体" w:hAnsi="黑体" w:cs="黑体" w:eastAsia="黑体" w:hint="default"/>
          <w:b/>
          <w:bCs/>
          <w:sz w:val="32"/>
          <w:szCs w:val="32"/>
        </w:rPr>
        <w:t>资产减值准备明细表</w:t>
      </w:r>
      <w:r>
        <w:rPr>
          <w:rFonts w:ascii="黑体" w:hAnsi="黑体" w:cs="黑体" w:eastAsia="黑体" w:hint="default"/>
          <w:sz w:val="32"/>
          <w:szCs w:val="32"/>
        </w:rPr>
      </w:r>
    </w:p>
    <w:p>
      <w:pPr>
        <w:spacing w:line="240" w:lineRule="auto" w:before="5"/>
        <w:rPr>
          <w:rFonts w:ascii="黑体" w:hAnsi="黑体" w:cs="黑体" w:eastAsia="黑体" w:hint="default"/>
          <w:b/>
          <w:bCs/>
          <w:sz w:val="29"/>
          <w:szCs w:val="29"/>
        </w:rPr>
      </w:pPr>
    </w:p>
    <w:p>
      <w:pPr>
        <w:pStyle w:val="BodyText"/>
        <w:tabs>
          <w:tab w:pos="7690" w:val="left" w:leader="none"/>
        </w:tabs>
        <w:spacing w:line="240" w:lineRule="auto"/>
        <w:ind w:left="232" w:right="0"/>
        <w:jc w:val="left"/>
      </w:pPr>
      <w:r>
        <w:rPr>
          <w:w w:val="100"/>
        </w:rPr>
        <w:t>编制</w:t>
      </w:r>
      <w:r>
        <w:rPr>
          <w:spacing w:val="-3"/>
          <w:w w:val="100"/>
        </w:rPr>
        <w:t>单</w:t>
      </w:r>
      <w:r>
        <w:rPr>
          <w:w w:val="100"/>
        </w:rPr>
        <w:t>位</w:t>
      </w:r>
      <w:r>
        <w:rPr>
          <w:spacing w:val="-3"/>
          <w:w w:val="100"/>
        </w:rPr>
        <w:t>：</w:t>
      </w:r>
      <w:r>
        <w:rPr>
          <w:w w:val="100"/>
        </w:rPr>
        <w:t>北</w:t>
      </w:r>
      <w:r>
        <w:rPr>
          <w:spacing w:val="-3"/>
          <w:w w:val="100"/>
        </w:rPr>
        <w:t>京</w:t>
      </w:r>
      <w:r>
        <w:rPr>
          <w:w w:val="100"/>
        </w:rPr>
        <w:t>中</w:t>
      </w:r>
      <w:r>
        <w:rPr>
          <w:spacing w:val="-3"/>
          <w:w w:val="100"/>
        </w:rPr>
        <w:t>长</w:t>
      </w:r>
      <w:r>
        <w:rPr>
          <w:w w:val="100"/>
        </w:rPr>
        <w:t>石</w:t>
      </w:r>
      <w:r>
        <w:rPr>
          <w:spacing w:val="-3"/>
          <w:w w:val="100"/>
        </w:rPr>
        <w:t>基</w:t>
      </w:r>
      <w:r>
        <w:rPr>
          <w:w w:val="100"/>
        </w:rPr>
        <w:t>信息</w:t>
      </w:r>
      <w:r>
        <w:rPr>
          <w:spacing w:val="-3"/>
          <w:w w:val="100"/>
        </w:rPr>
        <w:t>技</w:t>
      </w:r>
      <w:r>
        <w:rPr>
          <w:w w:val="100"/>
        </w:rPr>
        <w:t>术</w:t>
      </w:r>
      <w:r>
        <w:rPr>
          <w:spacing w:val="-3"/>
          <w:w w:val="100"/>
        </w:rPr>
        <w:t>股</w:t>
      </w:r>
      <w:r>
        <w:rPr>
          <w:w w:val="100"/>
        </w:rPr>
        <w:t>份</w:t>
      </w:r>
      <w:r>
        <w:rPr>
          <w:spacing w:val="-3"/>
          <w:w w:val="100"/>
        </w:rPr>
        <w:t>有</w:t>
      </w:r>
      <w:r>
        <w:rPr>
          <w:w w:val="100"/>
        </w:rPr>
        <w:t>限</w:t>
      </w:r>
      <w:r>
        <w:rPr>
          <w:spacing w:val="-3"/>
          <w:w w:val="100"/>
        </w:rPr>
        <w:t>公</w:t>
      </w:r>
      <w:r>
        <w:rPr>
          <w:w w:val="100"/>
        </w:rPr>
        <w:t>司</w:t>
      </w:r>
      <w:r>
        <w:rPr/>
        <w:tab/>
      </w:r>
      <w:r>
        <w:rPr>
          <w:spacing w:val="-3"/>
          <w:w w:val="100"/>
        </w:rPr>
        <w:t>单</w:t>
      </w:r>
      <w:r>
        <w:rPr>
          <w:w w:val="100"/>
        </w:rPr>
        <w:t>位</w:t>
      </w:r>
      <w:r>
        <w:rPr>
          <w:spacing w:val="-106"/>
          <w:w w:val="100"/>
        </w:rPr>
        <w:t>：</w:t>
      </w:r>
      <w:r>
        <w:rPr>
          <w:spacing w:val="-3"/>
          <w:w w:val="100"/>
        </w:rPr>
        <w:t>（</w:t>
      </w:r>
      <w:r>
        <w:rPr>
          <w:w w:val="100"/>
        </w:rPr>
        <w:t>人</w:t>
      </w:r>
      <w:r>
        <w:rPr>
          <w:spacing w:val="-3"/>
          <w:w w:val="100"/>
        </w:rPr>
        <w:t>民</w:t>
      </w:r>
      <w:r>
        <w:rPr>
          <w:w w:val="100"/>
        </w:rPr>
        <w:t>币</w:t>
      </w:r>
      <w:r>
        <w:rPr>
          <w:spacing w:val="-3"/>
          <w:w w:val="100"/>
        </w:rPr>
        <w:t>）元</w:t>
      </w:r>
      <w:r>
        <w:rPr>
          <w:w w:val="100"/>
        </w:rPr>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304"/>
        <w:gridCol w:w="1606"/>
        <w:gridCol w:w="1438"/>
        <w:gridCol w:w="1226"/>
        <w:gridCol w:w="430"/>
        <w:gridCol w:w="1428"/>
        <w:gridCol w:w="1438"/>
      </w:tblGrid>
      <w:tr>
        <w:trPr>
          <w:trHeight w:val="449" w:hRule="exact"/>
        </w:trPr>
        <w:tc>
          <w:tcPr>
            <w:tcW w:w="230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6"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438"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1226"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其他增加</w:t>
            </w:r>
          </w:p>
        </w:tc>
        <w:tc>
          <w:tcPr>
            <w:tcW w:w="185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left="398"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438"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871" w:hRule="exact"/>
        </w:trPr>
        <w:tc>
          <w:tcPr>
            <w:tcW w:w="2304" w:type="dxa"/>
            <w:vMerge/>
            <w:tcBorders>
              <w:left w:val="nil" w:sz="6" w:space="0" w:color="auto"/>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1438"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430" w:lineRule="exact" w:before="28"/>
              <w:ind w:left="103" w:right="103"/>
              <w:jc w:val="left"/>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38" w:type="dxa"/>
            <w:vMerge/>
            <w:tcBorders>
              <w:left w:val="single" w:sz="4" w:space="0" w:color="000000"/>
              <w:bottom w:val="single" w:sz="4" w:space="0" w:color="000000"/>
              <w:right w:val="nil" w:sz="6" w:space="0" w:color="auto"/>
            </w:tcBorders>
          </w:tcPr>
          <w:p>
            <w:pPr/>
          </w:p>
        </w:tc>
      </w:tr>
      <w:tr>
        <w:trPr>
          <w:trHeight w:val="524" w:hRule="exact"/>
        </w:trPr>
        <w:tc>
          <w:tcPr>
            <w:tcW w:w="2304" w:type="dxa"/>
            <w:tcBorders>
              <w:top w:val="single" w:sz="4" w:space="0" w:color="000000"/>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6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13,024,735.02</w:t>
            </w:r>
          </w:p>
        </w:tc>
        <w:tc>
          <w:tcPr>
            <w:tcW w:w="14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7,451,323.86</w:t>
            </w:r>
          </w:p>
        </w:tc>
        <w:tc>
          <w:tcPr>
            <w:tcW w:w="1226" w:type="dxa"/>
            <w:vMerge w:val="restart"/>
            <w:tcBorders>
              <w:top w:val="single" w:sz="4" w:space="0" w:color="000000"/>
              <w:left w:val="single" w:sz="4" w:space="0" w:color="000000"/>
              <w:right w:val="single" w:sz="4" w:space="0" w:color="000000"/>
            </w:tcBorders>
          </w:tcPr>
          <w:p>
            <w:pPr/>
          </w:p>
        </w:tc>
        <w:tc>
          <w:tcPr>
            <w:tcW w:w="430" w:type="dxa"/>
            <w:vMerge w:val="restart"/>
            <w:tcBorders>
              <w:top w:val="single" w:sz="4" w:space="0" w:color="000000"/>
              <w:left w:val="single" w:sz="4" w:space="0" w:color="000000"/>
              <w:right w:val="single" w:sz="4" w:space="0" w:color="000000"/>
            </w:tcBorders>
          </w:tcPr>
          <w:p>
            <w:pPr/>
          </w:p>
        </w:tc>
        <w:tc>
          <w:tcPr>
            <w:tcW w:w="14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1,745,669.35</w:t>
            </w:r>
          </w:p>
        </w:tc>
        <w:tc>
          <w:tcPr>
            <w:tcW w:w="1438" w:type="dxa"/>
            <w:tcBorders>
              <w:top w:val="single" w:sz="4" w:space="0" w:color="000000"/>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18,730,389.53</w:t>
            </w:r>
          </w:p>
        </w:tc>
      </w:tr>
      <w:tr>
        <w:trPr>
          <w:trHeight w:val="430" w:hRule="exact"/>
        </w:trPr>
        <w:tc>
          <w:tcPr>
            <w:tcW w:w="2304"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．应收账款坏账准备</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21"/>
                <w:szCs w:val="21"/>
              </w:rPr>
            </w:pPr>
            <w:r>
              <w:rPr>
                <w:rFonts w:ascii="Times New Roman"/>
                <w:spacing w:val="-2"/>
                <w:sz w:val="21"/>
              </w:rPr>
              <w:t>11,663,772.39</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21"/>
                <w:szCs w:val="21"/>
              </w:rPr>
            </w:pPr>
            <w:r>
              <w:rPr>
                <w:rFonts w:ascii="Times New Roman"/>
                <w:spacing w:val="-1"/>
                <w:sz w:val="21"/>
              </w:rPr>
              <w:t>5,606,155.34</w:t>
            </w:r>
          </w:p>
        </w:tc>
        <w:tc>
          <w:tcPr>
            <w:tcW w:w="1226" w:type="dxa"/>
            <w:vMerge/>
            <w:tcBorders>
              <w:left w:val="single" w:sz="4" w:space="0" w:color="000000"/>
              <w:right w:val="single" w:sz="4" w:space="0" w:color="000000"/>
            </w:tcBorders>
          </w:tcPr>
          <w:p>
            <w:pPr/>
          </w:p>
        </w:tc>
        <w:tc>
          <w:tcPr>
            <w:tcW w:w="430" w:type="dxa"/>
            <w:vMerge/>
            <w:tcBorders>
              <w:left w:val="single" w:sz="4" w:space="0" w:color="000000"/>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21"/>
                <w:szCs w:val="21"/>
              </w:rPr>
            </w:pPr>
            <w:r>
              <w:rPr>
                <w:rFonts w:ascii="Times New Roman"/>
                <w:spacing w:val="-1"/>
                <w:sz w:val="21"/>
              </w:rPr>
              <w:t>1,745,343.15</w:t>
            </w: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1"/>
              <w:jc w:val="right"/>
              <w:rPr>
                <w:rFonts w:ascii="Times New Roman" w:hAnsi="Times New Roman" w:cs="Times New Roman" w:eastAsia="Times New Roman" w:hint="default"/>
                <w:sz w:val="21"/>
                <w:szCs w:val="21"/>
              </w:rPr>
            </w:pPr>
            <w:r>
              <w:rPr>
                <w:rFonts w:ascii="Times New Roman"/>
                <w:spacing w:val="-1"/>
                <w:sz w:val="21"/>
              </w:rPr>
              <w:t>15,524,584.58</w:t>
            </w:r>
          </w:p>
        </w:tc>
      </w:tr>
      <w:tr>
        <w:trPr>
          <w:trHeight w:val="851" w:hRule="exact"/>
        </w:trPr>
        <w:tc>
          <w:tcPr>
            <w:tcW w:w="2304" w:type="dxa"/>
            <w:tcBorders>
              <w:top w:val="nil" w:sz="6" w:space="0" w:color="auto"/>
              <w:left w:val="nil" w:sz="6" w:space="0" w:color="auto"/>
              <w:bottom w:val="nil" w:sz="6" w:space="0" w:color="auto"/>
              <w:right w:val="single" w:sz="4" w:space="0" w:color="000000"/>
            </w:tcBorders>
          </w:tcPr>
          <w:p>
            <w:pPr>
              <w:pStyle w:val="TableParagraph"/>
              <w:spacing w:line="357" w:lineRule="auto" w:before="35"/>
              <w:ind w:left="122" w:right="99"/>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．其他应收账款坏账</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准备</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21"/>
                <w:szCs w:val="21"/>
              </w:rPr>
            </w:pPr>
            <w:r>
              <w:rPr>
                <w:rFonts w:ascii="Times New Roman"/>
                <w:spacing w:val="-1"/>
                <w:sz w:val="21"/>
              </w:rPr>
              <w:t>1,360,962.63</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21"/>
                <w:szCs w:val="21"/>
              </w:rPr>
            </w:pPr>
            <w:r>
              <w:rPr>
                <w:rFonts w:ascii="Times New Roman"/>
                <w:sz w:val="21"/>
              </w:rPr>
              <w:t>1,845,168.52</w:t>
            </w:r>
          </w:p>
        </w:tc>
        <w:tc>
          <w:tcPr>
            <w:tcW w:w="1226" w:type="dxa"/>
            <w:vMerge/>
            <w:tcBorders>
              <w:left w:val="single" w:sz="4" w:space="0" w:color="000000"/>
              <w:right w:val="single" w:sz="4" w:space="0" w:color="000000"/>
            </w:tcBorders>
          </w:tcPr>
          <w:p>
            <w:pPr/>
          </w:p>
        </w:tc>
        <w:tc>
          <w:tcPr>
            <w:tcW w:w="430" w:type="dxa"/>
            <w:vMerge/>
            <w:tcBorders>
              <w:left w:val="single" w:sz="4" w:space="0" w:color="000000"/>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21"/>
                <w:szCs w:val="21"/>
              </w:rPr>
            </w:pPr>
            <w:r>
              <w:rPr>
                <w:rFonts w:ascii="Times New Roman"/>
                <w:sz w:val="21"/>
              </w:rPr>
              <w:t>326.20</w:t>
            </w: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0"/>
              <w:jc w:val="right"/>
              <w:rPr>
                <w:rFonts w:ascii="Times New Roman" w:hAnsi="Times New Roman" w:cs="Times New Roman" w:eastAsia="Times New Roman" w:hint="default"/>
                <w:sz w:val="21"/>
                <w:szCs w:val="21"/>
              </w:rPr>
            </w:pPr>
            <w:r>
              <w:rPr>
                <w:rFonts w:ascii="Times New Roman"/>
                <w:spacing w:val="-1"/>
                <w:sz w:val="21"/>
              </w:rPr>
              <w:t>3,205,804.95</w:t>
            </w:r>
          </w:p>
        </w:tc>
      </w:tr>
      <w:tr>
        <w:trPr>
          <w:trHeight w:val="403" w:hRule="exact"/>
        </w:trPr>
        <w:tc>
          <w:tcPr>
            <w:tcW w:w="2304"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21"/>
                <w:szCs w:val="21"/>
              </w:rPr>
            </w:pPr>
            <w:r>
              <w:rPr>
                <w:rFonts w:ascii="Times New Roman"/>
                <w:spacing w:val="-1"/>
                <w:sz w:val="21"/>
              </w:rPr>
              <w:t>317,633.59</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21"/>
                <w:szCs w:val="21"/>
              </w:rPr>
            </w:pPr>
            <w:r>
              <w:rPr>
                <w:rFonts w:ascii="Times New Roman"/>
                <w:spacing w:val="-1"/>
                <w:sz w:val="21"/>
              </w:rPr>
              <w:t>47,590.78</w:t>
            </w:r>
          </w:p>
        </w:tc>
        <w:tc>
          <w:tcPr>
            <w:tcW w:w="1226" w:type="dxa"/>
            <w:vMerge/>
            <w:tcBorders>
              <w:left w:val="single" w:sz="4" w:space="0" w:color="000000"/>
              <w:right w:val="single" w:sz="4" w:space="0" w:color="000000"/>
            </w:tcBorders>
          </w:tcPr>
          <w:p>
            <w:pPr/>
          </w:p>
        </w:tc>
        <w:tc>
          <w:tcPr>
            <w:tcW w:w="430" w:type="dxa"/>
            <w:vMerge/>
            <w:tcBorders>
              <w:left w:val="single" w:sz="4" w:space="0" w:color="000000"/>
              <w:right w:val="single" w:sz="4" w:space="0" w:color="000000"/>
            </w:tcBorders>
          </w:tcPr>
          <w:p>
            <w:pP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21"/>
                <w:szCs w:val="21"/>
              </w:rPr>
            </w:pPr>
            <w:r>
              <w:rPr>
                <w:rFonts w:ascii="Times New Roman"/>
                <w:w w:val="100"/>
                <w:sz w:val="21"/>
              </w:rPr>
              <w:t>-</w:t>
            </w: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100"/>
              <w:jc w:val="right"/>
              <w:rPr>
                <w:rFonts w:ascii="Times New Roman" w:hAnsi="Times New Roman" w:cs="Times New Roman" w:eastAsia="Times New Roman" w:hint="default"/>
                <w:sz w:val="21"/>
                <w:szCs w:val="21"/>
              </w:rPr>
            </w:pPr>
            <w:r>
              <w:rPr>
                <w:rFonts w:ascii="Times New Roman"/>
                <w:spacing w:val="-1"/>
                <w:sz w:val="21"/>
              </w:rPr>
              <w:t>365,224.37</w:t>
            </w:r>
          </w:p>
        </w:tc>
      </w:tr>
      <w:tr>
        <w:trPr>
          <w:trHeight w:val="382" w:hRule="exact"/>
        </w:trPr>
        <w:tc>
          <w:tcPr>
            <w:tcW w:w="2304" w:type="dxa"/>
            <w:tcBorders>
              <w:top w:val="nil" w:sz="6" w:space="0" w:color="auto"/>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1"/>
                <w:szCs w:val="21"/>
              </w:rPr>
            </w:pPr>
            <w:r>
              <w:rPr>
                <w:rFonts w:ascii="宋体" w:hAnsi="宋体" w:cs="宋体" w:eastAsia="宋体" w:hint="default"/>
                <w:spacing w:val="-4"/>
                <w:sz w:val="21"/>
                <w:szCs w:val="21"/>
              </w:rPr>
              <w:t>三、固定资产减值准备</w:t>
            </w:r>
          </w:p>
        </w:tc>
        <w:tc>
          <w:tcPr>
            <w:tcW w:w="16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right="98"/>
              <w:jc w:val="right"/>
              <w:rPr>
                <w:rFonts w:ascii="Times New Roman" w:hAnsi="Times New Roman" w:cs="Times New Roman" w:eastAsia="Times New Roman" w:hint="default"/>
                <w:sz w:val="21"/>
                <w:szCs w:val="21"/>
              </w:rPr>
            </w:pPr>
            <w:r>
              <w:rPr>
                <w:rFonts w:ascii="Times New Roman"/>
                <w:spacing w:val="-1"/>
                <w:sz w:val="21"/>
              </w:rPr>
              <w:t>1,271,148.60</w:t>
            </w:r>
          </w:p>
        </w:tc>
        <w:tc>
          <w:tcPr>
            <w:tcW w:w="1438" w:type="dxa"/>
            <w:tcBorders>
              <w:top w:val="nil" w:sz="6" w:space="0" w:color="auto"/>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430" w:type="dxa"/>
            <w:vMerge/>
            <w:tcBorders>
              <w:left w:val="single" w:sz="4" w:space="0" w:color="000000"/>
              <w:bottom w:val="single" w:sz="4" w:space="0" w:color="000000"/>
              <w:right w:val="single" w:sz="4" w:space="0" w:color="000000"/>
            </w:tcBorders>
          </w:tcPr>
          <w:p>
            <w:pPr/>
          </w:p>
        </w:tc>
        <w:tc>
          <w:tcPr>
            <w:tcW w:w="14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w w:val="100"/>
                <w:sz w:val="21"/>
              </w:rPr>
              <w:t>-</w:t>
            </w:r>
          </w:p>
        </w:tc>
        <w:tc>
          <w:tcPr>
            <w:tcW w:w="1438" w:type="dxa"/>
            <w:tcBorders>
              <w:top w:val="nil" w:sz="6" w:space="0" w:color="auto"/>
              <w:left w:val="single" w:sz="4" w:space="0" w:color="000000"/>
              <w:bottom w:val="single" w:sz="4" w:space="0" w:color="000000"/>
              <w:right w:val="nil" w:sz="6" w:space="0" w:color="auto"/>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1,271,148.60</w:t>
            </w:r>
          </w:p>
        </w:tc>
      </w:tr>
      <w:tr>
        <w:trPr>
          <w:trHeight w:val="504" w:hRule="exact"/>
        </w:trPr>
        <w:tc>
          <w:tcPr>
            <w:tcW w:w="23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4"/>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14,613,517.21</w:t>
            </w:r>
          </w:p>
        </w:tc>
        <w:tc>
          <w:tcPr>
            <w:tcW w:w="14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7,498,914.64</w:t>
            </w:r>
          </w:p>
        </w:tc>
        <w:tc>
          <w:tcPr>
            <w:tcW w:w="1226" w:type="dxa"/>
            <w:tcBorders>
              <w:top w:val="single" w:sz="4" w:space="0" w:color="000000"/>
              <w:left w:val="single" w:sz="4" w:space="0" w:color="000000"/>
              <w:bottom w:val="single" w:sz="12" w:space="0" w:color="000000"/>
              <w:right w:val="single" w:sz="4" w:space="0" w:color="000000"/>
            </w:tcBorders>
          </w:tcPr>
          <w:p>
            <w:pPr/>
          </w:p>
        </w:tc>
        <w:tc>
          <w:tcPr>
            <w:tcW w:w="430" w:type="dxa"/>
            <w:tcBorders>
              <w:top w:val="single" w:sz="4" w:space="0" w:color="000000"/>
              <w:left w:val="single" w:sz="4" w:space="0" w:color="000000"/>
              <w:bottom w:val="single" w:sz="12" w:space="0" w:color="000000"/>
              <w:right w:val="single" w:sz="4" w:space="0" w:color="000000"/>
            </w:tcBorders>
          </w:tcPr>
          <w:p>
            <w:pPr/>
          </w:p>
        </w:tc>
        <w:tc>
          <w:tcPr>
            <w:tcW w:w="1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1,535,422.45</w:t>
            </w:r>
          </w:p>
        </w:tc>
        <w:tc>
          <w:tcPr>
            <w:tcW w:w="14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20,366,762.50</w:t>
            </w:r>
          </w:p>
        </w:tc>
      </w:tr>
    </w:tbl>
    <w:p>
      <w:pPr>
        <w:pStyle w:val="BodyText"/>
        <w:tabs>
          <w:tab w:pos="3271" w:val="left" w:leader="none"/>
          <w:tab w:pos="7569" w:val="left" w:leader="none"/>
        </w:tabs>
        <w:spacing w:line="240" w:lineRule="auto" w:before="86"/>
        <w:ind w:left="232" w:right="0"/>
        <w:jc w:val="left"/>
      </w:pPr>
      <w:r>
        <w:rPr>
          <w:spacing w:val="-2"/>
        </w:rPr>
        <w:t>法定代表人：李仲初</w:t>
        <w:tab/>
        <w:t>主管会计工作负责人：赖德源</w:t>
        <w:tab/>
      </w:r>
      <w:r>
        <w:rPr>
          <w:spacing w:val="-3"/>
        </w:rPr>
        <w:t>会计机构负责人：李天达</w:t>
      </w:r>
      <w:r>
        <w:rPr/>
      </w:r>
    </w:p>
    <w:p>
      <w:pPr>
        <w:spacing w:after="0" w:line="240" w:lineRule="auto"/>
        <w:jc w:val="left"/>
        <w:sectPr>
          <w:headerReference w:type="default" r:id="rId38"/>
          <w:footerReference w:type="default" r:id="rId39"/>
          <w:pgSz w:w="11910" w:h="16840"/>
          <w:pgMar w:header="850" w:footer="979" w:top="1200" w:bottom="1160" w:left="900" w:right="920"/>
          <w:pgNumType w:start="80"/>
        </w:sectPr>
      </w:pPr>
    </w:p>
    <w:p>
      <w:pPr>
        <w:spacing w:line="240" w:lineRule="auto" w:before="10"/>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bookmarkStart w:name="2001年12月，经公司2001年度第四次临时股东大会决议，并经北京市人民政府经" w:id="22"/>
      <w:bookmarkEnd w:id="22"/>
      <w:r>
        <w:rPr/>
      </w:r>
      <w:bookmarkStart w:name="2004年6月，经公司2003年度股东大会决议，以2003年末未分配利润中的90" w:id="23"/>
      <w:bookmarkEnd w:id="23"/>
      <w:r>
        <w:rPr/>
      </w: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before="21"/>
        <w:ind w:left="3758" w:right="3401" w:firstLine="0"/>
        <w:jc w:val="center"/>
        <w:rPr>
          <w:rFonts w:ascii="黑体" w:hAnsi="黑体" w:cs="黑体" w:eastAsia="黑体" w:hint="default"/>
          <w:sz w:val="32"/>
          <w:szCs w:val="32"/>
        </w:rPr>
      </w:pPr>
      <w:r>
        <w:rPr>
          <w:rFonts w:ascii="黑体" w:hAnsi="黑体" w:cs="黑体" w:eastAsia="黑体" w:hint="default"/>
          <w:b/>
          <w:bCs/>
          <w:sz w:val="32"/>
          <w:szCs w:val="32"/>
        </w:rPr>
        <w:t>财务报表附注</w:t>
      </w:r>
      <w:r>
        <w:rPr>
          <w:rFonts w:ascii="黑体" w:hAnsi="黑体" w:cs="黑体" w:eastAsia="黑体" w:hint="default"/>
          <w:sz w:val="32"/>
          <w:szCs w:val="32"/>
        </w:rPr>
      </w:r>
    </w:p>
    <w:p>
      <w:pPr>
        <w:pStyle w:val="BodyText"/>
        <w:spacing w:line="240" w:lineRule="auto" w:before="228"/>
        <w:ind w:left="3758" w:right="3815"/>
        <w:jc w:val="center"/>
      </w:pP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
        <w:rPr>
          <w:rFonts w:ascii="宋体" w:hAnsi="宋体" w:cs="宋体" w:eastAsia="宋体" w:hint="default"/>
          <w:sz w:val="10"/>
          <w:szCs w:val="10"/>
        </w:rPr>
      </w:pPr>
    </w:p>
    <w:p>
      <w:pPr>
        <w:pStyle w:val="BodyText"/>
        <w:spacing w:line="403" w:lineRule="auto" w:before="36"/>
        <w:ind w:left="572" w:right="0" w:firstLine="2"/>
        <w:jc w:val="left"/>
      </w:pPr>
      <w:r>
        <w:rPr>
          <w:rFonts w:ascii="宋体" w:hAnsi="宋体" w:cs="宋体" w:eastAsia="宋体" w:hint="default"/>
          <w:b/>
          <w:bCs/>
        </w:rPr>
        <w:t>（一）</w:t>
      </w:r>
      <w:r>
        <w:rPr>
          <w:rFonts w:ascii="宋体" w:hAnsi="宋体" w:cs="宋体" w:eastAsia="宋体" w:hint="default"/>
          <w:b/>
          <w:bCs/>
          <w:spacing w:val="-82"/>
        </w:rPr>
        <w:t> </w:t>
      </w:r>
      <w:r>
        <w:rPr>
          <w:rFonts w:ascii="宋体" w:hAnsi="宋体" w:cs="宋体" w:eastAsia="宋体" w:hint="default"/>
          <w:b/>
          <w:bCs/>
        </w:rPr>
        <w:t>公司的基本情况</w:t>
      </w:r>
      <w:r>
        <w:rPr>
          <w:rFonts w:ascii="宋体" w:hAnsi="宋体" w:cs="宋体" w:eastAsia="宋体" w:hint="default"/>
          <w:b/>
          <w:bCs/>
          <w:w w:val="100"/>
        </w:rPr>
        <w:t> </w:t>
      </w:r>
      <w:r>
        <w:rPr>
          <w:spacing w:val="-2"/>
        </w:rPr>
        <w:t>北京中长石基信息技术股份有限公司（以下简称</w:t>
      </w:r>
      <w:r>
        <w:rPr>
          <w:rFonts w:ascii="Times New Roman" w:hAnsi="Times New Roman" w:cs="Times New Roman" w:eastAsia="Times New Roman" w:hint="default"/>
          <w:spacing w:val="-2"/>
        </w:rPr>
        <w:t>“</w:t>
      </w:r>
      <w:r>
        <w:rPr>
          <w:spacing w:val="-2"/>
        </w:rPr>
        <w:t>本公司或公司</w:t>
      </w:r>
      <w:r>
        <w:rPr>
          <w:rFonts w:ascii="Times New Roman" w:hAnsi="Times New Roman" w:cs="Times New Roman" w:eastAsia="Times New Roman" w:hint="default"/>
          <w:spacing w:val="-2"/>
        </w:rPr>
        <w:t>”</w:t>
      </w:r>
      <w:r>
        <w:rPr>
          <w:spacing w:val="-2"/>
        </w:rPr>
        <w:t>）是</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12</w:t>
      </w:r>
      <w:r>
        <w:rPr>
          <w:spacing w:val="-2"/>
        </w:rPr>
        <w:t>月经北京市人民政府经</w:t>
      </w:r>
    </w:p>
    <w:p>
      <w:pPr>
        <w:pStyle w:val="BodyText"/>
        <w:spacing w:line="379" w:lineRule="auto" w:before="12"/>
        <w:ind w:right="0"/>
        <w:jc w:val="left"/>
      </w:pPr>
      <w:r>
        <w:rPr/>
        <w:t>济体制改革办公室</w:t>
      </w: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[2001]66</w:t>
      </w:r>
      <w:r>
        <w:rPr/>
        <w:t>号</w:t>
      </w:r>
      <w:r>
        <w:rPr>
          <w:rFonts w:ascii="Times New Roman" w:hAnsi="Times New Roman" w:cs="Times New Roman" w:eastAsia="Times New Roman" w:hint="default"/>
        </w:rPr>
        <w:t>”</w:t>
      </w:r>
      <w:r>
        <w:rPr/>
        <w:t>文批准，由原北京中长石基信息技术有限责任公司整体变更</w:t>
      </w:r>
      <w:r>
        <w:rPr>
          <w:spacing w:val="-40"/>
        </w:rPr>
        <w:t> </w:t>
      </w:r>
      <w:r>
        <w:rPr>
          <w:spacing w:val="-40"/>
        </w:rPr>
      </w:r>
      <w:r>
        <w:rPr/>
        <w:t>而成股份有限公司。</w:t>
      </w:r>
    </w:p>
    <w:p>
      <w:pPr>
        <w:pStyle w:val="BodyText"/>
        <w:spacing w:line="240" w:lineRule="auto" w:before="64"/>
        <w:ind w:left="573" w:right="0"/>
        <w:jc w:val="left"/>
      </w:pPr>
      <w:r>
        <w:rPr/>
        <w:t>公司变更前的北京中长石</w:t>
      </w:r>
      <w:bookmarkStart w:name="公司变更前的北京中长石基信息技术有限责任公司系1998年由李仲初、郭家满投资设立" w:id="24"/>
      <w:bookmarkEnd w:id="24"/>
      <w:r>
        <w:rPr/>
        <w:t>基信</w:t>
      </w:r>
      <w:r>
        <w:rPr/>
        <w:t>息技术有限责任公司系 </w:t>
      </w:r>
      <w:r>
        <w:rPr>
          <w:rFonts w:ascii="Times New Roman" w:hAnsi="Times New Roman" w:cs="Times New Roman" w:eastAsia="Times New Roman" w:hint="default"/>
        </w:rPr>
        <w:t>1998</w:t>
      </w:r>
      <w:r>
        <w:rPr>
          <w:rFonts w:ascii="Times New Roman" w:hAnsi="Times New Roman" w:cs="Times New Roman" w:eastAsia="Times New Roman" w:hint="default"/>
          <w:spacing w:val="23"/>
        </w:rPr>
        <w:t> </w:t>
      </w:r>
      <w:r>
        <w:rPr/>
        <w:t>年由李仲初、郭家满投资设立的有限责任</w:t>
      </w:r>
    </w:p>
    <w:p>
      <w:pPr>
        <w:pStyle w:val="BodyText"/>
        <w:spacing w:line="240" w:lineRule="auto" w:before="170"/>
        <w:ind w:left="153" w:right="0"/>
        <w:jc w:val="left"/>
      </w:pPr>
      <w:r>
        <w:rPr/>
        <w:t>公司，设立时的名称为北京中长石基网络系统工程技术有限公司，注册资本为人民币</w:t>
      </w:r>
      <w:r>
        <w:rPr>
          <w:spacing w:val="-58"/>
        </w:rPr>
        <w:t> </w:t>
      </w:r>
      <w:r>
        <w:rPr>
          <w:rFonts w:ascii="Times New Roman" w:hAnsi="Times New Roman" w:cs="Times New Roman" w:eastAsia="Times New Roman" w:hint="default"/>
        </w:rPr>
        <w:t>200</w:t>
      </w:r>
      <w:r>
        <w:rPr>
          <w:rFonts w:ascii="Times New Roman" w:hAnsi="Times New Roman" w:cs="Times New Roman" w:eastAsia="Times New Roman" w:hint="default"/>
          <w:spacing w:val="-5"/>
        </w:rPr>
        <w:t> </w:t>
      </w:r>
      <w:r>
        <w:rPr>
          <w:spacing w:val="-4"/>
        </w:rPr>
        <w:t>万元，其中：李</w:t>
      </w:r>
    </w:p>
    <w:p>
      <w:pPr>
        <w:pStyle w:val="BodyText"/>
        <w:spacing w:line="381" w:lineRule="auto" w:before="167"/>
        <w:ind w:left="153" w:right="0" w:hanging="1"/>
        <w:jc w:val="left"/>
      </w:pPr>
      <w:r>
        <w:rPr/>
        <w:t>仲初出资</w:t>
      </w:r>
      <w:r>
        <w:rPr>
          <w:spacing w:val="-50"/>
        </w:rPr>
        <w:t> </w:t>
      </w:r>
      <w:r>
        <w:rPr>
          <w:rFonts w:ascii="Times New Roman" w:hAnsi="Times New Roman" w:cs="Times New Roman" w:eastAsia="Times New Roman" w:hint="default"/>
        </w:rPr>
        <w:t>160</w:t>
      </w:r>
      <w:r>
        <w:rPr>
          <w:rFonts w:ascii="Times New Roman" w:hAnsi="Times New Roman" w:cs="Times New Roman" w:eastAsia="Times New Roman" w:hint="default"/>
          <w:spacing w:val="3"/>
        </w:rPr>
        <w:t> </w:t>
      </w:r>
      <w:r>
        <w:rPr>
          <w:spacing w:val="-3"/>
        </w:rPr>
        <w:t>万元，占注册资本的</w:t>
      </w:r>
      <w:r>
        <w:rPr>
          <w:spacing w:val="-50"/>
        </w:rPr>
        <w:t> </w:t>
      </w:r>
      <w:r>
        <w:rPr>
          <w:rFonts w:ascii="Times New Roman" w:hAnsi="Times New Roman" w:cs="Times New Roman" w:eastAsia="Times New Roman" w:hint="default"/>
          <w:spacing w:val="-3"/>
        </w:rPr>
        <w:t>80%</w:t>
      </w:r>
      <w:r>
        <w:rPr>
          <w:spacing w:val="-3"/>
        </w:rPr>
        <w:t>；郭家满出资</w:t>
      </w:r>
      <w:r>
        <w:rPr>
          <w:spacing w:val="-50"/>
        </w:rPr>
        <w:t> </w:t>
      </w:r>
      <w:r>
        <w:rPr>
          <w:rFonts w:ascii="Times New Roman" w:hAnsi="Times New Roman" w:cs="Times New Roman" w:eastAsia="Times New Roman" w:hint="default"/>
        </w:rPr>
        <w:t>40 </w:t>
      </w:r>
      <w:r>
        <w:rPr>
          <w:spacing w:val="-3"/>
        </w:rPr>
        <w:t>万元，占注册资本的</w:t>
      </w:r>
      <w:r>
        <w:rPr>
          <w:spacing w:val="-52"/>
        </w:rPr>
        <w:t> </w:t>
      </w:r>
      <w:r>
        <w:rPr>
          <w:rFonts w:ascii="Times New Roman" w:hAnsi="Times New Roman" w:cs="Times New Roman" w:eastAsia="Times New Roman" w:hint="default"/>
          <w:spacing w:val="-4"/>
        </w:rPr>
        <w:t>20%</w:t>
      </w:r>
      <w:r>
        <w:rPr>
          <w:spacing w:val="-4"/>
        </w:rPr>
        <w:t>，于</w:t>
      </w:r>
      <w:r>
        <w:rPr>
          <w:spacing w:val="-50"/>
        </w:rPr>
        <w:t> </w:t>
      </w:r>
      <w:r>
        <w:rPr>
          <w:rFonts w:ascii="Times New Roman" w:hAnsi="Times New Roman" w:cs="Times New Roman" w:eastAsia="Times New Roman" w:hint="default"/>
        </w:rPr>
        <w:t>1998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3"/>
        </w:rPr>
        <w:t>日在</w:t>
      </w:r>
      <w:r>
        <w:rPr>
          <w:spacing w:val="-3"/>
          <w:w w:val="100"/>
        </w:rPr>
        <w:t> </w:t>
      </w:r>
      <w:r>
        <w:rPr/>
        <w:t>北京市工商行政管理局登记注册。</w:t>
      </w:r>
    </w:p>
    <w:p>
      <w:pPr>
        <w:pStyle w:val="BodyText"/>
        <w:spacing w:line="240" w:lineRule="auto" w:before="62"/>
        <w:ind w:left="573" w:right="0"/>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月，经公司</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年度股东会决议，</w:t>
      </w:r>
      <w:bookmarkStart w:name="2000年11月，经公司2000年度股东会决议，郭家满将其所持有公司20%的股权" w:id="25"/>
      <w:bookmarkEnd w:id="25"/>
      <w:r>
        <w:rPr/>
        <w:t>郭</w:t>
      </w:r>
      <w:r>
        <w:rPr/>
        <w:t>家满将其所持有公司</w:t>
      </w:r>
      <w:r>
        <w:rPr>
          <w:spacing w:val="-54"/>
        </w:rPr>
        <w:t> </w:t>
      </w:r>
      <w:r>
        <w:rPr>
          <w:rFonts w:ascii="Times New Roman" w:hAnsi="Times New Roman" w:cs="Times New Roman" w:eastAsia="Times New Roman" w:hint="default"/>
        </w:rPr>
        <w:t>20%</w:t>
      </w:r>
      <w:r>
        <w:rPr/>
        <w:t>的股权分别转让给李彩练、</w:t>
      </w:r>
    </w:p>
    <w:p>
      <w:pPr>
        <w:pStyle w:val="BodyText"/>
        <w:spacing w:line="240" w:lineRule="auto" w:before="167"/>
        <w:ind w:left="153" w:right="0"/>
        <w:jc w:val="left"/>
      </w:pPr>
      <w:r>
        <w:rPr>
          <w:spacing w:val="-9"/>
        </w:rPr>
        <w:t>焦梅荣、郭灵红和李殿坤，同时注册资本增加为 </w:t>
      </w:r>
      <w:r>
        <w:rPr>
          <w:rFonts w:ascii="Times New Roman" w:hAnsi="Times New Roman" w:cs="Times New Roman" w:eastAsia="Times New Roman" w:hint="default"/>
        </w:rPr>
        <w:t>500 </w:t>
      </w:r>
      <w:r>
        <w:rPr>
          <w:spacing w:val="-15"/>
        </w:rPr>
        <w:t>万元，其中：李仲初出资 </w:t>
      </w:r>
      <w:r>
        <w:rPr>
          <w:rFonts w:ascii="Times New Roman" w:hAnsi="Times New Roman" w:cs="Times New Roman" w:eastAsia="Times New Roman" w:hint="default"/>
        </w:rPr>
        <w:t>400 </w:t>
      </w:r>
      <w:r>
        <w:rPr>
          <w:spacing w:val="-9"/>
        </w:rPr>
        <w:t>万元，占注册资本的</w:t>
      </w:r>
      <w:r>
        <w:rPr>
          <w:spacing w:val="-64"/>
        </w:rPr>
        <w:t> </w:t>
      </w:r>
      <w:r>
        <w:rPr>
          <w:rFonts w:ascii="Times New Roman" w:hAnsi="Times New Roman" w:cs="Times New Roman" w:eastAsia="Times New Roman" w:hint="default"/>
        </w:rPr>
        <w:t>80%</w:t>
      </w:r>
      <w:r>
        <w:rPr/>
        <w:t>；</w:t>
      </w:r>
    </w:p>
    <w:p>
      <w:pPr>
        <w:pStyle w:val="BodyText"/>
        <w:spacing w:line="381" w:lineRule="auto" w:before="170"/>
        <w:ind w:left="153" w:right="0"/>
        <w:jc w:val="left"/>
      </w:pPr>
      <w:r>
        <w:rPr/>
        <w:t>李彩练出资</w:t>
      </w:r>
      <w:r>
        <w:rPr>
          <w:spacing w:val="-48"/>
        </w:rPr>
        <w:t> </w:t>
      </w:r>
      <w:r>
        <w:rPr>
          <w:rFonts w:ascii="Times New Roman" w:hAnsi="Times New Roman" w:cs="Times New Roman" w:eastAsia="Times New Roman" w:hint="default"/>
        </w:rPr>
        <w:t>40</w:t>
      </w:r>
      <w:r>
        <w:rPr>
          <w:rFonts w:ascii="Times New Roman" w:hAnsi="Times New Roman" w:cs="Times New Roman" w:eastAsia="Times New Roman" w:hint="default"/>
          <w:spacing w:val="2"/>
        </w:rPr>
        <w:t> </w:t>
      </w:r>
      <w:r>
        <w:rPr/>
        <w:t>万元，占注册资本的</w:t>
      </w:r>
      <w:r>
        <w:rPr>
          <w:spacing w:val="-48"/>
        </w:rPr>
        <w:t> </w:t>
      </w:r>
      <w:r>
        <w:rPr>
          <w:rFonts w:ascii="Times New Roman" w:hAnsi="Times New Roman" w:cs="Times New Roman" w:eastAsia="Times New Roman" w:hint="default"/>
        </w:rPr>
        <w:t>8%</w:t>
      </w:r>
      <w:r>
        <w:rPr/>
        <w:t>；焦梅荣出资</w:t>
      </w:r>
      <w:r>
        <w:rPr>
          <w:spacing w:val="-48"/>
        </w:rPr>
        <w:t> </w:t>
      </w:r>
      <w:r>
        <w:rPr>
          <w:rFonts w:ascii="Times New Roman" w:hAnsi="Times New Roman" w:cs="Times New Roman" w:eastAsia="Times New Roman" w:hint="default"/>
        </w:rPr>
        <w:t>35</w:t>
      </w:r>
      <w:r>
        <w:rPr>
          <w:rFonts w:ascii="Times New Roman" w:hAnsi="Times New Roman" w:cs="Times New Roman" w:eastAsia="Times New Roman" w:hint="default"/>
          <w:spacing w:val="5"/>
        </w:rPr>
        <w:t> </w:t>
      </w:r>
      <w:r>
        <w:rPr/>
        <w:t>万元，占注册资本的</w:t>
      </w:r>
      <w:r>
        <w:rPr>
          <w:spacing w:val="-48"/>
        </w:rPr>
        <w:t> </w:t>
      </w:r>
      <w:r>
        <w:rPr>
          <w:rFonts w:ascii="Times New Roman" w:hAnsi="Times New Roman" w:cs="Times New Roman" w:eastAsia="Times New Roman" w:hint="default"/>
        </w:rPr>
        <w:t>7%</w:t>
      </w:r>
      <w:r>
        <w:rPr/>
        <w:t>；郭灵红出资</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万元，</w:t>
      </w:r>
      <w:r>
        <w:rPr>
          <w:w w:val="100"/>
        </w:rPr>
        <w:t> </w:t>
      </w:r>
      <w:r>
        <w:rPr/>
        <w:t>占注册资本的</w:t>
      </w:r>
      <w:r>
        <w:rPr>
          <w:spacing w:val="-54"/>
        </w:rPr>
        <w:t> </w:t>
      </w:r>
      <w:r>
        <w:rPr>
          <w:rFonts w:ascii="Times New Roman" w:hAnsi="Times New Roman" w:cs="Times New Roman" w:eastAsia="Times New Roman" w:hint="default"/>
        </w:rPr>
        <w:t>3%</w:t>
      </w:r>
      <w:r>
        <w:rPr/>
        <w:t>；李殿坤出资</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万元，占注册资本的</w:t>
      </w:r>
      <w:r>
        <w:rPr>
          <w:spacing w:val="-54"/>
        </w:rPr>
        <w:t> </w:t>
      </w:r>
      <w:r>
        <w:rPr>
          <w:rFonts w:ascii="Times New Roman" w:hAnsi="Times New Roman" w:cs="Times New Roman" w:eastAsia="Times New Roman" w:hint="default"/>
        </w:rPr>
        <w:t>2%</w:t>
      </w:r>
      <w:r>
        <w:rPr/>
        <w:t>。</w:t>
      </w:r>
    </w:p>
    <w:p>
      <w:pPr>
        <w:pStyle w:val="BodyText"/>
        <w:spacing w:line="240" w:lineRule="auto" w:before="30"/>
        <w:ind w:left="573" w:right="0"/>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月，经公司</w:t>
      </w:r>
      <w:r>
        <w:rPr>
          <w:spacing w:val="-48"/>
        </w:rPr>
        <w:t> </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年度第一次临时股东大会决议，公司更</w:t>
      </w:r>
      <w:bookmarkStart w:name="2001年4月，经公司2001年度第一次临时股东大会决议，公司更名为北京中长石基" w:id="26"/>
      <w:bookmarkEnd w:id="26"/>
      <w:r>
        <w:rPr/>
        <w:t>名</w:t>
      </w:r>
      <w:r>
        <w:rPr/>
        <w:t>为北京中长石基信息技术有限公</w:t>
      </w:r>
    </w:p>
    <w:p>
      <w:pPr>
        <w:pStyle w:val="BodyText"/>
        <w:spacing w:line="379" w:lineRule="auto" w:before="170"/>
        <w:ind w:left="153" w:right="0"/>
        <w:jc w:val="left"/>
      </w:pPr>
      <w:r>
        <w:rPr>
          <w:spacing w:val="-4"/>
        </w:rPr>
        <w:t>司，同时引进新股东长春燃气股份有限公司，公司注册资本增加为</w:t>
      </w:r>
      <w:r>
        <w:rPr>
          <w:spacing w:val="-39"/>
        </w:rPr>
        <w:t> </w:t>
      </w:r>
      <w:r>
        <w:rPr>
          <w:rFonts w:ascii="Times New Roman" w:hAnsi="Times New Roman" w:cs="Times New Roman" w:eastAsia="Times New Roman" w:hint="default"/>
        </w:rPr>
        <w:t>625</w:t>
      </w:r>
      <w:r>
        <w:rPr>
          <w:rFonts w:ascii="Times New Roman" w:hAnsi="Times New Roman" w:cs="Times New Roman" w:eastAsia="Times New Roman" w:hint="default"/>
          <w:spacing w:val="12"/>
        </w:rPr>
        <w:t> </w:t>
      </w:r>
      <w:r>
        <w:rPr>
          <w:spacing w:val="-8"/>
        </w:rPr>
        <w:t>万元，其中：李仲初出资</w:t>
      </w:r>
      <w:r>
        <w:rPr>
          <w:spacing w:val="-37"/>
        </w:rPr>
        <w:t> </w:t>
      </w:r>
      <w:r>
        <w:rPr>
          <w:rFonts w:ascii="Times New Roman" w:hAnsi="Times New Roman" w:cs="Times New Roman" w:eastAsia="Times New Roman" w:hint="default"/>
        </w:rPr>
        <w:t>400</w:t>
      </w:r>
      <w:r>
        <w:rPr>
          <w:rFonts w:ascii="Times New Roman" w:hAnsi="Times New Roman" w:cs="Times New Roman" w:eastAsia="Times New Roman" w:hint="default"/>
          <w:spacing w:val="12"/>
        </w:rPr>
        <w:t> </w:t>
      </w:r>
      <w:r>
        <w:rPr/>
        <w:t>万元，</w:t>
      </w:r>
      <w:r>
        <w:rPr>
          <w:spacing w:val="-98"/>
        </w:rPr>
        <w:t> </w:t>
      </w:r>
      <w:r>
        <w:rPr/>
        <w:t>占注册资本的</w:t>
      </w:r>
      <w:r>
        <w:rPr>
          <w:spacing w:val="-47"/>
        </w:rPr>
        <w:t> </w:t>
      </w:r>
      <w:r>
        <w:rPr>
          <w:rFonts w:ascii="Times New Roman" w:hAnsi="Times New Roman" w:cs="Times New Roman" w:eastAsia="Times New Roman" w:hint="default"/>
        </w:rPr>
        <w:t>64%</w:t>
      </w:r>
      <w:r>
        <w:rPr/>
        <w:t>；长春燃气股份有限公司出资</w:t>
      </w:r>
      <w:r>
        <w:rPr>
          <w:spacing w:val="-47"/>
        </w:rPr>
        <w:t> </w:t>
      </w:r>
      <w:r>
        <w:rPr>
          <w:rFonts w:ascii="Times New Roman" w:hAnsi="Times New Roman" w:cs="Times New Roman" w:eastAsia="Times New Roman" w:hint="default"/>
        </w:rPr>
        <w:t>125</w:t>
      </w:r>
      <w:r>
        <w:rPr>
          <w:rFonts w:ascii="Times New Roman" w:hAnsi="Times New Roman" w:cs="Times New Roman" w:eastAsia="Times New Roman" w:hint="default"/>
          <w:spacing w:val="6"/>
        </w:rPr>
        <w:t> </w:t>
      </w:r>
      <w:r>
        <w:rPr/>
        <w:t>万元，占注册资本</w:t>
      </w:r>
      <w:r>
        <w:rPr>
          <w:spacing w:val="-47"/>
        </w:rPr>
        <w:t> </w:t>
      </w:r>
      <w:r>
        <w:rPr>
          <w:rFonts w:ascii="Times New Roman" w:hAnsi="Times New Roman" w:cs="Times New Roman" w:eastAsia="Times New Roman" w:hint="default"/>
        </w:rPr>
        <w:t>20%</w:t>
      </w:r>
      <w:r>
        <w:rPr/>
        <w:t>；李彩练出资</w:t>
      </w:r>
      <w:r>
        <w:rPr>
          <w:spacing w:val="-47"/>
        </w:rPr>
        <w:t> </w:t>
      </w:r>
      <w:r>
        <w:rPr>
          <w:rFonts w:ascii="Times New Roman" w:hAnsi="Times New Roman" w:cs="Times New Roman" w:eastAsia="Times New Roman" w:hint="default"/>
        </w:rPr>
        <w:t>40</w:t>
      </w:r>
      <w:r>
        <w:rPr>
          <w:rFonts w:ascii="Times New Roman" w:hAnsi="Times New Roman" w:cs="Times New Roman" w:eastAsia="Times New Roman" w:hint="default"/>
          <w:spacing w:val="4"/>
        </w:rPr>
        <w:t> </w:t>
      </w:r>
      <w:r>
        <w:rPr/>
        <w:t>万元，占注</w:t>
      </w:r>
      <w:r>
        <w:rPr>
          <w:spacing w:val="-3"/>
          <w:w w:val="100"/>
        </w:rPr>
        <w:t> </w:t>
      </w:r>
      <w:r>
        <w:rPr/>
        <w:t>册资本的</w:t>
      </w:r>
      <w:r>
        <w:rPr>
          <w:spacing w:val="-55"/>
        </w:rPr>
        <w:t> </w:t>
      </w:r>
      <w:r>
        <w:rPr>
          <w:rFonts w:ascii="Times New Roman" w:hAnsi="Times New Roman" w:cs="Times New Roman" w:eastAsia="Times New Roman" w:hint="default"/>
        </w:rPr>
        <w:t>6.4%</w:t>
      </w:r>
      <w:r>
        <w:rPr/>
        <w:t>；焦梅荣出资</w:t>
      </w:r>
      <w:r>
        <w:rPr>
          <w:spacing w:val="-55"/>
        </w:rPr>
        <w:t> </w:t>
      </w:r>
      <w:r>
        <w:rPr>
          <w:rFonts w:ascii="Times New Roman" w:hAnsi="Times New Roman" w:cs="Times New Roman" w:eastAsia="Times New Roman" w:hint="default"/>
        </w:rPr>
        <w:t>35</w:t>
      </w:r>
      <w:r>
        <w:rPr>
          <w:rFonts w:ascii="Times New Roman" w:hAnsi="Times New Roman" w:cs="Times New Roman" w:eastAsia="Times New Roman" w:hint="default"/>
          <w:spacing w:val="-5"/>
        </w:rPr>
        <w:t> </w:t>
      </w:r>
      <w:r>
        <w:rPr/>
        <w:t>万元，占注册资本的</w:t>
      </w:r>
      <w:r>
        <w:rPr>
          <w:spacing w:val="-55"/>
        </w:rPr>
        <w:t> </w:t>
      </w:r>
      <w:r>
        <w:rPr>
          <w:rFonts w:ascii="Times New Roman" w:hAnsi="Times New Roman" w:cs="Times New Roman" w:eastAsia="Times New Roman" w:hint="default"/>
        </w:rPr>
        <w:t>5.6%</w:t>
      </w:r>
      <w:r>
        <w:rPr/>
        <w:t>；郭灵红出资</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万元，占注册资本的</w:t>
      </w:r>
      <w:r>
        <w:rPr>
          <w:spacing w:val="-57"/>
        </w:rPr>
        <w:t> </w:t>
      </w:r>
      <w:r>
        <w:rPr>
          <w:rFonts w:ascii="Times New Roman" w:hAnsi="Times New Roman" w:cs="Times New Roman" w:eastAsia="Times New Roman" w:hint="default"/>
          <w:spacing w:val="-3"/>
        </w:rPr>
        <w:t>2.4%</w:t>
      </w:r>
      <w:r>
        <w:rPr>
          <w:spacing w:val="-3"/>
        </w:rPr>
        <w:t>；李</w:t>
      </w:r>
      <w:r>
        <w:rPr>
          <w:spacing w:val="-5"/>
          <w:w w:val="100"/>
        </w:rPr>
        <w:t> </w:t>
      </w:r>
      <w:r>
        <w:rPr/>
        <w:t>殿坤出资</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万元，占注册资本的</w:t>
      </w:r>
      <w:r>
        <w:rPr>
          <w:spacing w:val="-55"/>
        </w:rPr>
        <w:t> </w:t>
      </w:r>
      <w:r>
        <w:rPr>
          <w:rFonts w:ascii="Times New Roman" w:hAnsi="Times New Roman" w:cs="Times New Roman" w:eastAsia="Times New Roman" w:hint="default"/>
        </w:rPr>
        <w:t>1.6%</w:t>
      </w:r>
      <w:r>
        <w:rPr/>
        <w:t>。</w:t>
      </w:r>
    </w:p>
    <w:p>
      <w:pPr>
        <w:pStyle w:val="BodyText"/>
        <w:spacing w:line="379" w:lineRule="auto" w:before="35"/>
        <w:ind w:left="153" w:right="0" w:firstLine="420"/>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5"/>
        </w:rPr>
        <w:t>月，经公司</w:t>
      </w:r>
      <w:r>
        <w:rPr>
          <w:spacing w:val="-46"/>
        </w:rPr>
        <w:t> </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spacing w:val="-3"/>
        </w:rPr>
        <w:t>年度第二次临时股东大会决议，李彩练将其所持有公司</w:t>
      </w:r>
      <w:r>
        <w:rPr>
          <w:spacing w:val="-46"/>
        </w:rPr>
        <w:t> </w:t>
      </w:r>
      <w:r>
        <w:rPr>
          <w:rFonts w:ascii="Times New Roman" w:hAnsi="Times New Roman" w:cs="Times New Roman" w:eastAsia="Times New Roman" w:hint="default"/>
        </w:rPr>
        <w:t>6.4%</w:t>
      </w:r>
      <w:r>
        <w:rPr/>
        <w:t>的股</w:t>
      </w:r>
      <w:bookmarkStart w:name="2001年8月，经公司2001年度第二次临时股东大会决议，李彩练将其所持有公司6" w:id="27"/>
      <w:bookmarkEnd w:id="27"/>
      <w:r>
        <w:rPr/>
        <w:t>权</w:t>
      </w:r>
      <w:r>
        <w:rPr/>
        <w:t>全部转</w:t>
      </w:r>
      <w:r>
        <w:rPr>
          <w:spacing w:val="-3"/>
          <w:w w:val="100"/>
        </w:rPr>
        <w:t> </w:t>
      </w:r>
      <w:r>
        <w:rPr>
          <w:spacing w:val="-2"/>
        </w:rPr>
        <w:t>让给北京业勤投资顾问有限公司，郭灵红将其所持有公司</w:t>
      </w:r>
      <w:r>
        <w:rPr>
          <w:spacing w:val="23"/>
        </w:rPr>
        <w:t> </w:t>
      </w:r>
      <w:r>
        <w:rPr>
          <w:rFonts w:ascii="Times New Roman" w:hAnsi="Times New Roman" w:cs="Times New Roman" w:eastAsia="Times New Roman" w:hint="default"/>
          <w:spacing w:val="-2"/>
        </w:rPr>
        <w:t>2.4%</w:t>
      </w:r>
      <w:r>
        <w:rPr>
          <w:spacing w:val="-2"/>
        </w:rPr>
        <w:t>的股权全部转让给陈国强。</w:t>
      </w:r>
    </w:p>
    <w:p>
      <w:pPr>
        <w:pStyle w:val="BodyText"/>
        <w:spacing w:line="240" w:lineRule="auto" w:before="35"/>
        <w:ind w:left="574" w:right="0"/>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10"/>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spacing w:val="-9"/>
        </w:rPr>
        <w:t>月，经公司</w:t>
      </w:r>
      <w:r>
        <w:rPr>
          <w:spacing w:val="-42"/>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4"/>
        </w:rPr>
        <w:t> </w:t>
      </w:r>
      <w:r>
        <w:rPr>
          <w:spacing w:val="-3"/>
        </w:rPr>
        <w:t>年度第四次临时股东大会决议，并经北京市人民政府经济体制改革办公室</w:t>
      </w:r>
    </w:p>
    <w:p>
      <w:pPr>
        <w:pStyle w:val="BodyText"/>
        <w:spacing w:line="379" w:lineRule="auto" w:before="170"/>
        <w:ind w:left="153" w:right="206"/>
        <w:jc w:val="both"/>
      </w:pP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[2001]66 </w:t>
      </w:r>
      <w:r>
        <w:rPr/>
        <w:t>号</w:t>
      </w:r>
      <w:r>
        <w:rPr>
          <w:rFonts w:ascii="Times New Roman" w:hAnsi="Times New Roman" w:cs="Times New Roman" w:eastAsia="Times New Roman" w:hint="default"/>
        </w:rPr>
        <w:t>”</w:t>
      </w:r>
      <w:r>
        <w:rPr/>
        <w:t>文批准，公司由有限责任公司整体变更为股份有限公司，以 </w:t>
      </w:r>
      <w:r>
        <w:rPr>
          <w:rFonts w:ascii="Times New Roman" w:hAnsi="Times New Roman" w:cs="Times New Roman" w:eastAsia="Times New Roman" w:hint="default"/>
        </w:rPr>
        <w:t>2001 </w:t>
      </w:r>
      <w:r>
        <w:rPr/>
        <w:t>年 </w:t>
      </w:r>
      <w:r>
        <w:rPr>
          <w:rFonts w:ascii="Times New Roman" w:hAnsi="Times New Roman" w:cs="Times New Roman" w:eastAsia="Times New Roman" w:hint="default"/>
        </w:rPr>
        <w:t>10 </w:t>
      </w:r>
      <w:r>
        <w:rPr/>
        <w:t>月</w:t>
      </w:r>
      <w:r>
        <w:rPr>
          <w:spacing w:val="-47"/>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3"/>
          <w:w w:val="100"/>
        </w:rPr>
        <w:t> </w:t>
      </w:r>
      <w:r>
        <w:rPr/>
        <w:t>日经审计后净资产，按</w:t>
      </w:r>
      <w:r>
        <w:rPr>
          <w:spacing w:val="-36"/>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的折股比率，原有股东持股比例不变，折为股本</w:t>
      </w:r>
      <w:r>
        <w:rPr>
          <w:spacing w:val="-34"/>
        </w:rPr>
        <w:t> </w:t>
      </w:r>
      <w:r>
        <w:rPr>
          <w:rFonts w:ascii="Times New Roman" w:hAnsi="Times New Roman" w:cs="Times New Roman" w:eastAsia="Times New Roman" w:hint="default"/>
        </w:rPr>
        <w:t>3,300.00</w:t>
      </w:r>
      <w:r>
        <w:rPr>
          <w:rFonts w:ascii="Times New Roman" w:hAnsi="Times New Roman" w:cs="Times New Roman" w:eastAsia="Times New Roman" w:hint="default"/>
          <w:spacing w:val="17"/>
        </w:rPr>
        <w:t> </w:t>
      </w:r>
      <w:r>
        <w:rPr/>
        <w:t>万股。其中：李仲</w:t>
      </w:r>
      <w:r>
        <w:rPr>
          <w:w w:val="100"/>
        </w:rPr>
        <w:t> </w:t>
      </w:r>
      <w:r>
        <w:rPr/>
        <w:t>初</w:t>
      </w:r>
      <w:r>
        <w:rPr>
          <w:spacing w:val="-53"/>
        </w:rPr>
        <w:t> </w:t>
      </w:r>
      <w:r>
        <w:rPr>
          <w:rFonts w:ascii="Times New Roman" w:hAnsi="Times New Roman" w:cs="Times New Roman" w:eastAsia="Times New Roman" w:hint="default"/>
          <w:spacing w:val="-3"/>
        </w:rPr>
        <w:t>2,112</w:t>
      </w:r>
      <w:r>
        <w:rPr>
          <w:rFonts w:ascii="Times New Roman" w:hAnsi="Times New Roman" w:cs="Times New Roman" w:eastAsia="Times New Roman" w:hint="default"/>
        </w:rPr>
        <w:t> </w:t>
      </w:r>
      <w:r>
        <w:rPr/>
        <w:t>万股，占总股本的</w:t>
      </w:r>
      <w:r>
        <w:rPr>
          <w:spacing w:val="-53"/>
        </w:rPr>
        <w:t> </w:t>
      </w:r>
      <w:r>
        <w:rPr>
          <w:rFonts w:ascii="Times New Roman" w:hAnsi="Times New Roman" w:cs="Times New Roman" w:eastAsia="Times New Roman" w:hint="default"/>
        </w:rPr>
        <w:t>64%</w:t>
      </w:r>
      <w:r>
        <w:rPr/>
        <w:t>；长春燃气股份有限公司</w:t>
      </w:r>
      <w:r>
        <w:rPr>
          <w:spacing w:val="-55"/>
        </w:rPr>
        <w:t> </w:t>
      </w:r>
      <w:r>
        <w:rPr>
          <w:rFonts w:ascii="Times New Roman" w:hAnsi="Times New Roman" w:cs="Times New Roman" w:eastAsia="Times New Roman" w:hint="default"/>
        </w:rPr>
        <w:t>660 </w:t>
      </w:r>
      <w:r>
        <w:rPr/>
        <w:t>万股，占总股本的</w:t>
      </w:r>
      <w:r>
        <w:rPr>
          <w:spacing w:val="-53"/>
        </w:rPr>
        <w:t> </w:t>
      </w:r>
      <w:r>
        <w:rPr>
          <w:rFonts w:ascii="Times New Roman" w:hAnsi="Times New Roman" w:cs="Times New Roman" w:eastAsia="Times New Roman" w:hint="default"/>
        </w:rPr>
        <w:t>20%</w:t>
      </w:r>
      <w:r>
        <w:rPr/>
        <w:t>；北京业勤投资顾问</w:t>
      </w:r>
      <w:r>
        <w:rPr>
          <w:w w:val="100"/>
        </w:rPr>
        <w:t> </w:t>
      </w:r>
      <w:r>
        <w:rPr/>
        <w:t>有限公司</w:t>
      </w:r>
      <w:r>
        <w:rPr>
          <w:spacing w:val="-54"/>
        </w:rPr>
        <w:t> </w:t>
      </w:r>
      <w:r>
        <w:rPr>
          <w:rFonts w:ascii="Times New Roman" w:hAnsi="Times New Roman" w:cs="Times New Roman" w:eastAsia="Times New Roman" w:hint="default"/>
        </w:rPr>
        <w:t>211.20</w:t>
      </w:r>
      <w:r>
        <w:rPr>
          <w:rFonts w:ascii="Times New Roman" w:hAnsi="Times New Roman" w:cs="Times New Roman" w:eastAsia="Times New Roman" w:hint="default"/>
          <w:spacing w:val="-4"/>
        </w:rPr>
        <w:t> </w:t>
      </w:r>
      <w:r>
        <w:rPr/>
        <w:t>万股，占总股本的</w:t>
      </w:r>
      <w:r>
        <w:rPr>
          <w:spacing w:val="-54"/>
        </w:rPr>
        <w:t> </w:t>
      </w:r>
      <w:r>
        <w:rPr>
          <w:rFonts w:ascii="Times New Roman" w:hAnsi="Times New Roman" w:cs="Times New Roman" w:eastAsia="Times New Roman" w:hint="default"/>
        </w:rPr>
        <w:t>6.4%</w:t>
      </w:r>
      <w:r>
        <w:rPr/>
        <w:t>；焦梅荣</w:t>
      </w:r>
      <w:r>
        <w:rPr>
          <w:spacing w:val="-54"/>
        </w:rPr>
        <w:t> </w:t>
      </w:r>
      <w:r>
        <w:rPr>
          <w:rFonts w:ascii="Times New Roman" w:hAnsi="Times New Roman" w:cs="Times New Roman" w:eastAsia="Times New Roman" w:hint="default"/>
        </w:rPr>
        <w:t>184.80</w:t>
      </w:r>
      <w:r>
        <w:rPr>
          <w:rFonts w:ascii="Times New Roman" w:hAnsi="Times New Roman" w:cs="Times New Roman" w:eastAsia="Times New Roman" w:hint="default"/>
          <w:spacing w:val="-1"/>
        </w:rPr>
        <w:t> </w:t>
      </w:r>
      <w:r>
        <w:rPr/>
        <w:t>万股，占总股本的</w:t>
      </w:r>
      <w:r>
        <w:rPr>
          <w:spacing w:val="-54"/>
        </w:rPr>
        <w:t> </w:t>
      </w:r>
      <w:r>
        <w:rPr>
          <w:rFonts w:ascii="Times New Roman" w:hAnsi="Times New Roman" w:cs="Times New Roman" w:eastAsia="Times New Roman" w:hint="default"/>
        </w:rPr>
        <w:t>5.6%</w:t>
      </w:r>
      <w:r>
        <w:rPr/>
        <w:t>；陈国强</w:t>
      </w:r>
      <w:r>
        <w:rPr>
          <w:spacing w:val="-54"/>
        </w:rPr>
        <w:t> </w:t>
      </w:r>
      <w:r>
        <w:rPr>
          <w:rFonts w:ascii="Times New Roman" w:hAnsi="Times New Roman" w:cs="Times New Roman" w:eastAsia="Times New Roman" w:hint="default"/>
        </w:rPr>
        <w:t>79.20</w:t>
      </w:r>
      <w:r>
        <w:rPr>
          <w:rFonts w:ascii="Times New Roman" w:hAnsi="Times New Roman" w:cs="Times New Roman" w:eastAsia="Times New Roman" w:hint="default"/>
          <w:spacing w:val="-4"/>
        </w:rPr>
        <w:t> </w:t>
      </w:r>
      <w:r>
        <w:rPr/>
        <w:t>万股，占</w:t>
      </w:r>
      <w:r>
        <w:rPr>
          <w:w w:val="100"/>
        </w:rPr>
        <w:t> </w:t>
      </w:r>
      <w:r>
        <w:rPr/>
        <w:t>总股本的</w:t>
      </w:r>
      <w:r>
        <w:rPr>
          <w:spacing w:val="-54"/>
        </w:rPr>
        <w:t> </w:t>
      </w:r>
      <w:r>
        <w:rPr>
          <w:rFonts w:ascii="Times New Roman" w:hAnsi="Times New Roman" w:cs="Times New Roman" w:eastAsia="Times New Roman" w:hint="default"/>
        </w:rPr>
        <w:t>2.4%</w:t>
      </w:r>
      <w:r>
        <w:rPr/>
        <w:t>；李殿坤</w:t>
      </w:r>
      <w:r>
        <w:rPr>
          <w:spacing w:val="-54"/>
        </w:rPr>
        <w:t> </w:t>
      </w:r>
      <w:r>
        <w:rPr>
          <w:rFonts w:ascii="Times New Roman" w:hAnsi="Times New Roman" w:cs="Times New Roman" w:eastAsia="Times New Roman" w:hint="default"/>
        </w:rPr>
        <w:t>52.80</w:t>
      </w:r>
      <w:r>
        <w:rPr>
          <w:rFonts w:ascii="Times New Roman" w:hAnsi="Times New Roman" w:cs="Times New Roman" w:eastAsia="Times New Roman" w:hint="default"/>
          <w:spacing w:val="-1"/>
        </w:rPr>
        <w:t> </w:t>
      </w:r>
      <w:r>
        <w:rPr/>
        <w:t>万股，占总股本的</w:t>
      </w:r>
      <w:r>
        <w:rPr>
          <w:spacing w:val="-54"/>
        </w:rPr>
        <w:t> </w:t>
      </w:r>
      <w:r>
        <w:rPr>
          <w:rFonts w:ascii="Times New Roman" w:hAnsi="Times New Roman" w:cs="Times New Roman" w:eastAsia="Times New Roman" w:hint="default"/>
        </w:rPr>
        <w:t>1.6%</w:t>
      </w:r>
      <w:r>
        <w:rPr/>
        <w:t>。</w:t>
      </w:r>
    </w:p>
    <w:p>
      <w:pPr>
        <w:pStyle w:val="BodyText"/>
        <w:spacing w:line="240" w:lineRule="auto" w:before="35"/>
        <w:ind w:left="574" w:right="0"/>
        <w:jc w:val="left"/>
      </w:pPr>
      <w:r>
        <w:rPr>
          <w:rFonts w:ascii="Times New Roman" w:hAnsi="Times New Roman" w:cs="Times New Roman" w:eastAsia="Times New Roman" w:hint="default"/>
        </w:rPr>
        <w:t>2004 </w:t>
      </w:r>
      <w:r>
        <w:rPr/>
        <w:t>年</w:t>
      </w:r>
      <w:r>
        <w:rPr>
          <w:spacing w:val="-50"/>
        </w:rPr>
        <w:t> </w:t>
      </w:r>
      <w:r>
        <w:rPr>
          <w:rFonts w:ascii="Times New Roman" w:hAnsi="Times New Roman" w:cs="Times New Roman" w:eastAsia="Times New Roman" w:hint="default"/>
        </w:rPr>
        <w:t>6 </w:t>
      </w:r>
      <w:r>
        <w:rPr>
          <w:spacing w:val="-6"/>
        </w:rPr>
        <w:t>月，经公司</w:t>
      </w:r>
      <w:r>
        <w:rPr>
          <w:spacing w:val="-50"/>
        </w:rPr>
        <w:t> </w:t>
      </w:r>
      <w:r>
        <w:rPr>
          <w:rFonts w:ascii="Times New Roman" w:hAnsi="Times New Roman" w:cs="Times New Roman" w:eastAsia="Times New Roman" w:hint="default"/>
        </w:rPr>
        <w:t>2003 </w:t>
      </w:r>
      <w:r>
        <w:rPr>
          <w:spacing w:val="-4"/>
        </w:rPr>
        <w:t>年度股东大会决议，以</w:t>
      </w:r>
      <w:r>
        <w:rPr>
          <w:spacing w:val="-52"/>
        </w:rPr>
        <w:t> </w:t>
      </w:r>
      <w:r>
        <w:rPr>
          <w:rFonts w:ascii="Times New Roman" w:hAnsi="Times New Roman" w:cs="Times New Roman" w:eastAsia="Times New Roman" w:hint="default"/>
        </w:rPr>
        <w:t>2003</w:t>
      </w:r>
      <w:r>
        <w:rPr>
          <w:rFonts w:ascii="Times New Roman" w:hAnsi="Times New Roman" w:cs="Times New Roman" w:eastAsia="Times New Roman" w:hint="default"/>
          <w:spacing w:val="3"/>
        </w:rPr>
        <w:t> </w:t>
      </w:r>
      <w:r>
        <w:rPr/>
        <w:t>年末未分配利润中的</w:t>
      </w:r>
      <w:r>
        <w:rPr>
          <w:spacing w:val="-50"/>
        </w:rPr>
        <w:t> </w:t>
      </w:r>
      <w:r>
        <w:rPr>
          <w:rFonts w:ascii="Times New Roman" w:hAnsi="Times New Roman" w:cs="Times New Roman" w:eastAsia="Times New Roman" w:hint="default"/>
        </w:rPr>
        <w:t>900</w:t>
      </w:r>
      <w:r>
        <w:rPr>
          <w:rFonts w:ascii="Times New Roman" w:hAnsi="Times New Roman" w:cs="Times New Roman" w:eastAsia="Times New Roman" w:hint="default"/>
          <w:spacing w:val="3"/>
        </w:rPr>
        <w:t> </w:t>
      </w:r>
      <w:r>
        <w:rPr>
          <w:spacing w:val="-4"/>
        </w:rPr>
        <w:t>万元转增股本，转增</w:t>
      </w:r>
    </w:p>
    <w:p>
      <w:pPr>
        <w:pStyle w:val="BodyText"/>
        <w:spacing w:line="240" w:lineRule="auto" w:before="170"/>
        <w:ind w:left="155" w:right="0"/>
        <w:jc w:val="left"/>
        <w:rPr>
          <w:rFonts w:ascii="Times New Roman" w:hAnsi="Times New Roman" w:cs="Times New Roman" w:eastAsia="Times New Roman" w:hint="default"/>
        </w:rPr>
      </w:pPr>
      <w:r>
        <w:rPr/>
        <w:t>后公司总股本增至</w:t>
      </w:r>
      <w:r>
        <w:rPr>
          <w:spacing w:val="-34"/>
        </w:rPr>
        <w:t> </w:t>
      </w:r>
      <w:r>
        <w:rPr>
          <w:rFonts w:ascii="Times New Roman" w:hAnsi="Times New Roman" w:cs="Times New Roman" w:eastAsia="Times New Roman" w:hint="default"/>
        </w:rPr>
        <w:t>4,200</w:t>
      </w:r>
      <w:r>
        <w:rPr>
          <w:rFonts w:ascii="Times New Roman" w:hAnsi="Times New Roman" w:cs="Times New Roman" w:eastAsia="Times New Roman" w:hint="default"/>
          <w:spacing w:val="17"/>
        </w:rPr>
        <w:t> </w:t>
      </w:r>
      <w:r>
        <w:rPr/>
        <w:t>万元，其中：李仲初</w:t>
      </w:r>
      <w:r>
        <w:rPr>
          <w:spacing w:val="-36"/>
        </w:rPr>
        <w:t> </w:t>
      </w:r>
      <w:r>
        <w:rPr>
          <w:rFonts w:ascii="Times New Roman" w:hAnsi="Times New Roman" w:cs="Times New Roman" w:eastAsia="Times New Roman" w:hint="default"/>
        </w:rPr>
        <w:t>2,688</w:t>
      </w:r>
      <w:r>
        <w:rPr>
          <w:rFonts w:ascii="Times New Roman" w:hAnsi="Times New Roman" w:cs="Times New Roman" w:eastAsia="Times New Roman" w:hint="default"/>
          <w:spacing w:val="19"/>
        </w:rPr>
        <w:t> </w:t>
      </w:r>
      <w:r>
        <w:rPr/>
        <w:t>万股，占总股本的</w:t>
      </w:r>
      <w:r>
        <w:rPr>
          <w:spacing w:val="-34"/>
        </w:rPr>
        <w:t> </w:t>
      </w:r>
      <w:r>
        <w:rPr>
          <w:rFonts w:ascii="Times New Roman" w:hAnsi="Times New Roman" w:cs="Times New Roman" w:eastAsia="Times New Roman" w:hint="default"/>
        </w:rPr>
        <w:t>64%</w:t>
      </w:r>
      <w:r>
        <w:rPr/>
        <w:t>；长春燃气股份有限公司</w:t>
      </w:r>
      <w:r>
        <w:rPr>
          <w:spacing w:val="-36"/>
        </w:rPr>
        <w:t> </w:t>
      </w:r>
      <w:r>
        <w:rPr>
          <w:rFonts w:ascii="Times New Roman" w:hAnsi="Times New Roman" w:cs="Times New Roman" w:eastAsia="Times New Roman" w:hint="default"/>
        </w:rPr>
        <w:t>840</w:t>
      </w:r>
    </w:p>
    <w:p>
      <w:pPr>
        <w:pStyle w:val="BodyText"/>
        <w:spacing w:line="460" w:lineRule="exact" w:before="45"/>
        <w:ind w:left="155" w:right="0"/>
        <w:jc w:val="left"/>
      </w:pPr>
      <w:r>
        <w:rPr>
          <w:spacing w:val="-5"/>
        </w:rPr>
        <w:t>万股，占总股本的</w:t>
      </w:r>
      <w:r>
        <w:rPr>
          <w:spacing w:val="-47"/>
        </w:rPr>
        <w:t> </w:t>
      </w:r>
      <w:r>
        <w:rPr>
          <w:rFonts w:ascii="Times New Roman" w:hAnsi="Times New Roman" w:cs="Times New Roman" w:eastAsia="Times New Roman" w:hint="default"/>
          <w:spacing w:val="-3"/>
        </w:rPr>
        <w:t>20%</w:t>
      </w:r>
      <w:r>
        <w:rPr>
          <w:spacing w:val="-3"/>
        </w:rPr>
        <w:t>；北京业勤投资顾问有限公司</w:t>
      </w:r>
      <w:r>
        <w:rPr>
          <w:spacing w:val="-45"/>
        </w:rPr>
        <w:t> </w:t>
      </w:r>
      <w:r>
        <w:rPr>
          <w:rFonts w:ascii="Times New Roman" w:hAnsi="Times New Roman" w:cs="Times New Roman" w:eastAsia="Times New Roman" w:hint="default"/>
        </w:rPr>
        <w:t>268.80</w:t>
      </w:r>
      <w:r>
        <w:rPr>
          <w:rFonts w:ascii="Times New Roman" w:hAnsi="Times New Roman" w:cs="Times New Roman" w:eastAsia="Times New Roman" w:hint="default"/>
          <w:spacing w:val="5"/>
        </w:rPr>
        <w:t> </w:t>
      </w:r>
      <w:r>
        <w:rPr>
          <w:spacing w:val="-5"/>
        </w:rPr>
        <w:t>万股，占总股本的</w:t>
      </w:r>
      <w:r>
        <w:rPr>
          <w:spacing w:val="-45"/>
        </w:rPr>
        <w:t> </w:t>
      </w:r>
      <w:r>
        <w:rPr>
          <w:rFonts w:ascii="Times New Roman" w:hAnsi="Times New Roman" w:cs="Times New Roman" w:eastAsia="Times New Roman" w:hint="default"/>
          <w:spacing w:val="-5"/>
        </w:rPr>
        <w:t>6.4%</w:t>
      </w:r>
      <w:r>
        <w:rPr>
          <w:spacing w:val="-5"/>
        </w:rPr>
        <w:t>；焦梅荣</w:t>
      </w:r>
      <w:r>
        <w:rPr>
          <w:spacing w:val="-45"/>
        </w:rPr>
        <w:t> </w:t>
      </w:r>
      <w:r>
        <w:rPr>
          <w:rFonts w:ascii="Times New Roman" w:hAnsi="Times New Roman" w:cs="Times New Roman" w:eastAsia="Times New Roman" w:hint="default"/>
        </w:rPr>
        <w:t>235.20</w:t>
      </w:r>
      <w:r>
        <w:rPr>
          <w:rFonts w:ascii="Times New Roman" w:hAnsi="Times New Roman" w:cs="Times New Roman" w:eastAsia="Times New Roman" w:hint="default"/>
          <w:spacing w:val="5"/>
        </w:rPr>
        <w:t> </w:t>
      </w:r>
      <w:r>
        <w:rPr/>
        <w:t>万股，</w:t>
      </w:r>
      <w:r>
        <w:rPr>
          <w:spacing w:val="-102"/>
        </w:rPr>
        <w:t> </w:t>
      </w:r>
      <w:r>
        <w:rPr>
          <w:spacing w:val="-102"/>
        </w:rPr>
      </w:r>
      <w:r>
        <w:rPr/>
        <w:t>占总股本的</w:t>
      </w:r>
      <w:r>
        <w:rPr>
          <w:spacing w:val="-53"/>
        </w:rPr>
        <w:t> </w:t>
      </w:r>
      <w:r>
        <w:rPr>
          <w:rFonts w:ascii="Times New Roman" w:hAnsi="Times New Roman" w:cs="Times New Roman" w:eastAsia="Times New Roman" w:hint="default"/>
        </w:rPr>
        <w:t>5.6%</w:t>
      </w:r>
      <w:r>
        <w:rPr/>
        <w:t>；陈国强</w:t>
      </w:r>
      <w:r>
        <w:rPr>
          <w:spacing w:val="-55"/>
        </w:rPr>
        <w:t> </w:t>
      </w:r>
      <w:r>
        <w:rPr>
          <w:rFonts w:ascii="Times New Roman" w:hAnsi="Times New Roman" w:cs="Times New Roman" w:eastAsia="Times New Roman" w:hint="default"/>
        </w:rPr>
        <w:t>100.80</w:t>
      </w:r>
      <w:r>
        <w:rPr>
          <w:rFonts w:ascii="Times New Roman" w:hAnsi="Times New Roman" w:cs="Times New Roman" w:eastAsia="Times New Roman" w:hint="default"/>
          <w:spacing w:val="-3"/>
        </w:rPr>
        <w:t> </w:t>
      </w:r>
      <w:r>
        <w:rPr/>
        <w:t>万股，占总股本的</w:t>
      </w:r>
      <w:r>
        <w:rPr>
          <w:spacing w:val="-55"/>
        </w:rPr>
        <w:t> </w:t>
      </w:r>
      <w:r>
        <w:rPr>
          <w:rFonts w:ascii="Times New Roman" w:hAnsi="Times New Roman" w:cs="Times New Roman" w:eastAsia="Times New Roman" w:hint="default"/>
        </w:rPr>
        <w:t>2.4%</w:t>
      </w:r>
      <w:r>
        <w:rPr/>
        <w:t>；李殿坤</w:t>
      </w:r>
      <w:r>
        <w:rPr>
          <w:spacing w:val="-53"/>
        </w:rPr>
        <w:t> </w:t>
      </w:r>
      <w:r>
        <w:rPr>
          <w:rFonts w:ascii="Times New Roman" w:hAnsi="Times New Roman" w:cs="Times New Roman" w:eastAsia="Times New Roman" w:hint="default"/>
        </w:rPr>
        <w:t>67.20</w:t>
      </w:r>
      <w:r>
        <w:rPr>
          <w:rFonts w:ascii="Times New Roman" w:hAnsi="Times New Roman" w:cs="Times New Roman" w:eastAsia="Times New Roman" w:hint="default"/>
          <w:spacing w:val="-3"/>
        </w:rPr>
        <w:t> </w:t>
      </w:r>
      <w:r>
        <w:rPr/>
        <w:t>万股，占总股本的</w:t>
      </w:r>
      <w:r>
        <w:rPr>
          <w:spacing w:val="-53"/>
        </w:rPr>
        <w:t> </w:t>
      </w:r>
      <w:r>
        <w:rPr>
          <w:rFonts w:ascii="Times New Roman" w:hAnsi="Times New Roman" w:cs="Times New Roman" w:eastAsia="Times New Roman" w:hint="default"/>
        </w:rPr>
        <w:t>1.6%</w:t>
      </w:r>
      <w:r>
        <w:rPr/>
        <w:t>。</w:t>
      </w:r>
    </w:p>
    <w:p>
      <w:pPr>
        <w:spacing w:after="0" w:line="460" w:lineRule="exact"/>
        <w:jc w:val="left"/>
        <w:sectPr>
          <w:pgSz w:w="11910" w:h="16840"/>
          <w:pgMar w:header="850" w:footer="979" w:top="1200" w:bottom="1160" w:left="980" w:right="920"/>
        </w:sectPr>
      </w:pPr>
    </w:p>
    <w:p>
      <w:pPr>
        <w:spacing w:line="240" w:lineRule="auto" w:before="10"/>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bookmarkStart w:name="3．本公司的经营范围、业务性质和主要经营活动" w:id="28"/>
      <w:bookmarkEnd w:id="28"/>
      <w:r>
        <w:rPr/>
      </w:r>
      <w:bookmarkStart w:name="公司经营范围为：技术开发、技术咨询、技术转让、技术服务、技术培训；销售开发后的产" w:id="29"/>
      <w:bookmarkEnd w:id="29"/>
      <w:r>
        <w:rPr/>
      </w: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8"/>
          <w:szCs w:val="8"/>
        </w:rPr>
      </w:pPr>
    </w:p>
    <w:p>
      <w:pPr>
        <w:pStyle w:val="BodyText"/>
        <w:spacing w:line="381" w:lineRule="auto" w:before="36"/>
        <w:ind w:right="208" w:firstLine="419"/>
        <w:jc w:val="left"/>
      </w:pPr>
      <w:bookmarkStart w:name="2005年1月经公司股东大会决议，长春燃气股份有限公司将其所持有公司20％的股权" w:id="30"/>
      <w:bookmarkEnd w:id="30"/>
      <w:r>
        <w:rPr/>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1 </w:t>
      </w:r>
      <w:r>
        <w:rPr/>
        <w:t>月经公司股东大会决议，长春燃气股份有限公司将其所持有公司</w:t>
      </w:r>
      <w:r>
        <w:rPr>
          <w:spacing w:val="-33"/>
        </w:rPr>
        <w:t> </w:t>
      </w:r>
      <w:r>
        <w:rPr>
          <w:rFonts w:ascii="Times New Roman" w:hAnsi="Times New Roman" w:cs="Times New Roman" w:eastAsia="Times New Roman" w:hint="default"/>
        </w:rPr>
        <w:t>20</w:t>
      </w:r>
      <w:r>
        <w:rPr/>
        <w:t>％的股权全部转让给李</w:t>
      </w:r>
      <w:r>
        <w:rPr>
          <w:w w:val="100"/>
        </w:rPr>
        <w:t> </w:t>
      </w:r>
      <w:r>
        <w:rPr/>
        <w:t>仲初。</w:t>
      </w:r>
    </w:p>
    <w:p>
      <w:pPr>
        <w:pStyle w:val="BodyText"/>
        <w:spacing w:line="240" w:lineRule="auto" w:before="59"/>
        <w:ind w:left="573" w:right="0"/>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7 </w:t>
      </w:r>
      <w:r>
        <w:rPr/>
        <w:t>月，经中国证券监督管理委员会证监发行字</w:t>
      </w:r>
      <w:r>
        <w:rPr>
          <w:rFonts w:ascii="Times New Roman" w:hAnsi="Times New Roman" w:cs="Times New Roman" w:eastAsia="Times New Roman" w:hint="default"/>
        </w:rPr>
        <w:t>[2007]189</w:t>
      </w:r>
      <w:r>
        <w:rPr>
          <w:rFonts w:ascii="Times New Roman" w:hAnsi="Times New Roman" w:cs="Times New Roman" w:eastAsia="Times New Roman" w:hint="default"/>
          <w:spacing w:val="-17"/>
        </w:rPr>
        <w:t> </w:t>
      </w:r>
      <w:r>
        <w:rPr/>
        <w:t>号文核准，同意公司向社会公开发行</w:t>
      </w:r>
    </w:p>
    <w:p>
      <w:pPr>
        <w:pStyle w:val="BodyText"/>
        <w:spacing w:line="379" w:lineRule="auto" w:before="170"/>
        <w:ind w:right="186"/>
        <w:jc w:val="both"/>
      </w:pPr>
      <w:r>
        <w:rPr/>
        <w:t>人民币普通股股票</w:t>
      </w:r>
      <w:r>
        <w:rPr>
          <w:spacing w:val="-55"/>
        </w:rPr>
        <w:t> </w:t>
      </w:r>
      <w:r>
        <w:rPr>
          <w:rFonts w:ascii="Times New Roman" w:hAnsi="Times New Roman" w:cs="Times New Roman" w:eastAsia="Times New Roman" w:hint="default"/>
        </w:rPr>
        <w:t>1,400.00</w:t>
      </w:r>
      <w:r>
        <w:rPr>
          <w:rFonts w:ascii="Times New Roman" w:hAnsi="Times New Roman" w:cs="Times New Roman" w:eastAsia="Times New Roman" w:hint="default"/>
          <w:spacing w:val="-2"/>
        </w:rPr>
        <w:t> </w:t>
      </w:r>
      <w:r>
        <w:rPr/>
        <w:t>万股，变更后的公司注册资本为</w:t>
      </w:r>
      <w:r>
        <w:rPr>
          <w:spacing w:val="-55"/>
        </w:rPr>
        <w:t> </w:t>
      </w:r>
      <w:r>
        <w:rPr>
          <w:rFonts w:ascii="Times New Roman" w:hAnsi="Times New Roman" w:cs="Times New Roman" w:eastAsia="Times New Roman" w:hint="default"/>
        </w:rPr>
        <w:t>5,600.00</w:t>
      </w:r>
      <w:r>
        <w:rPr>
          <w:rFonts w:ascii="Times New Roman" w:hAnsi="Times New Roman" w:cs="Times New Roman" w:eastAsia="Times New Roman" w:hint="default"/>
          <w:spacing w:val="-2"/>
        </w:rPr>
        <w:t> </w:t>
      </w:r>
      <w:r>
        <w:rPr/>
        <w:t>万元，其中：李仲初</w:t>
      </w:r>
      <w:r>
        <w:rPr>
          <w:spacing w:val="-55"/>
        </w:rPr>
        <w:t> </w:t>
      </w:r>
      <w:r>
        <w:rPr>
          <w:rFonts w:ascii="Times New Roman" w:hAnsi="Times New Roman" w:cs="Times New Roman" w:eastAsia="Times New Roman" w:hint="default"/>
        </w:rPr>
        <w:t>3,528.00</w:t>
      </w:r>
      <w:r>
        <w:rPr>
          <w:rFonts w:ascii="Times New Roman" w:hAnsi="Times New Roman" w:cs="Times New Roman" w:eastAsia="Times New Roman" w:hint="default"/>
          <w:spacing w:val="-2"/>
        </w:rPr>
        <w:t> </w:t>
      </w:r>
      <w:r>
        <w:rPr/>
        <w:t>万股，</w:t>
      </w:r>
      <w:r>
        <w:rPr>
          <w:w w:val="100"/>
        </w:rPr>
        <w:t> </w:t>
      </w:r>
      <w:r>
        <w:rPr/>
        <w:t>占总股本的</w:t>
      </w:r>
      <w:r>
        <w:rPr>
          <w:spacing w:val="-46"/>
        </w:rPr>
        <w:t> </w:t>
      </w:r>
      <w:r>
        <w:rPr>
          <w:rFonts w:ascii="Times New Roman" w:hAnsi="Times New Roman" w:cs="Times New Roman" w:eastAsia="Times New Roman" w:hint="default"/>
        </w:rPr>
        <w:t>63.00%</w:t>
      </w:r>
      <w:r>
        <w:rPr/>
        <w:t>；北京业勤投资顾问有限公司</w:t>
      </w:r>
      <w:r>
        <w:rPr>
          <w:spacing w:val="-47"/>
        </w:rPr>
        <w:t> </w:t>
      </w:r>
      <w:r>
        <w:rPr>
          <w:rFonts w:ascii="Times New Roman" w:hAnsi="Times New Roman" w:cs="Times New Roman" w:eastAsia="Times New Roman" w:hint="default"/>
        </w:rPr>
        <w:t>268.80</w:t>
      </w:r>
      <w:r>
        <w:rPr>
          <w:rFonts w:ascii="Times New Roman" w:hAnsi="Times New Roman" w:cs="Times New Roman" w:eastAsia="Times New Roman" w:hint="default"/>
          <w:spacing w:val="6"/>
        </w:rPr>
        <w:t> </w:t>
      </w:r>
      <w:r>
        <w:rPr/>
        <w:t>万股，占总股本的</w:t>
      </w:r>
      <w:r>
        <w:rPr>
          <w:spacing w:val="-49"/>
        </w:rPr>
        <w:t> </w:t>
      </w:r>
      <w:r>
        <w:rPr>
          <w:rFonts w:ascii="Times New Roman" w:hAnsi="Times New Roman" w:cs="Times New Roman" w:eastAsia="Times New Roman" w:hint="default"/>
        </w:rPr>
        <w:t>4.80%</w:t>
      </w:r>
      <w:r>
        <w:rPr/>
        <w:t>；焦梅荣</w:t>
      </w:r>
      <w:r>
        <w:rPr>
          <w:spacing w:val="-46"/>
        </w:rPr>
        <w:t> </w:t>
      </w:r>
      <w:r>
        <w:rPr>
          <w:rFonts w:ascii="Times New Roman" w:hAnsi="Times New Roman" w:cs="Times New Roman" w:eastAsia="Times New Roman" w:hint="default"/>
        </w:rPr>
        <w:t>235.20</w:t>
      </w:r>
      <w:r>
        <w:rPr>
          <w:rFonts w:ascii="Times New Roman" w:hAnsi="Times New Roman" w:cs="Times New Roman" w:eastAsia="Times New Roman" w:hint="default"/>
          <w:spacing w:val="3"/>
        </w:rPr>
        <w:t> </w:t>
      </w:r>
      <w:r>
        <w:rPr/>
        <w:t>万股，</w:t>
      </w:r>
      <w:r>
        <w:rPr>
          <w:spacing w:val="-3"/>
          <w:w w:val="100"/>
        </w:rPr>
        <w:t> </w:t>
      </w:r>
      <w:r>
        <w:rPr/>
        <w:t>占总股本的</w:t>
      </w:r>
      <w:r>
        <w:rPr>
          <w:spacing w:val="-46"/>
        </w:rPr>
        <w:t> </w:t>
      </w:r>
      <w:r>
        <w:rPr>
          <w:rFonts w:ascii="Times New Roman" w:hAnsi="Times New Roman" w:cs="Times New Roman" w:eastAsia="Times New Roman" w:hint="default"/>
          <w:spacing w:val="-3"/>
        </w:rPr>
        <w:t>4.20%</w:t>
      </w:r>
      <w:r>
        <w:rPr>
          <w:spacing w:val="-3"/>
        </w:rPr>
        <w:t>；陈国强</w:t>
      </w:r>
      <w:r>
        <w:rPr>
          <w:spacing w:val="-46"/>
        </w:rPr>
        <w:t> </w:t>
      </w:r>
      <w:r>
        <w:rPr>
          <w:rFonts w:ascii="Times New Roman" w:hAnsi="Times New Roman" w:cs="Times New Roman" w:eastAsia="Times New Roman" w:hint="default"/>
        </w:rPr>
        <w:t>100.80</w:t>
      </w:r>
      <w:r>
        <w:rPr>
          <w:rFonts w:ascii="Times New Roman" w:hAnsi="Times New Roman" w:cs="Times New Roman" w:eastAsia="Times New Roman" w:hint="default"/>
          <w:spacing w:val="3"/>
        </w:rPr>
        <w:t> </w:t>
      </w:r>
      <w:r>
        <w:rPr>
          <w:spacing w:val="-4"/>
        </w:rPr>
        <w:t>万股，占总股本的</w:t>
      </w:r>
      <w:r>
        <w:rPr>
          <w:spacing w:val="-46"/>
        </w:rPr>
        <w:t> </w:t>
      </w:r>
      <w:r>
        <w:rPr>
          <w:rFonts w:ascii="Times New Roman" w:hAnsi="Times New Roman" w:cs="Times New Roman" w:eastAsia="Times New Roman" w:hint="default"/>
          <w:spacing w:val="-3"/>
        </w:rPr>
        <w:t>1.80%</w:t>
      </w:r>
      <w:r>
        <w:rPr>
          <w:spacing w:val="-3"/>
        </w:rPr>
        <w:t>；李殿坤</w:t>
      </w:r>
      <w:r>
        <w:rPr>
          <w:spacing w:val="-46"/>
        </w:rPr>
        <w:t> </w:t>
      </w:r>
      <w:r>
        <w:rPr>
          <w:rFonts w:ascii="Times New Roman" w:hAnsi="Times New Roman" w:cs="Times New Roman" w:eastAsia="Times New Roman" w:hint="default"/>
        </w:rPr>
        <w:t>67.20</w:t>
      </w:r>
      <w:r>
        <w:rPr>
          <w:rFonts w:ascii="Times New Roman" w:hAnsi="Times New Roman" w:cs="Times New Roman" w:eastAsia="Times New Roman" w:hint="default"/>
          <w:spacing w:val="3"/>
        </w:rPr>
        <w:t> </w:t>
      </w:r>
      <w:r>
        <w:rPr>
          <w:spacing w:val="-3"/>
        </w:rPr>
        <w:t>万股</w:t>
      </w:r>
      <w:r>
        <w:rPr>
          <w:rFonts w:ascii="Times New Roman" w:hAnsi="Times New Roman" w:cs="Times New Roman" w:eastAsia="Times New Roman" w:hint="default"/>
          <w:spacing w:val="-3"/>
        </w:rPr>
        <w:t>,</w:t>
      </w:r>
      <w:r>
        <w:rPr>
          <w:spacing w:val="-3"/>
        </w:rPr>
        <w:t>，占总股本的</w:t>
      </w:r>
      <w:r>
        <w:rPr>
          <w:spacing w:val="-46"/>
        </w:rPr>
        <w:t> </w:t>
      </w:r>
      <w:r>
        <w:rPr>
          <w:rFonts w:ascii="Times New Roman" w:hAnsi="Times New Roman" w:cs="Times New Roman" w:eastAsia="Times New Roman" w:hint="default"/>
          <w:spacing w:val="-4"/>
        </w:rPr>
        <w:t>1.2%</w:t>
      </w:r>
      <w:r>
        <w:rPr>
          <w:spacing w:val="-4"/>
        </w:rPr>
        <w:t>；社会</w:t>
      </w:r>
      <w:r>
        <w:rPr>
          <w:spacing w:val="-98"/>
        </w:rPr>
        <w:t> </w:t>
      </w:r>
      <w:r>
        <w:rPr>
          <w:spacing w:val="-98"/>
        </w:rPr>
      </w:r>
      <w:r>
        <w:rPr/>
        <w:t>公众股</w:t>
      </w:r>
      <w:r>
        <w:rPr>
          <w:spacing w:val="-53"/>
        </w:rPr>
        <w:t> </w:t>
      </w:r>
      <w:r>
        <w:rPr>
          <w:rFonts w:ascii="Times New Roman" w:hAnsi="Times New Roman" w:cs="Times New Roman" w:eastAsia="Times New Roman" w:hint="default"/>
        </w:rPr>
        <w:t>1,400.00</w:t>
      </w:r>
      <w:r>
        <w:rPr>
          <w:rFonts w:ascii="Times New Roman" w:hAnsi="Times New Roman" w:cs="Times New Roman" w:eastAsia="Times New Roman" w:hint="default"/>
          <w:spacing w:val="-3"/>
        </w:rPr>
        <w:t> </w:t>
      </w:r>
      <w:r>
        <w:rPr/>
        <w:t>万股，占总股本的</w:t>
      </w:r>
      <w:r>
        <w:rPr>
          <w:spacing w:val="-53"/>
        </w:rPr>
        <w:t> </w:t>
      </w:r>
      <w:r>
        <w:rPr>
          <w:rFonts w:ascii="Times New Roman" w:hAnsi="Times New Roman" w:cs="Times New Roman" w:eastAsia="Times New Roman" w:hint="default"/>
        </w:rPr>
        <w:t>25.00%</w:t>
      </w:r>
      <w:r>
        <w:rPr/>
        <w:t>。</w:t>
      </w:r>
    </w:p>
    <w:p>
      <w:pPr>
        <w:pStyle w:val="BodyText"/>
        <w:spacing w:line="240" w:lineRule="auto" w:before="35"/>
        <w:ind w:left="573"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月，根据公司股东会决议和修改后章程的规定，由资本公积转增股本人民币</w:t>
      </w:r>
      <w:r>
        <w:rPr>
          <w:spacing w:val="-55"/>
        </w:rPr>
        <w:t> </w:t>
      </w:r>
      <w:r>
        <w:rPr>
          <w:rFonts w:ascii="Times New Roman" w:hAnsi="Times New Roman" w:cs="Times New Roman" w:eastAsia="Times New Roman" w:hint="default"/>
        </w:rPr>
        <w:t>5,600.00</w:t>
      </w:r>
      <w:r>
        <w:rPr>
          <w:rFonts w:ascii="Times New Roman" w:hAnsi="Times New Roman" w:cs="Times New Roman" w:eastAsia="Times New Roman" w:hint="default"/>
          <w:spacing w:val="-1"/>
        </w:rPr>
        <w:t> </w:t>
      </w:r>
      <w:r>
        <w:rPr/>
        <w:t>万元，</w:t>
      </w:r>
    </w:p>
    <w:p>
      <w:pPr>
        <w:pStyle w:val="BodyText"/>
        <w:spacing w:line="240" w:lineRule="auto" w:before="167"/>
        <w:ind w:left="153" w:right="0"/>
        <w:jc w:val="both"/>
      </w:pPr>
      <w:r>
        <w:rPr/>
        <w:t>变更后的公司注册资本为人民币普通股</w:t>
      </w:r>
      <w:r>
        <w:rPr>
          <w:spacing w:val="-47"/>
        </w:rPr>
        <w:t> </w:t>
      </w:r>
      <w:r>
        <w:rPr>
          <w:rFonts w:ascii="Times New Roman" w:hAnsi="Times New Roman" w:cs="Times New Roman" w:eastAsia="Times New Roman" w:hint="default"/>
        </w:rPr>
        <w:t>11,200.00</w:t>
      </w:r>
      <w:r>
        <w:rPr>
          <w:rFonts w:ascii="Times New Roman" w:hAnsi="Times New Roman" w:cs="Times New Roman" w:eastAsia="Times New Roman" w:hint="default"/>
          <w:spacing w:val="9"/>
        </w:rPr>
        <w:t> </w:t>
      </w:r>
      <w:r>
        <w:rPr/>
        <w:t>万元。公司于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日完成了工商变更登记，</w:t>
      </w:r>
    </w:p>
    <w:p>
      <w:pPr>
        <w:pStyle w:val="BodyText"/>
        <w:spacing w:line="240" w:lineRule="auto" w:before="170"/>
        <w:ind w:right="0"/>
        <w:jc w:val="both"/>
      </w:pPr>
      <w:r>
        <w:rPr/>
        <w:t>领取了北京市工商行政管理局颁发的</w:t>
      </w:r>
      <w:r>
        <w:rPr>
          <w:spacing w:val="-63"/>
        </w:rPr>
        <w:t> </w:t>
      </w:r>
      <w:r>
        <w:rPr>
          <w:rFonts w:ascii="Times New Roman" w:hAnsi="Times New Roman" w:cs="Times New Roman" w:eastAsia="Times New Roman" w:hint="default"/>
        </w:rPr>
        <w:t>110000004733224</w:t>
      </w:r>
      <w:r>
        <w:rPr>
          <w:rFonts w:ascii="Times New Roman" w:hAnsi="Times New Roman" w:cs="Times New Roman" w:eastAsia="Times New Roman" w:hint="default"/>
          <w:spacing w:val="-11"/>
        </w:rPr>
        <w:t> </w:t>
      </w:r>
      <w:r>
        <w:rPr/>
        <w:t>号企业法人营业执照。</w:t>
      </w:r>
    </w:p>
    <w:p>
      <w:pPr>
        <w:pStyle w:val="BodyText"/>
        <w:spacing w:line="240" w:lineRule="auto" w:before="170"/>
        <w:ind w:left="572"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spacing w:val="-4"/>
        </w:rPr>
        <w:t>月，根据公司股东会决议和修改后章程的规定，由资本公积转增股本人民币</w:t>
      </w:r>
      <w:r>
        <w:rPr>
          <w:spacing w:val="-44"/>
        </w:rPr>
        <w:t> </w:t>
      </w:r>
      <w:r>
        <w:rPr>
          <w:rFonts w:ascii="Times New Roman" w:hAnsi="Times New Roman" w:cs="Times New Roman" w:eastAsia="Times New Roman" w:hint="default"/>
        </w:rPr>
        <w:t>11,200.00</w:t>
      </w:r>
      <w:r>
        <w:rPr>
          <w:rFonts w:ascii="Times New Roman" w:hAnsi="Times New Roman" w:cs="Times New Roman" w:eastAsia="Times New Roman" w:hint="default"/>
          <w:spacing w:val="8"/>
        </w:rPr>
        <w:t> </w:t>
      </w:r>
      <w:r>
        <w:rPr/>
        <w:t>万元，</w:t>
      </w:r>
    </w:p>
    <w:p>
      <w:pPr>
        <w:pStyle w:val="BodyText"/>
        <w:spacing w:line="240" w:lineRule="auto" w:before="167"/>
        <w:ind w:left="153" w:right="0"/>
        <w:jc w:val="both"/>
      </w:pPr>
      <w:r>
        <w:rPr/>
        <w:t>变更后的公司注册资本为人民币普通股</w:t>
      </w:r>
      <w:r>
        <w:rPr>
          <w:spacing w:val="-49"/>
        </w:rPr>
        <w:t> </w:t>
      </w:r>
      <w:r>
        <w:rPr>
          <w:rFonts w:ascii="Times New Roman" w:hAnsi="Times New Roman" w:cs="Times New Roman" w:eastAsia="Times New Roman" w:hint="default"/>
        </w:rPr>
        <w:t>22,400.00</w:t>
      </w:r>
      <w:r>
        <w:rPr>
          <w:rFonts w:ascii="Times New Roman" w:hAnsi="Times New Roman" w:cs="Times New Roman" w:eastAsia="Times New Roman" w:hint="default"/>
          <w:spacing w:val="1"/>
        </w:rPr>
        <w:t> </w:t>
      </w:r>
      <w:r>
        <w:rPr>
          <w:spacing w:val="-4"/>
        </w:rPr>
        <w:t>万元。公司于</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日完成了工商变更登记，领</w:t>
      </w:r>
    </w:p>
    <w:p>
      <w:pPr>
        <w:pStyle w:val="BodyText"/>
        <w:spacing w:line="240" w:lineRule="auto" w:before="170"/>
        <w:ind w:left="153" w:right="0"/>
        <w:jc w:val="both"/>
      </w:pPr>
      <w:r>
        <w:rPr/>
        <w:t>取了北京市工商行政管理局颁发的</w:t>
      </w:r>
      <w:r>
        <w:rPr>
          <w:spacing w:val="-62"/>
        </w:rPr>
        <w:t> </w:t>
      </w:r>
      <w:r>
        <w:rPr>
          <w:rFonts w:ascii="Times New Roman" w:hAnsi="Times New Roman" w:cs="Times New Roman" w:eastAsia="Times New Roman" w:hint="default"/>
        </w:rPr>
        <w:t>110000004733224</w:t>
      </w:r>
      <w:r>
        <w:rPr>
          <w:rFonts w:ascii="Times New Roman" w:hAnsi="Times New Roman" w:cs="Times New Roman" w:eastAsia="Times New Roman" w:hint="default"/>
          <w:spacing w:val="-7"/>
        </w:rPr>
        <w:t> </w:t>
      </w:r>
      <w:r>
        <w:rPr/>
        <w:t>号企业法人营业执照。</w:t>
      </w:r>
    </w:p>
    <w:p>
      <w:pPr>
        <w:pStyle w:val="BodyText"/>
        <w:spacing w:line="240" w:lineRule="auto" w:before="170"/>
        <w:ind w:left="573"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月，根据公司股东会决议和修改后章程的规定，由资本公积转增股本人民币</w:t>
      </w:r>
      <w:r>
        <w:rPr>
          <w:spacing w:val="-57"/>
        </w:rPr>
        <w:t> </w:t>
      </w:r>
      <w:r>
        <w:rPr>
          <w:rFonts w:ascii="Times New Roman" w:hAnsi="Times New Roman" w:cs="Times New Roman" w:eastAsia="Times New Roman" w:hint="default"/>
        </w:rPr>
        <w:t>8,512.00</w:t>
      </w:r>
      <w:r>
        <w:rPr>
          <w:rFonts w:ascii="Times New Roman" w:hAnsi="Times New Roman" w:cs="Times New Roman" w:eastAsia="Times New Roman" w:hint="default"/>
          <w:spacing w:val="-3"/>
        </w:rPr>
        <w:t> </w:t>
      </w:r>
      <w:r>
        <w:rPr/>
        <w:t>万元，</w:t>
      </w:r>
    </w:p>
    <w:p>
      <w:pPr>
        <w:pStyle w:val="BodyText"/>
        <w:spacing w:line="240" w:lineRule="auto" w:before="167"/>
        <w:ind w:left="153" w:right="0"/>
        <w:jc w:val="both"/>
      </w:pPr>
      <w:r>
        <w:rPr/>
        <w:t>变更后的公司注册资本为人民币普通股</w:t>
      </w:r>
      <w:r>
        <w:rPr>
          <w:spacing w:val="-53"/>
        </w:rPr>
        <w:t> </w:t>
      </w:r>
      <w:r>
        <w:rPr>
          <w:rFonts w:ascii="Times New Roman" w:hAnsi="Times New Roman" w:cs="Times New Roman" w:eastAsia="Times New Roman" w:hint="default"/>
        </w:rPr>
        <w:t>30,912.00</w:t>
      </w:r>
      <w:r>
        <w:rPr>
          <w:rFonts w:ascii="Times New Roman" w:hAnsi="Times New Roman" w:cs="Times New Roman" w:eastAsia="Times New Roman" w:hint="default"/>
          <w:spacing w:val="-3"/>
        </w:rPr>
        <w:t> </w:t>
      </w:r>
      <w:r>
        <w:rPr>
          <w:spacing w:val="-3"/>
        </w:rPr>
        <w:t>万元。公司于</w:t>
      </w:r>
      <w:r>
        <w:rPr>
          <w:spacing w:val="-53"/>
        </w:rPr>
        <w:t> </w:t>
      </w:r>
      <w:r>
        <w:rPr>
          <w:rFonts w:ascii="Times New Roman" w:hAnsi="Times New Roman" w:cs="Times New Roman" w:eastAsia="Times New Roman" w:hint="default"/>
          <w:spacing w:val="-3"/>
        </w:rPr>
        <w:t>2011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日完成了工商变更登记，领</w:t>
      </w:r>
    </w:p>
    <w:p>
      <w:pPr>
        <w:pStyle w:val="BodyText"/>
        <w:spacing w:line="240" w:lineRule="auto" w:before="170"/>
        <w:ind w:left="153" w:right="0"/>
        <w:jc w:val="both"/>
      </w:pPr>
      <w:r>
        <w:rPr/>
        <w:t>取了北京市工商行政管理局颁发的</w:t>
      </w:r>
      <w:r>
        <w:rPr>
          <w:spacing w:val="-62"/>
        </w:rPr>
        <w:t> </w:t>
      </w:r>
      <w:r>
        <w:rPr>
          <w:rFonts w:ascii="Times New Roman" w:hAnsi="Times New Roman" w:cs="Times New Roman" w:eastAsia="Times New Roman" w:hint="default"/>
        </w:rPr>
        <w:t>110000004733224</w:t>
      </w:r>
      <w:r>
        <w:rPr>
          <w:rFonts w:ascii="Times New Roman" w:hAnsi="Times New Roman" w:cs="Times New Roman" w:eastAsia="Times New Roman" w:hint="default"/>
          <w:spacing w:val="-8"/>
        </w:rPr>
        <w:t> </w:t>
      </w:r>
      <w:r>
        <w:rPr/>
        <w:t>号企业法人营业执照。</w:t>
      </w:r>
    </w:p>
    <w:p>
      <w:pPr>
        <w:pStyle w:val="BodyText"/>
        <w:spacing w:line="240" w:lineRule="auto" w:before="170"/>
        <w:ind w:left="573" w:right="0"/>
        <w:jc w:val="left"/>
      </w:pPr>
      <w:r>
        <w:rPr>
          <w:rFonts w:ascii="Times New Roman" w:hAnsi="Times New Roman" w:cs="Times New Roman" w:eastAsia="Times New Roman" w:hint="default"/>
        </w:rPr>
        <w:t>1</w:t>
      </w:r>
      <w:r>
        <w:rPr/>
        <w:t>．本公司注册资本</w:t>
      </w:r>
    </w:p>
    <w:p>
      <w:pPr>
        <w:pStyle w:val="BodyText"/>
        <w:spacing w:line="381" w:lineRule="auto" w:before="167"/>
        <w:ind w:left="573" w:right="2494" w:hanging="1"/>
        <w:jc w:val="left"/>
      </w:pPr>
      <w:r>
        <w:rPr>
          <w:spacing w:val="-2"/>
          <w:w w:val="100"/>
        </w:rPr>
        <w:t>公司注册资本为人民币</w:t>
      </w:r>
      <w:r>
        <w:rPr>
          <w:spacing w:val="-48"/>
          <w:w w:val="100"/>
        </w:rPr>
        <w:t> </w:t>
      </w:r>
      <w:r>
        <w:rPr>
          <w:rFonts w:ascii="Times New Roman" w:hAnsi="Times New Roman" w:cs="Times New Roman" w:eastAsia="Times New Roman" w:hint="default"/>
          <w:spacing w:val="-1"/>
          <w:w w:val="100"/>
        </w:rPr>
        <w:t>30,912.00</w:t>
      </w:r>
      <w:r>
        <w:rPr>
          <w:rFonts w:ascii="Times New Roman" w:hAnsi="Times New Roman" w:cs="Times New Roman" w:eastAsia="Times New Roman" w:hint="default"/>
          <w:spacing w:val="2"/>
          <w:w w:val="100"/>
        </w:rPr>
        <w:t> </w:t>
      </w:r>
      <w:r>
        <w:rPr>
          <w:spacing w:val="-7"/>
          <w:w w:val="100"/>
        </w:rPr>
        <w:t>万元（大写：叁亿零玖佰壹拾贰万元整）。</w:t>
      </w:r>
      <w:r>
        <w:rPr>
          <w:spacing w:val="-104"/>
          <w:w w:val="100"/>
        </w:rPr>
        <w:t> </w:t>
      </w:r>
      <w:r>
        <w:rPr>
          <w:spacing w:val="-104"/>
          <w:w w:val="100"/>
        </w:rPr>
      </w:r>
      <w:r>
        <w:rPr>
          <w:rFonts w:ascii="Times New Roman" w:hAnsi="Times New Roman" w:cs="Times New Roman" w:eastAsia="Times New Roman" w:hint="default"/>
        </w:rPr>
        <w:t>2</w:t>
      </w:r>
      <w:r>
        <w:rPr/>
        <w:t>．本公司注册地、组织结构和总部地址</w:t>
      </w:r>
      <w:r>
        <w:rPr>
          <w:spacing w:val="-3"/>
          <w:w w:val="100"/>
        </w:rPr>
        <w:t> </w:t>
      </w:r>
      <w:r>
        <w:rPr/>
        <w:t>公司注册地址为：北京市海淀区复兴路甲</w:t>
      </w:r>
      <w:r>
        <w:rPr>
          <w:spacing w:val="-51"/>
        </w:rPr>
        <w:t> </w:t>
      </w:r>
      <w:r>
        <w:rPr>
          <w:rFonts w:ascii="Times New Roman" w:hAnsi="Times New Roman" w:cs="Times New Roman" w:eastAsia="Times New Roman" w:hint="default"/>
        </w:rPr>
        <w:t>65</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A11</w:t>
      </w:r>
      <w:r>
        <w:rPr>
          <w:rFonts w:ascii="Times New Roman" w:hAnsi="Times New Roman" w:cs="Times New Roman" w:eastAsia="Times New Roman" w:hint="default"/>
          <w:spacing w:val="2"/>
        </w:rPr>
        <w:t> </w:t>
      </w:r>
      <w:r>
        <w:rPr/>
        <w:t>层。</w:t>
      </w:r>
    </w:p>
    <w:p>
      <w:pPr>
        <w:pStyle w:val="BodyText"/>
        <w:spacing w:line="393" w:lineRule="auto" w:before="30"/>
        <w:ind w:left="153" w:right="0" w:firstLine="420"/>
        <w:jc w:val="left"/>
      </w:pPr>
      <w:r>
        <w:rPr>
          <w:spacing w:val="-2"/>
        </w:rPr>
        <w:t>公司组织结构为：截止至报告期末，公司设立有北京中长石基信息技术股份</w:t>
      </w:r>
      <w:bookmarkStart w:name="1．本公司注册资本" w:id="31"/>
      <w:bookmarkEnd w:id="31"/>
      <w:r>
        <w:rPr>
          <w:spacing w:val="-2"/>
        </w:rPr>
      </w:r>
      <w:bookmarkStart w:name="公司注册资本为人民币30,912.00万元（大写：叁亿零玖佰壹拾贰万元整）。" w:id="32"/>
      <w:bookmarkEnd w:id="32"/>
      <w:r>
        <w:rPr>
          <w:spacing w:val="-2"/>
        </w:rPr>
        <w:t>有限</w:t>
      </w:r>
      <w:r>
        <w:rPr>
          <w:spacing w:val="-2"/>
        </w:rPr>
        <w:t>公司软</w:t>
      </w:r>
      <w:bookmarkStart w:name="2．本公司注册地、组织结构和总部地址" w:id="33"/>
      <w:bookmarkEnd w:id="33"/>
      <w:r>
        <w:rPr>
          <w:spacing w:val="-2"/>
        </w:rPr>
        <w:t>件</w:t>
      </w:r>
      <w:r>
        <w:rPr>
          <w:spacing w:val="-2"/>
        </w:rPr>
        <w:t>分</w:t>
      </w:r>
      <w:bookmarkStart w:name="公司注册地址为：北京市海淀区复兴路甲65号－A11层。" w:id="34"/>
      <w:bookmarkEnd w:id="34"/>
      <w:r>
        <w:rPr>
          <w:spacing w:val="-2"/>
        </w:rPr>
        <w:t>公</w:t>
      </w:r>
      <w:r>
        <w:rPr>
          <w:spacing w:val="-2"/>
        </w:rPr>
        <w:t>司</w:t>
      </w:r>
      <w:bookmarkStart w:name="公司组织结构为：截止至报告期末，公司设立有北京中长石基信息技术股份有限公司软件分" w:id="35"/>
      <w:bookmarkEnd w:id="35"/>
      <w:r>
        <w:rPr>
          <w:spacing w:val="-2"/>
        </w:rPr>
        <w:t>，</w:t>
      </w:r>
      <w:r>
        <w:rPr>
          <w:spacing w:val="-2"/>
        </w:rPr>
        <w:t>投</w:t>
      </w:r>
      <w:r>
        <w:rPr>
          <w:w w:val="100"/>
        </w:rPr>
        <w:t> </w:t>
      </w:r>
      <w:r>
        <w:rPr>
          <w:spacing w:val="-2"/>
        </w:rPr>
        <w:t>资控股上海石基信息技术有限公司、北京石基昆仑软件有限公司、北京中长石基软件有限公司、杭州西软</w:t>
      </w:r>
      <w:r>
        <w:rPr>
          <w:spacing w:val="-44"/>
        </w:rPr>
        <w:t> </w:t>
      </w:r>
      <w:r>
        <w:rPr>
          <w:spacing w:val="-44"/>
        </w:rPr>
      </w:r>
      <w:r>
        <w:rPr/>
        <w:t>科技有限公司、杭州西软信息有限公司、北海石基信息技术有限公司、现化电脑系统（北京）有限公司、</w:t>
      </w:r>
      <w:r>
        <w:rPr>
          <w:spacing w:val="-3"/>
          <w:w w:val="100"/>
        </w:rPr>
        <w:t> </w:t>
      </w:r>
      <w:r>
        <w:rPr>
          <w:spacing w:val="-2"/>
        </w:rPr>
        <w:t>南京银石计算机系统有限公司、南京银石电脑系统工程有限公司、南京银石支付系统科技有限公司、上海</w:t>
      </w:r>
      <w:r>
        <w:rPr>
          <w:spacing w:val="-48"/>
        </w:rPr>
        <w:t> </w:t>
      </w:r>
      <w:r>
        <w:rPr>
          <w:spacing w:val="-48"/>
        </w:rPr>
      </w:r>
      <w:r>
        <w:rPr/>
        <w:t>正品贵德软件有限公司、上海正品贵德软件有限公司北京分公司、焦点信息技术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Infrasys</w:t>
      </w:r>
      <w:r>
        <w:rPr>
          <w:rFonts w:ascii="Times New Roman" w:hAnsi="Times New Roman" w:cs="Times New Roman" w:eastAsia="Times New Roman" w:hint="default"/>
          <w:w w:val="100"/>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3"/>
        </w:rPr>
        <w:t>Ltd</w:t>
      </w:r>
      <w:r>
        <w:rPr>
          <w:spacing w:val="-3"/>
        </w:rPr>
        <w:t>、</w:t>
      </w:r>
      <w:r>
        <w:rPr>
          <w:rFonts w:ascii="Times New Roman" w:hAnsi="Times New Roman" w:cs="Times New Roman" w:eastAsia="Times New Roman" w:hint="default"/>
          <w:spacing w:val="-3"/>
        </w:rPr>
        <w:t>Infrasys</w:t>
      </w:r>
      <w:r>
        <w:rPr>
          <w:rFonts w:ascii="Times New Roman" w:hAnsi="Times New Roman" w:cs="Times New Roman" w:eastAsia="Times New Roman" w:hint="default"/>
          <w:spacing w:val="5"/>
        </w:rPr>
        <w:t> </w:t>
      </w:r>
      <w:r>
        <w:rPr>
          <w:rFonts w:ascii="Times New Roman" w:hAnsi="Times New Roman" w:cs="Times New Roman" w:eastAsia="Times New Roman" w:hint="default"/>
        </w:rPr>
        <w:t>Singapore Pte</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3"/>
        </w:rPr>
        <w:t>Ltd</w:t>
      </w:r>
      <w:r>
        <w:rPr>
          <w:spacing w:val="-3"/>
        </w:rPr>
        <w:t>、</w:t>
      </w:r>
      <w:r>
        <w:rPr>
          <w:rFonts w:ascii="Times New Roman" w:hAnsi="Times New Roman" w:cs="Times New Roman" w:eastAsia="Times New Roman" w:hint="default"/>
          <w:spacing w:val="-3"/>
        </w:rPr>
        <w:t>Infrasys</w:t>
      </w:r>
      <w:r>
        <w:rPr>
          <w:rFonts w:ascii="Times New Roman" w:hAnsi="Times New Roman" w:cs="Times New Roman" w:eastAsia="Times New Roman" w:hint="default"/>
          <w:spacing w:val="5"/>
        </w:rPr>
        <w:t> </w:t>
      </w:r>
      <w:r>
        <w:rPr>
          <w:rFonts w:ascii="Times New Roman" w:hAnsi="Times New Roman" w:cs="Times New Roman" w:eastAsia="Times New Roman" w:hint="default"/>
        </w:rPr>
        <w:t>Malaysia</w:t>
      </w:r>
      <w:r>
        <w:rPr>
          <w:rFonts w:ascii="Times New Roman" w:hAnsi="Times New Roman" w:cs="Times New Roman" w:eastAsia="Times New Roman" w:hint="default"/>
          <w:spacing w:val="3"/>
        </w:rPr>
        <w:t> </w:t>
      </w:r>
      <w:r>
        <w:rPr>
          <w:rFonts w:ascii="Times New Roman" w:hAnsi="Times New Roman" w:cs="Times New Roman" w:eastAsia="Times New Roman" w:hint="default"/>
        </w:rPr>
        <w:t>Sdn</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t>Bhd</w:t>
      </w:r>
      <w:r>
        <w:rPr>
          <w:spacing w:val="-3"/>
        </w:rPr>
        <w:t>、</w:t>
      </w:r>
      <w:r>
        <w:rPr>
          <w:rFonts w:ascii="Times New Roman" w:hAnsi="Times New Roman" w:cs="Times New Roman" w:eastAsia="Times New Roman" w:hint="default"/>
          <w:spacing w:val="-3"/>
        </w:rPr>
        <w:t>Pos</w:t>
      </w:r>
      <w:r>
        <w:rPr>
          <w:rFonts w:ascii="Times New Roman" w:hAnsi="Times New Roman" w:cs="Times New Roman" w:eastAsia="Times New Roman" w:hint="default"/>
          <w:spacing w:val="2"/>
        </w:rPr>
        <w:t> </w:t>
      </w:r>
      <w:r>
        <w:rPr>
          <w:rFonts w:ascii="Times New Roman" w:hAnsi="Times New Roman" w:cs="Times New Roman" w:eastAsia="Times New Roman" w:hint="default"/>
        </w:rPr>
        <w:t>Master</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3"/>
        </w:rPr>
        <w:t>Ltd</w:t>
      </w:r>
      <w:r>
        <w:rPr>
          <w:spacing w:val="-3"/>
        </w:rPr>
        <w:t>、</w:t>
      </w:r>
      <w:r>
        <w:rPr>
          <w:rFonts w:ascii="Times New Roman" w:hAnsi="Times New Roman" w:cs="Times New Roman" w:eastAsia="Times New Roman" w:hint="default"/>
          <w:spacing w:val="-3"/>
        </w:rPr>
        <w:t>Infrasys</w:t>
      </w:r>
      <w:r>
        <w:rPr>
          <w:rFonts w:ascii="Times New Roman" w:hAnsi="Times New Roman" w:cs="Times New Roman" w:eastAsia="Times New Roman" w:hint="default"/>
          <w:spacing w:val="2"/>
        </w:rPr>
        <w:t> </w:t>
      </w:r>
      <w:r>
        <w:rPr>
          <w:rFonts w:ascii="Times New Roman" w:hAnsi="Times New Roman" w:cs="Times New Roman" w:eastAsia="Times New Roman" w:hint="default"/>
        </w:rPr>
        <w:t>(HK)</w:t>
      </w:r>
      <w:r>
        <w:rPr>
          <w:rFonts w:ascii="Times New Roman" w:hAnsi="Times New Roman" w:cs="Times New Roman" w:eastAsia="Times New Roman" w:hint="default"/>
          <w:spacing w:val="4"/>
        </w:rPr>
        <w:t> </w:t>
      </w:r>
      <w:r>
        <w:rPr>
          <w:rFonts w:ascii="Times New Roman" w:hAnsi="Times New Roman" w:cs="Times New Roman" w:eastAsia="Times New Roman" w:hint="default"/>
        </w:rPr>
        <w:t>Ltd</w:t>
      </w:r>
      <w:r>
        <w:rPr/>
        <w:t>，</w:t>
      </w:r>
      <w:r>
        <w:rPr>
          <w:spacing w:val="-102"/>
        </w:rPr>
        <w:t> </w:t>
      </w:r>
      <w:r>
        <w:rPr/>
        <w:t>并在大连、深圳、长沙等地建立有非独立核算的办事处或研发中心。</w:t>
      </w:r>
    </w:p>
    <w:p>
      <w:pPr>
        <w:pStyle w:val="BodyText"/>
        <w:spacing w:line="381" w:lineRule="auto" w:before="51"/>
        <w:ind w:left="574" w:right="0"/>
        <w:jc w:val="left"/>
      </w:pPr>
      <w:r>
        <w:rPr>
          <w:rFonts w:ascii="Times New Roman" w:hAnsi="Times New Roman" w:cs="Times New Roman" w:eastAsia="Times New Roman" w:hint="default"/>
        </w:rPr>
        <w:t>3</w:t>
      </w:r>
      <w:r>
        <w:rPr/>
        <w:t>．本公司的经营范围、业务性质和主要经营活动</w:t>
      </w:r>
      <w:r>
        <w:rPr>
          <w:spacing w:val="-3"/>
          <w:w w:val="100"/>
        </w:rPr>
        <w:t> </w:t>
      </w:r>
      <w:r>
        <w:rPr>
          <w:spacing w:val="-3"/>
        </w:rPr>
        <w:t>公司经营范围为：技术开发、技术咨询、技术转让、技术服务、技术培训；销售开发后的产品、计算</w:t>
      </w:r>
      <w:r>
        <w:rPr/>
      </w:r>
    </w:p>
    <w:p>
      <w:pPr>
        <w:pStyle w:val="BodyText"/>
        <w:spacing w:line="381" w:lineRule="auto" w:before="59"/>
        <w:ind w:left="154" w:right="210" w:hanging="1"/>
        <w:jc w:val="both"/>
      </w:pPr>
      <w:r>
        <w:rPr>
          <w:spacing w:val="-1"/>
        </w:rPr>
        <w:t>机及外围设备；提供信息源服务；网络技术服务；电子商务</w:t>
      </w:r>
      <w:r>
        <w:rPr>
          <w:rFonts w:ascii="Times New Roman" w:hAnsi="Times New Roman" w:cs="Times New Roman" w:eastAsia="Times New Roman" w:hint="default"/>
          <w:spacing w:val="-1"/>
        </w:rPr>
        <w:t>(</w:t>
      </w:r>
      <w:r>
        <w:rPr>
          <w:spacing w:val="-1"/>
        </w:rPr>
        <w:t>未取得专项审批的项目除外</w:t>
      </w:r>
      <w:r>
        <w:rPr>
          <w:rFonts w:ascii="Times New Roman" w:hAnsi="Times New Roman" w:cs="Times New Roman" w:eastAsia="Times New Roman" w:hint="default"/>
          <w:spacing w:val="-1"/>
        </w:rPr>
        <w:t>)</w:t>
      </w:r>
      <w:r>
        <w:rPr>
          <w:spacing w:val="-1"/>
        </w:rPr>
        <w:t>；安装计算机；</w:t>
      </w:r>
      <w:r>
        <w:rPr>
          <w:spacing w:val="-12"/>
        </w:rPr>
        <w:t> </w:t>
      </w:r>
      <w:r>
        <w:rPr>
          <w:spacing w:val="-2"/>
        </w:rPr>
        <w:t>货物进出口、技术进出口、代理进出口；法律、行政法规、国务院决定禁止的，不得经营；法律、行政法</w:t>
      </w:r>
    </w:p>
    <w:p>
      <w:pPr>
        <w:spacing w:after="0" w:line="381" w:lineRule="auto"/>
        <w:jc w:val="both"/>
        <w:sectPr>
          <w:footerReference w:type="default" r:id="rId40"/>
          <w:pgSz w:w="11910" w:h="16840"/>
          <w:pgMar w:footer="979" w:header="850" w:top="1200" w:bottom="1160" w:left="980" w:right="920"/>
          <w:pgNumType w:start="82"/>
        </w:sectPr>
      </w:pPr>
    </w:p>
    <w:p>
      <w:pPr>
        <w:spacing w:line="240" w:lineRule="auto" w:before="11"/>
        <w:rPr>
          <w:rFonts w:ascii="宋体" w:hAnsi="宋体" w:cs="宋体" w:eastAsia="宋体" w:hint="default"/>
          <w:sz w:val="13"/>
          <w:szCs w:val="13"/>
        </w:rPr>
      </w:pPr>
    </w:p>
    <w:p>
      <w:pPr>
        <w:pStyle w:val="BodyText"/>
        <w:spacing w:line="403" w:lineRule="auto" w:before="36"/>
        <w:ind w:right="0"/>
        <w:jc w:val="left"/>
      </w:pPr>
      <w:r>
        <w:rPr>
          <w:spacing w:val="-2"/>
        </w:rPr>
        <w:t>规、国务院决定应经许可的，经审批机关批准并经工商行政管理机关登记注册后方可经营；法律、行政法</w:t>
      </w:r>
      <w:r>
        <w:rPr>
          <w:spacing w:val="-47"/>
        </w:rPr>
        <w:t> </w:t>
      </w:r>
      <w:r>
        <w:rPr>
          <w:spacing w:val="-47"/>
        </w:rPr>
      </w:r>
      <w:r>
        <w:rPr/>
        <w:t>规、国务院决定未规定许可的，自主选择经营项目开展经营活动。</w:t>
      </w:r>
    </w:p>
    <w:p>
      <w:pPr>
        <w:pStyle w:val="BodyText"/>
        <w:spacing w:line="403" w:lineRule="auto" w:before="40"/>
        <w:ind w:right="0" w:firstLine="420"/>
        <w:jc w:val="left"/>
      </w:pPr>
      <w:r>
        <w:rPr>
          <w:spacing w:val="-2"/>
        </w:rPr>
        <w:t>公司属</w:t>
      </w:r>
      <w:bookmarkStart w:name="公司属知识密集型企业，主要从事酒店管理系统集成、软件开发、技术支持与服务，开发的" w:id="36"/>
      <w:bookmarkEnd w:id="36"/>
      <w:r>
        <w:rPr>
          <w:spacing w:val="-2"/>
        </w:rPr>
        <w:t>知</w:t>
      </w:r>
      <w:r>
        <w:rPr>
          <w:spacing w:val="-2"/>
        </w:rPr>
        <w:t>识密集型企业，主要从事酒店管理系统集成、软件开发、技术支持与服务，开发的酒店管理</w:t>
      </w:r>
      <w:r>
        <w:rPr>
          <w:w w:val="100"/>
        </w:rPr>
        <w:t> </w:t>
      </w:r>
      <w:r>
        <w:rPr/>
        <w:t>系统软件目前已在国内大部分五星级酒店中安装使用。</w:t>
      </w:r>
    </w:p>
    <w:p>
      <w:pPr>
        <w:pStyle w:val="BodyText"/>
        <w:spacing w:line="379" w:lineRule="auto" w:before="43"/>
        <w:ind w:left="572" w:right="0"/>
        <w:jc w:val="left"/>
      </w:pPr>
      <w:r>
        <w:rPr>
          <w:rFonts w:ascii="Times New Roman" w:hAnsi="Times New Roman" w:cs="Times New Roman" w:eastAsia="Times New Roman" w:hint="default"/>
        </w:rPr>
        <w:t>4</w:t>
      </w:r>
      <w:r>
        <w:rPr/>
        <w:t>．本公司以及集团最终母公司的名称</w:t>
      </w:r>
      <w:r>
        <w:rPr>
          <w:w w:val="100"/>
        </w:rPr>
        <w:t> </w:t>
      </w:r>
      <w:r>
        <w:rPr>
          <w:spacing w:val="-2"/>
        </w:rPr>
        <w:t>公司母公司为北京中长石基信息技术股份有限公司，北京中长石基信息技术股份有限公司的最终控制</w:t>
      </w:r>
    </w:p>
    <w:p>
      <w:pPr>
        <w:pStyle w:val="BodyText"/>
        <w:spacing w:line="391" w:lineRule="auto" w:before="64"/>
        <w:ind w:left="572" w:right="3780" w:hanging="421"/>
        <w:jc w:val="left"/>
      </w:pPr>
      <w:r>
        <w:rPr/>
        <w:t>人为李仲初先生。</w:t>
      </w:r>
      <w:r>
        <w:rPr>
          <w:w w:val="100"/>
        </w:rPr>
        <w:t> </w:t>
      </w:r>
      <w:r>
        <w:rPr>
          <w:rFonts w:ascii="Times New Roman" w:hAnsi="Times New Roman" w:cs="Times New Roman" w:eastAsia="Times New Roman" w:hint="default"/>
        </w:rPr>
        <w:t>5</w:t>
      </w:r>
      <w:r>
        <w:rPr/>
        <w:t>．财务报告的批准报出者和财务报告批准报出日</w:t>
      </w:r>
      <w:r>
        <w:rPr>
          <w:spacing w:val="-3"/>
          <w:w w:val="100"/>
        </w:rPr>
        <w:t> </w:t>
      </w:r>
      <w:r>
        <w:rPr>
          <w:spacing w:val="-2"/>
        </w:rPr>
        <w:t>本财务报表于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日经公司董事会批准报出。</w:t>
      </w:r>
    </w:p>
    <w:p>
      <w:pPr>
        <w:spacing w:line="240" w:lineRule="auto" w:before="0"/>
        <w:rPr>
          <w:rFonts w:ascii="宋体" w:hAnsi="宋体" w:cs="宋体" w:eastAsia="宋体" w:hint="default"/>
          <w:sz w:val="22"/>
          <w:szCs w:val="22"/>
        </w:rPr>
      </w:pPr>
    </w:p>
    <w:p>
      <w:pPr>
        <w:pStyle w:val="Heading4"/>
        <w:spacing w:line="240" w:lineRule="auto" w:before="196"/>
        <w:ind w:left="575" w:right="0"/>
        <w:jc w:val="left"/>
        <w:rPr>
          <w:b w:val="0"/>
          <w:bCs w:val="0"/>
        </w:rPr>
      </w:pPr>
      <w:r>
        <w:rPr/>
        <w:t>（二）公司重要会计政策、会计估计</w:t>
      </w:r>
      <w:r>
        <w:rPr>
          <w:b w:val="0"/>
          <w:bCs w:val="0"/>
        </w:rPr>
      </w:r>
    </w:p>
    <w:p>
      <w:pPr>
        <w:spacing w:line="240" w:lineRule="auto" w:before="0"/>
        <w:rPr>
          <w:rFonts w:ascii="宋体" w:hAnsi="宋体" w:cs="宋体" w:eastAsia="宋体" w:hint="default"/>
          <w:b/>
          <w:bCs/>
          <w:sz w:val="14"/>
          <w:szCs w:val="14"/>
        </w:rPr>
      </w:pPr>
    </w:p>
    <w:p>
      <w:pPr>
        <w:pStyle w:val="BodyText"/>
        <w:spacing w:line="381" w:lineRule="auto"/>
        <w:ind w:left="572" w:right="0"/>
        <w:jc w:val="left"/>
      </w:pPr>
      <w:r>
        <w:rPr>
          <w:rFonts w:ascii="Times New Roman" w:hAnsi="Times New Roman" w:cs="Times New Roman" w:eastAsia="Times New Roman" w:hint="default"/>
        </w:rPr>
        <w:t>1</w:t>
      </w:r>
      <w:r>
        <w:rPr/>
        <w:t>、财务报表的编制基础</w:t>
      </w:r>
      <w:r>
        <w:rPr>
          <w:w w:val="100"/>
        </w:rPr>
        <w:t> </w:t>
      </w:r>
      <w:r>
        <w:rPr>
          <w:spacing w:val="-3"/>
        </w:rPr>
        <w:t>本公司以持续经营为前提，根据实际发生的交易和事项，按照《企业会计准则</w:t>
      </w:r>
      <w:r>
        <w:rPr>
          <w:rFonts w:ascii="Times New Roman" w:hAnsi="Times New Roman" w:cs="Times New Roman" w:eastAsia="Times New Roman" w:hint="default"/>
          <w:spacing w:val="-3"/>
        </w:rPr>
        <w:t>——</w:t>
      </w:r>
      <w:r>
        <w:rPr>
          <w:spacing w:val="-3"/>
        </w:rPr>
        <w:t>基本准则》和其他</w:t>
      </w:r>
      <w:r>
        <w:rPr/>
      </w:r>
    </w:p>
    <w:p>
      <w:pPr>
        <w:pStyle w:val="BodyText"/>
        <w:spacing w:line="240" w:lineRule="auto" w:before="33"/>
        <w:ind w:right="0"/>
        <w:jc w:val="left"/>
      </w:pPr>
      <w:r>
        <w:rPr/>
        <w:t>各项会计准则的规定进行确认和计量，在此基础上编制财务报表。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381" w:lineRule="auto"/>
        <w:ind w:left="573" w:right="0"/>
        <w:jc w:val="left"/>
      </w:pPr>
      <w:r>
        <w:rPr>
          <w:rFonts w:ascii="Times New Roman" w:hAnsi="Times New Roman" w:cs="Times New Roman" w:eastAsia="Times New Roman" w:hint="default"/>
        </w:rPr>
        <w:t>2</w:t>
      </w:r>
      <w:r>
        <w:rPr/>
        <w:t>、遵循企业会计准则的声明</w:t>
      </w:r>
      <w:r>
        <w:rPr>
          <w:spacing w:val="-3"/>
          <w:w w:val="100"/>
        </w:rPr>
        <w:t> </w:t>
      </w:r>
      <w:r>
        <w:rPr>
          <w:spacing w:val="-2"/>
        </w:rPr>
        <w:t>本公司编制的财务报表符合企业会计准则的要求，真实、完整地反映了公司的财务状况、经营成果、</w:t>
      </w:r>
      <w:r>
        <w:rPr/>
      </w:r>
    </w:p>
    <w:p>
      <w:pPr>
        <w:pStyle w:val="BodyText"/>
        <w:spacing w:line="240" w:lineRule="auto" w:before="59"/>
        <w:ind w:left="153" w:right="0"/>
        <w:jc w:val="left"/>
      </w:pPr>
      <w:r>
        <w:rPr/>
        <w:t>股东权益变动和现金流量等有关信息。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ind w:left="573" w:right="0"/>
        <w:jc w:val="left"/>
      </w:pPr>
      <w:r>
        <w:rPr>
          <w:rFonts w:ascii="Times New Roman" w:hAnsi="Times New Roman" w:cs="Times New Roman" w:eastAsia="Times New Roman" w:hint="default"/>
        </w:rPr>
        <w:t>3</w:t>
      </w:r>
      <w:r>
        <w:rPr/>
        <w:t>、会计期间</w:t>
      </w:r>
    </w:p>
    <w:p>
      <w:pPr>
        <w:pStyle w:val="BodyText"/>
        <w:spacing w:line="240" w:lineRule="auto" w:before="167"/>
        <w:ind w:left="573" w:right="0"/>
        <w:jc w:val="left"/>
      </w:pPr>
      <w:r>
        <w:rPr/>
        <w:t>本公司会计期间为公历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日至</w:t>
      </w:r>
      <w:r>
        <w:rPr>
          <w:spacing w:val="-53"/>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spacing w:val="-3"/>
        </w:rPr>
        <w:t>日。</w:t>
      </w:r>
      <w:r>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379" w:lineRule="auto"/>
        <w:ind w:left="573" w:right="5531"/>
        <w:jc w:val="left"/>
      </w:pPr>
      <w:r>
        <w:rPr>
          <w:rFonts w:ascii="Times New Roman" w:hAnsi="Times New Roman" w:cs="Times New Roman" w:eastAsia="Times New Roman" w:hint="default"/>
        </w:rPr>
        <w:t>4</w:t>
      </w:r>
      <w:r>
        <w:rPr/>
        <w:t>、记账本位币</w:t>
      </w:r>
      <w:r>
        <w:rPr>
          <w:w w:val="100"/>
        </w:rPr>
        <w:t> </w:t>
      </w:r>
      <w:r>
        <w:rPr>
          <w:spacing w:val="-2"/>
        </w:rPr>
        <w:t>本公司以人民币为记账本位币。</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573" w:right="0"/>
        <w:jc w:val="left"/>
      </w:pPr>
      <w:r>
        <w:rPr>
          <w:rFonts w:ascii="Times New Roman" w:hAnsi="Times New Roman" w:cs="Times New Roman" w:eastAsia="Times New Roman" w:hint="default"/>
        </w:rPr>
        <w:t>5</w:t>
      </w:r>
      <w:r>
        <w:rPr/>
        <w:t>、同一控制下和非同一控制下企业合并的会计处理方法</w:t>
      </w:r>
    </w:p>
    <w:p>
      <w:pPr>
        <w:pStyle w:val="BodyText"/>
        <w:spacing w:line="396" w:lineRule="auto" w:before="167"/>
        <w:ind w:left="153" w:right="0" w:firstLine="420"/>
        <w:jc w:val="left"/>
      </w:pPr>
      <w:r>
        <w:rPr/>
        <w:t>（</w:t>
      </w:r>
      <w:r>
        <w:rPr>
          <w:rFonts w:ascii="Times New Roman" w:hAnsi="Times New Roman" w:cs="Times New Roman" w:eastAsia="Times New Roman" w:hint="default"/>
        </w:rPr>
        <w:t>1</w:t>
      </w:r>
      <w:r>
        <w:rPr/>
        <w:t>）本公司报告期内发生同一控制下企业合并的，采用权益结合法进行会计处理。合并方在企业合</w:t>
      </w:r>
      <w:r>
        <w:rPr>
          <w:w w:val="100"/>
        </w:rPr>
        <w:t> </w:t>
      </w:r>
      <w:r>
        <w:rPr>
          <w:spacing w:val="-2"/>
        </w:rPr>
        <w:t>并中取得的资产和负债，按照合并日在被合并方的账面价值计量。合并方取得的净资产账面价值与支付的</w:t>
      </w:r>
      <w:r>
        <w:rPr>
          <w:spacing w:val="-42"/>
        </w:rPr>
        <w:t> </w:t>
      </w:r>
      <w:r>
        <w:rPr>
          <w:spacing w:val="-42"/>
        </w:rPr>
      </w:r>
      <w:r>
        <w:rPr>
          <w:spacing w:val="-5"/>
        </w:rPr>
        <w:t>合并对价账面价值（或发行股份面值总额）的差额，调整资本公积；资本公积不足冲减的，调整留存收益。</w:t>
      </w:r>
      <w:r>
        <w:rPr>
          <w:spacing w:val="-8"/>
        </w:rPr>
        <w:t> </w:t>
      </w:r>
      <w:r>
        <w:rPr>
          <w:spacing w:val="-8"/>
        </w:rPr>
      </w:r>
      <w:r>
        <w:rPr>
          <w:spacing w:val="-2"/>
        </w:rPr>
        <w:t>合并方为进行企业合并发生的各项直接相关费用，包括为进行企业合并而支付的审计费用、评估费用、法</w:t>
      </w:r>
      <w:r>
        <w:rPr>
          <w:spacing w:val="-43"/>
        </w:rPr>
        <w:t> </w:t>
      </w:r>
      <w:r>
        <w:rPr>
          <w:spacing w:val="-43"/>
        </w:rPr>
      </w:r>
      <w:r>
        <w:rPr/>
        <w:t>律服务费用等，于发生时计入当期损益。为企业合并发行的债券或承担其他债务支付的手续费、佣金等，</w:t>
      </w:r>
    </w:p>
    <w:p>
      <w:pPr>
        <w:spacing w:after="0" w:line="396" w:lineRule="auto"/>
        <w:jc w:val="left"/>
        <w:sectPr>
          <w:footerReference w:type="default" r:id="rId41"/>
          <w:pgSz w:w="11910" w:h="16840"/>
          <w:pgMar w:footer="979" w:header="850" w:top="1200" w:bottom="1160" w:left="980" w:right="920"/>
          <w:pgNumType w:start="83"/>
        </w:sectPr>
      </w:pPr>
    </w:p>
    <w:p>
      <w:pPr>
        <w:spacing w:line="240" w:lineRule="auto" w:before="11"/>
        <w:rPr>
          <w:rFonts w:ascii="宋体" w:hAnsi="宋体" w:cs="宋体" w:eastAsia="宋体" w:hint="default"/>
          <w:sz w:val="13"/>
          <w:szCs w:val="13"/>
        </w:rPr>
      </w:pPr>
    </w:p>
    <w:p>
      <w:pPr>
        <w:pStyle w:val="BodyText"/>
        <w:spacing w:line="400" w:lineRule="auto" w:before="36"/>
        <w:ind w:right="206"/>
        <w:jc w:val="both"/>
      </w:pPr>
      <w:r>
        <w:rPr>
          <w:spacing w:val="-2"/>
        </w:rPr>
        <w:t>计入所发行债券及其他债务的初始计量金额。企业合并中发行权益性证券发生的手续费、佣金等费用，抵</w:t>
      </w:r>
      <w:r>
        <w:rPr>
          <w:spacing w:val="-42"/>
        </w:rPr>
        <w:t> </w:t>
      </w:r>
      <w:r>
        <w:rPr>
          <w:spacing w:val="-42"/>
        </w:rPr>
      </w:r>
      <w:r>
        <w:rPr>
          <w:spacing w:val="-2"/>
        </w:rPr>
        <w:t>减权益性证券溢价收入，溢价收入不足冲减的，冲减留存收益。企业合并形成母子公司关系的，母公司应</w:t>
      </w:r>
      <w:r>
        <w:rPr>
          <w:spacing w:val="-50"/>
        </w:rPr>
        <w:t> </w:t>
      </w:r>
      <w:r>
        <w:rPr>
          <w:spacing w:val="-50"/>
        </w:rPr>
      </w:r>
      <w:r>
        <w:rPr/>
        <w:t>当编制合并报表，按照本公司制定的</w:t>
      </w:r>
      <w:r>
        <w:rPr>
          <w:rFonts w:ascii="Times New Roman" w:hAnsi="Times New Roman" w:cs="Times New Roman" w:eastAsia="Times New Roman" w:hint="default"/>
        </w:rPr>
        <w:t>“</w:t>
      </w:r>
      <w:r>
        <w:rPr/>
        <w:t>合并财务报表</w:t>
      </w:r>
      <w:r>
        <w:rPr>
          <w:rFonts w:ascii="Times New Roman" w:hAnsi="Times New Roman" w:cs="Times New Roman" w:eastAsia="Times New Roman" w:hint="default"/>
        </w:rPr>
        <w:t>”</w:t>
      </w:r>
      <w:r>
        <w:rPr/>
        <w:t>会计政策执行。</w:t>
      </w:r>
    </w:p>
    <w:p>
      <w:pPr>
        <w:pStyle w:val="BodyText"/>
        <w:spacing w:line="396" w:lineRule="auto" w:before="14"/>
        <w:ind w:right="0" w:firstLine="420"/>
        <w:jc w:val="left"/>
      </w:pPr>
      <w:r>
        <w:rPr/>
        <w:t>（</w:t>
      </w:r>
      <w:r>
        <w:rPr>
          <w:rFonts w:ascii="Times New Roman" w:hAnsi="Times New Roman" w:cs="Times New Roman" w:eastAsia="Times New Roman" w:hint="default"/>
        </w:rPr>
        <w:t>2</w:t>
      </w:r>
      <w:r>
        <w:rPr/>
        <w:t>）本公司报告期内发生非同一控制下的企业合并的，采用购买法进行会计处理。购买方区别下列</w:t>
      </w:r>
      <w:r>
        <w:rPr>
          <w:w w:val="100"/>
        </w:rPr>
        <w:t> </w:t>
      </w:r>
      <w:r>
        <w:rPr>
          <w:spacing w:val="-2"/>
        </w:rPr>
        <w:t>情况确定合并成本：①一次交换交易实现的企业合并，合并成本为购买方在购买日为取得对被购买方的控</w:t>
      </w:r>
      <w:r>
        <w:rPr>
          <w:spacing w:val="-43"/>
        </w:rPr>
        <w:t> </w:t>
      </w:r>
      <w:r>
        <w:rPr>
          <w:spacing w:val="-43"/>
        </w:rPr>
      </w:r>
      <w:r>
        <w:rPr>
          <w:spacing w:val="-2"/>
        </w:rPr>
        <w:t>制权而付出的资产、发生或承担的负债以及发行的权益性证券的公允价值。②通过多次交换交易分步实现</w:t>
      </w:r>
      <w:r>
        <w:rPr>
          <w:spacing w:val="-43"/>
        </w:rPr>
        <w:t> </w:t>
      </w:r>
      <w:r>
        <w:rPr>
          <w:spacing w:val="-43"/>
        </w:rPr>
      </w:r>
      <w:r>
        <w:rPr>
          <w:spacing w:val="-2"/>
        </w:rPr>
        <w:t>的企业合并，对于购买日之前持有的被购买方的股权，应当区分个别财务报表和合并财务报表进行相关会</w:t>
      </w:r>
      <w:r>
        <w:rPr>
          <w:spacing w:val="-44"/>
        </w:rPr>
        <w:t> </w:t>
      </w:r>
      <w:r>
        <w:rPr>
          <w:spacing w:val="-44"/>
        </w:rPr>
      </w:r>
      <w:r>
        <w:rPr/>
        <w:t>计处理：</w:t>
      </w:r>
    </w:p>
    <w:p>
      <w:pPr>
        <w:pStyle w:val="BodyText"/>
        <w:spacing w:line="393" w:lineRule="auto" w:before="47"/>
        <w:ind w:right="0" w:firstLine="420"/>
        <w:jc w:val="left"/>
      </w:pPr>
      <w:r>
        <w:rPr>
          <w:rFonts w:ascii="Times New Roman" w:hAnsi="Times New Roman" w:cs="Times New Roman" w:eastAsia="Times New Roman" w:hint="default"/>
        </w:rPr>
        <w:t>A</w:t>
      </w:r>
      <w:r>
        <w:rPr/>
        <w:t>、在个别财务报表中，应当以购买日之前所持被购买方的股权投资的账面价值与购买日新增投资成</w:t>
      </w:r>
      <w:r>
        <w:rPr>
          <w:w w:val="100"/>
        </w:rPr>
        <w:t> </w:t>
      </w:r>
      <w:r>
        <w:rPr>
          <w:spacing w:val="-2"/>
        </w:rPr>
        <w:t>本之和，作为该项投资的初始投资成本；购买日之前持有的被购买方的股权涉及其他综合收益的，应当在</w:t>
      </w:r>
      <w:r>
        <w:rPr>
          <w:spacing w:val="-44"/>
        </w:rPr>
        <w:t> </w:t>
      </w:r>
      <w:r>
        <w:rPr>
          <w:spacing w:val="-44"/>
        </w:rPr>
      </w:r>
      <w:r>
        <w:rPr>
          <w:spacing w:val="-5"/>
        </w:rPr>
        <w:t>处置该项投资时将与其相关的其他综合收益（例如，可供出售金融资产公允价值变动计入资本公积的部分，</w:t>
      </w:r>
      <w:r>
        <w:rPr>
          <w:spacing w:val="-4"/>
        </w:rPr>
        <w:t> </w:t>
      </w:r>
      <w:r>
        <w:rPr>
          <w:spacing w:val="-4"/>
        </w:rPr>
      </w:r>
      <w:r>
        <w:rPr/>
        <w:t>下同）转入当期投资收益。</w:t>
      </w:r>
    </w:p>
    <w:p>
      <w:pPr>
        <w:pStyle w:val="BodyText"/>
        <w:spacing w:line="396" w:lineRule="auto" w:before="51"/>
        <w:ind w:right="207" w:firstLine="420"/>
        <w:jc w:val="both"/>
      </w:pPr>
      <w:r>
        <w:rPr>
          <w:rFonts w:ascii="Times New Roman" w:hAnsi="Times New Roman" w:cs="Times New Roman" w:eastAsia="Times New Roman" w:hint="default"/>
          <w:spacing w:val="-2"/>
        </w:rPr>
        <w:t>B</w:t>
      </w:r>
      <w:r>
        <w:rPr>
          <w:spacing w:val="-2"/>
        </w:rPr>
        <w:t>、在合并财务报表中，对于购买日之前持有的被购买方的股权，应当按照该股权在购买日的公允价</w:t>
      </w:r>
      <w:r>
        <w:rPr>
          <w:w w:val="100"/>
        </w:rPr>
        <w:t> </w:t>
      </w:r>
      <w:r>
        <w:rPr>
          <w:spacing w:val="-2"/>
        </w:rPr>
        <w:t>值进行重新计量，公允价值与其账面价值的差额计入当期投资收益；购买日之前持有的被购买方的股权涉</w:t>
      </w:r>
      <w:r>
        <w:rPr>
          <w:spacing w:val="-44"/>
        </w:rPr>
        <w:t> </w:t>
      </w:r>
      <w:r>
        <w:rPr>
          <w:spacing w:val="-44"/>
        </w:rPr>
      </w:r>
      <w:r>
        <w:rPr>
          <w:spacing w:val="-2"/>
        </w:rPr>
        <w:t>及其他综合收益的，与其相关的其他综合收益应当转为购买日所属当期投资收益。购买方应当在附注中披</w:t>
      </w:r>
      <w:r>
        <w:rPr>
          <w:spacing w:val="-42"/>
        </w:rPr>
        <w:t> </w:t>
      </w:r>
      <w:r>
        <w:rPr>
          <w:spacing w:val="-42"/>
        </w:rPr>
      </w:r>
      <w:r>
        <w:rPr>
          <w:spacing w:val="-2"/>
        </w:rPr>
        <w:t>露其在购买日之前持有的被购买方的股权在购买日的公允价值、按照公允价值重新计量产生的相关利得或</w:t>
      </w:r>
      <w:r>
        <w:rPr>
          <w:spacing w:val="-43"/>
        </w:rPr>
        <w:t> </w:t>
      </w:r>
      <w:r>
        <w:rPr>
          <w:spacing w:val="-43"/>
        </w:rPr>
      </w:r>
      <w:r>
        <w:rPr/>
        <w:t>损失的金额。</w:t>
      </w:r>
    </w:p>
    <w:p>
      <w:pPr>
        <w:pStyle w:val="BodyText"/>
        <w:spacing w:line="400" w:lineRule="auto" w:before="47"/>
        <w:ind w:right="207" w:firstLine="419"/>
        <w:jc w:val="both"/>
      </w:pPr>
      <w:r>
        <w:rPr>
          <w:spacing w:val="-2"/>
        </w:rPr>
        <w:t>③购买方为企业合并发生的审计、法律服务、评估咨询等中介费用以及其他相关管理费用，应当于发</w:t>
      </w:r>
      <w:r>
        <w:rPr>
          <w:w w:val="100"/>
        </w:rPr>
        <w:t> </w:t>
      </w:r>
      <w:r>
        <w:rPr>
          <w:spacing w:val="-2"/>
        </w:rPr>
        <w:t>生时计入当期损益；购买方作为合并对价发行的权益性证券或债务性证券的交易费用，应当计入权益性证</w:t>
      </w:r>
      <w:r>
        <w:rPr>
          <w:spacing w:val="-42"/>
        </w:rPr>
        <w:t> </w:t>
      </w:r>
      <w:r>
        <w:rPr>
          <w:spacing w:val="-42"/>
        </w:rPr>
      </w:r>
      <w:r>
        <w:rPr>
          <w:spacing w:val="-2"/>
        </w:rPr>
        <w:t>券或债务性证券的初始确认金额。④在合并合同或协议中对可能影响合并成本的未来事项作出约定的，购</w:t>
      </w:r>
      <w:r>
        <w:rPr>
          <w:spacing w:val="-44"/>
        </w:rPr>
        <w:t> </w:t>
      </w:r>
      <w:r>
        <w:rPr>
          <w:spacing w:val="-44"/>
        </w:rPr>
      </w:r>
      <w:r>
        <w:rPr>
          <w:spacing w:val="-2"/>
        </w:rPr>
        <w:t>买日如果估计未来事项很可能发生并且对合并成本的影响金额能够可靠计量的，购买方应当将其计入合并</w:t>
      </w:r>
      <w:r>
        <w:rPr>
          <w:spacing w:val="-43"/>
        </w:rPr>
        <w:t> </w:t>
      </w:r>
      <w:r>
        <w:rPr>
          <w:spacing w:val="-43"/>
        </w:rPr>
      </w:r>
      <w:r>
        <w:rPr/>
        <w:t>成本。</w:t>
      </w:r>
    </w:p>
    <w:p>
      <w:pPr>
        <w:pStyle w:val="BodyText"/>
        <w:spacing w:line="400" w:lineRule="auto" w:before="45"/>
        <w:ind w:right="207" w:firstLine="420"/>
        <w:jc w:val="both"/>
      </w:pPr>
      <w:r>
        <w:rPr>
          <w:spacing w:val="-2"/>
        </w:rPr>
        <w:t>购买方在购买日对作为企业合并对价付出的资产、发生或承担的负债按照公允价值计量，公允价值与</w:t>
      </w:r>
      <w:r>
        <w:rPr>
          <w:w w:val="100"/>
        </w:rPr>
        <w:t> </w:t>
      </w:r>
      <w:r>
        <w:rPr/>
        <w:t>其账面价值的差额，计入当期损益。</w:t>
      </w:r>
    </w:p>
    <w:p>
      <w:pPr>
        <w:pStyle w:val="BodyText"/>
        <w:spacing w:line="400" w:lineRule="auto" w:before="45"/>
        <w:ind w:right="207" w:firstLine="420"/>
        <w:jc w:val="both"/>
      </w:pPr>
      <w:r>
        <w:rPr>
          <w:spacing w:val="-2"/>
        </w:rPr>
        <w:t>购买方在购买日应当对合并成本进行分配，按照规定确认所取得的被购买方各项可辨认资产、负债及</w:t>
      </w:r>
      <w:r>
        <w:rPr>
          <w:w w:val="100"/>
        </w:rPr>
        <w:t> </w:t>
      </w:r>
      <w:r>
        <w:rPr>
          <w:spacing w:val="-2"/>
        </w:rPr>
        <w:t>或有负债。①购买方对合并成本大于合并中取得的被购买方可辨认净资产公允价值份额的差额，确认为商</w:t>
      </w:r>
      <w:r>
        <w:rPr>
          <w:spacing w:val="-42"/>
        </w:rPr>
        <w:t> </w:t>
      </w:r>
      <w:r>
        <w:rPr>
          <w:spacing w:val="-42"/>
        </w:rPr>
      </w:r>
      <w:r>
        <w:rPr>
          <w:spacing w:val="-2"/>
        </w:rPr>
        <w:t>誉。②购买方对合并成本小于合并中取得的被购买方可辨认净资产公允价值份额的差额，则对取得的被购</w:t>
      </w:r>
      <w:r>
        <w:rPr>
          <w:spacing w:val="-44"/>
        </w:rPr>
        <w:t> </w:t>
      </w:r>
      <w:r>
        <w:rPr>
          <w:spacing w:val="-44"/>
        </w:rPr>
      </w:r>
      <w:r>
        <w:rPr>
          <w:spacing w:val="-2"/>
        </w:rPr>
        <w:t>买方各项可辨认资产、负债及或有负债的公允价值以及合并成本的计量进行复核；经复核后合并成本仍小</w:t>
      </w:r>
      <w:r>
        <w:rPr>
          <w:spacing w:val="-43"/>
        </w:rPr>
        <w:t> </w:t>
      </w:r>
      <w:r>
        <w:rPr>
          <w:spacing w:val="-43"/>
        </w:rPr>
      </w:r>
      <w:r>
        <w:rPr/>
        <w:t>于合并中取得的被购买方可辨认净资产公允价值份额的，其差额计入当期损益。</w:t>
      </w:r>
    </w:p>
    <w:p>
      <w:pPr>
        <w:pStyle w:val="BodyText"/>
        <w:spacing w:line="403" w:lineRule="auto" w:before="42"/>
        <w:ind w:right="185" w:firstLine="420"/>
        <w:jc w:val="both"/>
      </w:pPr>
      <w:r>
        <w:rPr>
          <w:spacing w:val="-2"/>
        </w:rPr>
        <w:t>企业合并形成母子公司关系的，母公司设置备查簿，记录企业合并中取得的子公司各项可辨认资产、</w:t>
      </w:r>
      <w:r>
        <w:rPr>
          <w:w w:val="100"/>
        </w:rPr>
        <w:t> </w:t>
      </w:r>
      <w:r>
        <w:rPr>
          <w:spacing w:val="-2"/>
        </w:rPr>
        <w:t>负债及或有负债等在购买日的公允价值。编制合并财务报表时，应当以购买日确定的各项可辨认资产、负</w:t>
      </w:r>
    </w:p>
    <w:p>
      <w:pPr>
        <w:spacing w:after="0" w:line="403" w:lineRule="auto"/>
        <w:jc w:val="both"/>
        <w:sectPr>
          <w:footerReference w:type="default" r:id="rId42"/>
          <w:pgSz w:w="11910" w:h="16840"/>
          <w:pgMar w:footer="979" w:header="850" w:top="1200" w:bottom="1160" w:left="980" w:right="920"/>
          <w:pgNumType w:start="84"/>
        </w:sectPr>
      </w:pPr>
    </w:p>
    <w:p>
      <w:pPr>
        <w:spacing w:line="240" w:lineRule="auto" w:before="11"/>
        <w:rPr>
          <w:rFonts w:ascii="宋体" w:hAnsi="宋体" w:cs="宋体" w:eastAsia="宋体" w:hint="default"/>
          <w:sz w:val="13"/>
          <w:szCs w:val="13"/>
        </w:rPr>
      </w:pPr>
    </w:p>
    <w:p>
      <w:pPr>
        <w:pStyle w:val="BodyText"/>
        <w:spacing w:line="381" w:lineRule="auto" w:before="36"/>
        <w:ind w:right="0"/>
        <w:jc w:val="left"/>
      </w:pPr>
      <w:r>
        <w:rPr>
          <w:spacing w:val="-2"/>
        </w:rPr>
        <w:t>债及或有负债的公允价值为基础对子公司的财务报表进行调整，按照本公司制定的</w:t>
      </w:r>
      <w:r>
        <w:rPr>
          <w:rFonts w:ascii="Times New Roman" w:hAnsi="Times New Roman" w:cs="Times New Roman" w:eastAsia="Times New Roman" w:hint="default"/>
          <w:spacing w:val="-2"/>
        </w:rPr>
        <w:t>“</w:t>
      </w:r>
      <w:r>
        <w:rPr>
          <w:spacing w:val="-2"/>
        </w:rPr>
        <w:t>合并财务报表</w:t>
      </w:r>
      <w:r>
        <w:rPr>
          <w:rFonts w:ascii="Times New Roman" w:hAnsi="Times New Roman" w:cs="Times New Roman" w:eastAsia="Times New Roman" w:hint="default"/>
          <w:spacing w:val="-2"/>
        </w:rPr>
        <w:t>”</w:t>
      </w:r>
      <w:r>
        <w:rPr>
          <w:spacing w:val="-2"/>
        </w:rPr>
        <w:t>会计政</w:t>
      </w:r>
      <w:r>
        <w:rPr>
          <w:spacing w:val="-20"/>
        </w:rPr>
        <w:t> </w:t>
      </w:r>
      <w:r>
        <w:rPr>
          <w:spacing w:val="-20"/>
        </w:rPr>
      </w:r>
      <w:r>
        <w:rPr/>
        <w:t>策执行。</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572" w:right="3480"/>
        <w:jc w:val="left"/>
      </w:pPr>
      <w:r>
        <w:rPr>
          <w:rFonts w:ascii="Times New Roman" w:hAnsi="Times New Roman" w:cs="Times New Roman" w:eastAsia="Times New Roman" w:hint="default"/>
        </w:rPr>
        <w:t>6</w:t>
      </w:r>
      <w:r>
        <w:rPr/>
        <w:t>、合并财务报表的编制方法</w:t>
      </w:r>
    </w:p>
    <w:p>
      <w:pPr>
        <w:pStyle w:val="BodyText"/>
        <w:spacing w:line="379" w:lineRule="auto" w:before="170"/>
        <w:ind w:left="572" w:right="3480"/>
        <w:jc w:val="left"/>
      </w:pPr>
      <w:r>
        <w:rPr/>
        <w:t>（</w:t>
      </w:r>
      <w:r>
        <w:rPr>
          <w:rFonts w:ascii="Times New Roman" w:hAnsi="Times New Roman" w:cs="Times New Roman" w:eastAsia="Times New Roman" w:hint="default"/>
        </w:rPr>
        <w:t>1</w:t>
      </w:r>
      <w:r>
        <w:rPr/>
        <w:t>）合并范围</w:t>
      </w:r>
      <w:r>
        <w:rPr>
          <w:w w:val="100"/>
        </w:rPr>
        <w:t> </w:t>
      </w:r>
      <w:r>
        <w:rPr>
          <w:spacing w:val="-2"/>
        </w:rPr>
        <w:t>本公司合并财务报表的合并范围以控制为基础予以确定。</w:t>
      </w:r>
    </w:p>
    <w:p>
      <w:pPr>
        <w:pStyle w:val="BodyText"/>
        <w:spacing w:line="400" w:lineRule="auto" w:before="64"/>
        <w:ind w:right="125" w:firstLine="420"/>
        <w:jc w:val="both"/>
      </w:pPr>
      <w:r>
        <w:rPr>
          <w:spacing w:val="-2"/>
        </w:rPr>
        <w:t>母公司直接或通过子公司间接拥有被投资单位半数以上的表决权，表明母公司能够控制被投资单位，</w:t>
      </w:r>
      <w:r>
        <w:rPr>
          <w:w w:val="100"/>
        </w:rPr>
        <w:t> </w:t>
      </w:r>
      <w:r>
        <w:rPr>
          <w:spacing w:val="-2"/>
        </w:rPr>
        <w:t>将该被投资单位认定为子公司，纳入合并财务报表的合并范围；母公司拥有被投资单位半数或以下的表决</w:t>
      </w:r>
      <w:r>
        <w:rPr>
          <w:spacing w:val="-43"/>
        </w:rPr>
        <w:t> </w:t>
      </w:r>
      <w:r>
        <w:rPr>
          <w:spacing w:val="-43"/>
        </w:rPr>
      </w:r>
      <w:r>
        <w:rPr>
          <w:spacing w:val="-3"/>
        </w:rPr>
        <w:t>权，满足下列条件之一的，视为母公司能够控制被投资单位，将该被投资单位认定为子公司，纳入合并财</w:t>
      </w:r>
      <w:r>
        <w:rPr>
          <w:spacing w:val="-6"/>
        </w:rPr>
        <w:t> </w:t>
      </w:r>
      <w:r>
        <w:rPr>
          <w:spacing w:val="-6"/>
        </w:rPr>
      </w:r>
      <w:r>
        <w:rPr/>
        <w:t>务报表的合并范围：</w:t>
      </w:r>
    </w:p>
    <w:p>
      <w:pPr>
        <w:pStyle w:val="BodyText"/>
        <w:spacing w:line="379" w:lineRule="auto" w:before="45"/>
        <w:ind w:left="572" w:right="0"/>
        <w:jc w:val="left"/>
      </w:pPr>
      <w:r>
        <w:rPr>
          <w:rFonts w:ascii="Times New Roman" w:hAnsi="Times New Roman" w:cs="Times New Roman" w:eastAsia="Times New Roman" w:hint="default"/>
          <w:spacing w:val="-2"/>
        </w:rPr>
        <w:t>A</w:t>
      </w:r>
      <w:r>
        <w:rPr>
          <w:spacing w:val="-2"/>
        </w:rPr>
        <w:t>、通过与被投资单位其他投资者之间的协议，拥有被投资单位半数以上的表决权；</w:t>
      </w:r>
      <w:r>
        <w:rPr>
          <w:spacing w:val="-37"/>
        </w:rPr>
        <w:t> </w:t>
      </w:r>
      <w:r>
        <w:rPr>
          <w:spacing w:val="-37"/>
        </w:rPr>
      </w:r>
      <w:r>
        <w:rPr>
          <w:rFonts w:ascii="Times New Roman" w:hAnsi="Times New Roman" w:cs="Times New Roman" w:eastAsia="Times New Roman" w:hint="default"/>
        </w:rPr>
        <w:t>B</w:t>
      </w:r>
      <w:r>
        <w:rPr/>
        <w:t>、根据公司章程或协议，有权决定被投资单位的财务和经营政策；</w:t>
      </w:r>
      <w:r>
        <w:rPr>
          <w:w w:val="100"/>
        </w:rPr>
        <w:t> </w:t>
      </w:r>
      <w:r>
        <w:rPr>
          <w:rFonts w:ascii="Times New Roman" w:hAnsi="Times New Roman" w:cs="Times New Roman" w:eastAsia="Times New Roman" w:hint="default"/>
        </w:rPr>
        <w:t>C</w:t>
      </w:r>
      <w:r>
        <w:rPr/>
        <w:t>、有权任免被投资单位的董事会或类似机构的多数成员；</w:t>
      </w:r>
      <w:r>
        <w:rPr>
          <w:w w:val="100"/>
        </w:rPr>
        <w:t> </w:t>
      </w:r>
      <w:r>
        <w:rPr>
          <w:rFonts w:ascii="Times New Roman" w:hAnsi="Times New Roman" w:cs="Times New Roman" w:eastAsia="Times New Roman" w:hint="default"/>
        </w:rPr>
        <w:t>D</w:t>
      </w:r>
      <w:r>
        <w:rPr/>
        <w:t>、在被投资单位的董事会或类似机构占多数表决权。</w:t>
      </w:r>
      <w:r>
        <w:rPr>
          <w:w w:val="100"/>
        </w:rPr>
        <w:t> </w:t>
      </w:r>
      <w:r>
        <w:rPr/>
        <w:t>有证据表明母公司不能控制被投资单位，不纳入合并财务报表的合并范围。</w:t>
      </w:r>
    </w:p>
    <w:p>
      <w:pPr>
        <w:pStyle w:val="BodyText"/>
        <w:spacing w:line="381" w:lineRule="auto" w:before="64"/>
        <w:ind w:left="572" w:right="0"/>
        <w:jc w:val="left"/>
      </w:pPr>
      <w:r>
        <w:rPr/>
        <w:t>（</w:t>
      </w:r>
      <w:r>
        <w:rPr>
          <w:rFonts w:ascii="Times New Roman" w:hAnsi="Times New Roman" w:cs="Times New Roman" w:eastAsia="Times New Roman" w:hint="default"/>
        </w:rPr>
        <w:t>2</w:t>
      </w:r>
      <w:r>
        <w:rPr/>
        <w:t>）合并财务报表编制方法</w:t>
      </w:r>
      <w:r>
        <w:rPr>
          <w:spacing w:val="-3"/>
          <w:w w:val="100"/>
        </w:rPr>
        <w:t> </w:t>
      </w:r>
      <w:r>
        <w:rPr>
          <w:spacing w:val="-2"/>
        </w:rPr>
        <w:t>本公司合并财务报表以纳入合并范围的各子公司的个别财务报表为基础，根据其他相关资料，按照权</w:t>
      </w:r>
    </w:p>
    <w:p>
      <w:pPr>
        <w:pStyle w:val="BodyText"/>
        <w:spacing w:line="403" w:lineRule="auto" w:before="59"/>
        <w:ind w:right="0"/>
        <w:jc w:val="left"/>
      </w:pPr>
      <w:r>
        <w:rPr>
          <w:spacing w:val="-2"/>
        </w:rPr>
        <w:t>益法调整对子公司的长期股权投资后，抵消母公司与子公司、子公司与子公司之间发生内部交易对合并报</w:t>
      </w:r>
      <w:r>
        <w:rPr>
          <w:spacing w:val="-43"/>
        </w:rPr>
        <w:t> </w:t>
      </w:r>
      <w:r>
        <w:rPr>
          <w:spacing w:val="-43"/>
        </w:rPr>
      </w:r>
      <w:r>
        <w:rPr/>
        <w:t>表的影响编制。</w:t>
      </w:r>
    </w:p>
    <w:p>
      <w:pPr>
        <w:pStyle w:val="BodyText"/>
        <w:spacing w:line="379" w:lineRule="auto" w:before="43"/>
        <w:ind w:left="572" w:right="0"/>
        <w:jc w:val="left"/>
      </w:pPr>
      <w:r>
        <w:rPr/>
        <w:t>（</w:t>
      </w:r>
      <w:r>
        <w:rPr>
          <w:rFonts w:ascii="Times New Roman" w:hAnsi="Times New Roman" w:cs="Times New Roman" w:eastAsia="Times New Roman" w:hint="default"/>
        </w:rPr>
        <w:t>3</w:t>
      </w:r>
      <w:r>
        <w:rPr/>
        <w:t>）少数股东权益和损益的列报</w:t>
      </w:r>
      <w:r>
        <w:rPr>
          <w:w w:val="100"/>
        </w:rPr>
        <w:t> </w:t>
      </w:r>
      <w:r>
        <w:rPr>
          <w:spacing w:val="-2"/>
        </w:rPr>
        <w:t>子公司所有者权益中不属于母公司的份额，作为少数股东权益，在合并资产负债表中所有者权益项目</w:t>
      </w:r>
    </w:p>
    <w:p>
      <w:pPr>
        <w:pStyle w:val="BodyText"/>
        <w:spacing w:line="381" w:lineRule="auto" w:before="64"/>
        <w:ind w:left="572" w:right="0" w:hanging="420"/>
        <w:jc w:val="left"/>
      </w:pPr>
      <w:r>
        <w:rPr/>
        <w:t>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w:t>
      </w:r>
      <w:r>
        <w:rPr>
          <w:w w:val="100"/>
        </w:rPr>
        <w:t> </w:t>
      </w:r>
      <w:r>
        <w:rPr>
          <w:spacing w:val="-2"/>
        </w:rPr>
        <w:t>子公司当期净损益中属于少数股东权益的份额，在合并利润表中净利润项目下以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w:t>
      </w:r>
    </w:p>
    <w:p>
      <w:pPr>
        <w:pStyle w:val="BodyText"/>
        <w:spacing w:line="240" w:lineRule="auto" w:before="30"/>
        <w:ind w:right="3480"/>
        <w:jc w:val="left"/>
      </w:pPr>
      <w:r>
        <w:rPr/>
        <w:t>列示。</w:t>
      </w:r>
    </w:p>
    <w:p>
      <w:pPr>
        <w:spacing w:line="240" w:lineRule="auto" w:before="3"/>
        <w:rPr>
          <w:rFonts w:ascii="宋体" w:hAnsi="宋体" w:cs="宋体" w:eastAsia="宋体" w:hint="default"/>
          <w:sz w:val="14"/>
          <w:szCs w:val="14"/>
        </w:rPr>
      </w:pPr>
    </w:p>
    <w:p>
      <w:pPr>
        <w:pStyle w:val="BodyText"/>
        <w:spacing w:line="381" w:lineRule="auto"/>
        <w:ind w:left="572" w:right="0"/>
        <w:jc w:val="left"/>
      </w:pPr>
      <w:r>
        <w:rPr/>
        <w:t>（</w:t>
      </w:r>
      <w:r>
        <w:rPr>
          <w:rFonts w:ascii="Times New Roman" w:hAnsi="Times New Roman" w:cs="Times New Roman" w:eastAsia="Times New Roman" w:hint="default"/>
        </w:rPr>
        <w:t>4</w:t>
      </w:r>
      <w:r>
        <w:rPr/>
        <w:t>）超额亏损的处理</w:t>
      </w:r>
      <w:r>
        <w:rPr>
          <w:spacing w:val="-3"/>
          <w:w w:val="100"/>
        </w:rPr>
        <w:t> </w:t>
      </w:r>
      <w:r>
        <w:rPr>
          <w:spacing w:val="-2"/>
        </w:rPr>
        <w:t>在合并财务报表中，子公司少数股东分担的当期亏损超过了少数股东在该子公司期初所有者权益中所</w:t>
      </w:r>
    </w:p>
    <w:p>
      <w:pPr>
        <w:pStyle w:val="BodyText"/>
        <w:spacing w:line="240" w:lineRule="auto" w:before="59"/>
        <w:ind w:right="3480"/>
        <w:jc w:val="left"/>
      </w:pPr>
      <w:r>
        <w:rPr/>
        <w:t>享有的份额的，其余额仍应当冲减少数股东权益。</w:t>
      </w:r>
    </w:p>
    <w:p>
      <w:pPr>
        <w:spacing w:line="240" w:lineRule="auto" w:before="3"/>
        <w:rPr>
          <w:rFonts w:ascii="宋体" w:hAnsi="宋体" w:cs="宋体" w:eastAsia="宋体" w:hint="default"/>
          <w:sz w:val="14"/>
          <w:szCs w:val="14"/>
        </w:rPr>
      </w:pPr>
    </w:p>
    <w:p>
      <w:pPr>
        <w:pStyle w:val="BodyText"/>
        <w:spacing w:line="381" w:lineRule="auto"/>
        <w:ind w:left="572" w:right="0"/>
        <w:jc w:val="left"/>
      </w:pPr>
      <w:r>
        <w:rPr/>
        <w:t>（</w:t>
      </w:r>
      <w:r>
        <w:rPr>
          <w:rFonts w:ascii="Times New Roman" w:hAnsi="Times New Roman" w:cs="Times New Roman" w:eastAsia="Times New Roman" w:hint="default"/>
        </w:rPr>
        <w:t>5</w:t>
      </w:r>
      <w:r>
        <w:rPr/>
        <w:t>）当期增加减少子公司的合并报表处理</w:t>
      </w:r>
      <w:r>
        <w:rPr>
          <w:w w:val="100"/>
        </w:rPr>
        <w:t> </w:t>
      </w:r>
      <w:r>
        <w:rPr>
          <w:spacing w:val="-2"/>
        </w:rPr>
        <w:t>在报告期内，因同一控制下企业合并增加的子公司，编制合并资产负债表时，调整合并资产负债表的</w:t>
      </w:r>
    </w:p>
    <w:p>
      <w:pPr>
        <w:pStyle w:val="BodyText"/>
        <w:spacing w:line="403" w:lineRule="auto" w:before="59"/>
        <w:ind w:left="151" w:right="0"/>
        <w:jc w:val="left"/>
      </w:pPr>
      <w:r>
        <w:rPr>
          <w:spacing w:val="-2"/>
        </w:rPr>
        <w:t>年初余额。因非同一控制下企业合并增加的子公司，编制合并资产负债表时，不调整合并资产负债表的年</w:t>
      </w:r>
      <w:r>
        <w:rPr>
          <w:spacing w:val="-48"/>
        </w:rPr>
        <w:t> </w:t>
      </w:r>
      <w:r>
        <w:rPr>
          <w:spacing w:val="-48"/>
        </w:rPr>
      </w:r>
      <w:r>
        <w:rPr/>
        <w:t>初余额。在报告期内处置子公司，编制合并资产负债表时，不调整合并资产负债表的年初余额。</w:t>
      </w:r>
    </w:p>
    <w:p>
      <w:pPr>
        <w:spacing w:after="0" w:line="403" w:lineRule="auto"/>
        <w:jc w:val="left"/>
        <w:sectPr>
          <w:footerReference w:type="default" r:id="rId43"/>
          <w:pgSz w:w="11910" w:h="16840"/>
          <w:pgMar w:footer="979" w:header="850" w:top="1200" w:bottom="1160" w:left="980" w:right="980"/>
          <w:pgNumType w:start="85"/>
        </w:sectPr>
      </w:pPr>
    </w:p>
    <w:p>
      <w:pPr>
        <w:spacing w:line="240" w:lineRule="auto" w:before="11"/>
        <w:rPr>
          <w:rFonts w:ascii="宋体" w:hAnsi="宋体" w:cs="宋体" w:eastAsia="宋体" w:hint="default"/>
          <w:sz w:val="13"/>
          <w:szCs w:val="13"/>
        </w:rPr>
      </w:pPr>
    </w:p>
    <w:p>
      <w:pPr>
        <w:pStyle w:val="BodyText"/>
        <w:spacing w:line="400" w:lineRule="auto" w:before="36"/>
        <w:ind w:right="0" w:firstLine="420"/>
        <w:jc w:val="left"/>
      </w:pPr>
      <w:r>
        <w:rPr>
          <w:spacing w:val="-5"/>
        </w:rPr>
        <w:t>在报告期内，因同一控制下企业合并增加的子公司，将该子公司在合并当期的期初至报告期末的收入、</w:t>
      </w:r>
      <w:r>
        <w:rPr>
          <w:spacing w:val="-3"/>
          <w:w w:val="100"/>
        </w:rPr>
        <w:t> </w:t>
      </w:r>
      <w:r>
        <w:rPr>
          <w:spacing w:val="-2"/>
        </w:rPr>
        <w:t>费用、利润纳入合并利润表。因非同一控制下企业合并增加的子公司，将该子公司自购买日至报告期末的</w:t>
      </w:r>
      <w:r>
        <w:rPr>
          <w:spacing w:val="-43"/>
        </w:rPr>
        <w:t> </w:t>
      </w:r>
      <w:r>
        <w:rPr>
          <w:spacing w:val="-43"/>
        </w:rPr>
      </w:r>
      <w:r>
        <w:rPr>
          <w:spacing w:val="-2"/>
        </w:rPr>
        <w:t>收入、费用、利润纳入合并利润表。在报告期内处置子公司，将该子公司期初至处置日的收入、费用、利</w:t>
      </w:r>
      <w:r>
        <w:rPr>
          <w:spacing w:val="-46"/>
        </w:rPr>
        <w:t> </w:t>
      </w:r>
      <w:r>
        <w:rPr>
          <w:spacing w:val="-46"/>
        </w:rPr>
      </w:r>
      <w:r>
        <w:rPr/>
        <w:t>润纳入合并利润表。</w:t>
      </w:r>
    </w:p>
    <w:p>
      <w:pPr>
        <w:pStyle w:val="BodyText"/>
        <w:spacing w:line="400" w:lineRule="auto" w:before="45"/>
        <w:ind w:right="103" w:firstLine="420"/>
        <w:jc w:val="both"/>
      </w:pPr>
      <w:r>
        <w:rPr/>
        <w:t>在报告期内，因同一控制下企业合并增加的子公司，将该子公司合并当期期初至报告期末的现金流量</w:t>
      </w:r>
      <w:r>
        <w:rPr>
          <w:w w:val="100"/>
        </w:rPr>
        <w:t> </w:t>
      </w:r>
      <w:r>
        <w:rPr>
          <w:spacing w:val="-2"/>
        </w:rPr>
        <w:t>纳入合并现金流量表。因非同一控制下企业合并增加的子公司，将该子公司购买日至报告期末的现金流量</w:t>
      </w:r>
      <w:r>
        <w:rPr>
          <w:spacing w:val="-44"/>
        </w:rPr>
        <w:t> </w:t>
      </w:r>
      <w:r>
        <w:rPr>
          <w:spacing w:val="-44"/>
        </w:rPr>
      </w:r>
      <w:r>
        <w:rPr>
          <w:spacing w:val="-5"/>
        </w:rPr>
        <w:t>纳入合并现金流量表。在报告期内处置子公司，将该子公司期初至处置日的现金流量纳入合并现金流量表。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81" w:lineRule="auto"/>
        <w:ind w:left="572" w:right="0"/>
        <w:jc w:val="left"/>
      </w:pPr>
      <w:r>
        <w:rPr>
          <w:rFonts w:ascii="Times New Roman" w:hAnsi="Times New Roman" w:cs="Times New Roman" w:eastAsia="Times New Roman" w:hint="default"/>
        </w:rPr>
        <w:t>7</w:t>
      </w:r>
      <w:r>
        <w:rPr/>
        <w:t>、现金及现金等价物的确定标准</w:t>
      </w:r>
      <w:r>
        <w:rPr>
          <w:w w:val="100"/>
        </w:rPr>
        <w:t> </w:t>
      </w:r>
      <w:r>
        <w:rPr>
          <w:spacing w:val="-2"/>
        </w:rPr>
        <w:t>现金及现金等价物是指企业持有的期限短（一般指从购买日起三个月内到期）、流动性强、易于转换</w:t>
      </w:r>
    </w:p>
    <w:p>
      <w:pPr>
        <w:pStyle w:val="BodyText"/>
        <w:spacing w:line="240" w:lineRule="auto" w:before="62"/>
        <w:ind w:right="0"/>
        <w:jc w:val="both"/>
      </w:pPr>
      <w:r>
        <w:rPr/>
        <w:t>为已知金额现金、价值变动风险很小的投资。</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381" w:lineRule="auto"/>
        <w:ind w:left="572" w:right="2494"/>
        <w:jc w:val="left"/>
      </w:pPr>
      <w:r>
        <w:rPr>
          <w:rFonts w:ascii="Times New Roman" w:hAnsi="Times New Roman" w:cs="Times New Roman" w:eastAsia="Times New Roman" w:hint="default"/>
        </w:rPr>
        <w:t>8</w:t>
      </w:r>
      <w:r>
        <w:rPr/>
        <w:t>、</w:t>
      </w:r>
      <w:r>
        <w:rPr>
          <w:spacing w:val="-1"/>
        </w:rPr>
        <w:t> </w:t>
      </w:r>
      <w:r>
        <w:rPr/>
        <w:t>外币业务核算方法</w:t>
      </w:r>
      <w:r>
        <w:rPr>
          <w:spacing w:val="-3"/>
          <w:w w:val="100"/>
        </w:rPr>
        <w:t> </w:t>
      </w:r>
      <w:r>
        <w:rPr>
          <w:spacing w:val="-2"/>
        </w:rPr>
        <w:t>本公司外币交易均按交易发生日的即期汇率折算为记账本位币。</w:t>
      </w:r>
    </w:p>
    <w:p>
      <w:pPr>
        <w:pStyle w:val="BodyText"/>
        <w:spacing w:line="381" w:lineRule="auto" w:before="59"/>
        <w:ind w:left="572" w:right="0"/>
        <w:jc w:val="left"/>
      </w:pPr>
      <w:r>
        <w:rPr/>
        <w:t>（</w:t>
      </w:r>
      <w:r>
        <w:rPr>
          <w:rFonts w:ascii="Times New Roman" w:hAnsi="Times New Roman" w:cs="Times New Roman" w:eastAsia="Times New Roman" w:hint="default"/>
        </w:rPr>
        <w:t>1</w:t>
      </w:r>
      <w:r>
        <w:rPr/>
        <w:t>）汇兑差额的处理</w:t>
      </w:r>
      <w:r>
        <w:rPr>
          <w:spacing w:val="-3"/>
          <w:w w:val="100"/>
        </w:rPr>
        <w:t> </w:t>
      </w:r>
      <w:r>
        <w:rPr>
          <w:spacing w:val="-2"/>
        </w:rPr>
        <w:t>在资产负债表日，按照下列规定对外币货币性项目和外币非货币性项目进行处理：外币货币性项目，</w:t>
      </w:r>
    </w:p>
    <w:p>
      <w:pPr>
        <w:pStyle w:val="BodyText"/>
        <w:spacing w:line="400" w:lineRule="auto" w:before="62"/>
        <w:ind w:right="189"/>
        <w:jc w:val="both"/>
      </w:pPr>
      <w:r>
        <w:rPr>
          <w:spacing w:val="-2"/>
        </w:rPr>
        <w:t>采用资产负债表日即期汇率折算。因资产负债表日即期汇率与初始确认时或前一资产负债表日即期汇率不</w:t>
      </w:r>
      <w:r>
        <w:rPr>
          <w:spacing w:val="-43"/>
        </w:rPr>
        <w:t> </w:t>
      </w:r>
      <w:r>
        <w:rPr>
          <w:spacing w:val="-43"/>
        </w:rPr>
      </w:r>
      <w:r>
        <w:rPr>
          <w:spacing w:val="-2"/>
        </w:rPr>
        <w:t>同而产生的汇兑差额，计入当期损益；以历史成本计量的外币非货币性项目，仍采用交易发生日的即期汇</w:t>
      </w:r>
      <w:r>
        <w:rPr>
          <w:spacing w:val="-44"/>
        </w:rPr>
        <w:t> </w:t>
      </w:r>
      <w:r>
        <w:rPr>
          <w:spacing w:val="-44"/>
        </w:rPr>
      </w:r>
      <w:r>
        <w:rPr>
          <w:spacing w:val="-2"/>
        </w:rPr>
        <w:t>率折算，不改变其记账本位币金额；以公允价值计量的外币非货币性项目，采用公允价值确定日的即期汇</w:t>
      </w:r>
      <w:r>
        <w:rPr>
          <w:spacing w:val="-43"/>
        </w:rPr>
        <w:t> </w:t>
      </w:r>
      <w:r>
        <w:rPr>
          <w:spacing w:val="-43"/>
        </w:rPr>
      </w:r>
      <w:r>
        <w:rPr>
          <w:spacing w:val="-2"/>
        </w:rPr>
        <w:t>率折算，折算后的记账本位币金额与原记账本位币金额的差额，作为公允价值变动（含汇率变动）处理，</w:t>
      </w:r>
      <w:r>
        <w:rPr>
          <w:spacing w:val="-26"/>
        </w:rPr>
        <w:t> </w:t>
      </w:r>
      <w:r>
        <w:rPr>
          <w:spacing w:val="-26"/>
        </w:rPr>
      </w:r>
      <w:r>
        <w:rPr>
          <w:spacing w:val="-3"/>
        </w:rPr>
        <w:t>计入当期损益；在资本化期间内，外币专门借款本金及利息的汇兑差额，予以资本化，计入符合资本化条</w:t>
      </w:r>
      <w:r>
        <w:rPr>
          <w:spacing w:val="-5"/>
        </w:rPr>
        <w:t> </w:t>
      </w:r>
      <w:r>
        <w:rPr>
          <w:spacing w:val="-5"/>
        </w:rPr>
      </w:r>
      <w:r>
        <w:rPr/>
        <w:t>件的资产的成本。</w:t>
      </w:r>
    </w:p>
    <w:p>
      <w:pPr>
        <w:pStyle w:val="BodyText"/>
        <w:spacing w:line="379" w:lineRule="auto" w:before="45"/>
        <w:ind w:left="572" w:right="0"/>
        <w:jc w:val="left"/>
      </w:pPr>
      <w:r>
        <w:rPr/>
        <w:t>（</w:t>
      </w:r>
      <w:r>
        <w:rPr>
          <w:rFonts w:ascii="Times New Roman" w:hAnsi="Times New Roman" w:cs="Times New Roman" w:eastAsia="Times New Roman" w:hint="default"/>
        </w:rPr>
        <w:t>2</w:t>
      </w:r>
      <w:r>
        <w:rPr/>
        <w:t>）外币财务报表的折算</w:t>
      </w:r>
      <w:r>
        <w:rPr>
          <w:spacing w:val="-3"/>
          <w:w w:val="100"/>
        </w:rPr>
        <w:t> </w:t>
      </w:r>
      <w:r>
        <w:rPr>
          <w:spacing w:val="-2"/>
        </w:rPr>
        <w:t>本公司对境外经营的财务报表进行折算时，遵循下列规定：资产负债表中的资产和负债项目，采用资</w:t>
      </w:r>
    </w:p>
    <w:p>
      <w:pPr>
        <w:pStyle w:val="BodyText"/>
        <w:spacing w:line="393" w:lineRule="auto" w:before="64"/>
        <w:ind w:right="207"/>
        <w:jc w:val="both"/>
      </w:pPr>
      <w:r>
        <w:rPr>
          <w:spacing w:val="-2"/>
        </w:rPr>
        <w:t>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w:t>
      </w:r>
      <w:r>
        <w:rPr>
          <w:spacing w:val="-27"/>
        </w:rPr>
        <w:t> </w:t>
      </w:r>
      <w:r>
        <w:rPr>
          <w:spacing w:val="-27"/>
        </w:rPr>
      </w:r>
      <w:r>
        <w:rPr>
          <w:spacing w:val="-2"/>
        </w:rPr>
        <w:t>算；利润表中的收入和费用项目，采用按照系统合理的方法确定的、与交易发生日即期汇率近似的汇率折</w:t>
      </w:r>
      <w:r>
        <w:rPr>
          <w:spacing w:val="-43"/>
        </w:rPr>
        <w:t> </w:t>
      </w:r>
      <w:r>
        <w:rPr>
          <w:spacing w:val="-43"/>
        </w:rPr>
      </w:r>
      <w:r>
        <w:rPr>
          <w:spacing w:val="-2"/>
        </w:rPr>
        <w:t>算。按照上述折算产生的外币财务报表折算差额，在资产负债表中所有者权益项目下单独列示。比较财务</w:t>
      </w:r>
      <w:r>
        <w:rPr>
          <w:spacing w:val="-45"/>
        </w:rPr>
        <w:t> </w:t>
      </w:r>
      <w:r>
        <w:rPr>
          <w:spacing w:val="-45"/>
        </w:rPr>
      </w:r>
      <w:r>
        <w:rPr/>
        <w:t>报表的折算比照上述规定处理。</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ind w:left="572" w:right="0"/>
        <w:jc w:val="left"/>
      </w:pPr>
      <w:r>
        <w:rPr>
          <w:rFonts w:ascii="Times New Roman" w:hAnsi="Times New Roman" w:cs="Times New Roman" w:eastAsia="Times New Roman" w:hint="default"/>
        </w:rPr>
        <w:t>9</w:t>
      </w:r>
      <w:r>
        <w:rPr/>
        <w:t>、</w:t>
      </w:r>
      <w:r>
        <w:rPr>
          <w:spacing w:val="-5"/>
        </w:rPr>
        <w:t> </w:t>
      </w:r>
      <w:r>
        <w:rPr/>
        <w:t>金融工具的确认和计量</w:t>
      </w:r>
    </w:p>
    <w:p>
      <w:pPr>
        <w:pStyle w:val="BodyText"/>
        <w:spacing w:line="240" w:lineRule="auto" w:before="170"/>
        <w:ind w:left="572" w:right="0"/>
        <w:jc w:val="left"/>
      </w:pPr>
      <w:r>
        <w:rPr/>
        <w:t>（</w:t>
      </w:r>
      <w:r>
        <w:rPr>
          <w:rFonts w:ascii="Times New Roman" w:hAnsi="Times New Roman" w:cs="Times New Roman" w:eastAsia="Times New Roman" w:hint="default"/>
        </w:rPr>
        <w:t>1</w:t>
      </w:r>
      <w:r>
        <w:rPr/>
        <w:t>）金融工具的确认</w:t>
      </w:r>
    </w:p>
    <w:p>
      <w:pPr>
        <w:spacing w:after="0" w:line="240" w:lineRule="auto"/>
        <w:jc w:val="left"/>
        <w:sectPr>
          <w:pgSz w:w="11910" w:h="16840"/>
          <w:pgMar w:header="850" w:footer="979" w:top="1200" w:bottom="1160" w:left="980" w:right="920"/>
        </w:sectPr>
      </w:pPr>
    </w:p>
    <w:p>
      <w:pPr>
        <w:spacing w:line="240" w:lineRule="auto" w:before="11"/>
        <w:rPr>
          <w:rFonts w:ascii="宋体" w:hAnsi="宋体" w:cs="宋体" w:eastAsia="宋体" w:hint="default"/>
          <w:sz w:val="13"/>
          <w:szCs w:val="13"/>
        </w:rPr>
      </w:pPr>
    </w:p>
    <w:p>
      <w:pPr>
        <w:pStyle w:val="BodyText"/>
        <w:spacing w:line="240" w:lineRule="auto" w:before="36"/>
        <w:ind w:left="572" w:right="0"/>
        <w:jc w:val="left"/>
      </w:pPr>
      <w:r>
        <w:rPr/>
        <w:t>本公司成为金融工具合同的一方时，确认一项金融资产或金融负债。</w:t>
      </w:r>
    </w:p>
    <w:p>
      <w:pPr>
        <w:spacing w:line="240" w:lineRule="auto" w:before="3"/>
        <w:rPr>
          <w:rFonts w:ascii="宋体" w:hAnsi="宋体" w:cs="宋体" w:eastAsia="宋体" w:hint="default"/>
          <w:sz w:val="14"/>
          <w:szCs w:val="14"/>
        </w:rPr>
      </w:pPr>
    </w:p>
    <w:p>
      <w:pPr>
        <w:pStyle w:val="BodyText"/>
        <w:spacing w:line="240" w:lineRule="auto"/>
        <w:ind w:left="572" w:right="3480"/>
        <w:jc w:val="left"/>
      </w:pPr>
      <w:r>
        <w:rPr/>
        <w:t>（</w:t>
      </w:r>
      <w:r>
        <w:rPr>
          <w:rFonts w:ascii="Times New Roman" w:hAnsi="Times New Roman" w:cs="Times New Roman" w:eastAsia="Times New Roman" w:hint="default"/>
        </w:rPr>
        <w:t>2</w:t>
      </w:r>
      <w:r>
        <w:rPr/>
        <w:t>）金融资产的分类和计量</w:t>
      </w:r>
    </w:p>
    <w:p>
      <w:pPr>
        <w:pStyle w:val="BodyText"/>
        <w:spacing w:line="403" w:lineRule="auto" w:before="167"/>
        <w:ind w:right="146" w:firstLine="420"/>
        <w:jc w:val="both"/>
      </w:pPr>
      <w:r>
        <w:rPr>
          <w:spacing w:val="-2"/>
        </w:rPr>
        <w:t>①本公司将持有的金融资产划分为以公允价值计量且其变动计入当期损益的金融资产、持有至到期投</w:t>
      </w:r>
      <w:r>
        <w:rPr>
          <w:w w:val="100"/>
        </w:rPr>
        <w:t> </w:t>
      </w:r>
      <w:r>
        <w:rPr/>
        <w:t>资、贷款和应收款项、可供出售金融资产。</w:t>
      </w:r>
    </w:p>
    <w:p>
      <w:pPr>
        <w:pStyle w:val="BodyText"/>
        <w:spacing w:line="400" w:lineRule="auto" w:before="43"/>
        <w:ind w:right="125" w:firstLine="420"/>
        <w:jc w:val="both"/>
      </w:pPr>
      <w:r>
        <w:rPr>
          <w:spacing w:val="-2"/>
        </w:rPr>
        <w:t>②金融资产在初始确认时以公允价值计量。对于以公允价值计量且其变动计入当期损益的金融资产，</w:t>
      </w:r>
      <w:r>
        <w:rPr>
          <w:w w:val="100"/>
        </w:rPr>
        <w:t> </w:t>
      </w:r>
      <w:r>
        <w:rPr/>
        <w:t>相关交易费用直接计入当期损益；对于其他类别的金融资产，相关交易费用计入初始确认金额。</w:t>
      </w:r>
    </w:p>
    <w:p>
      <w:pPr>
        <w:pStyle w:val="BodyText"/>
        <w:spacing w:line="240" w:lineRule="auto" w:before="45"/>
        <w:ind w:left="572" w:right="3480"/>
        <w:jc w:val="left"/>
      </w:pPr>
      <w:r>
        <w:rPr/>
        <w:t>③金融资产的后续计量</w:t>
      </w:r>
    </w:p>
    <w:p>
      <w:pPr>
        <w:spacing w:line="240" w:lineRule="auto" w:before="3"/>
        <w:rPr>
          <w:rFonts w:ascii="宋体" w:hAnsi="宋体" w:cs="宋体" w:eastAsia="宋体" w:hint="default"/>
          <w:sz w:val="14"/>
          <w:szCs w:val="14"/>
        </w:rPr>
      </w:pPr>
    </w:p>
    <w:p>
      <w:pPr>
        <w:pStyle w:val="BodyText"/>
        <w:spacing w:line="391" w:lineRule="auto"/>
        <w:ind w:right="147" w:firstLine="420"/>
        <w:jc w:val="both"/>
      </w:pPr>
      <w:r>
        <w:rPr>
          <w:rFonts w:ascii="Times New Roman" w:hAnsi="Times New Roman" w:cs="Times New Roman" w:eastAsia="Times New Roman" w:hint="default"/>
          <w:spacing w:val="-2"/>
        </w:rPr>
        <w:t>A</w:t>
      </w:r>
      <w:r>
        <w:rPr>
          <w:spacing w:val="-2"/>
        </w:rPr>
        <w:t>、以公允价值计量且其变动计入当期损益的金融资产，包括交易性金融资产和指定为以公允价值计</w:t>
      </w:r>
      <w:r>
        <w:rPr>
          <w:w w:val="100"/>
        </w:rPr>
        <w:t> </w:t>
      </w:r>
      <w:r>
        <w:rPr>
          <w:spacing w:val="-2"/>
        </w:rPr>
        <w:t>量且其变动计入当期损益的金融资产，采用公允价值进行后续计量，公允价值变动形成的利得或损失，计</w:t>
      </w:r>
      <w:r>
        <w:rPr>
          <w:spacing w:val="-43"/>
        </w:rPr>
        <w:t> </w:t>
      </w:r>
      <w:r>
        <w:rPr>
          <w:spacing w:val="-43"/>
        </w:rPr>
      </w:r>
      <w:r>
        <w:rPr/>
        <w:t>入当期损益。</w:t>
      </w:r>
    </w:p>
    <w:p>
      <w:pPr>
        <w:pStyle w:val="BodyText"/>
        <w:spacing w:line="379" w:lineRule="auto" w:before="53"/>
        <w:ind w:right="194" w:firstLine="420"/>
        <w:jc w:val="both"/>
      </w:pPr>
      <w:r>
        <w:rPr>
          <w:rFonts w:ascii="Times New Roman" w:hAnsi="Times New Roman" w:cs="Times New Roman" w:eastAsia="Times New Roman" w:hint="default"/>
          <w:spacing w:val="-2"/>
        </w:rPr>
        <w:t>B</w:t>
      </w:r>
      <w:r>
        <w:rPr>
          <w:spacing w:val="-2"/>
        </w:rPr>
        <w:t>、持有至到期投资，采用实际利率法，按摊余成本进行后续计量，终止确认、减值以及摊销形成的</w:t>
      </w:r>
      <w:r>
        <w:rPr>
          <w:w w:val="100"/>
        </w:rPr>
        <w:t> </w:t>
      </w:r>
      <w:r>
        <w:rPr/>
        <w:t>利得或损失，计入当期损益。</w:t>
      </w:r>
    </w:p>
    <w:p>
      <w:pPr>
        <w:pStyle w:val="BodyText"/>
        <w:spacing w:line="381" w:lineRule="auto" w:before="64"/>
        <w:ind w:right="194" w:firstLine="420"/>
        <w:jc w:val="both"/>
      </w:pPr>
      <w:r>
        <w:rPr>
          <w:rFonts w:ascii="Times New Roman" w:hAnsi="Times New Roman" w:cs="Times New Roman" w:eastAsia="Times New Roman" w:hint="default"/>
          <w:spacing w:val="-2"/>
        </w:rPr>
        <w:t>C</w:t>
      </w:r>
      <w:r>
        <w:rPr>
          <w:spacing w:val="-2"/>
        </w:rPr>
        <w:t>、贷款和应收款项，采用实际利率法，按摊余成本进行后续计量，终止确认、减值以及摊销形成的</w:t>
      </w:r>
      <w:r>
        <w:rPr>
          <w:w w:val="100"/>
        </w:rPr>
        <w:t> </w:t>
      </w:r>
      <w:r>
        <w:rPr/>
        <w:t>利得或损失，计入当期损益。</w:t>
      </w:r>
    </w:p>
    <w:p>
      <w:pPr>
        <w:pStyle w:val="BodyText"/>
        <w:spacing w:line="391" w:lineRule="auto" w:before="59"/>
        <w:ind w:right="125" w:firstLine="420"/>
        <w:jc w:val="both"/>
      </w:pPr>
      <w:r>
        <w:rPr>
          <w:rFonts w:ascii="Times New Roman" w:hAnsi="Times New Roman" w:cs="Times New Roman" w:eastAsia="Times New Roman" w:hint="default"/>
          <w:spacing w:val="-2"/>
        </w:rPr>
        <w:t>D</w:t>
      </w:r>
      <w:r>
        <w:rPr>
          <w:spacing w:val="-2"/>
        </w:rPr>
        <w:t>、可供出售金融资产，采用公允价值进行后续计量，公允价值变动计入资本公积，在该可供出售金</w:t>
      </w:r>
      <w:r>
        <w:rPr>
          <w:w w:val="100"/>
        </w:rPr>
        <w:t> </w:t>
      </w:r>
      <w:r>
        <w:rPr>
          <w:spacing w:val="-2"/>
        </w:rPr>
        <w:t>融资产发生减值或终止确认时转出，计入当期损益。可供出售金融资产持有期间实现的利息或现金股利，</w:t>
      </w:r>
      <w:r>
        <w:rPr>
          <w:spacing w:val="-21"/>
        </w:rPr>
        <w:t> </w:t>
      </w:r>
      <w:r>
        <w:rPr>
          <w:spacing w:val="-21"/>
        </w:rPr>
      </w:r>
      <w:r>
        <w:rPr/>
        <w:t>计入当期损益。</w:t>
      </w:r>
    </w:p>
    <w:p>
      <w:pPr>
        <w:pStyle w:val="BodyText"/>
        <w:spacing w:line="240" w:lineRule="auto" w:before="51"/>
        <w:ind w:left="572" w:right="3480"/>
        <w:jc w:val="left"/>
      </w:pPr>
      <w:r>
        <w:rPr/>
        <w:t>④金融资产的减值准备</w:t>
      </w:r>
    </w:p>
    <w:p>
      <w:pPr>
        <w:spacing w:line="240" w:lineRule="auto" w:before="3"/>
        <w:rPr>
          <w:rFonts w:ascii="宋体" w:hAnsi="宋体" w:cs="宋体" w:eastAsia="宋体" w:hint="default"/>
          <w:sz w:val="14"/>
          <w:szCs w:val="14"/>
        </w:rPr>
      </w:pPr>
    </w:p>
    <w:p>
      <w:pPr>
        <w:pStyle w:val="BodyText"/>
        <w:spacing w:line="381" w:lineRule="auto"/>
        <w:ind w:right="182" w:firstLine="420"/>
        <w:jc w:val="both"/>
      </w:pPr>
      <w:r>
        <w:rPr>
          <w:rFonts w:ascii="Times New Roman" w:hAnsi="Times New Roman" w:cs="Times New Roman" w:eastAsia="Times New Roman" w:hint="default"/>
          <w:spacing w:val="-2"/>
        </w:rPr>
        <w:t>A</w:t>
      </w:r>
      <w:r>
        <w:rPr>
          <w:spacing w:val="-2"/>
        </w:rPr>
        <w:t>、本公司在期末对以公允价值计量且其变动计入当期损益的金融资产以外的金融资产的账面价值进</w:t>
      </w:r>
      <w:r>
        <w:rPr>
          <w:w w:val="100"/>
        </w:rPr>
        <w:t> </w:t>
      </w:r>
      <w:r>
        <w:rPr/>
        <w:t>行检查，有客观证据表明该金融资产发生减值的，确认减值损失，计提减值准备。</w:t>
      </w:r>
    </w:p>
    <w:p>
      <w:pPr>
        <w:pStyle w:val="BodyText"/>
        <w:spacing w:line="379" w:lineRule="auto" w:before="59"/>
        <w:ind w:left="572" w:right="147"/>
        <w:jc w:val="left"/>
      </w:pPr>
      <w:r>
        <w:rPr>
          <w:rFonts w:ascii="Times New Roman" w:hAnsi="Times New Roman" w:cs="Times New Roman" w:eastAsia="Times New Roman" w:hint="default"/>
        </w:rPr>
        <w:t>B</w:t>
      </w:r>
      <w:r>
        <w:rPr/>
        <w:t>、本公司确定金融资产发生减值的客观证据包括下列各项：</w:t>
      </w:r>
      <w:r>
        <w:rPr>
          <w:w w:val="100"/>
        </w:rPr>
        <w:t> </w:t>
      </w:r>
      <w:r>
        <w:rPr>
          <w:rFonts w:ascii="Times New Roman" w:hAnsi="Times New Roman" w:cs="Times New Roman" w:eastAsia="Times New Roman" w:hint="default"/>
        </w:rPr>
        <w:t>a</w:t>
      </w:r>
      <w:r>
        <w:rPr/>
        <w:t>）发行方或债务人发生严重财务困难；</w:t>
      </w:r>
      <w:r>
        <w:rPr>
          <w:spacing w:val="-3"/>
          <w:w w:val="100"/>
        </w:rPr>
        <w:t> </w:t>
      </w:r>
      <w:r>
        <w:rPr>
          <w:rFonts w:ascii="Times New Roman" w:hAnsi="Times New Roman" w:cs="Times New Roman" w:eastAsia="Times New Roman" w:hint="default"/>
        </w:rPr>
        <w:t>b</w:t>
      </w:r>
      <w:r>
        <w:rPr/>
        <w:t>）债务人违反了合同条款，如偿付利息或本金发生违约或逾期等；</w:t>
      </w:r>
      <w:r>
        <w:rPr>
          <w:w w:val="100"/>
        </w:rPr>
        <w:t> </w:t>
      </w:r>
      <w:r>
        <w:rPr>
          <w:rFonts w:ascii="Times New Roman" w:hAnsi="Times New Roman" w:cs="Times New Roman" w:eastAsia="Times New Roman" w:hint="default"/>
        </w:rPr>
        <w:t>c</w:t>
      </w:r>
      <w:r>
        <w:rPr/>
        <w:t>）债权人出于经济或法律等方面因素的考虑，对发生财务困难的债务人作出让步；</w:t>
      </w:r>
      <w:r>
        <w:rPr>
          <w:w w:val="100"/>
        </w:rPr>
        <w:t> </w:t>
      </w:r>
      <w:r>
        <w:rPr>
          <w:rFonts w:ascii="Times New Roman" w:hAnsi="Times New Roman" w:cs="Times New Roman" w:eastAsia="Times New Roman" w:hint="default"/>
        </w:rPr>
        <w:t>d</w:t>
      </w:r>
      <w:r>
        <w:rPr/>
        <w:t>）债务人很可能倒闭或进行其他财务重组；</w:t>
      </w:r>
      <w:r>
        <w:rPr>
          <w:spacing w:val="-3"/>
          <w:w w:val="100"/>
        </w:rPr>
        <w:t> </w:t>
      </w:r>
      <w:r>
        <w:rPr>
          <w:rFonts w:ascii="Times New Roman" w:hAnsi="Times New Roman" w:cs="Times New Roman" w:eastAsia="Times New Roman" w:hint="default"/>
        </w:rPr>
        <w:t>e</w:t>
      </w:r>
      <w:r>
        <w:rPr/>
        <w:t>）因发行方发生重大财务困难，该金融资产无法在活跃市场继续交易；</w:t>
      </w:r>
      <w:r>
        <w:rPr>
          <w:w w:val="100"/>
        </w:rPr>
        <w:t> </w:t>
      </w:r>
      <w:r>
        <w:rPr>
          <w:rFonts w:ascii="Times New Roman" w:hAnsi="Times New Roman" w:cs="Times New Roman" w:eastAsia="Times New Roman" w:hint="default"/>
          <w:spacing w:val="-4"/>
        </w:rPr>
        <w:t>f</w:t>
      </w:r>
      <w:r>
        <w:rPr>
          <w:spacing w:val="-4"/>
        </w:rPr>
        <w:t>）无法辨认一组金融资产中的某项资产的现金流量是否已经减少，但根据公开的数据对其进行总体评</w:t>
      </w:r>
    </w:p>
    <w:p>
      <w:pPr>
        <w:pStyle w:val="BodyText"/>
        <w:spacing w:line="400" w:lineRule="auto" w:before="35"/>
        <w:ind w:right="147"/>
        <w:jc w:val="both"/>
      </w:pPr>
      <w:r>
        <w:rPr>
          <w:spacing w:val="-2"/>
        </w:rPr>
        <w:t>价后发现，该组金融资产自初始确认以来的预计未来现金流量确已减少且可计量，如该组金融资产的债务</w:t>
      </w:r>
      <w:r>
        <w:rPr>
          <w:spacing w:val="-42"/>
        </w:rPr>
        <w:t> </w:t>
      </w:r>
      <w:r>
        <w:rPr>
          <w:spacing w:val="-42"/>
        </w:rPr>
      </w:r>
      <w:r>
        <w:rPr>
          <w:spacing w:val="-2"/>
        </w:rPr>
        <w:t>人支付能力逐步恶化，或债务人所在国家或地区失业率提高、担保物在其所在地区的价格明显下降、所处</w:t>
      </w:r>
      <w:r>
        <w:rPr>
          <w:spacing w:val="-44"/>
        </w:rPr>
        <w:t> </w:t>
      </w:r>
      <w:r>
        <w:rPr>
          <w:spacing w:val="-44"/>
        </w:rPr>
      </w:r>
      <w:r>
        <w:rPr/>
        <w:t>行业不景气等；</w:t>
      </w:r>
    </w:p>
    <w:p>
      <w:pPr>
        <w:pStyle w:val="BodyText"/>
        <w:spacing w:line="240" w:lineRule="auto" w:before="45"/>
        <w:ind w:left="572" w:right="0"/>
        <w:jc w:val="left"/>
      </w:pPr>
      <w:r>
        <w:rPr>
          <w:rFonts w:ascii="Times New Roman" w:hAnsi="Times New Roman" w:cs="Times New Roman" w:eastAsia="Times New Roman" w:hint="default"/>
        </w:rPr>
        <w:t>g</w:t>
      </w:r>
      <w:r>
        <w:rPr/>
        <w:t>）债务人经营所处的技术、市场、经济或法律环境等发生重大不利变化，使权益工具投资人可能无</w:t>
      </w:r>
    </w:p>
    <w:p>
      <w:pPr>
        <w:spacing w:after="0" w:line="240" w:lineRule="auto"/>
        <w:jc w:val="left"/>
        <w:sectPr>
          <w:footerReference w:type="default" r:id="rId44"/>
          <w:pgSz w:w="11910" w:h="16840"/>
          <w:pgMar w:footer="979" w:header="850" w:top="1200" w:bottom="1160" w:left="980" w:right="980"/>
          <w:pgNumType w:start="87"/>
        </w:sectPr>
      </w:pPr>
    </w:p>
    <w:p>
      <w:pPr>
        <w:spacing w:line="240" w:lineRule="auto" w:before="11"/>
        <w:rPr>
          <w:rFonts w:ascii="宋体" w:hAnsi="宋体" w:cs="宋体" w:eastAsia="宋体" w:hint="default"/>
          <w:sz w:val="13"/>
          <w:szCs w:val="13"/>
        </w:rPr>
      </w:pPr>
    </w:p>
    <w:p>
      <w:pPr>
        <w:pStyle w:val="BodyText"/>
        <w:spacing w:line="386" w:lineRule="auto" w:before="36"/>
        <w:ind w:left="572" w:right="3780" w:hanging="421"/>
        <w:jc w:val="left"/>
      </w:pPr>
      <w:r>
        <w:rPr/>
        <w:t>法收回投资成本；</w:t>
      </w:r>
      <w:r>
        <w:rPr>
          <w:spacing w:val="-3"/>
          <w:w w:val="100"/>
        </w:rPr>
        <w:t> </w:t>
      </w:r>
      <w:r>
        <w:rPr>
          <w:rFonts w:ascii="Times New Roman" w:hAnsi="Times New Roman" w:cs="Times New Roman" w:eastAsia="Times New Roman" w:hint="default"/>
          <w:spacing w:val="-2"/>
        </w:rPr>
        <w:t>h</w:t>
      </w:r>
      <w:r>
        <w:rPr>
          <w:spacing w:val="-2"/>
        </w:rPr>
        <w:t>）权益工具投资的公允价值发生严重或非暂时性下跌；</w:t>
      </w:r>
      <w:r>
        <w:rPr>
          <w:w w:val="100"/>
        </w:rPr>
        <w:t> </w:t>
      </w:r>
      <w:r>
        <w:rPr>
          <w:rFonts w:ascii="Times New Roman" w:hAnsi="Times New Roman" w:cs="Times New Roman" w:eastAsia="Times New Roman" w:hint="default"/>
        </w:rPr>
        <w:t>i</w:t>
      </w:r>
      <w:r>
        <w:rPr/>
        <w:t>）其他表明金融资产发生减值的客观证据。</w:t>
      </w:r>
      <w:r>
        <w:rPr>
          <w:w w:val="100"/>
        </w:rPr>
        <w:t> </w:t>
      </w:r>
      <w:r>
        <w:rPr>
          <w:rFonts w:ascii="Times New Roman" w:hAnsi="Times New Roman" w:cs="Times New Roman" w:eastAsia="Times New Roman" w:hint="default"/>
        </w:rPr>
        <w:t>C</w:t>
      </w:r>
      <w:r>
        <w:rPr/>
        <w:t>、金融资产减值损失的计量</w:t>
      </w:r>
      <w:r>
        <w:rPr>
          <w:spacing w:val="-3"/>
          <w:w w:val="100"/>
        </w:rPr>
        <w:t> </w:t>
      </w:r>
      <w:r>
        <w:rPr>
          <w:rFonts w:ascii="Times New Roman" w:hAnsi="Times New Roman" w:cs="Times New Roman" w:eastAsia="Times New Roman" w:hint="default"/>
        </w:rPr>
        <w:t>a</w:t>
      </w:r>
      <w:r>
        <w:rPr/>
        <w:t>）持有至到期投资、贷款和应收款项减值损失的计量</w:t>
      </w:r>
    </w:p>
    <w:p>
      <w:pPr>
        <w:pStyle w:val="BodyText"/>
        <w:spacing w:line="403" w:lineRule="auto" w:before="25"/>
        <w:ind w:left="153" w:right="0" w:firstLine="420"/>
        <w:jc w:val="left"/>
      </w:pPr>
      <w:r>
        <w:rPr>
          <w:spacing w:val="-3"/>
        </w:rPr>
        <w:t>持有至到期投资、贷款和应收款项（以摊余成本后续计量的金融资产）的减值准备，按该金融资产预</w:t>
      </w:r>
      <w:r>
        <w:rPr>
          <w:spacing w:val="-3"/>
          <w:w w:val="100"/>
        </w:rPr>
        <w:t> </w:t>
      </w:r>
      <w:r>
        <w:rPr/>
        <w:t>计未来现金流量现值低于其账面价值的差额计提，计入当期损益。</w:t>
      </w:r>
    </w:p>
    <w:p>
      <w:pPr>
        <w:pStyle w:val="BodyText"/>
        <w:spacing w:line="400" w:lineRule="auto" w:before="43"/>
        <w:ind w:right="206" w:firstLine="420"/>
        <w:jc w:val="both"/>
      </w:pPr>
      <w:r>
        <w:rPr>
          <w:spacing w:val="-2"/>
        </w:rPr>
        <w:t>本公司对单项金额重大的金融资产单独进行减值测试，对单项金额不重大的金融资产，单独或包括在</w:t>
      </w:r>
      <w:r>
        <w:rPr>
          <w:w w:val="100"/>
        </w:rPr>
        <w:t> </w:t>
      </w:r>
      <w:r>
        <w:rPr>
          <w:spacing w:val="-2"/>
        </w:rPr>
        <w:t>具有类似信用风险特征的金融资产组合中进行减值测试。单独测试未发生减值的金融资产，无论单项金额</w:t>
      </w:r>
      <w:r>
        <w:rPr>
          <w:spacing w:val="-42"/>
        </w:rPr>
        <w:t> </w:t>
      </w:r>
      <w:r>
        <w:rPr>
          <w:spacing w:val="-42"/>
        </w:rPr>
      </w:r>
      <w:r>
        <w:rPr>
          <w:spacing w:val="-2"/>
        </w:rPr>
        <w:t>重大与否，仍将包括在具有类似信用风险特征的金融资产组合中再进行减值测试。已单独确认减值损失的</w:t>
      </w:r>
      <w:r>
        <w:rPr>
          <w:spacing w:val="-42"/>
        </w:rPr>
        <w:t> </w:t>
      </w:r>
      <w:r>
        <w:rPr>
          <w:spacing w:val="-42"/>
        </w:rPr>
      </w:r>
      <w:r>
        <w:rPr/>
        <w:t>金融资产，不包括在具有类似信用风险特征的金融资产组合中进行减值测试。</w:t>
      </w:r>
    </w:p>
    <w:p>
      <w:pPr>
        <w:pStyle w:val="BodyText"/>
        <w:spacing w:line="403" w:lineRule="auto" w:before="42"/>
        <w:ind w:right="0" w:firstLine="420"/>
        <w:jc w:val="left"/>
      </w:pPr>
      <w:r>
        <w:rPr>
          <w:spacing w:val="-2"/>
        </w:rPr>
        <w:t>本公司对以摊余成本计量的金融资产确认资产减值损失后，如有客观证据表明该金融资产价值已经恢</w:t>
      </w:r>
      <w:r>
        <w:rPr>
          <w:w w:val="100"/>
        </w:rPr>
        <w:t> </w:t>
      </w:r>
      <w:r>
        <w:rPr/>
        <w:t>复，且客观上与确认该损失后发生的事项有关，原确认的减值损失予以转回，计入当期损益。</w:t>
      </w:r>
    </w:p>
    <w:p>
      <w:pPr>
        <w:pStyle w:val="BodyText"/>
        <w:spacing w:line="379" w:lineRule="auto" w:before="43"/>
        <w:ind w:left="572" w:right="0"/>
        <w:jc w:val="left"/>
      </w:pPr>
      <w:r>
        <w:rPr>
          <w:rFonts w:ascii="Times New Roman" w:hAnsi="Times New Roman" w:cs="Times New Roman" w:eastAsia="Times New Roman" w:hint="default"/>
        </w:rPr>
        <w:t>b</w:t>
      </w:r>
      <w:r>
        <w:rPr/>
        <w:t>）可供出售金融资产</w:t>
      </w:r>
      <w:r>
        <w:rPr>
          <w:spacing w:val="-3"/>
          <w:w w:val="100"/>
        </w:rPr>
        <w:t> </w:t>
      </w:r>
      <w:r>
        <w:rPr>
          <w:spacing w:val="-2"/>
        </w:rPr>
        <w:t>可供出售金融资产的公允价值发生非暂时性下跌时，即使该金融资产没有终止确认，原直接计入资本</w:t>
      </w:r>
    </w:p>
    <w:p>
      <w:pPr>
        <w:pStyle w:val="BodyText"/>
        <w:spacing w:line="403" w:lineRule="auto" w:before="64"/>
        <w:ind w:left="572" w:right="0" w:hanging="421"/>
        <w:jc w:val="left"/>
      </w:pPr>
      <w:r>
        <w:rPr/>
        <w:t>公积的因公允价值下降形成的累计损失，亦予以转出，计入当期损益。</w:t>
      </w:r>
      <w:r>
        <w:rPr>
          <w:w w:val="100"/>
        </w:rPr>
        <w:t> </w:t>
      </w:r>
      <w:r>
        <w:rPr>
          <w:spacing w:val="-2"/>
        </w:rPr>
        <w:t>在活跃市场中没有报价且其公允价值不能可靠计量的可供出售权益工具投资，或与该权益工具挂钩并</w:t>
      </w:r>
      <w:r>
        <w:rPr/>
      </w:r>
    </w:p>
    <w:p>
      <w:pPr>
        <w:pStyle w:val="BodyText"/>
        <w:spacing w:line="403" w:lineRule="auto" w:before="40"/>
        <w:ind w:right="0"/>
        <w:jc w:val="left"/>
      </w:pPr>
      <w:r>
        <w:rPr>
          <w:spacing w:val="-2"/>
        </w:rPr>
        <w:t>须通过交付该权益工具结算的衍生金融资产发生减值时，本公司将该权益工具投资或衍生金融资产的账面</w:t>
      </w:r>
      <w:r>
        <w:rPr>
          <w:spacing w:val="-43"/>
        </w:rPr>
        <w:t> </w:t>
      </w:r>
      <w:r>
        <w:rPr>
          <w:spacing w:val="-43"/>
        </w:rPr>
      </w:r>
      <w:r>
        <w:rPr>
          <w:spacing w:val="-5"/>
        </w:rPr>
        <w:t>价值，与按照类似金融资产当时市场收益率对未来现金流量折现确定的现值之间的差额，确认为减值损失， </w:t>
      </w:r>
      <w:r>
        <w:rPr>
          <w:spacing w:val="-5"/>
        </w:rPr>
      </w:r>
      <w:r>
        <w:rPr/>
        <w:t>计入当期损益。</w:t>
      </w:r>
    </w:p>
    <w:p>
      <w:pPr>
        <w:pStyle w:val="BodyText"/>
        <w:spacing w:line="403" w:lineRule="auto" w:before="40"/>
        <w:ind w:right="0" w:firstLine="420"/>
        <w:jc w:val="left"/>
      </w:pPr>
      <w:r>
        <w:rPr>
          <w:spacing w:val="-2"/>
        </w:rPr>
        <w:t>对可供出售债务工具确认资产减值损失后，如有客观证据表明该金融资产价值已经恢复，且客观上与</w:t>
      </w:r>
      <w:r>
        <w:rPr>
          <w:w w:val="100"/>
        </w:rPr>
        <w:t> </w:t>
      </w:r>
      <w:r>
        <w:rPr/>
        <w:t>确认损失后发生的事项有关，原确认的减值损失予以转回，计入当期损益。</w:t>
      </w:r>
    </w:p>
    <w:p>
      <w:pPr>
        <w:pStyle w:val="BodyText"/>
        <w:spacing w:line="400" w:lineRule="auto" w:before="43"/>
        <w:ind w:right="0" w:firstLine="420"/>
        <w:jc w:val="left"/>
      </w:pPr>
      <w:r>
        <w:rPr>
          <w:spacing w:val="-2"/>
        </w:rPr>
        <w:t>可供出售权益工具投资发生的减值损失，不得通过损益转回。同时，在活跃市场中没有报价且其公允</w:t>
      </w:r>
      <w:r>
        <w:rPr>
          <w:w w:val="100"/>
        </w:rPr>
        <w:t> </w:t>
      </w:r>
      <w:r>
        <w:rPr/>
        <w:t>价值不能可靠计量的权益工具投资或与该权益工具挂钩并须通过交付该权益工具结算的衍生金融资产发</w:t>
      </w:r>
      <w:r>
        <w:rPr>
          <w:w w:val="100"/>
        </w:rPr>
        <w:t> </w:t>
      </w:r>
      <w:r>
        <w:rPr/>
        <w:t>生的减值损失，不予转回。</w:t>
      </w:r>
    </w:p>
    <w:p>
      <w:pPr>
        <w:pStyle w:val="BodyText"/>
        <w:spacing w:line="240" w:lineRule="auto" w:before="45"/>
        <w:ind w:left="572" w:right="0"/>
        <w:jc w:val="left"/>
      </w:pPr>
      <w:r>
        <w:rPr/>
        <w:t>（</w:t>
      </w:r>
      <w:r>
        <w:rPr>
          <w:rFonts w:ascii="Times New Roman" w:hAnsi="Times New Roman" w:cs="Times New Roman" w:eastAsia="Times New Roman" w:hint="default"/>
        </w:rPr>
        <w:t>3</w:t>
      </w:r>
      <w:r>
        <w:rPr/>
        <w:t>）金融负债的分类和计量</w:t>
      </w:r>
    </w:p>
    <w:p>
      <w:pPr>
        <w:pStyle w:val="BodyText"/>
        <w:spacing w:line="240" w:lineRule="auto" w:before="167"/>
        <w:ind w:left="572" w:right="0"/>
        <w:jc w:val="left"/>
      </w:pPr>
      <w:r>
        <w:rPr/>
        <w:t>①本公司将持有的金融负债分为以公允价值计量且其变动计入当期损益的金融负债和其他金融负债。</w:t>
      </w:r>
    </w:p>
    <w:p>
      <w:pPr>
        <w:spacing w:line="240" w:lineRule="auto" w:before="3"/>
        <w:rPr>
          <w:rFonts w:ascii="宋体" w:hAnsi="宋体" w:cs="宋体" w:eastAsia="宋体" w:hint="default"/>
          <w:sz w:val="14"/>
          <w:szCs w:val="14"/>
        </w:rPr>
      </w:pPr>
    </w:p>
    <w:p>
      <w:pPr>
        <w:pStyle w:val="BodyText"/>
        <w:spacing w:line="403" w:lineRule="auto"/>
        <w:ind w:right="0" w:firstLine="420"/>
        <w:jc w:val="left"/>
      </w:pPr>
      <w:r>
        <w:rPr>
          <w:spacing w:val="-2"/>
        </w:rPr>
        <w:t>②金融负债在初始确认时以公允价值计量。对于以公允价值计量且其变动计入当期损益的金融负债，</w:t>
      </w:r>
      <w:r>
        <w:rPr>
          <w:w w:val="100"/>
        </w:rPr>
        <w:t> </w:t>
      </w:r>
      <w:r>
        <w:rPr/>
        <w:t>相关交易费用直接计入当期损益；对于其他金融负债，相关交易费用计入初始确认金额。</w:t>
      </w:r>
    </w:p>
    <w:p>
      <w:pPr>
        <w:pStyle w:val="BodyText"/>
        <w:spacing w:line="240" w:lineRule="auto" w:before="40"/>
        <w:ind w:left="572" w:right="0"/>
        <w:jc w:val="left"/>
      </w:pPr>
      <w:r>
        <w:rPr/>
        <w:t>③金融负债的后续计量</w:t>
      </w:r>
    </w:p>
    <w:p>
      <w:pPr>
        <w:spacing w:line="240" w:lineRule="auto" w:before="3"/>
        <w:rPr>
          <w:rFonts w:ascii="宋体" w:hAnsi="宋体" w:cs="宋体" w:eastAsia="宋体" w:hint="default"/>
          <w:sz w:val="14"/>
          <w:szCs w:val="14"/>
        </w:rPr>
      </w:pPr>
    </w:p>
    <w:p>
      <w:pPr>
        <w:pStyle w:val="BodyText"/>
        <w:spacing w:line="240" w:lineRule="auto"/>
        <w:ind w:left="572" w:right="0"/>
        <w:jc w:val="left"/>
      </w:pPr>
      <w:r>
        <w:rPr>
          <w:rFonts w:ascii="Times New Roman" w:hAnsi="Times New Roman" w:cs="Times New Roman" w:eastAsia="Times New Roman" w:hint="default"/>
        </w:rPr>
        <w:t>A</w:t>
      </w:r>
      <w:r>
        <w:rPr/>
        <w:t>、以公允价值计量且其变动计入当期损益的金融负债，包括交易性金融负债和指定为以公允价值计</w:t>
      </w:r>
    </w:p>
    <w:p>
      <w:pPr>
        <w:spacing w:after="0" w:line="240" w:lineRule="auto"/>
        <w:jc w:val="left"/>
        <w:sectPr>
          <w:footerReference w:type="default" r:id="rId45"/>
          <w:pgSz w:w="11910" w:h="16840"/>
          <w:pgMar w:footer="979" w:header="850" w:top="1200" w:bottom="1160" w:left="980" w:right="920"/>
          <w:pgNumType w:start="88"/>
        </w:sectPr>
      </w:pPr>
    </w:p>
    <w:p>
      <w:pPr>
        <w:spacing w:line="240" w:lineRule="auto" w:before="11"/>
        <w:rPr>
          <w:rFonts w:ascii="宋体" w:hAnsi="宋体" w:cs="宋体" w:eastAsia="宋体" w:hint="default"/>
          <w:sz w:val="13"/>
          <w:szCs w:val="13"/>
        </w:rPr>
      </w:pPr>
    </w:p>
    <w:p>
      <w:pPr>
        <w:pStyle w:val="BodyText"/>
        <w:spacing w:line="403" w:lineRule="auto" w:before="36"/>
        <w:ind w:left="252" w:right="0"/>
        <w:jc w:val="left"/>
      </w:pPr>
      <w:r>
        <w:rPr>
          <w:spacing w:val="-2"/>
        </w:rPr>
        <w:t>量且其变动计入当期损益的金融负债，采用公允价值进行后续计量，公允价值变动形成的利得或损失，计</w:t>
      </w:r>
      <w:r>
        <w:rPr>
          <w:spacing w:val="-43"/>
        </w:rPr>
        <w:t> </w:t>
      </w:r>
      <w:r>
        <w:rPr>
          <w:spacing w:val="-43"/>
        </w:rPr>
      </w:r>
      <w:r>
        <w:rPr/>
        <w:t>入当期损益。</w:t>
      </w:r>
    </w:p>
    <w:p>
      <w:pPr>
        <w:pStyle w:val="BodyText"/>
        <w:spacing w:line="240" w:lineRule="auto" w:before="40"/>
        <w:ind w:left="672" w:right="0"/>
        <w:jc w:val="left"/>
      </w:pPr>
      <w:r>
        <w:rPr>
          <w:rFonts w:ascii="Times New Roman" w:hAnsi="Times New Roman" w:cs="Times New Roman" w:eastAsia="Times New Roman" w:hint="default"/>
        </w:rPr>
        <w:t>B</w:t>
      </w:r>
      <w:r>
        <w:rPr/>
        <w:t>、其他金融负债，采用实际利率法，按摊余成本进行后续计量。</w:t>
      </w:r>
    </w:p>
    <w:p>
      <w:pPr>
        <w:pStyle w:val="BodyText"/>
        <w:spacing w:line="240" w:lineRule="auto" w:before="170"/>
        <w:ind w:left="672" w:right="0"/>
        <w:jc w:val="left"/>
      </w:pPr>
      <w:r>
        <w:rPr/>
        <w:t>（</w:t>
      </w:r>
      <w:r>
        <w:rPr>
          <w:rFonts w:ascii="Times New Roman" w:hAnsi="Times New Roman" w:cs="Times New Roman" w:eastAsia="Times New Roman" w:hint="default"/>
        </w:rPr>
        <w:t>4</w:t>
      </w:r>
      <w:r>
        <w:rPr/>
        <w:t>）金融工具公允价值的确定方法</w:t>
      </w:r>
    </w:p>
    <w:p>
      <w:pPr>
        <w:pStyle w:val="BodyText"/>
        <w:spacing w:line="240" w:lineRule="auto" w:before="170"/>
        <w:ind w:left="672" w:right="0"/>
        <w:jc w:val="left"/>
      </w:pPr>
      <w:r>
        <w:rPr/>
        <w:t>①如果该金融工具存在活跃市场，则采用活跃市场中的报价确定其公允价值。</w:t>
      </w:r>
    </w:p>
    <w:p>
      <w:pPr>
        <w:spacing w:line="240" w:lineRule="auto" w:before="0"/>
        <w:rPr>
          <w:rFonts w:ascii="宋体" w:hAnsi="宋体" w:cs="宋体" w:eastAsia="宋体" w:hint="default"/>
          <w:sz w:val="14"/>
          <w:szCs w:val="14"/>
        </w:rPr>
      </w:pPr>
    </w:p>
    <w:p>
      <w:pPr>
        <w:pStyle w:val="BodyText"/>
        <w:spacing w:line="240" w:lineRule="auto"/>
        <w:ind w:left="672" w:right="0"/>
        <w:jc w:val="left"/>
      </w:pPr>
      <w:r>
        <w:rPr/>
        <w:t>②如果该金融工具不存在活跃市场，则采用估值技术确定其公允价值。</w:t>
      </w:r>
    </w:p>
    <w:p>
      <w:pPr>
        <w:spacing w:line="240" w:lineRule="auto" w:before="3"/>
        <w:rPr>
          <w:rFonts w:ascii="宋体" w:hAnsi="宋体" w:cs="宋体" w:eastAsia="宋体" w:hint="default"/>
          <w:sz w:val="14"/>
          <w:szCs w:val="14"/>
        </w:rPr>
      </w:pPr>
    </w:p>
    <w:p>
      <w:pPr>
        <w:pStyle w:val="BodyText"/>
        <w:spacing w:line="381" w:lineRule="auto"/>
        <w:ind w:left="673" w:right="0" w:hanging="1"/>
        <w:jc w:val="left"/>
      </w:pPr>
      <w:r>
        <w:rPr/>
        <w:t>（</w:t>
      </w:r>
      <w:r>
        <w:rPr>
          <w:rFonts w:ascii="Times New Roman" w:hAnsi="Times New Roman" w:cs="Times New Roman" w:eastAsia="Times New Roman" w:hint="default"/>
        </w:rPr>
        <w:t>5</w:t>
      </w:r>
      <w:r>
        <w:rPr/>
        <w:t>） 金融资产转移确认依据和计量</w:t>
      </w:r>
      <w:r>
        <w:rPr>
          <w:spacing w:val="-104"/>
        </w:rPr>
        <w:t> </w:t>
      </w:r>
      <w:r>
        <w:rPr>
          <w:spacing w:val="-104"/>
        </w:rPr>
      </w:r>
      <w:r>
        <w:rPr>
          <w:spacing w:val="-2"/>
        </w:rPr>
        <w:t>本公司在已将金融资产所有权上几乎所有的风险和报酬转移给转入方时终止对该项金融资产的确认。</w:t>
      </w:r>
    </w:p>
    <w:p>
      <w:pPr>
        <w:pStyle w:val="BodyText"/>
        <w:spacing w:line="240" w:lineRule="auto" w:before="59"/>
        <w:ind w:left="253" w:right="0"/>
        <w:jc w:val="left"/>
      </w:pPr>
      <w:r>
        <w:rPr/>
        <w:t>本公司在金融资产整体转移满足终止确认条件的，将下列两项的差额计入当期损益：</w:t>
      </w:r>
    </w:p>
    <w:p>
      <w:pPr>
        <w:spacing w:line="240" w:lineRule="auto" w:before="3"/>
        <w:rPr>
          <w:rFonts w:ascii="宋体" w:hAnsi="宋体" w:cs="宋体" w:eastAsia="宋体" w:hint="default"/>
          <w:sz w:val="14"/>
          <w:szCs w:val="14"/>
        </w:rPr>
      </w:pPr>
    </w:p>
    <w:p>
      <w:pPr>
        <w:pStyle w:val="BodyText"/>
        <w:spacing w:line="240" w:lineRule="auto"/>
        <w:ind w:left="673" w:right="0"/>
        <w:jc w:val="left"/>
      </w:pPr>
      <w:r>
        <w:rPr/>
        <w:t>①所转移金融资产的账面价值；</w:t>
      </w:r>
    </w:p>
    <w:p>
      <w:pPr>
        <w:spacing w:line="240" w:lineRule="auto" w:before="3"/>
        <w:rPr>
          <w:rFonts w:ascii="宋体" w:hAnsi="宋体" w:cs="宋体" w:eastAsia="宋体" w:hint="default"/>
          <w:sz w:val="14"/>
          <w:szCs w:val="14"/>
        </w:rPr>
      </w:pPr>
    </w:p>
    <w:p>
      <w:pPr>
        <w:pStyle w:val="BodyText"/>
        <w:spacing w:line="400" w:lineRule="auto"/>
        <w:ind w:left="253" w:right="0" w:firstLine="420"/>
        <w:jc w:val="left"/>
      </w:pPr>
      <w:r>
        <w:rPr>
          <w:spacing w:val="-2"/>
        </w:rPr>
        <w:t>②因转移而收到的对价，与原直接计入所有者权益的公允价值变动累计额（涉及转移的金融资产为可</w:t>
      </w:r>
      <w:r>
        <w:rPr>
          <w:w w:val="100"/>
        </w:rPr>
        <w:t> </w:t>
      </w:r>
      <w:r>
        <w:rPr/>
        <w:t>供出售金融资产的情形）之和。</w:t>
      </w:r>
    </w:p>
    <w:p>
      <w:pPr>
        <w:pStyle w:val="BodyText"/>
        <w:spacing w:line="403" w:lineRule="auto" w:before="45"/>
        <w:ind w:left="253" w:right="0" w:firstLine="420"/>
        <w:jc w:val="left"/>
      </w:pPr>
      <w:r>
        <w:rPr>
          <w:spacing w:val="-2"/>
        </w:rPr>
        <w:t>本公司的金融资产部分转移满足终止确认条件的，将所转移金融资产整体的账面价值，在终止确认部</w:t>
      </w:r>
      <w:r>
        <w:rPr>
          <w:w w:val="100"/>
        </w:rPr>
        <w:t> </w:t>
      </w:r>
      <w:r>
        <w:rPr>
          <w:spacing w:val="-2"/>
        </w:rPr>
        <w:t>分和未终止确认部分之间，按照各自的相对公允价值进行分摊，并将下列两项金额的差额计入当期损益：</w:t>
      </w:r>
    </w:p>
    <w:p>
      <w:pPr>
        <w:pStyle w:val="BodyText"/>
        <w:spacing w:line="240" w:lineRule="auto" w:before="40"/>
        <w:ind w:left="672" w:right="0"/>
        <w:jc w:val="left"/>
      </w:pPr>
      <w:r>
        <w:rPr/>
        <w:t>①终止确认部分的账面价值；</w:t>
      </w:r>
    </w:p>
    <w:p>
      <w:pPr>
        <w:spacing w:line="240" w:lineRule="auto" w:before="3"/>
        <w:rPr>
          <w:rFonts w:ascii="宋体" w:hAnsi="宋体" w:cs="宋体" w:eastAsia="宋体" w:hint="default"/>
          <w:sz w:val="14"/>
          <w:szCs w:val="14"/>
        </w:rPr>
      </w:pPr>
    </w:p>
    <w:p>
      <w:pPr>
        <w:pStyle w:val="BodyText"/>
        <w:spacing w:line="240" w:lineRule="auto"/>
        <w:ind w:left="672" w:right="0"/>
        <w:jc w:val="left"/>
      </w:pPr>
      <w:r>
        <w:rPr/>
        <w:t>②终止确认部分的对价，与原直接计入所有者权益的公允价值变动累计额中对应终止确认部分的金额</w:t>
      </w:r>
    </w:p>
    <w:p>
      <w:pPr>
        <w:spacing w:line="240" w:lineRule="auto" w:before="3"/>
        <w:rPr>
          <w:rFonts w:ascii="宋体" w:hAnsi="宋体" w:cs="宋体" w:eastAsia="宋体" w:hint="default"/>
          <w:sz w:val="14"/>
          <w:szCs w:val="14"/>
        </w:rPr>
      </w:pPr>
    </w:p>
    <w:p>
      <w:pPr>
        <w:pStyle w:val="BodyText"/>
        <w:spacing w:line="400" w:lineRule="auto"/>
        <w:ind w:left="672" w:right="0" w:hanging="420"/>
        <w:jc w:val="left"/>
      </w:pPr>
      <w:r>
        <w:rPr/>
        <w:t>（涉及转移的金融资产为可供出售金融资产的情形）之和。</w:t>
      </w:r>
      <w:r>
        <w:rPr>
          <w:spacing w:val="-3"/>
          <w:w w:val="100"/>
        </w:rPr>
        <w:t> </w:t>
      </w:r>
      <w:r>
        <w:rPr>
          <w:spacing w:val="-2"/>
        </w:rPr>
        <w:t>原直接计入所有者权益的公允价值变动累计额中对应终止确认部分的金额，应当按照金融资产终止确</w:t>
      </w:r>
    </w:p>
    <w:p>
      <w:pPr>
        <w:pStyle w:val="BodyText"/>
        <w:spacing w:line="403" w:lineRule="auto" w:before="45"/>
        <w:ind w:left="672" w:right="0" w:hanging="421"/>
        <w:jc w:val="left"/>
      </w:pPr>
      <w:r>
        <w:rPr/>
        <w:t>认部分和未终止确认部分的相对公允价值，对该累计额进行分摊后确定。</w:t>
      </w:r>
      <w:r>
        <w:rPr>
          <w:w w:val="100"/>
        </w:rPr>
        <w:t> </w:t>
      </w:r>
      <w:r>
        <w:rPr>
          <w:spacing w:val="-2"/>
        </w:rPr>
        <w:t>金融资产转移不满足终止确认条件的，继续确认所转移金融资产整体，并将所收到的对价确认为一项</w:t>
      </w:r>
    </w:p>
    <w:p>
      <w:pPr>
        <w:pStyle w:val="BodyText"/>
        <w:spacing w:line="240" w:lineRule="auto" w:before="40"/>
        <w:ind w:left="252" w:right="0"/>
        <w:jc w:val="left"/>
      </w:pPr>
      <w:r>
        <w:rPr/>
        <w:t>金融负债。</w:t>
      </w:r>
    </w:p>
    <w:p>
      <w:pPr>
        <w:spacing w:line="240" w:lineRule="auto" w:before="3"/>
        <w:rPr>
          <w:rFonts w:ascii="宋体" w:hAnsi="宋体" w:cs="宋体" w:eastAsia="宋体" w:hint="default"/>
          <w:sz w:val="14"/>
          <w:szCs w:val="14"/>
        </w:rPr>
      </w:pPr>
    </w:p>
    <w:p>
      <w:pPr>
        <w:pStyle w:val="BodyText"/>
        <w:spacing w:line="403" w:lineRule="auto"/>
        <w:ind w:left="252" w:right="0" w:firstLine="420"/>
        <w:jc w:val="left"/>
      </w:pPr>
      <w:r>
        <w:rPr>
          <w:spacing w:val="-2"/>
        </w:rPr>
        <w:t>对于继续涉入条件下的金融资产转移，公司根据继续涉入所转移金融资产的程度确认有关金融资产和</w:t>
      </w:r>
      <w:r>
        <w:rPr>
          <w:w w:val="100"/>
        </w:rPr>
        <w:t> </w:t>
      </w:r>
      <w:r>
        <w:rPr/>
        <w:t>金融负债，以充分反映企业所保留的权利和承担的义务。</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381" w:lineRule="auto"/>
        <w:ind w:left="672" w:right="4559"/>
        <w:jc w:val="left"/>
      </w:pPr>
      <w:r>
        <w:rPr/>
        <w:pict>
          <v:shape style="position:absolute;margin-left:49.799999pt;margin-top:38.311344pt;width:495.6pt;height:118.35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77"/>
                    <w:gridCol w:w="7392"/>
                  </w:tblGrid>
                  <w:tr>
                    <w:trPr>
                      <w:trHeight w:val="938" w:hRule="exact"/>
                    </w:trPr>
                    <w:tc>
                      <w:tcPr>
                        <w:tcW w:w="2477" w:type="dxa"/>
                        <w:tcBorders>
                          <w:top w:val="single" w:sz="12" w:space="0" w:color="000000"/>
                          <w:left w:val="nil" w:sz="6" w:space="0" w:color="auto"/>
                          <w:bottom w:val="single" w:sz="2" w:space="0" w:color="000000"/>
                          <w:right w:val="single" w:sz="2" w:space="0" w:color="000000"/>
                        </w:tcBorders>
                      </w:tcPr>
                      <w:p>
                        <w:pPr>
                          <w:pStyle w:val="TableParagraph"/>
                          <w:spacing w:line="458" w:lineRule="exact" w:before="34"/>
                          <w:ind w:left="121" w:right="250"/>
                          <w:jc w:val="left"/>
                          <w:rPr>
                            <w:rFonts w:ascii="宋体" w:hAnsi="宋体" w:cs="宋体" w:eastAsia="宋体" w:hint="default"/>
                            <w:sz w:val="21"/>
                            <w:szCs w:val="21"/>
                          </w:rPr>
                        </w:pPr>
                        <w:r>
                          <w:rPr>
                            <w:rFonts w:ascii="宋体" w:hAnsi="宋体" w:cs="宋体" w:eastAsia="宋体" w:hint="default"/>
                            <w:spacing w:val="-2"/>
                            <w:sz w:val="21"/>
                            <w:szCs w:val="21"/>
                          </w:rPr>
                          <w:t>单项金额重大的判断依</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据或金额标准</w:t>
                        </w:r>
                      </w:p>
                    </w:tc>
                    <w:tc>
                      <w:tcPr>
                        <w:tcW w:w="73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5"/>
                          <w:ind w:left="107" w:right="0"/>
                          <w:jc w:val="left"/>
                          <w:rPr>
                            <w:rFonts w:ascii="宋体" w:hAnsi="宋体" w:cs="宋体" w:eastAsia="宋体" w:hint="default"/>
                            <w:sz w:val="21"/>
                            <w:szCs w:val="21"/>
                          </w:rPr>
                        </w:pPr>
                        <w:r>
                          <w:rPr>
                            <w:rFonts w:ascii="宋体" w:hAnsi="宋体" w:cs="宋体" w:eastAsia="宋体" w:hint="default"/>
                            <w:sz w:val="21"/>
                            <w:szCs w:val="21"/>
                          </w:rPr>
                          <w:t>公司将占应收款项比重超过</w:t>
                        </w:r>
                        <w:r>
                          <w:rPr>
                            <w:rFonts w:ascii="Times New Roman" w:hAnsi="Times New Roman" w:cs="Times New Roman" w:eastAsia="Times New Roman" w:hint="default"/>
                            <w:sz w:val="21"/>
                            <w:szCs w:val="21"/>
                          </w:rPr>
                          <w:t>30</w:t>
                        </w:r>
                        <w:r>
                          <w:rPr>
                            <w:rFonts w:ascii="宋体" w:hAnsi="宋体" w:cs="宋体" w:eastAsia="宋体" w:hint="default"/>
                            <w:sz w:val="21"/>
                            <w:szCs w:val="21"/>
                          </w:rPr>
                          <w:t>％的客户定义为单项金额重大的应收款项。</w:t>
                        </w:r>
                      </w:p>
                    </w:tc>
                  </w:tr>
                  <w:tr>
                    <w:trPr>
                      <w:trHeight w:val="1399" w:hRule="exact"/>
                    </w:trPr>
                    <w:tc>
                      <w:tcPr>
                        <w:tcW w:w="2477" w:type="dxa"/>
                        <w:tcBorders>
                          <w:top w:val="single" w:sz="2" w:space="0" w:color="000000"/>
                          <w:left w:val="nil" w:sz="6" w:space="0" w:color="auto"/>
                          <w:bottom w:val="single" w:sz="12" w:space="0" w:color="000000"/>
                          <w:right w:val="single" w:sz="2" w:space="0" w:color="000000"/>
                        </w:tcBorders>
                      </w:tcPr>
                      <w:p>
                        <w:pPr>
                          <w:pStyle w:val="TableParagraph"/>
                          <w:spacing w:line="403" w:lineRule="auto" w:before="153"/>
                          <w:ind w:left="122" w:right="247"/>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提坏账准备的计提方法</w:t>
                        </w:r>
                      </w:p>
                    </w:tc>
                    <w:tc>
                      <w:tcPr>
                        <w:tcW w:w="7392" w:type="dxa"/>
                        <w:tcBorders>
                          <w:top w:val="single" w:sz="2" w:space="0" w:color="000000"/>
                          <w:left w:val="single" w:sz="2" w:space="0" w:color="000000"/>
                          <w:bottom w:val="single" w:sz="12" w:space="0" w:color="000000"/>
                          <w:right w:val="nil" w:sz="6" w:space="0" w:color="auto"/>
                        </w:tcBorders>
                      </w:tcPr>
                      <w:p>
                        <w:pPr>
                          <w:pStyle w:val="TableParagraph"/>
                          <w:spacing w:line="460" w:lineRule="exact" w:before="30"/>
                          <w:ind w:left="107" w:right="105"/>
                          <w:jc w:val="both"/>
                          <w:rPr>
                            <w:rFonts w:ascii="宋体" w:hAnsi="宋体" w:cs="宋体" w:eastAsia="宋体" w:hint="default"/>
                            <w:sz w:val="21"/>
                            <w:szCs w:val="21"/>
                          </w:rPr>
                        </w:pPr>
                        <w:r>
                          <w:rPr>
                            <w:rFonts w:ascii="宋体" w:hAnsi="宋体" w:cs="宋体" w:eastAsia="宋体" w:hint="default"/>
                            <w:spacing w:val="-1"/>
                            <w:sz w:val="21"/>
                            <w:szCs w:val="21"/>
                          </w:rPr>
                          <w:t>单独进行减值测试，如有客观证据表明已发生减值，确认差值损失，计入当期</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1"/>
                            <w:sz w:val="21"/>
                            <w:szCs w:val="21"/>
                          </w:rPr>
                          <w:t>损益；单独测试未发生减值的应收款项，包括在具有类似信用风险特征的应收</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款项组合中再进行减值测试。</w:t>
                        </w:r>
                      </w:p>
                    </w:tc>
                  </w:tr>
                </w:tbl>
                <w:p>
                  <w:pPr/>
                </w:p>
              </w:txbxContent>
            </v:textbox>
            <w10:wrap type="none"/>
          </v:shape>
        </w:pict>
      </w:r>
      <w:r>
        <w:rPr>
          <w:rFonts w:ascii="Times New Roman" w:hAnsi="Times New Roman" w:cs="Times New Roman" w:eastAsia="Times New Roman" w:hint="default"/>
        </w:rPr>
        <w:t>10</w:t>
      </w:r>
      <w:r>
        <w:rPr/>
        <w:t>、应收款项坏账准备的确认和计提</w:t>
      </w:r>
      <w:r>
        <w:rPr>
          <w:w w:val="100"/>
        </w:rPr>
        <w:t> </w:t>
      </w:r>
      <w:r>
        <w:rPr>
          <w:rFonts w:ascii="Times New Roman" w:hAnsi="Times New Roman" w:cs="Times New Roman" w:eastAsia="Times New Roman" w:hint="default"/>
          <w:spacing w:val="-2"/>
        </w:rPr>
        <w:t>(1)</w:t>
      </w:r>
      <w:r>
        <w:rPr>
          <w:spacing w:val="-2"/>
        </w:rPr>
        <w:t>单项金额重大并单项计提坏账准备的应收款项：</w:t>
      </w:r>
    </w:p>
    <w:p>
      <w:pPr>
        <w:spacing w:after="0" w:line="381" w:lineRule="auto"/>
        <w:jc w:val="left"/>
        <w:sectPr>
          <w:pgSz w:w="11910" w:h="16840"/>
          <w:pgMar w:header="850" w:footer="979" w:top="1200" w:bottom="1160" w:left="880" w:right="880"/>
        </w:sectPr>
      </w:pPr>
    </w:p>
    <w:p>
      <w:pPr>
        <w:spacing w:line="240" w:lineRule="auto" w:before="11"/>
        <w:rPr>
          <w:rFonts w:ascii="宋体" w:hAnsi="宋体" w:cs="宋体" w:eastAsia="宋体" w:hint="default"/>
          <w:sz w:val="13"/>
          <w:szCs w:val="13"/>
        </w:rPr>
      </w:pPr>
    </w:p>
    <w:p>
      <w:pPr>
        <w:pStyle w:val="BodyText"/>
        <w:spacing w:line="240" w:lineRule="auto" w:before="36"/>
        <w:ind w:left="67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按组合计提坏账准备的应收款项：</w:t>
      </w:r>
    </w:p>
    <w:tbl>
      <w:tblPr>
        <w:tblW w:w="0" w:type="auto"/>
        <w:jc w:val="left"/>
        <w:tblInd w:w="130" w:type="dxa"/>
        <w:tblLayout w:type="fixed"/>
        <w:tblCellMar>
          <w:top w:w="0" w:type="dxa"/>
          <w:left w:w="0" w:type="dxa"/>
          <w:bottom w:w="0" w:type="dxa"/>
          <w:right w:w="0" w:type="dxa"/>
        </w:tblCellMar>
        <w:tblLook w:val="01E0"/>
      </w:tblPr>
      <w:tblGrid>
        <w:gridCol w:w="1070"/>
        <w:gridCol w:w="8798"/>
      </w:tblGrid>
      <w:tr>
        <w:trPr>
          <w:trHeight w:val="478" w:hRule="exact"/>
        </w:trPr>
        <w:tc>
          <w:tcPr>
            <w:tcW w:w="9869" w:type="dxa"/>
            <w:gridSpan w:val="2"/>
            <w:tcBorders>
              <w:top w:val="single" w:sz="12" w:space="0" w:color="000000"/>
              <w:left w:val="nil" w:sz="6" w:space="0" w:color="auto"/>
              <w:bottom w:val="single" w:sz="2" w:space="0" w:color="000000"/>
              <w:right w:val="nil" w:sz="6" w:space="0" w:color="auto"/>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1397" w:hRule="exact"/>
        </w:trPr>
        <w:tc>
          <w:tcPr>
            <w:tcW w:w="1070"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p>
        </w:tc>
        <w:tc>
          <w:tcPr>
            <w:tcW w:w="87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pacing w:val="-2"/>
                <w:sz w:val="21"/>
                <w:szCs w:val="21"/>
              </w:rPr>
              <w:t>已单独计提减值准备的应收款项外，根据以前年度与之相同或类似的、按账龄段划分的具有类</w:t>
            </w:r>
          </w:p>
          <w:p>
            <w:pPr>
              <w:pStyle w:val="TableParagraph"/>
              <w:spacing w:line="460" w:lineRule="atLeast" w:before="1"/>
              <w:ind w:left="108" w:right="98"/>
              <w:jc w:val="left"/>
              <w:rPr>
                <w:rFonts w:ascii="宋体" w:hAnsi="宋体" w:cs="宋体" w:eastAsia="宋体" w:hint="default"/>
                <w:sz w:val="21"/>
                <w:szCs w:val="21"/>
              </w:rPr>
            </w:pPr>
            <w:r>
              <w:rPr>
                <w:rFonts w:ascii="宋体" w:hAnsi="宋体" w:cs="宋体" w:eastAsia="宋体" w:hint="default"/>
                <w:spacing w:val="-3"/>
                <w:sz w:val="21"/>
                <w:szCs w:val="21"/>
              </w:rPr>
              <w:t>似信用风险特征的应收款项组合的实际损失率为基础，结合现实情况分析法确定坏账准备计提</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的比例。</w:t>
            </w:r>
          </w:p>
        </w:tc>
      </w:tr>
    </w:tbl>
    <w:p>
      <w:pPr>
        <w:spacing w:line="240" w:lineRule="auto" w:before="3"/>
        <w:rPr>
          <w:rFonts w:ascii="宋体" w:hAnsi="宋体" w:cs="宋体" w:eastAsia="宋体" w:hint="default"/>
          <w:sz w:val="10"/>
          <w:szCs w:val="10"/>
        </w:rPr>
      </w:pPr>
    </w:p>
    <w:p>
      <w:pPr>
        <w:pStyle w:val="BodyText"/>
        <w:spacing w:line="240" w:lineRule="auto" w:before="36"/>
        <w:ind w:left="672" w:right="0"/>
        <w:jc w:val="left"/>
      </w:pPr>
      <w:r>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4498"/>
        <w:gridCol w:w="2580"/>
        <w:gridCol w:w="2791"/>
      </w:tblGrid>
      <w:tr>
        <w:trPr>
          <w:trHeight w:val="478" w:hRule="exact"/>
        </w:trPr>
        <w:tc>
          <w:tcPr>
            <w:tcW w:w="4498" w:type="dxa"/>
            <w:tcBorders>
              <w:top w:val="single" w:sz="12" w:space="0" w:color="000000"/>
              <w:left w:val="nil" w:sz="6" w:space="0" w:color="auto"/>
              <w:bottom w:val="single" w:sz="2" w:space="0" w:color="000000"/>
              <w:right w:val="single" w:sz="2" w:space="0" w:color="000000"/>
            </w:tcBorders>
          </w:tcPr>
          <w:p>
            <w:pPr>
              <w:pStyle w:val="TableParagraph"/>
              <w:tabs>
                <w:tab w:pos="650" w:val="left" w:leader="none"/>
              </w:tabs>
              <w:spacing w:line="240" w:lineRule="auto" w:before="155"/>
              <w:ind w:left="19"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25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5"/>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79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5"/>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566" w:hRule="exact"/>
        </w:trPr>
        <w:tc>
          <w:tcPr>
            <w:tcW w:w="4498" w:type="dxa"/>
            <w:tcBorders>
              <w:top w:val="single" w:sz="2" w:space="0" w:color="000000"/>
              <w:left w:val="nil" w:sz="6" w:space="0" w:color="auto"/>
              <w:bottom w:val="nil" w:sz="6" w:space="0" w:color="auto"/>
              <w:right w:val="single" w:sz="2"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580"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5</w:t>
            </w:r>
          </w:p>
        </w:tc>
        <w:tc>
          <w:tcPr>
            <w:tcW w:w="2791" w:type="dxa"/>
            <w:tcBorders>
              <w:top w:val="single" w:sz="2" w:space="0" w:color="000000"/>
              <w:left w:val="single" w:sz="2"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5</w:t>
            </w:r>
          </w:p>
        </w:tc>
      </w:tr>
      <w:tr>
        <w:trPr>
          <w:trHeight w:val="461" w:hRule="exact"/>
        </w:trPr>
        <w:tc>
          <w:tcPr>
            <w:tcW w:w="4498" w:type="dxa"/>
            <w:tcBorders>
              <w:top w:val="nil" w:sz="6" w:space="0" w:color="auto"/>
              <w:left w:val="nil" w:sz="6" w:space="0" w:color="auto"/>
              <w:bottom w:val="nil" w:sz="6" w:space="0" w:color="auto"/>
              <w:right w:val="single" w:sz="2"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580" w:type="dxa"/>
            <w:tcBorders>
              <w:top w:val="nil" w:sz="6" w:space="0" w:color="auto"/>
              <w:left w:val="single" w:sz="2" w:space="0" w:color="000000"/>
              <w:bottom w:val="nil" w:sz="6" w:space="0" w:color="auto"/>
              <w:right w:val="single" w:sz="2" w:space="0" w:color="000000"/>
            </w:tcBorders>
          </w:tcPr>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sz w:val="21"/>
              </w:rPr>
              <w:t>10</w:t>
            </w:r>
          </w:p>
        </w:tc>
        <w:tc>
          <w:tcPr>
            <w:tcW w:w="2791" w:type="dxa"/>
            <w:tcBorders>
              <w:top w:val="nil" w:sz="6" w:space="0" w:color="auto"/>
              <w:left w:val="single" w:sz="2" w:space="0" w:color="000000"/>
              <w:bottom w:val="nil" w:sz="6" w:space="0" w:color="auto"/>
              <w:right w:val="nil" w:sz="6" w:space="0" w:color="auto"/>
            </w:tcBorders>
          </w:tcPr>
          <w:p>
            <w:pPr>
              <w:pStyle w:val="TableParagraph"/>
              <w:spacing w:line="240" w:lineRule="auto" w:before="109"/>
              <w:ind w:right="2"/>
              <w:jc w:val="center"/>
              <w:rPr>
                <w:rFonts w:ascii="Times New Roman" w:hAnsi="Times New Roman" w:cs="Times New Roman" w:eastAsia="Times New Roman" w:hint="default"/>
                <w:sz w:val="21"/>
                <w:szCs w:val="21"/>
              </w:rPr>
            </w:pPr>
            <w:r>
              <w:rPr>
                <w:rFonts w:ascii="Times New Roman"/>
                <w:sz w:val="21"/>
              </w:rPr>
              <w:t>10</w:t>
            </w:r>
          </w:p>
        </w:tc>
      </w:tr>
      <w:tr>
        <w:trPr>
          <w:trHeight w:val="460" w:hRule="exact"/>
        </w:trPr>
        <w:tc>
          <w:tcPr>
            <w:tcW w:w="4498" w:type="dxa"/>
            <w:tcBorders>
              <w:top w:val="nil" w:sz="6" w:space="0" w:color="auto"/>
              <w:left w:val="nil" w:sz="6" w:space="0" w:color="auto"/>
              <w:bottom w:val="nil" w:sz="6" w:space="0" w:color="auto"/>
              <w:right w:val="single" w:sz="2"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580" w:type="dxa"/>
            <w:tcBorders>
              <w:top w:val="nil" w:sz="6" w:space="0" w:color="auto"/>
              <w:left w:val="single" w:sz="2" w:space="0" w:color="000000"/>
              <w:bottom w:val="nil" w:sz="6" w:space="0" w:color="auto"/>
              <w:right w:val="single" w:sz="2" w:space="0" w:color="000000"/>
            </w:tcBorders>
          </w:tcPr>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sz w:val="21"/>
              </w:rPr>
              <w:t>20</w:t>
            </w:r>
          </w:p>
        </w:tc>
        <w:tc>
          <w:tcPr>
            <w:tcW w:w="2791" w:type="dxa"/>
            <w:tcBorders>
              <w:top w:val="nil" w:sz="6" w:space="0" w:color="auto"/>
              <w:left w:val="single" w:sz="2" w:space="0" w:color="000000"/>
              <w:bottom w:val="nil" w:sz="6" w:space="0" w:color="auto"/>
              <w:right w:val="nil" w:sz="6" w:space="0" w:color="auto"/>
            </w:tcBorders>
          </w:tcPr>
          <w:p>
            <w:pPr>
              <w:pStyle w:val="TableParagraph"/>
              <w:spacing w:line="240" w:lineRule="auto" w:before="109"/>
              <w:ind w:right="2"/>
              <w:jc w:val="center"/>
              <w:rPr>
                <w:rFonts w:ascii="Times New Roman" w:hAnsi="Times New Roman" w:cs="Times New Roman" w:eastAsia="Times New Roman" w:hint="default"/>
                <w:sz w:val="21"/>
                <w:szCs w:val="21"/>
              </w:rPr>
            </w:pPr>
            <w:r>
              <w:rPr>
                <w:rFonts w:ascii="Times New Roman"/>
                <w:sz w:val="21"/>
              </w:rPr>
              <w:t>20</w:t>
            </w:r>
          </w:p>
        </w:tc>
      </w:tr>
      <w:tr>
        <w:trPr>
          <w:trHeight w:val="371" w:hRule="exact"/>
        </w:trPr>
        <w:tc>
          <w:tcPr>
            <w:tcW w:w="4498" w:type="dxa"/>
            <w:tcBorders>
              <w:top w:val="nil" w:sz="6" w:space="0" w:color="auto"/>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580"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30</w:t>
            </w:r>
          </w:p>
        </w:tc>
        <w:tc>
          <w:tcPr>
            <w:tcW w:w="2791" w:type="dxa"/>
            <w:tcBorders>
              <w:top w:val="nil" w:sz="6" w:space="0" w:color="auto"/>
              <w:left w:val="single" w:sz="2" w:space="0" w:color="000000"/>
              <w:bottom w:val="single" w:sz="12" w:space="0" w:color="000000"/>
              <w:right w:val="nil" w:sz="6" w:space="0" w:color="auto"/>
            </w:tcBorders>
          </w:tcPr>
          <w:p>
            <w:pPr>
              <w:pStyle w:val="TableParagraph"/>
              <w:spacing w:line="240" w:lineRule="auto" w:before="108"/>
              <w:ind w:right="2"/>
              <w:jc w:val="center"/>
              <w:rPr>
                <w:rFonts w:ascii="Times New Roman" w:hAnsi="Times New Roman" w:cs="Times New Roman" w:eastAsia="Times New Roman" w:hint="default"/>
                <w:sz w:val="21"/>
                <w:szCs w:val="21"/>
              </w:rPr>
            </w:pPr>
            <w:r>
              <w:rPr>
                <w:rFonts w:ascii="Times New Roman"/>
                <w:sz w:val="21"/>
              </w:rPr>
              <w:t>30</w:t>
            </w:r>
          </w:p>
        </w:tc>
      </w:tr>
    </w:tbl>
    <w:p>
      <w:pPr>
        <w:spacing w:line="240" w:lineRule="auto" w:before="12"/>
        <w:rPr>
          <w:rFonts w:ascii="宋体" w:hAnsi="宋体" w:cs="宋体" w:eastAsia="宋体" w:hint="default"/>
          <w:sz w:val="8"/>
          <w:szCs w:val="8"/>
        </w:rPr>
      </w:pPr>
    </w:p>
    <w:p>
      <w:pPr>
        <w:pStyle w:val="BodyText"/>
        <w:spacing w:line="240" w:lineRule="auto" w:before="36"/>
        <w:ind w:left="672" w:right="0"/>
        <w:jc w:val="left"/>
      </w:pPr>
      <w:r>
        <w:rPr>
          <w:rFonts w:ascii="Times New Roman" w:hAnsi="Times New Roman" w:cs="Times New Roman" w:eastAsia="Times New Roman" w:hint="default"/>
        </w:rPr>
        <w:t>(3)</w:t>
      </w:r>
      <w:r>
        <w:rPr/>
        <w:t>单项金额虽不重大但单项计提坏账准备的应收款项：</w:t>
      </w:r>
    </w:p>
    <w:tbl>
      <w:tblPr>
        <w:tblW w:w="0" w:type="auto"/>
        <w:jc w:val="left"/>
        <w:tblInd w:w="116" w:type="dxa"/>
        <w:tblLayout w:type="fixed"/>
        <w:tblCellMar>
          <w:top w:w="0" w:type="dxa"/>
          <w:left w:w="0" w:type="dxa"/>
          <w:bottom w:w="0" w:type="dxa"/>
          <w:right w:w="0" w:type="dxa"/>
        </w:tblCellMar>
        <w:tblLook w:val="01E0"/>
      </w:tblPr>
      <w:tblGrid>
        <w:gridCol w:w="2947"/>
        <w:gridCol w:w="6922"/>
      </w:tblGrid>
      <w:tr>
        <w:trPr>
          <w:trHeight w:val="478" w:hRule="exact"/>
        </w:trPr>
        <w:tc>
          <w:tcPr>
            <w:tcW w:w="29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92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公司将有确凿证据证明难以收回的应收款项</w:t>
            </w:r>
          </w:p>
        </w:tc>
      </w:tr>
      <w:tr>
        <w:trPr>
          <w:trHeight w:val="1399" w:hRule="exact"/>
        </w:trPr>
        <w:tc>
          <w:tcPr>
            <w:tcW w:w="2947"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922" w:type="dxa"/>
            <w:tcBorders>
              <w:top w:val="single" w:sz="2" w:space="0" w:color="000000"/>
              <w:left w:val="single" w:sz="2" w:space="0" w:color="000000"/>
              <w:bottom w:val="single" w:sz="12" w:space="0" w:color="000000"/>
              <w:right w:val="nil" w:sz="6" w:space="0" w:color="auto"/>
            </w:tcBorders>
          </w:tcPr>
          <w:p>
            <w:pPr>
              <w:pStyle w:val="TableParagraph"/>
              <w:spacing w:line="460" w:lineRule="exact" w:before="30"/>
              <w:ind w:left="108" w:right="100"/>
              <w:jc w:val="both"/>
              <w:rPr>
                <w:rFonts w:ascii="宋体" w:hAnsi="宋体" w:cs="宋体" w:eastAsia="宋体" w:hint="default"/>
                <w:sz w:val="21"/>
                <w:szCs w:val="21"/>
              </w:rPr>
            </w:pPr>
            <w:r>
              <w:rPr>
                <w:rFonts w:ascii="宋体" w:hAnsi="宋体" w:cs="宋体" w:eastAsia="宋体" w:hint="default"/>
                <w:spacing w:val="-2"/>
                <w:sz w:val="21"/>
                <w:szCs w:val="21"/>
              </w:rPr>
              <w:t>单独进行减值测试，如有客观证据表明已发生减值，确认差值损失，计入</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当期损益；单独测试未发生减值的应收款项，包括在具有类似信用风险特</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征的应收款项组合中再进行减值测试</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6"/>
        <w:ind w:left="672" w:right="0"/>
        <w:jc w:val="left"/>
      </w:pPr>
      <w:r>
        <w:rPr>
          <w:rFonts w:ascii="Times New Roman" w:hAnsi="Times New Roman" w:cs="Times New Roman" w:eastAsia="Times New Roman" w:hint="default"/>
        </w:rPr>
        <w:t>11</w:t>
      </w:r>
      <w:r>
        <w:rPr/>
        <w:t>、存货的分类和计量</w:t>
      </w:r>
    </w:p>
    <w:p>
      <w:pPr>
        <w:pStyle w:val="BodyText"/>
        <w:spacing w:line="391" w:lineRule="auto" w:before="167"/>
        <w:ind w:left="252" w:right="0" w:firstLine="420"/>
        <w:jc w:val="left"/>
      </w:pPr>
      <w:r>
        <w:rPr/>
        <w:t>（</w:t>
      </w:r>
      <w:r>
        <w:rPr>
          <w:rFonts w:ascii="Times New Roman" w:hAnsi="Times New Roman" w:cs="Times New Roman" w:eastAsia="Times New Roman" w:hint="default"/>
        </w:rPr>
        <w:t>1</w:t>
      </w:r>
      <w:r>
        <w:rPr/>
        <w:t>）存货分类：本公司存货包括在日常活动中持有以备出售的产成品或商品、处于生产过程中的在</w:t>
      </w:r>
      <w:r>
        <w:rPr>
          <w:w w:val="100"/>
        </w:rPr>
        <w:t> </w:t>
      </w:r>
      <w:r>
        <w:rPr>
          <w:spacing w:val="-5"/>
        </w:rPr>
        <w:t>产品、在生产过程或提供劳务过程中耗用的材料和物料等。具体划分为库存商品、在建系统集成项目成本、</w:t>
      </w:r>
      <w:r>
        <w:rPr>
          <w:spacing w:val="-4"/>
        </w:rPr>
        <w:t> </w:t>
      </w:r>
      <w:r>
        <w:rPr>
          <w:spacing w:val="-4"/>
        </w:rPr>
      </w:r>
      <w:r>
        <w:rPr/>
        <w:t>低值易耗品等。</w:t>
      </w:r>
    </w:p>
    <w:p>
      <w:pPr>
        <w:pStyle w:val="BodyText"/>
        <w:spacing w:line="240" w:lineRule="auto" w:before="51"/>
        <w:ind w:left="672" w:right="0"/>
        <w:jc w:val="left"/>
      </w:pPr>
      <w:r>
        <w:rPr/>
        <w:t>（</w:t>
      </w:r>
      <w:r>
        <w:rPr>
          <w:rFonts w:ascii="Times New Roman" w:hAnsi="Times New Roman" w:cs="Times New Roman" w:eastAsia="Times New Roman" w:hint="default"/>
        </w:rPr>
        <w:t>2</w:t>
      </w:r>
      <w:r>
        <w:rPr/>
        <w:t>）存货的确认：本公司存货同时满足下列条件的，予以确认：</w:t>
      </w:r>
    </w:p>
    <w:p>
      <w:pPr>
        <w:pStyle w:val="BodyText"/>
        <w:spacing w:line="240" w:lineRule="auto" w:before="170"/>
        <w:ind w:left="672" w:right="0"/>
        <w:jc w:val="left"/>
      </w:pPr>
      <w:r>
        <w:rPr/>
        <w:t>①与该存货有关的经济利益很可能流入企业；</w:t>
      </w:r>
    </w:p>
    <w:p>
      <w:pPr>
        <w:spacing w:line="240" w:lineRule="auto" w:before="3"/>
        <w:rPr>
          <w:rFonts w:ascii="宋体" w:hAnsi="宋体" w:cs="宋体" w:eastAsia="宋体" w:hint="default"/>
          <w:sz w:val="14"/>
          <w:szCs w:val="14"/>
        </w:rPr>
      </w:pPr>
    </w:p>
    <w:p>
      <w:pPr>
        <w:pStyle w:val="BodyText"/>
        <w:spacing w:line="240" w:lineRule="auto"/>
        <w:ind w:left="672" w:right="0"/>
        <w:jc w:val="left"/>
      </w:pPr>
      <w:r>
        <w:rPr/>
        <w:t>②该存货的成本能够可靠地计量。</w:t>
      </w:r>
    </w:p>
    <w:p>
      <w:pPr>
        <w:spacing w:line="240" w:lineRule="auto" w:before="0"/>
        <w:rPr>
          <w:rFonts w:ascii="宋体" w:hAnsi="宋体" w:cs="宋体" w:eastAsia="宋体" w:hint="default"/>
          <w:sz w:val="14"/>
          <w:szCs w:val="14"/>
        </w:rPr>
      </w:pPr>
    </w:p>
    <w:p>
      <w:pPr>
        <w:pStyle w:val="BodyText"/>
        <w:spacing w:line="381" w:lineRule="auto"/>
        <w:ind w:left="252" w:right="0" w:firstLine="420"/>
        <w:jc w:val="left"/>
      </w:pPr>
      <w:r>
        <w:rPr/>
        <w:t>（</w:t>
      </w:r>
      <w:r>
        <w:rPr>
          <w:rFonts w:ascii="Times New Roman" w:hAnsi="Times New Roman" w:cs="Times New Roman" w:eastAsia="Times New Roman" w:hint="default"/>
        </w:rPr>
        <w:t>3</w:t>
      </w:r>
      <w:r>
        <w:rPr/>
        <w:t>）存货取得和发出的计价方法：本公司取得的存货按成本进行初始计量，发出按个别计价法确定</w:t>
      </w:r>
      <w:r>
        <w:rPr>
          <w:w w:val="100"/>
        </w:rPr>
        <w:t> </w:t>
      </w:r>
      <w:r>
        <w:rPr/>
        <w:t>发出存货的实际成本。</w:t>
      </w:r>
    </w:p>
    <w:p>
      <w:pPr>
        <w:pStyle w:val="BodyText"/>
        <w:spacing w:line="379" w:lineRule="auto" w:before="62"/>
        <w:ind w:left="252" w:right="241" w:firstLine="419"/>
        <w:jc w:val="left"/>
      </w:pPr>
      <w:r>
        <w:rPr/>
        <w:t>（</w:t>
      </w:r>
      <w:r>
        <w:rPr>
          <w:rFonts w:ascii="Times New Roman" w:hAnsi="Times New Roman" w:cs="Times New Roman" w:eastAsia="Times New Roman" w:hint="default"/>
        </w:rPr>
        <w:t>4</w:t>
      </w:r>
      <w:r>
        <w:rPr/>
        <w:t>）</w:t>
      </w:r>
      <w:r>
        <w:rPr>
          <w:spacing w:val="-26"/>
        </w:rPr>
        <w:t> </w:t>
      </w:r>
      <w:r>
        <w:rPr/>
        <w:t>低值易耗品和包装物的摊销方法：低值易耗品和包装物在领用时根据实际情况采用一次摊销法</w:t>
      </w:r>
      <w:r>
        <w:rPr>
          <w:w w:val="100"/>
        </w:rPr>
        <w:t> </w:t>
      </w:r>
      <w:r>
        <w:rPr/>
        <w:t>进行摊销。</w:t>
      </w:r>
    </w:p>
    <w:p>
      <w:pPr>
        <w:pStyle w:val="BodyText"/>
        <w:spacing w:line="381" w:lineRule="auto" w:before="64"/>
        <w:ind w:left="252" w:right="0" w:firstLine="420"/>
        <w:jc w:val="left"/>
      </w:pPr>
      <w:r>
        <w:rPr>
          <w:spacing w:val="-1"/>
        </w:rPr>
        <w:t>（</w:t>
      </w:r>
      <w:r>
        <w:rPr>
          <w:rFonts w:ascii="Times New Roman" w:hAnsi="Times New Roman" w:cs="Times New Roman" w:eastAsia="Times New Roman" w:hint="default"/>
          <w:spacing w:val="-1"/>
        </w:rPr>
        <w:t>5</w:t>
      </w:r>
      <w:r>
        <w:rPr>
          <w:spacing w:val="-1"/>
        </w:rPr>
        <w:t>）</w:t>
      </w:r>
      <w:r>
        <w:rPr>
          <w:spacing w:val="38"/>
        </w:rPr>
        <w:t> </w:t>
      </w:r>
      <w:r>
        <w:rPr>
          <w:spacing w:val="-2"/>
        </w:rPr>
        <w:t>期末存货的计量：资产负债表日，存货按成本与可变现净值孰低计量，存货成本高于其可变现</w:t>
      </w:r>
      <w:r>
        <w:rPr>
          <w:spacing w:val="-3"/>
          <w:w w:val="100"/>
        </w:rPr>
        <w:t> </w:t>
      </w:r>
      <w:r>
        <w:rPr/>
        <w:t>净值的，计提存货跌价准备，计入当期损益。</w:t>
      </w:r>
    </w:p>
    <w:p>
      <w:pPr>
        <w:spacing w:after="0" w:line="381" w:lineRule="auto"/>
        <w:jc w:val="left"/>
        <w:sectPr>
          <w:pgSz w:w="11910" w:h="16840"/>
          <w:pgMar w:header="850" w:footer="979" w:top="1200" w:bottom="1160" w:left="880" w:right="880"/>
        </w:sectPr>
      </w:pPr>
    </w:p>
    <w:p>
      <w:pPr>
        <w:spacing w:line="240" w:lineRule="auto" w:before="11"/>
        <w:rPr>
          <w:rFonts w:ascii="宋体" w:hAnsi="宋体" w:cs="宋体" w:eastAsia="宋体" w:hint="default"/>
          <w:sz w:val="13"/>
          <w:szCs w:val="13"/>
        </w:rPr>
      </w:pPr>
    </w:p>
    <w:p>
      <w:pPr>
        <w:pStyle w:val="BodyText"/>
        <w:spacing w:line="403" w:lineRule="auto" w:before="36"/>
        <w:ind w:left="572" w:right="0"/>
        <w:jc w:val="left"/>
      </w:pPr>
      <w:r>
        <w:rPr/>
        <w:t>①可变现净值的确定方法：</w:t>
      </w:r>
      <w:r>
        <w:rPr>
          <w:spacing w:val="-3"/>
          <w:w w:val="100"/>
        </w:rPr>
        <w:t> </w:t>
      </w:r>
      <w:r>
        <w:rPr>
          <w:spacing w:val="-2"/>
        </w:rPr>
        <w:t>本公司确定存货的可变现净值，以取得的确凿证据为基础，并且考虑持有存货的目的、资产负债表日</w:t>
      </w:r>
    </w:p>
    <w:p>
      <w:pPr>
        <w:pStyle w:val="BodyText"/>
        <w:spacing w:line="403" w:lineRule="auto" w:before="40"/>
        <w:ind w:left="572" w:right="0" w:hanging="420"/>
        <w:jc w:val="left"/>
      </w:pPr>
      <w:r>
        <w:rPr/>
        <w:t>后事项的影响等因素。</w:t>
      </w:r>
      <w:r>
        <w:rPr>
          <w:w w:val="100"/>
        </w:rPr>
        <w:t> </w:t>
      </w:r>
      <w:r>
        <w:rPr>
          <w:spacing w:val="-2"/>
        </w:rPr>
        <w:t>为生产而持有的材料等，用其生产的产成品的可变现净值高于成本的，该材料仍然按照成本计量；材</w:t>
      </w:r>
    </w:p>
    <w:p>
      <w:pPr>
        <w:pStyle w:val="BodyText"/>
        <w:spacing w:line="400" w:lineRule="auto" w:before="43"/>
        <w:ind w:left="572" w:right="0" w:hanging="421"/>
        <w:jc w:val="left"/>
      </w:pPr>
      <w:r>
        <w:rPr/>
        <w:t>料价格的下降表明产成品的可变现净值低于成本的，该材料按照可变现净值计量。</w:t>
      </w:r>
      <w:r>
        <w:rPr>
          <w:w w:val="100"/>
        </w:rPr>
        <w:t> </w:t>
      </w:r>
      <w:r>
        <w:rPr/>
        <w:t>为执行销售合同或者劳务合同而持有的存货，其可变现净值以合同价格为基础计算。</w:t>
      </w:r>
      <w:r>
        <w:rPr>
          <w:w w:val="100"/>
        </w:rPr>
        <w:t> </w:t>
      </w:r>
      <w:r>
        <w:rPr>
          <w:spacing w:val="-2"/>
        </w:rPr>
        <w:t>企业持有存货的数量多于销售合同订购数量的，超出部分的存货的可变现净值以一般销售价格为基础</w:t>
      </w:r>
    </w:p>
    <w:p>
      <w:pPr>
        <w:pStyle w:val="BodyText"/>
        <w:spacing w:line="240" w:lineRule="auto" w:before="45"/>
        <w:ind w:right="0"/>
        <w:jc w:val="left"/>
      </w:pPr>
      <w:r>
        <w:rPr/>
        <w:t>计算。</w:t>
      </w:r>
    </w:p>
    <w:p>
      <w:pPr>
        <w:spacing w:line="240" w:lineRule="auto" w:before="0"/>
        <w:rPr>
          <w:rFonts w:ascii="宋体" w:hAnsi="宋体" w:cs="宋体" w:eastAsia="宋体" w:hint="default"/>
          <w:sz w:val="14"/>
          <w:szCs w:val="14"/>
        </w:rPr>
      </w:pPr>
    </w:p>
    <w:p>
      <w:pPr>
        <w:pStyle w:val="BodyText"/>
        <w:spacing w:line="403" w:lineRule="auto"/>
        <w:ind w:left="572" w:right="0"/>
        <w:jc w:val="left"/>
      </w:pPr>
      <w:r>
        <w:rPr/>
        <w:t>②本公司通常按照单个存货项目计提存货跌价准备。</w:t>
      </w:r>
      <w:r>
        <w:rPr>
          <w:w w:val="100"/>
        </w:rPr>
        <w:t> </w:t>
      </w:r>
      <w:r>
        <w:rPr/>
        <w:t>对于数量繁多、单价较低的存货，按照存货类别计提存货跌价准备。</w:t>
      </w:r>
      <w:r>
        <w:rPr>
          <w:w w:val="100"/>
        </w:rPr>
        <w:t> </w:t>
      </w:r>
      <w:r>
        <w:rPr>
          <w:spacing w:val="-2"/>
        </w:rPr>
        <w:t>与在同一地区生产和销售的产品系列相关、具有相同或类似最终用途或目的，且难以与其他项目分开</w:t>
      </w:r>
    </w:p>
    <w:p>
      <w:pPr>
        <w:pStyle w:val="BodyText"/>
        <w:spacing w:line="240" w:lineRule="auto" w:before="40"/>
        <w:ind w:right="0"/>
        <w:jc w:val="left"/>
      </w:pPr>
      <w:r>
        <w:rPr/>
        <w:t>计量的存货，合并计提存货跌价准备。</w:t>
      </w:r>
    </w:p>
    <w:p>
      <w:pPr>
        <w:spacing w:line="240" w:lineRule="auto" w:before="3"/>
        <w:rPr>
          <w:rFonts w:ascii="宋体" w:hAnsi="宋体" w:cs="宋体" w:eastAsia="宋体" w:hint="default"/>
          <w:sz w:val="14"/>
          <w:szCs w:val="14"/>
        </w:rPr>
      </w:pPr>
    </w:p>
    <w:p>
      <w:pPr>
        <w:pStyle w:val="BodyText"/>
        <w:spacing w:line="240" w:lineRule="auto"/>
        <w:ind w:left="572" w:right="0"/>
        <w:jc w:val="left"/>
      </w:pPr>
      <w:r>
        <w:rPr/>
        <w:t>（</w:t>
      </w:r>
      <w:r>
        <w:rPr>
          <w:rFonts w:ascii="Times New Roman" w:hAnsi="Times New Roman" w:cs="Times New Roman" w:eastAsia="Times New Roman" w:hint="default"/>
        </w:rPr>
        <w:t>6</w:t>
      </w:r>
      <w:r>
        <w:rPr/>
        <w:t>）</w:t>
      </w:r>
      <w:r>
        <w:rPr>
          <w:spacing w:val="-1"/>
        </w:rPr>
        <w:t> </w:t>
      </w:r>
      <w:r>
        <w:rPr/>
        <w:t>存货的盘存制度：本公司采用永续盘存制。</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BodyText"/>
        <w:spacing w:line="240" w:lineRule="auto"/>
        <w:ind w:left="572" w:right="0"/>
        <w:jc w:val="left"/>
      </w:pPr>
      <w:r>
        <w:rPr>
          <w:rFonts w:ascii="Times New Roman" w:hAnsi="Times New Roman" w:cs="Times New Roman" w:eastAsia="Times New Roman" w:hint="default"/>
        </w:rPr>
        <w:t>12</w:t>
      </w:r>
      <w:r>
        <w:rPr/>
        <w:t>、长期股权投资的计量</w:t>
      </w:r>
    </w:p>
    <w:p>
      <w:pPr>
        <w:pStyle w:val="BodyText"/>
        <w:spacing w:line="381" w:lineRule="auto" w:before="170"/>
        <w:ind w:left="572" w:right="3780"/>
        <w:jc w:val="left"/>
      </w:pPr>
      <w:r>
        <w:rPr/>
        <w:t>（</w:t>
      </w:r>
      <w:r>
        <w:rPr>
          <w:rFonts w:ascii="Times New Roman" w:hAnsi="Times New Roman" w:cs="Times New Roman" w:eastAsia="Times New Roman" w:hint="default"/>
        </w:rPr>
        <w:t>1</w:t>
      </w:r>
      <w:r>
        <w:rPr/>
        <w:t>）初始计量</w:t>
      </w:r>
      <w:r>
        <w:rPr>
          <w:w w:val="100"/>
        </w:rPr>
        <w:t> </w:t>
      </w:r>
      <w:r>
        <w:rPr>
          <w:spacing w:val="-2"/>
        </w:rPr>
        <w:t>本公司分别下列两种情况对长期股权投资进行初始计量：</w:t>
      </w:r>
    </w:p>
    <w:p>
      <w:pPr>
        <w:pStyle w:val="BodyText"/>
        <w:spacing w:line="240" w:lineRule="auto" w:before="59"/>
        <w:ind w:left="572" w:right="0"/>
        <w:jc w:val="left"/>
      </w:pPr>
      <w:r>
        <w:rPr/>
        <w:t>①企业合并形成的长期股权投资，按照下列规定确定其初始投资成本：</w:t>
      </w:r>
    </w:p>
    <w:p>
      <w:pPr>
        <w:spacing w:line="240" w:lineRule="auto" w:before="3"/>
        <w:rPr>
          <w:rFonts w:ascii="宋体" w:hAnsi="宋体" w:cs="宋体" w:eastAsia="宋体" w:hint="default"/>
          <w:sz w:val="14"/>
          <w:szCs w:val="14"/>
        </w:rPr>
      </w:pPr>
    </w:p>
    <w:p>
      <w:pPr>
        <w:pStyle w:val="BodyText"/>
        <w:spacing w:line="396" w:lineRule="auto"/>
        <w:ind w:right="0" w:firstLine="420"/>
        <w:jc w:val="left"/>
      </w:pPr>
      <w:r>
        <w:rPr>
          <w:rFonts w:ascii="Times New Roman" w:hAnsi="Times New Roman" w:cs="Times New Roman" w:eastAsia="Times New Roman" w:hint="default"/>
          <w:spacing w:val="-3"/>
        </w:rPr>
        <w:t>A</w:t>
      </w:r>
      <w:r>
        <w:rPr>
          <w:spacing w:val="-3"/>
        </w:rPr>
        <w:t>、同一控制下的企业合并中，合并方以支付现金、转让非现金资产或承担债务方式作为合并对价的，</w:t>
      </w:r>
      <w:r>
        <w:rPr>
          <w:w w:val="100"/>
        </w:rPr>
        <w:t> </w:t>
      </w:r>
      <w:r>
        <w:rPr>
          <w:spacing w:val="-2"/>
        </w:rPr>
        <w:t>在合并日按照取得被合并方所有者权益账面价值的份额作为长期股权投资的初始投资成本。长期股权投资</w:t>
      </w:r>
      <w:r>
        <w:rPr>
          <w:spacing w:val="-43"/>
        </w:rPr>
        <w:t> </w:t>
      </w:r>
      <w:r>
        <w:rPr>
          <w:spacing w:val="-43"/>
        </w:rPr>
      </w:r>
      <w:r>
        <w:rPr>
          <w:spacing w:val="-2"/>
        </w:rPr>
        <w:t>初始投资成本与支付的现金、转让的非现金资产以及所承担债务账面价值之间的差额，调整资本公积；资</w:t>
      </w:r>
      <w:r>
        <w:rPr>
          <w:spacing w:val="-43"/>
        </w:rPr>
        <w:t> </w:t>
      </w:r>
      <w:r>
        <w:rPr>
          <w:spacing w:val="-43"/>
        </w:rPr>
      </w:r>
      <w:r>
        <w:rPr>
          <w:spacing w:val="-2"/>
        </w:rPr>
        <w:t>本公积不足冲减的，调整留存收益。为进行企业合并发生的各项直接相关费用，包括为进行企业合并而支</w:t>
      </w:r>
      <w:r>
        <w:rPr>
          <w:spacing w:val="-43"/>
        </w:rPr>
        <w:t> </w:t>
      </w:r>
      <w:r>
        <w:rPr>
          <w:spacing w:val="-43"/>
        </w:rPr>
      </w:r>
      <w:r>
        <w:rPr/>
        <w:t>付的审计费用、评估费用、法律服务费用等，于发生时计入当期损益。</w:t>
      </w:r>
    </w:p>
    <w:p>
      <w:pPr>
        <w:pStyle w:val="BodyText"/>
        <w:spacing w:line="400" w:lineRule="auto" w:before="47"/>
        <w:ind w:right="207" w:firstLine="420"/>
        <w:jc w:val="both"/>
      </w:pPr>
      <w:r>
        <w:rPr>
          <w:spacing w:val="-2"/>
        </w:rPr>
        <w:t>合并方以发行权益性证券作为合并对价的，在合并日按照取得被合并方所有者权益账面价值的份额作</w:t>
      </w:r>
      <w:r>
        <w:rPr>
          <w:w w:val="100"/>
        </w:rPr>
        <w:t> </w:t>
      </w:r>
      <w:r>
        <w:rPr>
          <w:spacing w:val="-2"/>
        </w:rPr>
        <w:t>为长期股权投资的初始投资成本。按照发行股份的面值总额作为股本，长期股权投资初始投资成本与所发</w:t>
      </w:r>
      <w:r>
        <w:rPr>
          <w:spacing w:val="-43"/>
        </w:rPr>
        <w:t> </w:t>
      </w:r>
      <w:r>
        <w:rPr>
          <w:spacing w:val="-43"/>
        </w:rPr>
      </w:r>
      <w:r>
        <w:rPr>
          <w:spacing w:val="-2"/>
        </w:rPr>
        <w:t>行股份面值总额之间的差额，调整资本公积；资本公积不足冲减的，调整留存收益。合并中发行权益性证</w:t>
      </w:r>
      <w:r>
        <w:rPr>
          <w:spacing w:val="-48"/>
        </w:rPr>
        <w:t> </w:t>
      </w:r>
      <w:r>
        <w:rPr>
          <w:spacing w:val="-48"/>
        </w:rPr>
      </w:r>
      <w:r>
        <w:rPr/>
        <w:t>券发生的手续费、佣金等费用，抵减权益性证券溢价收入，溢价收入不足冲减的，冲减留存收益。</w:t>
      </w:r>
    </w:p>
    <w:p>
      <w:pPr>
        <w:pStyle w:val="BodyText"/>
        <w:spacing w:line="381" w:lineRule="auto" w:before="45"/>
        <w:ind w:left="572" w:right="0"/>
        <w:jc w:val="left"/>
      </w:pPr>
      <w:r>
        <w:rPr>
          <w:rFonts w:ascii="Times New Roman" w:hAnsi="Times New Roman" w:cs="Times New Roman" w:eastAsia="Times New Roman" w:hint="default"/>
        </w:rPr>
        <w:t>B</w:t>
      </w:r>
      <w:r>
        <w:rPr/>
        <w:t>、非同一控制下的企业合并中，购买方区别下列情况确定合并成本：</w:t>
      </w:r>
      <w:r>
        <w:rPr>
          <w:w w:val="100"/>
        </w:rPr>
        <w:t> </w:t>
      </w:r>
      <w:r>
        <w:rPr>
          <w:rFonts w:ascii="Times New Roman" w:hAnsi="Times New Roman" w:cs="Times New Roman" w:eastAsia="Times New Roman" w:hint="default"/>
        </w:rPr>
        <w:t>a</w:t>
      </w:r>
      <w:r>
        <w:rPr/>
        <w:t>）一次交换交易实现的企业合并，合并成本为购买方在购买日为取得对被购买方的控制权而付出的</w:t>
      </w:r>
    </w:p>
    <w:p>
      <w:pPr>
        <w:pStyle w:val="BodyText"/>
        <w:spacing w:line="240" w:lineRule="auto" w:before="30"/>
        <w:ind w:right="0"/>
        <w:jc w:val="left"/>
      </w:pPr>
      <w:r>
        <w:rPr/>
        <w:t>资产、发生或承担的负债以及发行的权益性证券的公允价值；</w:t>
      </w:r>
    </w:p>
    <w:p>
      <w:pPr>
        <w:spacing w:line="240" w:lineRule="auto" w:before="3"/>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b</w:t>
      </w:r>
      <w:r>
        <w:rPr/>
        <w:t>）通过多次交换交易分步实现的企业合并，以购买日之前所持被购买方的股权投资的账面价值与购</w:t>
      </w:r>
    </w:p>
    <w:p>
      <w:pPr>
        <w:spacing w:after="0" w:line="240" w:lineRule="auto"/>
        <w:jc w:val="left"/>
        <w:sectPr>
          <w:pgSz w:w="11910" w:h="16840"/>
          <w:pgMar w:header="850" w:footer="979" w:top="1200" w:bottom="1160" w:left="980" w:right="920"/>
        </w:sectPr>
      </w:pPr>
    </w:p>
    <w:p>
      <w:pPr>
        <w:spacing w:line="240" w:lineRule="auto" w:before="11"/>
        <w:rPr>
          <w:rFonts w:ascii="宋体" w:hAnsi="宋体" w:cs="宋体" w:eastAsia="宋体" w:hint="default"/>
          <w:sz w:val="13"/>
          <w:szCs w:val="13"/>
        </w:rPr>
      </w:pPr>
    </w:p>
    <w:p>
      <w:pPr>
        <w:pStyle w:val="BodyText"/>
        <w:spacing w:line="240" w:lineRule="auto" w:before="36"/>
        <w:ind w:right="0"/>
        <w:jc w:val="both"/>
      </w:pPr>
      <w:r>
        <w:rPr/>
        <w:t>买日新增投资成本之和，作为该项投资的初始投资成本；</w:t>
      </w:r>
    </w:p>
    <w:p>
      <w:pPr>
        <w:spacing w:line="240" w:lineRule="auto" w:before="3"/>
        <w:rPr>
          <w:rFonts w:ascii="宋体" w:hAnsi="宋体" w:cs="宋体" w:eastAsia="宋体" w:hint="default"/>
          <w:sz w:val="14"/>
          <w:szCs w:val="14"/>
        </w:rPr>
      </w:pPr>
    </w:p>
    <w:p>
      <w:pPr>
        <w:pStyle w:val="BodyText"/>
        <w:spacing w:line="391" w:lineRule="auto"/>
        <w:ind w:right="146" w:firstLine="420"/>
        <w:jc w:val="both"/>
      </w:pPr>
      <w:r>
        <w:rPr>
          <w:rFonts w:ascii="Times New Roman" w:hAnsi="Times New Roman" w:cs="Times New Roman" w:eastAsia="Times New Roman" w:hint="default"/>
        </w:rPr>
        <w:t>c</w:t>
      </w:r>
      <w:r>
        <w:rPr/>
        <w:t>）购买方为企业合并发生的审计、法律服务、评估咨询等中介费用以及其他相关管理费用，应当于</w:t>
      </w:r>
      <w:r>
        <w:rPr>
          <w:w w:val="100"/>
        </w:rPr>
        <w:t> </w:t>
      </w:r>
      <w:r>
        <w:rPr>
          <w:spacing w:val="-2"/>
        </w:rPr>
        <w:t>发生时计入当期损益；购买方作为合并对价发行的权益性证券或债务性证券的交易费用，应当计入权益性</w:t>
      </w:r>
      <w:r>
        <w:rPr>
          <w:spacing w:val="-44"/>
        </w:rPr>
        <w:t> </w:t>
      </w:r>
      <w:r>
        <w:rPr>
          <w:spacing w:val="-44"/>
        </w:rPr>
      </w:r>
      <w:r>
        <w:rPr/>
        <w:t>证券或债务性证券的初始确认金额；</w:t>
      </w:r>
    </w:p>
    <w:p>
      <w:pPr>
        <w:pStyle w:val="BodyText"/>
        <w:spacing w:line="379" w:lineRule="auto" w:before="53"/>
        <w:ind w:right="153" w:firstLine="420"/>
        <w:jc w:val="both"/>
      </w:pPr>
      <w:r>
        <w:rPr>
          <w:rFonts w:ascii="Times New Roman" w:hAnsi="Times New Roman" w:cs="Times New Roman" w:eastAsia="Times New Roman" w:hint="default"/>
        </w:rPr>
        <w:t>d</w:t>
      </w:r>
      <w:r>
        <w:rPr/>
        <w:t>）在合并合同或协议中对可能影响合并成本的未来事项作出约定的，购买日如果估计未来事项很可</w:t>
      </w:r>
      <w:r>
        <w:rPr>
          <w:w w:val="100"/>
        </w:rPr>
        <w:t> </w:t>
      </w:r>
      <w:r>
        <w:rPr/>
        <w:t>能发生并且对合并成本的影响金额能够可靠计量的，将其计入合并成本。</w:t>
      </w:r>
    </w:p>
    <w:p>
      <w:pPr>
        <w:pStyle w:val="BodyText"/>
        <w:spacing w:line="403" w:lineRule="auto" w:before="64"/>
        <w:ind w:right="147" w:firstLine="420"/>
        <w:jc w:val="both"/>
      </w:pPr>
      <w:r>
        <w:rPr>
          <w:spacing w:val="-2"/>
        </w:rPr>
        <w:t>②除企业合并形成的长期股权投资以外，其他方式取得的长期股权投资，按照下列规定确定其初始投</w:t>
      </w:r>
      <w:r>
        <w:rPr>
          <w:w w:val="100"/>
        </w:rPr>
        <w:t> </w:t>
      </w:r>
      <w:r>
        <w:rPr/>
        <w:t>资成本：</w:t>
      </w:r>
    </w:p>
    <w:p>
      <w:pPr>
        <w:pStyle w:val="BodyText"/>
        <w:spacing w:line="381" w:lineRule="auto" w:before="40"/>
        <w:ind w:right="149" w:firstLine="420"/>
        <w:jc w:val="both"/>
      </w:pPr>
      <w:r>
        <w:rPr>
          <w:rFonts w:ascii="Times New Roman" w:hAnsi="Times New Roman" w:cs="Times New Roman" w:eastAsia="Times New Roman" w:hint="default"/>
        </w:rPr>
        <w:t>A</w:t>
      </w:r>
      <w:r>
        <w:rPr/>
        <w:t>、</w:t>
      </w:r>
      <w:r>
        <w:rPr>
          <w:spacing w:val="32"/>
        </w:rPr>
        <w:t> </w:t>
      </w:r>
      <w:r>
        <w:rPr>
          <w:spacing w:val="-3"/>
        </w:rPr>
        <w:t>以支付现金取得的长期股权投资，按照实际支付的购买价款作为初始投资成本。初始投资成本包</w:t>
      </w:r>
      <w:r>
        <w:rPr>
          <w:w w:val="100"/>
        </w:rPr>
        <w:t> </w:t>
      </w:r>
      <w:r>
        <w:rPr/>
        <w:t>括与取得长期股权投资直接相关的费用、税金及其他必要支出。</w:t>
      </w:r>
    </w:p>
    <w:p>
      <w:pPr>
        <w:pStyle w:val="BodyText"/>
        <w:spacing w:line="393" w:lineRule="auto" w:before="62"/>
        <w:ind w:right="128" w:firstLine="420"/>
        <w:jc w:val="both"/>
      </w:pPr>
      <w:r>
        <w:rPr>
          <w:rFonts w:ascii="Times New Roman" w:hAnsi="Times New Roman" w:cs="Times New Roman" w:eastAsia="Times New Roman" w:hint="default"/>
        </w:rPr>
        <w:t>B</w:t>
      </w:r>
      <w:r>
        <w:rPr/>
        <w:t>、以发行权益性证券取得的长期股权投资，按照发行权益性证券的公允价值作为初始投资成本。但</w:t>
      </w:r>
      <w:r>
        <w:rPr>
          <w:w w:val="100"/>
        </w:rPr>
        <w:t> </w:t>
      </w:r>
      <w:r>
        <w:rPr>
          <w:spacing w:val="-2"/>
        </w:rPr>
        <w:t>不包括应自被投资单位收取的已宣告但尚未发放的现金股利或利润。支付给有关证券承销机构的手续费、</w:t>
      </w:r>
      <w:r>
        <w:rPr>
          <w:spacing w:val="-24"/>
        </w:rPr>
        <w:t> </w:t>
      </w:r>
      <w:r>
        <w:rPr>
          <w:spacing w:val="-24"/>
        </w:rPr>
      </w:r>
      <w:r>
        <w:rPr>
          <w:spacing w:val="-2"/>
        </w:rPr>
        <w:t>佣金等与权益性证券发行直接相关的费用，自权益性证券的溢价发行收入中扣除，溢价发行收入不足冲减</w:t>
      </w:r>
      <w:r>
        <w:rPr>
          <w:spacing w:val="-43"/>
        </w:rPr>
        <w:t> </w:t>
      </w:r>
      <w:r>
        <w:rPr>
          <w:spacing w:val="-43"/>
        </w:rPr>
      </w:r>
      <w:r>
        <w:rPr/>
        <w:t>的，冲减盈余公积和未分配利润。</w:t>
      </w:r>
    </w:p>
    <w:p>
      <w:pPr>
        <w:pStyle w:val="BodyText"/>
        <w:spacing w:line="381" w:lineRule="auto" w:before="49"/>
        <w:ind w:left="151" w:right="149" w:firstLine="420"/>
        <w:jc w:val="both"/>
      </w:pPr>
      <w:r>
        <w:rPr>
          <w:rFonts w:ascii="Times New Roman" w:hAnsi="Times New Roman" w:cs="Times New Roman" w:eastAsia="Times New Roman" w:hint="default"/>
        </w:rPr>
        <w:t>C</w:t>
      </w:r>
      <w:r>
        <w:rPr/>
        <w:t>、投资者投入的长期股权投资，按照投资合同或协议约定的价值作为初始投资成本，但合同或协议</w:t>
      </w:r>
      <w:r>
        <w:rPr>
          <w:w w:val="100"/>
        </w:rPr>
        <w:t> </w:t>
      </w:r>
      <w:r>
        <w:rPr/>
        <w:t>约定价值不公允的除外。</w:t>
      </w:r>
    </w:p>
    <w:p>
      <w:pPr>
        <w:pStyle w:val="BodyText"/>
        <w:spacing w:line="379" w:lineRule="auto" w:before="62"/>
        <w:ind w:left="151" w:right="154" w:firstLine="420"/>
        <w:jc w:val="both"/>
      </w:pPr>
      <w:r>
        <w:rPr>
          <w:rFonts w:ascii="Times New Roman" w:hAnsi="Times New Roman" w:cs="Times New Roman" w:eastAsia="Times New Roman" w:hint="default"/>
          <w:spacing w:val="-3"/>
        </w:rPr>
        <w:t>D</w:t>
      </w:r>
      <w:r>
        <w:rPr>
          <w:spacing w:val="-3"/>
        </w:rPr>
        <w:t>、通过非货币性资产交换取得的长期股权投资，其初始投资成本按照《企业会计准则第</w:t>
      </w:r>
      <w:r>
        <w:rPr>
          <w:rFonts w:ascii="Times New Roman" w:hAnsi="Times New Roman" w:cs="Times New Roman" w:eastAsia="Times New Roman" w:hint="default"/>
          <w:spacing w:val="-3"/>
        </w:rPr>
        <w:t>7</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非货币</w:t>
      </w:r>
      <w:r>
        <w:rPr>
          <w:spacing w:val="-3"/>
          <w:w w:val="100"/>
        </w:rPr>
        <w:t> </w:t>
      </w:r>
      <w:r>
        <w:rPr/>
        <w:t>性资产交换》确定。</w:t>
      </w:r>
    </w:p>
    <w:p>
      <w:pPr>
        <w:pStyle w:val="BodyText"/>
        <w:spacing w:line="381" w:lineRule="auto" w:before="64"/>
        <w:ind w:left="151" w:right="151" w:firstLine="419"/>
        <w:jc w:val="both"/>
      </w:pPr>
      <w:r>
        <w:rPr>
          <w:rFonts w:ascii="Times New Roman" w:hAnsi="Times New Roman" w:cs="Times New Roman" w:eastAsia="Times New Roman" w:hint="default"/>
        </w:rPr>
        <w:t>E</w:t>
      </w:r>
      <w:r>
        <w:rPr/>
        <w:t>、通过债务重组取得的长期股权投资，其初始投资成本按照《企业会计准则第</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号</w:t>
      </w:r>
      <w:r>
        <w:rPr>
          <w:rFonts w:ascii="Times New Roman" w:hAnsi="Times New Roman" w:cs="Times New Roman" w:eastAsia="Times New Roman" w:hint="default"/>
        </w:rPr>
        <w:t>--</w:t>
      </w:r>
      <w:r>
        <w:rPr/>
        <w:t>债务重组》确</w:t>
      </w:r>
      <w:r>
        <w:rPr>
          <w:w w:val="100"/>
        </w:rPr>
        <w:t> </w:t>
      </w:r>
      <w:r>
        <w:rPr/>
        <w:t>定。</w:t>
      </w:r>
    </w:p>
    <w:p>
      <w:pPr>
        <w:pStyle w:val="BodyText"/>
        <w:spacing w:line="403" w:lineRule="auto" w:before="59"/>
        <w:ind w:right="147" w:firstLine="419"/>
        <w:jc w:val="both"/>
      </w:pPr>
      <w:r>
        <w:rPr>
          <w:spacing w:val="-2"/>
        </w:rPr>
        <w:t>③企业无论是以何种方式取得长期股权投资，取得投资时，对于支付的对价中包含的应享有被投资单</w:t>
      </w:r>
      <w:r>
        <w:rPr>
          <w:w w:val="100"/>
        </w:rPr>
        <w:t> </w:t>
      </w:r>
      <w:r>
        <w:rPr>
          <w:spacing w:val="-2"/>
        </w:rPr>
        <w:t>位已经宣告但尚未发放的现金股利或利润都作为应收项目单独核算，不构成取得长期股权投资的初始投资</w:t>
      </w:r>
      <w:r>
        <w:rPr>
          <w:spacing w:val="-43"/>
        </w:rPr>
        <w:t> </w:t>
      </w:r>
      <w:r>
        <w:rPr>
          <w:spacing w:val="-43"/>
        </w:rPr>
      </w:r>
      <w:r>
        <w:rPr/>
        <w:t>成本。</w:t>
      </w:r>
    </w:p>
    <w:p>
      <w:pPr>
        <w:pStyle w:val="BodyText"/>
        <w:spacing w:line="381" w:lineRule="auto" w:before="40"/>
        <w:ind w:left="572" w:right="0"/>
        <w:jc w:val="left"/>
      </w:pPr>
      <w:r>
        <w:rPr/>
        <w:t>（</w:t>
      </w:r>
      <w:r>
        <w:rPr>
          <w:rFonts w:ascii="Times New Roman" w:hAnsi="Times New Roman" w:cs="Times New Roman" w:eastAsia="Times New Roman" w:hint="default"/>
        </w:rPr>
        <w:t>2</w:t>
      </w:r>
      <w:r>
        <w:rPr/>
        <w:t>） 后续计量</w:t>
      </w:r>
      <w:r>
        <w:rPr>
          <w:spacing w:val="-103"/>
        </w:rPr>
        <w:t> </w:t>
      </w:r>
      <w:r>
        <w:rPr>
          <w:spacing w:val="-103"/>
        </w:rPr>
      </w:r>
      <w:r>
        <w:rPr>
          <w:spacing w:val="-2"/>
        </w:rPr>
        <w:t>本公司在长期股权投资持有期间，根据对被投资单位的影响程度及是否存在活跃市场、公允价值能否</w:t>
      </w:r>
    </w:p>
    <w:p>
      <w:pPr>
        <w:pStyle w:val="BodyText"/>
        <w:spacing w:line="400" w:lineRule="auto" w:before="62"/>
        <w:ind w:right="147"/>
        <w:jc w:val="both"/>
      </w:pPr>
      <w:r>
        <w:rPr>
          <w:spacing w:val="-2"/>
        </w:rPr>
        <w:t>可靠取得等进行划分，并分别采用成本法及权益法进行核算。对被投资单位具有共同控制或重大影响的长</w:t>
      </w:r>
      <w:r>
        <w:rPr>
          <w:spacing w:val="-43"/>
        </w:rPr>
        <w:t> </w:t>
      </w:r>
      <w:r>
        <w:rPr>
          <w:spacing w:val="-43"/>
        </w:rPr>
      </w:r>
      <w:r>
        <w:rPr>
          <w:spacing w:val="-2"/>
        </w:rPr>
        <w:t>期股权投资，采用权益法核算；对被投资单位能够实施控制的长期股权投资，以及对被投资单位不具有共</w:t>
      </w:r>
      <w:r>
        <w:rPr>
          <w:spacing w:val="-48"/>
        </w:rPr>
        <w:t> </w:t>
      </w:r>
      <w:r>
        <w:rPr>
          <w:spacing w:val="-48"/>
        </w:rPr>
      </w:r>
      <w:r>
        <w:rPr>
          <w:spacing w:val="-2"/>
        </w:rPr>
        <w:t>同控制或重大影响、并且在活跃市场中没有报价、公允价值不能可靠计量的长期股权投资，采用成本法核</w:t>
      </w:r>
      <w:r>
        <w:rPr>
          <w:spacing w:val="-43"/>
        </w:rPr>
        <w:t> </w:t>
      </w:r>
      <w:r>
        <w:rPr>
          <w:spacing w:val="-43"/>
        </w:rPr>
      </w:r>
      <w:r>
        <w:rPr/>
        <w:t>算。</w:t>
      </w:r>
    </w:p>
    <w:p>
      <w:pPr>
        <w:pStyle w:val="BodyText"/>
        <w:spacing w:line="403" w:lineRule="auto" w:before="42"/>
        <w:ind w:right="147" w:firstLine="420"/>
        <w:jc w:val="both"/>
      </w:pPr>
      <w:r>
        <w:rPr>
          <w:spacing w:val="-2"/>
        </w:rPr>
        <w:t>①采用成本法核算的长期股权投资，除取得投资时实际支付的价款或对价中包含的已宣告但尚未发放</w:t>
      </w:r>
      <w:r>
        <w:rPr>
          <w:w w:val="100"/>
        </w:rPr>
        <w:t> </w:t>
      </w:r>
      <w:r>
        <w:rPr>
          <w:spacing w:val="-2"/>
        </w:rPr>
        <w:t>的现金股利或利润外，投资企业应当按照享有被投资单位宣告发放的现金股利或利润确认投资收益，不再</w:t>
      </w:r>
    </w:p>
    <w:p>
      <w:pPr>
        <w:spacing w:after="0" w:line="403" w:lineRule="auto"/>
        <w:jc w:val="both"/>
        <w:sectPr>
          <w:footerReference w:type="default" r:id="rId46"/>
          <w:pgSz w:w="11910" w:h="16840"/>
          <w:pgMar w:footer="979" w:header="850" w:top="1200" w:bottom="1160" w:left="980" w:right="980"/>
          <w:pgNumType w:start="92"/>
        </w:sectPr>
      </w:pPr>
    </w:p>
    <w:p>
      <w:pPr>
        <w:spacing w:line="240" w:lineRule="auto" w:before="11"/>
        <w:rPr>
          <w:rFonts w:ascii="宋体" w:hAnsi="宋体" w:cs="宋体" w:eastAsia="宋体" w:hint="default"/>
          <w:sz w:val="13"/>
          <w:szCs w:val="13"/>
        </w:rPr>
      </w:pPr>
    </w:p>
    <w:p>
      <w:pPr>
        <w:pStyle w:val="BodyText"/>
        <w:spacing w:line="403" w:lineRule="auto" w:before="36"/>
        <w:ind w:left="572" w:right="0" w:hanging="421"/>
        <w:jc w:val="left"/>
      </w:pPr>
      <w:r>
        <w:rPr/>
        <w:t>划分是否属于投资前和投资后被投资单位实现的净利润。</w:t>
      </w:r>
      <w:r>
        <w:rPr>
          <w:w w:val="100"/>
        </w:rPr>
        <w:t> </w:t>
      </w:r>
      <w:r>
        <w:rPr>
          <w:spacing w:val="-2"/>
        </w:rPr>
        <w:t>公司按照上述规定确认自被投资单位应分得的现金股利或利润后，应当考虑长期股权投资是否发生减</w:t>
      </w:r>
    </w:p>
    <w:p>
      <w:pPr>
        <w:pStyle w:val="BodyText"/>
        <w:spacing w:line="393" w:lineRule="auto" w:before="40"/>
        <w:ind w:right="206"/>
        <w:jc w:val="both"/>
      </w:pPr>
      <w:r>
        <w:rPr>
          <w:spacing w:val="-2"/>
        </w:rPr>
        <w:t>值。在判断该类长期股权投资是否存在减值迹象时，应当关注长期股权投资的账面价值是否大于享有被投</w:t>
      </w:r>
      <w:r>
        <w:rPr>
          <w:spacing w:val="-44"/>
        </w:rPr>
        <w:t> </w:t>
      </w:r>
      <w:r>
        <w:rPr>
          <w:spacing w:val="-44"/>
        </w:rPr>
      </w:r>
      <w:r>
        <w:rPr>
          <w:spacing w:val="-2"/>
        </w:rPr>
        <w:t>资单位净资产（包括相关商誉）账面价值的份额等类似情况。出现类似情况时，应当按照《企业会计准则</w:t>
      </w:r>
      <w:r>
        <w:rPr>
          <w:spacing w:val="-43"/>
        </w:rPr>
        <w:t> </w:t>
      </w:r>
      <w:r>
        <w:rPr>
          <w:spacing w:val="-43"/>
        </w:rPr>
      </w:r>
      <w:r>
        <w:rPr/>
        <w:t>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资产减值》对长期股权投资进行减值测试，可收回金额低于长期股权投资账面价值的，应当计</w:t>
      </w:r>
      <w:r>
        <w:rPr>
          <w:spacing w:val="-28"/>
        </w:rPr>
        <w:t> </w:t>
      </w:r>
      <w:r>
        <w:rPr>
          <w:spacing w:val="-28"/>
        </w:rPr>
      </w:r>
      <w:r>
        <w:rPr/>
        <w:t>提减值准备。</w:t>
      </w:r>
    </w:p>
    <w:p>
      <w:pPr>
        <w:pStyle w:val="BodyText"/>
        <w:spacing w:line="400" w:lineRule="auto" w:before="51"/>
        <w:ind w:right="206" w:firstLine="420"/>
        <w:jc w:val="both"/>
      </w:pPr>
      <w:r>
        <w:rPr>
          <w:spacing w:val="-2"/>
        </w:rPr>
        <w:t>②采用权益法核算的长期股权投资，本公司在取得长期股权投资以后，按照应享有或应分担的被投资</w:t>
      </w:r>
      <w:r>
        <w:rPr>
          <w:w w:val="100"/>
        </w:rPr>
        <w:t> </w:t>
      </w:r>
      <w:r>
        <w:rPr>
          <w:spacing w:val="-2"/>
        </w:rPr>
        <w:t>单位实现的净损益的份额，确认投资损益并调整长期股权投资的账面价值。本公司按照被投资单位宣告分</w:t>
      </w:r>
      <w:r>
        <w:rPr>
          <w:spacing w:val="-43"/>
        </w:rPr>
        <w:t> </w:t>
      </w:r>
      <w:r>
        <w:rPr>
          <w:spacing w:val="-43"/>
        </w:rPr>
      </w:r>
      <w:r>
        <w:rPr/>
        <w:t>派的利润或现金股利计算应分得的部分，相应减少长期股权投资的账面价值。</w:t>
      </w:r>
    </w:p>
    <w:p>
      <w:pPr>
        <w:pStyle w:val="BodyText"/>
        <w:spacing w:line="400" w:lineRule="auto" w:before="45"/>
        <w:ind w:right="206" w:firstLine="420"/>
        <w:jc w:val="both"/>
      </w:pPr>
      <w:r>
        <w:rPr>
          <w:spacing w:val="-2"/>
        </w:rPr>
        <w:t>采用权益法核算的长期投资，本公司确认被投资单位发生的净亏损，以长期股权投资的账面价值以及</w:t>
      </w:r>
      <w:r>
        <w:rPr>
          <w:w w:val="100"/>
        </w:rPr>
        <w:t> </w:t>
      </w:r>
      <w:r>
        <w:rPr>
          <w:spacing w:val="-2"/>
        </w:rPr>
        <w:t>其他实质上构成对被投资单位净投资的长期权益减记至零为限，公司负有承担额外损失义务的除外。被投</w:t>
      </w:r>
      <w:r>
        <w:rPr>
          <w:spacing w:val="-43"/>
        </w:rPr>
        <w:t> </w:t>
      </w:r>
      <w:r>
        <w:rPr>
          <w:spacing w:val="-43"/>
        </w:rPr>
      </w:r>
      <w:r>
        <w:rPr/>
        <w:t>资单位以后实现净利润的，公司在其收益分享额弥补未确认的亏损分担额后，恢复确认收益分享额。</w:t>
      </w:r>
    </w:p>
    <w:p>
      <w:pPr>
        <w:pStyle w:val="BodyText"/>
        <w:spacing w:line="391" w:lineRule="auto" w:before="45"/>
        <w:ind w:right="206" w:firstLine="420"/>
        <w:jc w:val="both"/>
      </w:pPr>
      <w:r>
        <w:rPr>
          <w:spacing w:val="-2"/>
        </w:rPr>
        <w:t>③按照公司会计政策规定采用成本法核算的、在活跃市场中没有报价、公允价值不能可靠计量的长期</w:t>
      </w:r>
      <w:r>
        <w:rPr>
          <w:w w:val="100"/>
        </w:rPr>
        <w:t> </w:t>
      </w:r>
      <w:r>
        <w:rPr>
          <w:spacing w:val="-2"/>
        </w:rPr>
        <w:t>股权投资，其减值按照公司</w:t>
      </w:r>
      <w:r>
        <w:rPr>
          <w:rFonts w:ascii="Times New Roman" w:hAnsi="Times New Roman" w:cs="Times New Roman" w:eastAsia="Times New Roman" w:hint="default"/>
          <w:spacing w:val="-2"/>
        </w:rPr>
        <w:t>“</w:t>
      </w:r>
      <w:r>
        <w:rPr>
          <w:spacing w:val="-2"/>
        </w:rPr>
        <w:t>金融工具的确认和计量</w:t>
      </w:r>
      <w:r>
        <w:rPr>
          <w:rFonts w:ascii="Times New Roman" w:hAnsi="Times New Roman" w:cs="Times New Roman" w:eastAsia="Times New Roman" w:hint="default"/>
          <w:spacing w:val="-2"/>
        </w:rPr>
        <w:t>”</w:t>
      </w:r>
      <w:r>
        <w:rPr>
          <w:spacing w:val="-2"/>
        </w:rPr>
        <w:t>相关会计政策处理；其他按照公司会计政策核算的长</w:t>
      </w:r>
      <w:r>
        <w:rPr>
          <w:spacing w:val="-24"/>
        </w:rPr>
        <w:t> </w:t>
      </w:r>
      <w:r>
        <w:rPr>
          <w:spacing w:val="-24"/>
        </w:rPr>
      </w:r>
      <w:r>
        <w:rPr/>
        <w:t>期股权投资，其减值按照公司制定的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会计政策处理。</w:t>
      </w:r>
    </w:p>
    <w:p>
      <w:pPr>
        <w:pStyle w:val="BodyText"/>
        <w:spacing w:line="400" w:lineRule="auto" w:before="23"/>
        <w:ind w:right="207" w:firstLine="434"/>
        <w:jc w:val="both"/>
      </w:pPr>
      <w:r>
        <w:rPr>
          <w:spacing w:val="-3"/>
        </w:rPr>
        <w:t>④本公司处置长期股权投资，其账面价值与实际取得价款的差额，计入当期损益。采用权益法核算的</w:t>
      </w:r>
      <w:r>
        <w:rPr>
          <w:spacing w:val="-3"/>
          <w:w w:val="100"/>
        </w:rPr>
        <w:t> </w:t>
      </w:r>
      <w:r>
        <w:rPr>
          <w:spacing w:val="-2"/>
        </w:rPr>
        <w:t>长期股权投资，因被投资单位除净损益以外所有者权益的其他变动而计入所有者权益的，处置该项投资时</w:t>
      </w:r>
      <w:r>
        <w:rPr>
          <w:spacing w:val="-43"/>
        </w:rPr>
        <w:t> </w:t>
      </w:r>
      <w:r>
        <w:rPr>
          <w:spacing w:val="-43"/>
        </w:rPr>
      </w:r>
      <w:r>
        <w:rPr/>
        <w:t>将原计入所有者权益的部分按相应比例转入当期损益。</w:t>
      </w:r>
    </w:p>
    <w:p>
      <w:pPr>
        <w:pStyle w:val="BodyText"/>
        <w:spacing w:line="381" w:lineRule="auto" w:before="45"/>
        <w:ind w:left="586" w:right="0"/>
        <w:jc w:val="left"/>
      </w:pPr>
      <w:r>
        <w:rPr/>
        <w:t>（</w:t>
      </w:r>
      <w:r>
        <w:rPr>
          <w:rFonts w:ascii="Times New Roman" w:hAnsi="Times New Roman" w:cs="Times New Roman" w:eastAsia="Times New Roman" w:hint="default"/>
        </w:rPr>
        <w:t>3</w:t>
      </w:r>
      <w:r>
        <w:rPr/>
        <w:t>）确定对被投资单位具有共同控制、重大影响的依据</w:t>
      </w:r>
      <w:r>
        <w:rPr>
          <w:w w:val="100"/>
        </w:rPr>
        <w:t> </w:t>
      </w:r>
      <w:r>
        <w:rPr>
          <w:spacing w:val="-3"/>
        </w:rPr>
        <w:t>本公司对外投资符合下列情况时，确定为投资单位具有共同控制：①任何一个合营方均不能单独控制</w:t>
      </w:r>
    </w:p>
    <w:p>
      <w:pPr>
        <w:pStyle w:val="BodyText"/>
        <w:spacing w:line="403" w:lineRule="auto" w:before="59"/>
        <w:ind w:right="207"/>
        <w:jc w:val="both"/>
      </w:pPr>
      <w:r>
        <w:rPr>
          <w:spacing w:val="-2"/>
        </w:rPr>
        <w:t>合营企业的生产经营活动；②涉及合营企业基本经营活动的决策需要各合营方一致同意；③各合营方可能</w:t>
      </w:r>
      <w:r>
        <w:rPr>
          <w:spacing w:val="-44"/>
        </w:rPr>
        <w:t> </w:t>
      </w:r>
      <w:r>
        <w:rPr>
          <w:spacing w:val="-44"/>
        </w:rPr>
      </w:r>
      <w:r>
        <w:rPr>
          <w:spacing w:val="-2"/>
        </w:rPr>
        <w:t>通过合同或协议的形式任命其中的一个合营方对合营企业的日常活动进行管理，但其必须在各合营方已经</w:t>
      </w:r>
      <w:r>
        <w:rPr>
          <w:spacing w:val="-43"/>
        </w:rPr>
        <w:t> </w:t>
      </w:r>
      <w:r>
        <w:rPr>
          <w:spacing w:val="-43"/>
        </w:rPr>
      </w:r>
      <w:r>
        <w:rPr/>
        <w:t>一致同意的财务和经营政策范围内行使管理权。</w:t>
      </w:r>
    </w:p>
    <w:p>
      <w:pPr>
        <w:pStyle w:val="BodyText"/>
        <w:spacing w:line="400" w:lineRule="auto" w:before="40"/>
        <w:ind w:right="105" w:firstLine="434"/>
        <w:jc w:val="both"/>
      </w:pPr>
      <w:r>
        <w:rPr>
          <w:spacing w:val="-3"/>
        </w:rPr>
        <w:t>本公司对外投资符合下列情况时，确定为对投资单位具有重大影响：①在被投资单位的董事会或类似</w:t>
      </w:r>
      <w:r>
        <w:rPr>
          <w:w w:val="100"/>
        </w:rPr>
        <w:t> </w:t>
      </w:r>
      <w:r>
        <w:rPr>
          <w:spacing w:val="-2"/>
        </w:rPr>
        <w:t>权力机构中派有代表；②参与被投资单位的政策制定过程，包括股利分配政策等的制定；③与被投资单位</w:t>
      </w:r>
      <w:r>
        <w:rPr>
          <w:spacing w:val="-47"/>
        </w:rPr>
        <w:t> </w:t>
      </w:r>
      <w:r>
        <w:rPr>
          <w:spacing w:val="-47"/>
        </w:rPr>
      </w:r>
      <w:r>
        <w:rPr>
          <w:spacing w:val="-2"/>
        </w:rPr>
        <w:t>之间发生重要交易；④向被投资单位派出管理人员；⑤向被投资单位提供关键技术资料。本公司直接或通</w:t>
      </w:r>
      <w:r>
        <w:rPr>
          <w:spacing w:val="-43"/>
        </w:rPr>
        <w:t> </w:t>
      </w:r>
      <w:r>
        <w:rPr>
          <w:spacing w:val="-43"/>
        </w:rPr>
      </w:r>
      <w:r>
        <w:rPr>
          <w:spacing w:val="-3"/>
        </w:rPr>
        <w:t>过子公司间接拥有被投资企业</w:t>
      </w:r>
      <w:r>
        <w:rPr>
          <w:rFonts w:ascii="Times New Roman" w:hAnsi="Times New Roman" w:cs="Times New Roman" w:eastAsia="Times New Roman" w:hint="default"/>
          <w:spacing w:val="-3"/>
        </w:rPr>
        <w:t>20%</w:t>
      </w:r>
      <w:r>
        <w:rPr>
          <w:spacing w:val="-3"/>
        </w:rPr>
        <w:t>以上但低于</w:t>
      </w:r>
      <w:r>
        <w:rPr>
          <w:rFonts w:ascii="Times New Roman" w:hAnsi="Times New Roman" w:cs="Times New Roman" w:eastAsia="Times New Roman" w:hint="default"/>
          <w:spacing w:val="-3"/>
        </w:rPr>
        <w:t>50%</w:t>
      </w:r>
      <w:r>
        <w:rPr>
          <w:spacing w:val="-3"/>
        </w:rPr>
        <w:t>的表决权股份时，一般认为对被投资单位具有重大影响。</w:t>
      </w:r>
    </w:p>
    <w:p>
      <w:pPr>
        <w:pStyle w:val="BodyText"/>
        <w:spacing w:line="381" w:lineRule="auto" w:before="14"/>
        <w:ind w:left="586" w:right="0"/>
        <w:jc w:val="left"/>
      </w:pPr>
      <w:r>
        <w:rPr/>
        <w:t>（</w:t>
      </w:r>
      <w:r>
        <w:rPr>
          <w:rFonts w:ascii="Times New Roman" w:hAnsi="Times New Roman" w:cs="Times New Roman" w:eastAsia="Times New Roman" w:hint="default"/>
        </w:rPr>
        <w:t>4</w:t>
      </w:r>
      <w:r>
        <w:rPr/>
        <w:t>）减值测试方法及减值准备计提方法</w:t>
      </w:r>
      <w:r>
        <w:rPr>
          <w:spacing w:val="-3"/>
          <w:w w:val="100"/>
        </w:rPr>
        <w:t> </w:t>
      </w:r>
      <w:r>
        <w:rPr>
          <w:spacing w:val="-3"/>
        </w:rPr>
        <w:t>按照成本法核算的、在活跃市场中没有报价、公允价值不能可靠计量的长期股权投资，其减值应当按</w:t>
      </w:r>
      <w:r>
        <w:rPr/>
      </w:r>
    </w:p>
    <w:p>
      <w:pPr>
        <w:pStyle w:val="BodyText"/>
        <w:spacing w:line="381" w:lineRule="auto" w:before="59"/>
        <w:ind w:right="213"/>
        <w:jc w:val="both"/>
      </w:pPr>
      <w:r>
        <w:rPr>
          <w:spacing w:val="-1"/>
        </w:rPr>
        <w:t>照本公司</w:t>
      </w:r>
      <w:r>
        <w:rPr>
          <w:rFonts w:ascii="Times New Roman" w:hAnsi="Times New Roman" w:cs="Times New Roman" w:eastAsia="Times New Roman" w:hint="default"/>
          <w:spacing w:val="-1"/>
        </w:rPr>
        <w:t>“</w:t>
      </w:r>
      <w:r>
        <w:rPr>
          <w:spacing w:val="-1"/>
        </w:rPr>
        <w:t>金融工具确认和计量</w:t>
      </w:r>
      <w:r>
        <w:rPr>
          <w:rFonts w:ascii="Times New Roman" w:hAnsi="Times New Roman" w:cs="Times New Roman" w:eastAsia="Times New Roman" w:hint="default"/>
          <w:spacing w:val="-1"/>
        </w:rPr>
        <w:t>”</w:t>
      </w:r>
      <w:r>
        <w:rPr>
          <w:spacing w:val="-1"/>
        </w:rPr>
        <w:t>会计政策处理；其他长期股权投资，其减值按照本公司制定的</w:t>
      </w:r>
      <w:r>
        <w:rPr>
          <w:rFonts w:ascii="Times New Roman" w:hAnsi="Times New Roman" w:cs="Times New Roman" w:eastAsia="Times New Roman" w:hint="default"/>
          <w:spacing w:val="-1"/>
        </w:rPr>
        <w:t>“</w:t>
      </w:r>
      <w:r>
        <w:rPr>
          <w:spacing w:val="-1"/>
        </w:rPr>
        <w:t>资产减值</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1"/>
        </w:rPr>
        <w:t> </w:t>
      </w:r>
      <w:r>
        <w:rPr/>
        <w:t>会计政策执行。</w:t>
      </w:r>
    </w:p>
    <w:p>
      <w:pPr>
        <w:spacing w:after="0" w:line="381" w:lineRule="auto"/>
        <w:jc w:val="both"/>
        <w:sectPr>
          <w:footerReference w:type="default" r:id="rId47"/>
          <w:pgSz w:w="11910" w:h="16840"/>
          <w:pgMar w:footer="979" w:header="850" w:top="1200" w:bottom="1160" w:left="980" w:right="920"/>
          <w:pgNumType w:start="9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240" w:lineRule="auto" w:before="36"/>
        <w:ind w:left="572" w:right="3480"/>
        <w:jc w:val="left"/>
      </w:pPr>
      <w:r>
        <w:rPr>
          <w:rFonts w:ascii="Times New Roman" w:hAnsi="Times New Roman" w:cs="Times New Roman" w:eastAsia="Times New Roman" w:hint="default"/>
        </w:rPr>
        <w:t>13</w:t>
      </w:r>
      <w:r>
        <w:rPr/>
        <w:t>、</w:t>
      </w:r>
      <w:r>
        <w:rPr>
          <w:spacing w:val="-1"/>
        </w:rPr>
        <w:t> </w:t>
      </w:r>
      <w:r>
        <w:rPr/>
        <w:t>投资性房地产的确认和计量</w:t>
      </w:r>
    </w:p>
    <w:p>
      <w:pPr>
        <w:pStyle w:val="BodyText"/>
        <w:spacing w:line="240" w:lineRule="auto" w:before="167"/>
        <w:ind w:left="573" w:right="0"/>
        <w:jc w:val="left"/>
      </w:pPr>
      <w:r>
        <w:rPr/>
        <w:t>（</w:t>
      </w:r>
      <w:r>
        <w:rPr>
          <w:rFonts w:ascii="Times New Roman" w:hAnsi="Times New Roman" w:cs="Times New Roman" w:eastAsia="Times New Roman" w:hint="default"/>
        </w:rPr>
        <w:t>1</w:t>
      </w:r>
      <w:r>
        <w:rPr/>
        <w:t>）本公司的投资性房地产是指为赚取租金或资本增值，或两者兼有而持有的房地产。主要包括：</w:t>
      </w:r>
    </w:p>
    <w:p>
      <w:pPr>
        <w:pStyle w:val="BodyText"/>
        <w:spacing w:line="240" w:lineRule="auto" w:before="170"/>
        <w:ind w:left="573" w:right="3480"/>
        <w:jc w:val="left"/>
      </w:pPr>
      <w:r>
        <w:rPr/>
        <w:t>①已出租的土地使用权；</w:t>
      </w:r>
    </w:p>
    <w:p>
      <w:pPr>
        <w:spacing w:line="240" w:lineRule="auto" w:before="3"/>
        <w:rPr>
          <w:rFonts w:ascii="宋体" w:hAnsi="宋体" w:cs="宋体" w:eastAsia="宋体" w:hint="default"/>
          <w:sz w:val="14"/>
          <w:szCs w:val="14"/>
        </w:rPr>
      </w:pPr>
    </w:p>
    <w:p>
      <w:pPr>
        <w:pStyle w:val="BodyText"/>
        <w:spacing w:line="240" w:lineRule="auto"/>
        <w:ind w:left="573" w:right="3480"/>
        <w:jc w:val="left"/>
      </w:pPr>
      <w:r>
        <w:rPr/>
        <w:t>②持有并准备增值后转让的土地使用权；</w:t>
      </w:r>
    </w:p>
    <w:p>
      <w:pPr>
        <w:spacing w:line="240" w:lineRule="auto" w:before="0"/>
        <w:rPr>
          <w:rFonts w:ascii="宋体" w:hAnsi="宋体" w:cs="宋体" w:eastAsia="宋体" w:hint="default"/>
          <w:sz w:val="14"/>
          <w:szCs w:val="14"/>
        </w:rPr>
      </w:pPr>
    </w:p>
    <w:p>
      <w:pPr>
        <w:pStyle w:val="BodyText"/>
        <w:spacing w:line="240" w:lineRule="auto"/>
        <w:ind w:left="573" w:right="3480"/>
        <w:jc w:val="left"/>
      </w:pPr>
      <w:r>
        <w:rPr/>
        <w:t>③已出租的建筑物。</w:t>
      </w:r>
    </w:p>
    <w:p>
      <w:pPr>
        <w:spacing w:line="240" w:lineRule="auto" w:before="3"/>
        <w:rPr>
          <w:rFonts w:ascii="宋体" w:hAnsi="宋体" w:cs="宋体" w:eastAsia="宋体" w:hint="default"/>
          <w:sz w:val="14"/>
          <w:szCs w:val="14"/>
        </w:rPr>
      </w:pPr>
    </w:p>
    <w:p>
      <w:pPr>
        <w:pStyle w:val="BodyText"/>
        <w:spacing w:line="240" w:lineRule="auto"/>
        <w:ind w:left="573" w:right="3480"/>
        <w:jc w:val="left"/>
      </w:pPr>
      <w:r>
        <w:rPr/>
        <w:t>（</w:t>
      </w:r>
      <w:r>
        <w:rPr>
          <w:rFonts w:ascii="Times New Roman" w:hAnsi="Times New Roman" w:cs="Times New Roman" w:eastAsia="Times New Roman" w:hint="default"/>
        </w:rPr>
        <w:t>2</w:t>
      </w:r>
      <w:r>
        <w:rPr/>
        <w:t>）本公司投资性房地产同时满足下列条件的，予以确认：</w:t>
      </w:r>
    </w:p>
    <w:p>
      <w:pPr>
        <w:pStyle w:val="BodyText"/>
        <w:spacing w:line="240" w:lineRule="auto" w:before="170"/>
        <w:ind w:left="573" w:right="3480"/>
        <w:jc w:val="left"/>
      </w:pPr>
      <w:r>
        <w:rPr/>
        <w:t>①与该投资性房地产有关的经济利益很可能流入企业；</w:t>
      </w:r>
    </w:p>
    <w:p>
      <w:pPr>
        <w:spacing w:line="240" w:lineRule="auto" w:before="0"/>
        <w:rPr>
          <w:rFonts w:ascii="宋体" w:hAnsi="宋体" w:cs="宋体" w:eastAsia="宋体" w:hint="default"/>
          <w:sz w:val="14"/>
          <w:szCs w:val="14"/>
        </w:rPr>
      </w:pPr>
    </w:p>
    <w:p>
      <w:pPr>
        <w:pStyle w:val="BodyText"/>
        <w:spacing w:line="240" w:lineRule="auto"/>
        <w:ind w:left="573" w:right="3480"/>
        <w:jc w:val="left"/>
      </w:pPr>
      <w:r>
        <w:rPr/>
        <w:t>②该投资性房地产的成本能够可靠地计量。</w:t>
      </w:r>
    </w:p>
    <w:p>
      <w:pPr>
        <w:spacing w:line="240" w:lineRule="auto" w:before="3"/>
        <w:rPr>
          <w:rFonts w:ascii="宋体" w:hAnsi="宋体" w:cs="宋体" w:eastAsia="宋体" w:hint="default"/>
          <w:sz w:val="14"/>
          <w:szCs w:val="14"/>
        </w:rPr>
      </w:pPr>
    </w:p>
    <w:p>
      <w:pPr>
        <w:pStyle w:val="BodyText"/>
        <w:spacing w:line="381" w:lineRule="auto"/>
        <w:ind w:left="573" w:right="4849"/>
        <w:jc w:val="left"/>
      </w:pPr>
      <w:r>
        <w:rPr/>
        <w:t>（</w:t>
      </w:r>
      <w:r>
        <w:rPr>
          <w:rFonts w:ascii="Times New Roman" w:hAnsi="Times New Roman" w:cs="Times New Roman" w:eastAsia="Times New Roman" w:hint="default"/>
        </w:rPr>
        <w:t>3</w:t>
      </w:r>
      <w:r>
        <w:rPr/>
        <w:t>）初始计量</w:t>
      </w:r>
      <w:r>
        <w:rPr>
          <w:w w:val="100"/>
        </w:rPr>
        <w:t> </w:t>
      </w:r>
      <w:r>
        <w:rPr>
          <w:spacing w:val="-2"/>
        </w:rPr>
        <w:t>投资性房地产按照成本进行初始计量。</w:t>
      </w:r>
    </w:p>
    <w:p>
      <w:pPr>
        <w:pStyle w:val="BodyText"/>
        <w:spacing w:line="240" w:lineRule="auto" w:before="59"/>
        <w:ind w:left="573" w:right="0"/>
        <w:jc w:val="left"/>
      </w:pPr>
      <w:r>
        <w:rPr/>
        <w:t>①外购投资性房地产的成本，包括购买价款、相关税费和可直接归属于该资产的其他支出；</w:t>
      </w:r>
    </w:p>
    <w:p>
      <w:pPr>
        <w:spacing w:line="240" w:lineRule="auto" w:before="3"/>
        <w:rPr>
          <w:rFonts w:ascii="宋体" w:hAnsi="宋体" w:cs="宋体" w:eastAsia="宋体" w:hint="default"/>
          <w:sz w:val="14"/>
          <w:szCs w:val="14"/>
        </w:rPr>
      </w:pPr>
    </w:p>
    <w:p>
      <w:pPr>
        <w:pStyle w:val="BodyText"/>
        <w:spacing w:line="240" w:lineRule="auto"/>
        <w:ind w:left="573" w:right="0"/>
        <w:jc w:val="left"/>
      </w:pPr>
      <w:r>
        <w:rPr/>
        <w:t>②自行建造投资性房地产的成本，由建造该项资产达到预定可使用状态前所发生的必要支出构成；</w:t>
      </w:r>
    </w:p>
    <w:p>
      <w:pPr>
        <w:spacing w:line="240" w:lineRule="auto" w:before="3"/>
        <w:rPr>
          <w:rFonts w:ascii="宋体" w:hAnsi="宋体" w:cs="宋体" w:eastAsia="宋体" w:hint="default"/>
          <w:sz w:val="14"/>
          <w:szCs w:val="14"/>
        </w:rPr>
      </w:pPr>
    </w:p>
    <w:p>
      <w:pPr>
        <w:pStyle w:val="BodyText"/>
        <w:spacing w:line="240" w:lineRule="auto"/>
        <w:ind w:left="573" w:right="0"/>
        <w:jc w:val="left"/>
      </w:pPr>
      <w:r>
        <w:rPr/>
        <w:t>③以其他方式取得的投资性房地产的成本，按照相关会计准则的规定确定。</w:t>
      </w:r>
    </w:p>
    <w:p>
      <w:pPr>
        <w:spacing w:line="240" w:lineRule="auto" w:before="0"/>
        <w:rPr>
          <w:rFonts w:ascii="宋体" w:hAnsi="宋体" w:cs="宋体" w:eastAsia="宋体" w:hint="default"/>
          <w:sz w:val="14"/>
          <w:szCs w:val="14"/>
        </w:rPr>
      </w:pPr>
    </w:p>
    <w:p>
      <w:pPr>
        <w:pStyle w:val="BodyText"/>
        <w:spacing w:line="381" w:lineRule="auto"/>
        <w:ind w:left="573" w:right="4849"/>
        <w:jc w:val="left"/>
      </w:pPr>
      <w:r>
        <w:rPr/>
        <w:t>（</w:t>
      </w:r>
      <w:r>
        <w:rPr>
          <w:rFonts w:ascii="Times New Roman" w:hAnsi="Times New Roman" w:cs="Times New Roman" w:eastAsia="Times New Roman" w:hint="default"/>
        </w:rPr>
        <w:t>4</w:t>
      </w:r>
      <w:r>
        <w:rPr/>
        <w:t>）后续计量</w:t>
      </w:r>
      <w:r>
        <w:rPr>
          <w:w w:val="100"/>
        </w:rPr>
        <w:t> </w:t>
      </w:r>
      <w:r>
        <w:rPr>
          <w:spacing w:val="-2"/>
        </w:rPr>
        <w:t>本公司的投资性房地产采用成本模式计量。</w:t>
      </w:r>
    </w:p>
    <w:p>
      <w:pPr>
        <w:pStyle w:val="BodyText"/>
        <w:spacing w:line="400" w:lineRule="auto" w:before="62"/>
        <w:ind w:left="573" w:right="0"/>
        <w:jc w:val="left"/>
      </w:pPr>
      <w:r>
        <w:rPr/>
        <w:t>采用成本模式计量的投资性房地产，采用与固定资产和无形资产相同的方法计提折旧或进行摊销。</w:t>
      </w:r>
      <w:r>
        <w:rPr>
          <w:w w:val="100"/>
        </w:rPr>
        <w:t> </w:t>
      </w:r>
      <w:r>
        <w:rPr>
          <w:spacing w:val="-2"/>
        </w:rPr>
        <w:t>本公司期末对采用成本模式计量的投资性房地产按其成本与可收回金额孰低计价，可收回金额低于成</w:t>
      </w:r>
    </w:p>
    <w:p>
      <w:pPr>
        <w:pStyle w:val="BodyText"/>
        <w:spacing w:line="240" w:lineRule="auto" w:before="45"/>
        <w:ind w:left="153" w:right="0"/>
        <w:jc w:val="left"/>
      </w:pPr>
      <w:r>
        <w:rPr/>
        <w:t>本的，按两者的差额计提减值准备。减值准备一经计提，不予转回。</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381" w:lineRule="auto"/>
        <w:ind w:left="573" w:right="0"/>
        <w:jc w:val="left"/>
      </w:pPr>
      <w:r>
        <w:rPr>
          <w:rFonts w:ascii="Times New Roman" w:hAnsi="Times New Roman" w:cs="Times New Roman" w:eastAsia="Times New Roman" w:hint="default"/>
        </w:rPr>
        <w:t>14</w:t>
      </w:r>
      <w:r>
        <w:rPr/>
        <w:t>、</w:t>
      </w:r>
      <w:r>
        <w:rPr>
          <w:spacing w:val="-3"/>
        </w:rPr>
        <w:t> </w:t>
      </w:r>
      <w:r>
        <w:rPr/>
        <w:t>固定资产的确认和计量</w:t>
      </w:r>
      <w:r>
        <w:rPr>
          <w:spacing w:val="-3"/>
          <w:w w:val="100"/>
        </w:rPr>
        <w:t> </w:t>
      </w:r>
      <w:r>
        <w:rPr>
          <w:spacing w:val="-2"/>
        </w:rPr>
        <w:t>本公司固定资产是指为生产商品、提供劳务、出租或经营管理而持有的使用寿命超过一个会计年度的</w:t>
      </w:r>
    </w:p>
    <w:p>
      <w:pPr>
        <w:pStyle w:val="BodyText"/>
        <w:spacing w:line="240" w:lineRule="auto" w:before="62"/>
        <w:ind w:left="153" w:right="3480"/>
        <w:jc w:val="left"/>
      </w:pPr>
      <w:r>
        <w:rPr/>
        <w:t>有形资产。</w:t>
      </w:r>
    </w:p>
    <w:p>
      <w:pPr>
        <w:spacing w:line="240" w:lineRule="auto" w:before="0"/>
        <w:rPr>
          <w:rFonts w:ascii="宋体" w:hAnsi="宋体" w:cs="宋体" w:eastAsia="宋体" w:hint="default"/>
          <w:sz w:val="14"/>
          <w:szCs w:val="14"/>
        </w:rPr>
      </w:pPr>
    </w:p>
    <w:p>
      <w:pPr>
        <w:pStyle w:val="BodyText"/>
        <w:spacing w:line="240" w:lineRule="auto"/>
        <w:ind w:left="573" w:right="0"/>
        <w:jc w:val="left"/>
      </w:pPr>
      <w:r>
        <w:rPr/>
        <w:t>（</w:t>
      </w:r>
      <w:r>
        <w:rPr>
          <w:rFonts w:ascii="Times New Roman" w:hAnsi="Times New Roman" w:cs="Times New Roman" w:eastAsia="Times New Roman" w:hint="default"/>
        </w:rPr>
        <w:t>1</w:t>
      </w:r>
      <w:r>
        <w:rPr/>
        <w:t>）固定资产在同时满足下列条件时，按照成本进行初始计量：</w:t>
      </w:r>
    </w:p>
    <w:p>
      <w:pPr>
        <w:pStyle w:val="BodyText"/>
        <w:spacing w:line="240" w:lineRule="auto" w:before="170"/>
        <w:ind w:left="573" w:right="3480"/>
        <w:jc w:val="left"/>
      </w:pPr>
      <w:r>
        <w:rPr/>
        <w:t>①与该固定资产有关的经济利益很可能流入企业；</w:t>
      </w:r>
    </w:p>
    <w:p>
      <w:pPr>
        <w:spacing w:line="240" w:lineRule="auto" w:before="3"/>
        <w:rPr>
          <w:rFonts w:ascii="宋体" w:hAnsi="宋体" w:cs="宋体" w:eastAsia="宋体" w:hint="default"/>
          <w:sz w:val="14"/>
          <w:szCs w:val="14"/>
        </w:rPr>
      </w:pPr>
    </w:p>
    <w:p>
      <w:pPr>
        <w:pStyle w:val="BodyText"/>
        <w:spacing w:line="240" w:lineRule="auto"/>
        <w:ind w:left="573" w:right="3480"/>
        <w:jc w:val="left"/>
      </w:pPr>
      <w:r>
        <w:rPr/>
        <w:t>②该固定资产的成本能够可靠地计量。</w:t>
      </w:r>
    </w:p>
    <w:p>
      <w:pPr>
        <w:spacing w:line="240" w:lineRule="auto" w:before="0"/>
        <w:rPr>
          <w:rFonts w:ascii="宋体" w:hAnsi="宋体" w:cs="宋体" w:eastAsia="宋体" w:hint="default"/>
          <w:sz w:val="14"/>
          <w:szCs w:val="14"/>
        </w:rPr>
      </w:pPr>
    </w:p>
    <w:p>
      <w:pPr>
        <w:pStyle w:val="BodyText"/>
        <w:spacing w:line="381" w:lineRule="auto"/>
        <w:ind w:left="573" w:right="0"/>
        <w:jc w:val="left"/>
      </w:pPr>
      <w:r>
        <w:rPr/>
        <w:t>（</w:t>
      </w:r>
      <w:r>
        <w:rPr>
          <w:rFonts w:ascii="Times New Roman" w:hAnsi="Times New Roman" w:cs="Times New Roman" w:eastAsia="Times New Roman" w:hint="default"/>
        </w:rPr>
        <w:t>2</w:t>
      </w:r>
      <w:r>
        <w:rPr/>
        <w:t>）固定资产折旧</w:t>
      </w:r>
      <w:r>
        <w:rPr>
          <w:w w:val="100"/>
        </w:rPr>
        <w:t> </w:t>
      </w:r>
      <w:r>
        <w:rPr>
          <w:spacing w:val="-2"/>
        </w:rPr>
        <w:t>与固定资产有关的后续支出，符合规定的固定资产确认条件的计入固定资产成本；不符合规定的固定</w:t>
      </w:r>
    </w:p>
    <w:p>
      <w:pPr>
        <w:pStyle w:val="BodyText"/>
        <w:spacing w:line="400" w:lineRule="auto" w:before="62"/>
        <w:ind w:left="573" w:right="3480" w:hanging="421"/>
        <w:jc w:val="left"/>
      </w:pPr>
      <w:r>
        <w:rPr/>
        <w:t>资产确认条件的在发生时直接计入当期损益。</w:t>
      </w:r>
      <w:r>
        <w:rPr>
          <w:w w:val="100"/>
        </w:rPr>
        <w:t> </w:t>
      </w:r>
      <w:r>
        <w:rPr/>
        <w:t>本公司的固定资产折旧方法为年限平均法。</w:t>
      </w:r>
      <w:r>
        <w:rPr>
          <w:w w:val="100"/>
        </w:rPr>
        <w:t> </w:t>
      </w:r>
      <w:r>
        <w:rPr>
          <w:spacing w:val="-2"/>
        </w:rPr>
        <w:t>各类固定资产的使用年限、残值率、年折旧率列示如下：</w:t>
      </w:r>
    </w:p>
    <w:p>
      <w:pPr>
        <w:spacing w:after="0" w:line="400" w:lineRule="auto"/>
        <w:jc w:val="left"/>
        <w:sectPr>
          <w:pgSz w:w="11910" w:h="16840"/>
          <w:pgMar w:header="850" w:footer="979" w:top="1200" w:bottom="1160" w:left="980" w:right="98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091"/>
        <w:gridCol w:w="2261"/>
        <w:gridCol w:w="2258"/>
        <w:gridCol w:w="2258"/>
      </w:tblGrid>
      <w:tr>
        <w:trPr>
          <w:trHeight w:val="487" w:hRule="exact"/>
        </w:trPr>
        <w:tc>
          <w:tcPr>
            <w:tcW w:w="3091" w:type="dxa"/>
            <w:tcBorders>
              <w:top w:val="single" w:sz="17" w:space="0" w:color="000000"/>
              <w:left w:val="nil" w:sz="6" w:space="0" w:color="auto"/>
              <w:bottom w:val="single" w:sz="4" w:space="0" w:color="000000"/>
              <w:right w:val="single" w:sz="4" w:space="0" w:color="000000"/>
            </w:tcBorders>
          </w:tcPr>
          <w:p>
            <w:pPr>
              <w:pStyle w:val="TableParagraph"/>
              <w:tabs>
                <w:tab w:pos="652" w:val="left" w:leader="none"/>
              </w:tabs>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26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使用年限（年）</w:t>
            </w:r>
          </w:p>
        </w:tc>
        <w:tc>
          <w:tcPr>
            <w:tcW w:w="225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58"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68" w:hRule="exact"/>
        </w:trPr>
        <w:tc>
          <w:tcPr>
            <w:tcW w:w="3091"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2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5-35</w:t>
            </w:r>
          </w:p>
        </w:tc>
        <w:tc>
          <w:tcPr>
            <w:tcW w:w="22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2258"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2.71-19</w:t>
            </w:r>
          </w:p>
        </w:tc>
      </w:tr>
      <w:tr>
        <w:trPr>
          <w:trHeight w:val="461" w:hRule="exact"/>
        </w:trPr>
        <w:tc>
          <w:tcPr>
            <w:tcW w:w="3091"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sz w:val="21"/>
              </w:rPr>
              <w:t>3-5</w:t>
            </w:r>
          </w:p>
        </w:tc>
        <w:tc>
          <w:tcPr>
            <w:tcW w:w="22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225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sz w:val="21"/>
              </w:rPr>
              <w:t>19-31.67</w:t>
            </w:r>
          </w:p>
        </w:tc>
      </w:tr>
      <w:tr>
        <w:trPr>
          <w:trHeight w:val="460" w:hRule="exact"/>
        </w:trPr>
        <w:tc>
          <w:tcPr>
            <w:tcW w:w="3091"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4" w:right="0"/>
              <w:jc w:val="center"/>
              <w:rPr>
                <w:rFonts w:ascii="Times New Roman" w:hAnsi="Times New Roman" w:cs="Times New Roman" w:eastAsia="Times New Roman" w:hint="default"/>
                <w:sz w:val="21"/>
                <w:szCs w:val="21"/>
              </w:rPr>
            </w:pPr>
            <w:r>
              <w:rPr>
                <w:rFonts w:ascii="Times New Roman"/>
                <w:sz w:val="21"/>
              </w:rPr>
              <w:t>5-12</w:t>
            </w:r>
          </w:p>
        </w:tc>
        <w:tc>
          <w:tcPr>
            <w:tcW w:w="22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225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sz w:val="21"/>
              </w:rPr>
              <w:t>7.92-19</w:t>
            </w:r>
          </w:p>
        </w:tc>
      </w:tr>
      <w:tr>
        <w:trPr>
          <w:trHeight w:val="371" w:hRule="exact"/>
        </w:trPr>
        <w:tc>
          <w:tcPr>
            <w:tcW w:w="3091" w:type="dxa"/>
            <w:tcBorders>
              <w:top w:val="nil" w:sz="6" w:space="0" w:color="auto"/>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2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8"/>
              <w:ind w:left="4" w:right="0"/>
              <w:jc w:val="center"/>
              <w:rPr>
                <w:rFonts w:ascii="Times New Roman" w:hAnsi="Times New Roman" w:cs="Times New Roman" w:eastAsia="Times New Roman" w:hint="default"/>
                <w:sz w:val="21"/>
                <w:szCs w:val="21"/>
              </w:rPr>
            </w:pPr>
            <w:r>
              <w:rPr>
                <w:rFonts w:ascii="Times New Roman"/>
                <w:w w:val="100"/>
                <w:sz w:val="21"/>
              </w:rPr>
              <w:t>5</w:t>
            </w:r>
          </w:p>
        </w:tc>
        <w:tc>
          <w:tcPr>
            <w:tcW w:w="22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8"/>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2258" w:type="dxa"/>
            <w:tcBorders>
              <w:top w:val="nil" w:sz="6" w:space="0" w:color="auto"/>
              <w:left w:val="single" w:sz="4" w:space="0" w:color="000000"/>
              <w:bottom w:val="single" w:sz="12" w:space="0" w:color="000000"/>
              <w:right w:val="nil" w:sz="6" w:space="0" w:color="auto"/>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19</w:t>
            </w:r>
          </w:p>
        </w:tc>
      </w:tr>
    </w:tbl>
    <w:p>
      <w:pPr>
        <w:spacing w:line="240" w:lineRule="auto" w:before="12"/>
        <w:rPr>
          <w:rFonts w:ascii="宋体" w:hAnsi="宋体" w:cs="宋体" w:eastAsia="宋体" w:hint="default"/>
          <w:sz w:val="8"/>
          <w:szCs w:val="8"/>
        </w:rPr>
      </w:pPr>
    </w:p>
    <w:p>
      <w:pPr>
        <w:pStyle w:val="BodyText"/>
        <w:spacing w:line="400" w:lineRule="auto" w:before="36"/>
        <w:ind w:left="232" w:right="0" w:firstLine="420"/>
        <w:jc w:val="left"/>
      </w:pPr>
      <w:r>
        <w:rPr/>
        <w:t>本公司在每个会计年度终了，对固定资产的使用寿命、预计净残值和折旧方法进行复核。使用寿命与</w:t>
      </w:r>
      <w:r>
        <w:rPr>
          <w:w w:val="100"/>
        </w:rPr>
        <w:t> </w:t>
      </w:r>
      <w:r>
        <w:rPr>
          <w:spacing w:val="-2"/>
        </w:rPr>
        <w:t>原先估计数有差异的，调整固定资产使用寿命；预计净残值预计数与原先估计数有差异的，调整预计净残</w:t>
      </w:r>
      <w:r>
        <w:rPr>
          <w:spacing w:val="-48"/>
        </w:rPr>
        <w:t> </w:t>
      </w:r>
      <w:r>
        <w:rPr>
          <w:spacing w:val="-48"/>
        </w:rPr>
      </w:r>
      <w:r>
        <w:rPr>
          <w:spacing w:val="-5"/>
        </w:rPr>
        <w:t>值；与固定资产有关的经济利益预期实现方式有重大改变的，改变固定资产折旧方法。固定资产使用寿命、</w:t>
      </w:r>
      <w:r>
        <w:rPr>
          <w:spacing w:val="-4"/>
        </w:rPr>
        <w:t> </w:t>
      </w:r>
      <w:r>
        <w:rPr>
          <w:spacing w:val="-4"/>
        </w:rPr>
      </w:r>
      <w:r>
        <w:rPr/>
        <w:t>预计净残值和折旧方法的改变作为会计估计变更。</w:t>
      </w:r>
    </w:p>
    <w:p>
      <w:pPr>
        <w:pStyle w:val="BodyText"/>
        <w:spacing w:line="381" w:lineRule="auto" w:before="45"/>
        <w:ind w:left="652" w:right="0"/>
        <w:jc w:val="left"/>
      </w:pPr>
      <w:r>
        <w:rPr/>
        <w:t>（</w:t>
      </w:r>
      <w:r>
        <w:rPr>
          <w:rFonts w:ascii="Times New Roman" w:hAnsi="Times New Roman" w:cs="Times New Roman" w:eastAsia="Times New Roman" w:hint="default"/>
        </w:rPr>
        <w:t>3</w:t>
      </w:r>
      <w:r>
        <w:rPr/>
        <w:t>）融资租入固定资产</w:t>
      </w:r>
      <w:r>
        <w:rPr>
          <w:w w:val="100"/>
        </w:rPr>
        <w:t> </w:t>
      </w:r>
      <w:r>
        <w:rPr>
          <w:spacing w:val="2"/>
        </w:rPr>
        <w:t>本公司在租入的固定资产实质上转移了与资产有关的全部风险和报酬时确认该项固定资产的租赁为</w:t>
      </w:r>
    </w:p>
    <w:p>
      <w:pPr>
        <w:pStyle w:val="BodyText"/>
        <w:spacing w:line="240" w:lineRule="auto" w:before="59"/>
        <w:ind w:left="232" w:right="5418"/>
        <w:jc w:val="left"/>
      </w:pPr>
      <w:r>
        <w:rPr/>
        <w:t>融资租赁。</w:t>
      </w:r>
    </w:p>
    <w:p>
      <w:pPr>
        <w:spacing w:line="240" w:lineRule="auto" w:before="3"/>
        <w:rPr>
          <w:rFonts w:ascii="宋体" w:hAnsi="宋体" w:cs="宋体" w:eastAsia="宋体" w:hint="default"/>
          <w:sz w:val="14"/>
          <w:szCs w:val="14"/>
        </w:rPr>
      </w:pPr>
    </w:p>
    <w:p>
      <w:pPr>
        <w:pStyle w:val="BodyText"/>
        <w:spacing w:line="403" w:lineRule="auto"/>
        <w:ind w:left="232" w:right="0" w:firstLine="420"/>
        <w:jc w:val="left"/>
      </w:pPr>
      <w:r>
        <w:rPr>
          <w:spacing w:val="-2"/>
        </w:rPr>
        <w:t>本公司融资租赁取得的固定资产的成本，按租赁开始日租赁资产公允价值与最低租赁付款额现值两者</w:t>
      </w:r>
      <w:r>
        <w:rPr>
          <w:w w:val="100"/>
        </w:rPr>
        <w:t> </w:t>
      </w:r>
      <w:r>
        <w:rPr/>
        <w:t>中较低者确定。</w:t>
      </w:r>
    </w:p>
    <w:p>
      <w:pPr>
        <w:pStyle w:val="BodyText"/>
        <w:spacing w:line="403" w:lineRule="auto" w:before="40"/>
        <w:ind w:left="232" w:right="207" w:firstLine="420"/>
        <w:jc w:val="both"/>
      </w:pPr>
      <w:r>
        <w:rPr>
          <w:spacing w:val="-2"/>
        </w:rPr>
        <w:t>本公司融资租入的固定资产采用与自有应计折旧资产相一致的折旧政策。能够合理确定租赁期届满时</w:t>
      </w:r>
      <w:r>
        <w:rPr>
          <w:w w:val="100"/>
        </w:rPr>
        <w:t> </w:t>
      </w:r>
      <w:r>
        <w:rPr>
          <w:spacing w:val="-2"/>
        </w:rPr>
        <w:t>取得租赁资产所有权的，在租赁资产尚可使用年限内计提折旧；无法合理确定租赁期届满时能够取得租赁</w:t>
      </w:r>
      <w:r>
        <w:rPr>
          <w:spacing w:val="-43"/>
        </w:rPr>
        <w:t> </w:t>
      </w:r>
      <w:r>
        <w:rPr>
          <w:spacing w:val="-43"/>
        </w:rPr>
      </w:r>
      <w:r>
        <w:rPr/>
        <w:t>资产所有权的，在租赁期与租赁资产尚可使用年限两者中较短的期间内计提折旧。</w:t>
      </w:r>
    </w:p>
    <w:p>
      <w:pPr>
        <w:pStyle w:val="BodyText"/>
        <w:spacing w:line="240" w:lineRule="auto" w:before="40"/>
        <w:ind w:left="652" w:right="0"/>
        <w:jc w:val="left"/>
      </w:pPr>
      <w:r>
        <w:rPr/>
        <w:t>（</w:t>
      </w:r>
      <w:r>
        <w:rPr>
          <w:rFonts w:ascii="Times New Roman" w:hAnsi="Times New Roman" w:cs="Times New Roman" w:eastAsia="Times New Roman" w:hint="default"/>
        </w:rPr>
        <w:t>4</w:t>
      </w:r>
      <w:r>
        <w:rPr/>
        <w:t>）固定资产的减值，按照本公司制定的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240" w:lineRule="auto"/>
        <w:ind w:left="652" w:right="5418"/>
        <w:jc w:val="left"/>
      </w:pPr>
      <w:r>
        <w:rPr>
          <w:rFonts w:ascii="Times New Roman" w:hAnsi="Times New Roman" w:cs="Times New Roman" w:eastAsia="Times New Roman" w:hint="default"/>
        </w:rPr>
        <w:t>15</w:t>
      </w:r>
      <w:r>
        <w:rPr/>
        <w:t>、</w:t>
      </w:r>
      <w:r>
        <w:rPr>
          <w:spacing w:val="-4"/>
        </w:rPr>
        <w:t> </w:t>
      </w:r>
      <w:r>
        <w:rPr/>
        <w:t>在建工程的核算方法</w:t>
      </w:r>
    </w:p>
    <w:p>
      <w:pPr>
        <w:pStyle w:val="BodyText"/>
        <w:spacing w:line="240" w:lineRule="auto" w:before="167"/>
        <w:ind w:left="652" w:right="0"/>
        <w:jc w:val="left"/>
      </w:pPr>
      <w:r>
        <w:rPr/>
        <w:t>（</w:t>
      </w:r>
      <w:r>
        <w:rPr>
          <w:rFonts w:ascii="Times New Roman" w:hAnsi="Times New Roman" w:cs="Times New Roman" w:eastAsia="Times New Roman" w:hint="default"/>
        </w:rPr>
        <w:t>1</w:t>
      </w:r>
      <w:r>
        <w:rPr/>
        <w:t>）本公司的在建工程包括建筑工程、安装工程、在安装设备、待摊支出以及单项工程等。</w:t>
      </w:r>
    </w:p>
    <w:p>
      <w:pPr>
        <w:pStyle w:val="BodyText"/>
        <w:spacing w:line="381" w:lineRule="auto" w:before="170"/>
        <w:ind w:left="232" w:right="0" w:firstLine="420"/>
        <w:jc w:val="left"/>
      </w:pPr>
      <w:r>
        <w:rPr/>
        <w:t>（</w:t>
      </w:r>
      <w:r>
        <w:rPr>
          <w:rFonts w:ascii="Times New Roman" w:hAnsi="Times New Roman" w:cs="Times New Roman" w:eastAsia="Times New Roman" w:hint="default"/>
        </w:rPr>
        <w:t>2</w:t>
      </w:r>
      <w:r>
        <w:rPr/>
        <w:t>）在建工程的计价：按实际发生的支出确定工程成本。在建工程成本还包括应当资本化的借款费</w:t>
      </w:r>
      <w:r>
        <w:rPr>
          <w:w w:val="100"/>
        </w:rPr>
        <w:t> </w:t>
      </w:r>
      <w:r>
        <w:rPr/>
        <w:t>用和汇兑损益。</w:t>
      </w:r>
    </w:p>
    <w:p>
      <w:pPr>
        <w:pStyle w:val="BodyText"/>
        <w:spacing w:line="391" w:lineRule="auto" w:before="59"/>
        <w:ind w:left="232" w:right="209" w:firstLine="420"/>
        <w:jc w:val="both"/>
      </w:pPr>
      <w:r>
        <w:rPr/>
        <w:t>（</w:t>
      </w:r>
      <w:r>
        <w:rPr>
          <w:rFonts w:ascii="Times New Roman" w:hAnsi="Times New Roman" w:cs="Times New Roman" w:eastAsia="Times New Roman" w:hint="default"/>
        </w:rPr>
        <w:t>3</w:t>
      </w:r>
      <w:r>
        <w:rPr/>
        <w:t>）本公司在在建工程达到预定可使用状态时，将在建工程转入固定资产。所建造的已达到预定可</w:t>
      </w:r>
      <w:r>
        <w:rPr>
          <w:w w:val="100"/>
        </w:rPr>
        <w:t> </w:t>
      </w:r>
      <w:r>
        <w:rPr>
          <w:spacing w:val="-2"/>
        </w:rPr>
        <w:t>使用状态、但尚未办理竣工决算的固定资产，按照估计价值确认为固定资产，并计提折旧；待办理了竣工</w:t>
      </w:r>
      <w:r>
        <w:rPr>
          <w:spacing w:val="-47"/>
        </w:rPr>
        <w:t> </w:t>
      </w:r>
      <w:r>
        <w:rPr>
          <w:spacing w:val="-47"/>
        </w:rPr>
      </w:r>
      <w:r>
        <w:rPr/>
        <w:t>决算手续后，再按实际成本调整原来的暂估价值，但不调整原已计提的折旧额。</w:t>
      </w:r>
    </w:p>
    <w:p>
      <w:pPr>
        <w:pStyle w:val="BodyText"/>
        <w:spacing w:line="240" w:lineRule="auto" w:before="51"/>
        <w:ind w:left="652" w:right="0"/>
        <w:jc w:val="left"/>
      </w:pPr>
      <w:r>
        <w:rPr/>
        <w:t>（</w:t>
      </w:r>
      <w:r>
        <w:rPr>
          <w:rFonts w:ascii="Times New Roman" w:hAnsi="Times New Roman" w:cs="Times New Roman" w:eastAsia="Times New Roman" w:hint="default"/>
        </w:rPr>
        <w:t>4</w:t>
      </w:r>
      <w:r>
        <w:rPr/>
        <w:t>）在建工程的减值，按照本公司制定的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379" w:lineRule="auto"/>
        <w:ind w:left="651" w:right="0"/>
        <w:jc w:val="left"/>
      </w:pPr>
      <w:r>
        <w:rPr>
          <w:rFonts w:ascii="Times New Roman" w:hAnsi="Times New Roman" w:cs="Times New Roman" w:eastAsia="Times New Roman" w:hint="default"/>
        </w:rPr>
        <w:t>16</w:t>
      </w:r>
      <w:r>
        <w:rPr/>
        <w:t>、</w:t>
      </w:r>
      <w:r>
        <w:rPr>
          <w:spacing w:val="-3"/>
        </w:rPr>
        <w:t> </w:t>
      </w:r>
      <w:r>
        <w:rPr/>
        <w:t>无形资产的确认和计量</w:t>
      </w:r>
      <w:r>
        <w:rPr>
          <w:spacing w:val="-3"/>
          <w:w w:val="100"/>
        </w:rPr>
        <w:t> </w:t>
      </w:r>
      <w:r>
        <w:rPr>
          <w:spacing w:val="-2"/>
        </w:rPr>
        <w:t>本公司无形资产是指本公司所拥有或者控制的没有实物形态的可辨认非货币性资产。</w:t>
      </w:r>
    </w:p>
    <w:p>
      <w:pPr>
        <w:pStyle w:val="BodyText"/>
        <w:spacing w:line="240" w:lineRule="auto" w:before="64"/>
        <w:ind w:left="651" w:right="5418"/>
        <w:jc w:val="left"/>
      </w:pPr>
      <w:r>
        <w:rPr/>
        <w:t>（</w:t>
      </w:r>
      <w:r>
        <w:rPr>
          <w:rFonts w:ascii="Times New Roman" w:hAnsi="Times New Roman" w:cs="Times New Roman" w:eastAsia="Times New Roman" w:hint="default"/>
        </w:rPr>
        <w:t>1</w:t>
      </w:r>
      <w:r>
        <w:rPr/>
        <w:t>）无形资产的确认</w:t>
      </w:r>
    </w:p>
    <w:p>
      <w:pPr>
        <w:spacing w:after="0" w:line="240" w:lineRule="auto"/>
        <w:jc w:val="left"/>
        <w:sectPr>
          <w:footerReference w:type="default" r:id="rId48"/>
          <w:pgSz w:w="11910" w:h="16840"/>
          <w:pgMar w:footer="979" w:header="850" w:top="1200" w:bottom="1160" w:left="900" w:right="920"/>
          <w:pgNumType w:start="95"/>
        </w:sectPr>
      </w:pPr>
    </w:p>
    <w:p>
      <w:pPr>
        <w:spacing w:line="240" w:lineRule="auto" w:before="10"/>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8"/>
          <w:szCs w:val="8"/>
        </w:rPr>
      </w:pPr>
    </w:p>
    <w:p>
      <w:pPr>
        <w:pStyle w:val="BodyText"/>
        <w:spacing w:line="240" w:lineRule="auto" w:before="36"/>
        <w:ind w:left="572" w:right="0"/>
        <w:jc w:val="left"/>
      </w:pPr>
      <w:r>
        <w:rPr/>
        <w:t>本公司在无形资产同时满足下列条件时，予以确认：</w:t>
      </w:r>
    </w:p>
    <w:p>
      <w:pPr>
        <w:spacing w:line="240" w:lineRule="auto" w:before="3"/>
        <w:rPr>
          <w:rFonts w:ascii="宋体" w:hAnsi="宋体" w:cs="宋体" w:eastAsia="宋体" w:hint="default"/>
          <w:sz w:val="14"/>
          <w:szCs w:val="14"/>
        </w:rPr>
      </w:pPr>
    </w:p>
    <w:p>
      <w:pPr>
        <w:pStyle w:val="BodyText"/>
        <w:spacing w:line="240" w:lineRule="auto"/>
        <w:ind w:left="572" w:right="0"/>
        <w:jc w:val="left"/>
      </w:pPr>
      <w:r>
        <w:rPr/>
        <w:t>①与该无形资产有关的经济利益很可能流入企业；</w:t>
      </w:r>
    </w:p>
    <w:p>
      <w:pPr>
        <w:spacing w:line="240" w:lineRule="auto" w:before="0"/>
        <w:rPr>
          <w:rFonts w:ascii="宋体" w:hAnsi="宋体" w:cs="宋体" w:eastAsia="宋体" w:hint="default"/>
          <w:sz w:val="14"/>
          <w:szCs w:val="14"/>
        </w:rPr>
      </w:pPr>
    </w:p>
    <w:p>
      <w:pPr>
        <w:pStyle w:val="BodyText"/>
        <w:spacing w:line="403" w:lineRule="auto"/>
        <w:ind w:left="572" w:right="0"/>
        <w:jc w:val="left"/>
      </w:pPr>
      <w:r>
        <w:rPr/>
        <w:t>②该无形资产的成本能够可靠地计量。</w:t>
      </w:r>
      <w:r>
        <w:rPr>
          <w:w w:val="100"/>
        </w:rPr>
        <w:t> </w:t>
      </w:r>
      <w:r>
        <w:rPr>
          <w:spacing w:val="-2"/>
        </w:rPr>
        <w:t>内部研究开发项目研究阶段的支出，于发生时计入当期损益。内部研究开发项目开发阶段的支出，同</w:t>
      </w:r>
    </w:p>
    <w:p>
      <w:pPr>
        <w:pStyle w:val="BodyText"/>
        <w:spacing w:line="240" w:lineRule="auto" w:before="43"/>
        <w:ind w:right="0"/>
        <w:jc w:val="both"/>
      </w:pPr>
      <w:r>
        <w:rPr/>
        <w:t>时满足下列条件的，确认为无形资产：</w:t>
      </w:r>
    </w:p>
    <w:p>
      <w:pPr>
        <w:spacing w:line="240" w:lineRule="auto" w:before="0"/>
        <w:rPr>
          <w:rFonts w:ascii="宋体" w:hAnsi="宋体" w:cs="宋体" w:eastAsia="宋体" w:hint="default"/>
          <w:sz w:val="14"/>
          <w:szCs w:val="14"/>
        </w:rPr>
      </w:pPr>
    </w:p>
    <w:p>
      <w:pPr>
        <w:pStyle w:val="BodyText"/>
        <w:spacing w:line="240" w:lineRule="auto"/>
        <w:ind w:left="572" w:right="0"/>
        <w:jc w:val="left"/>
      </w:pPr>
      <w:r>
        <w:rPr/>
        <w:t>①完成该无形资产以使其能够使用或出售在技术上具有可行性；</w:t>
      </w:r>
    </w:p>
    <w:p>
      <w:pPr>
        <w:spacing w:line="240" w:lineRule="auto" w:before="3"/>
        <w:rPr>
          <w:rFonts w:ascii="宋体" w:hAnsi="宋体" w:cs="宋体" w:eastAsia="宋体" w:hint="default"/>
          <w:sz w:val="14"/>
          <w:szCs w:val="14"/>
        </w:rPr>
      </w:pPr>
    </w:p>
    <w:p>
      <w:pPr>
        <w:pStyle w:val="BodyText"/>
        <w:spacing w:line="240" w:lineRule="auto"/>
        <w:ind w:left="572" w:right="0"/>
        <w:jc w:val="left"/>
      </w:pPr>
      <w:r>
        <w:rPr/>
        <w:t>②具有完成该无形资产并使用或出售的意图；</w:t>
      </w:r>
    </w:p>
    <w:p>
      <w:pPr>
        <w:spacing w:line="240" w:lineRule="auto" w:before="3"/>
        <w:rPr>
          <w:rFonts w:ascii="宋体" w:hAnsi="宋体" w:cs="宋体" w:eastAsia="宋体" w:hint="default"/>
          <w:sz w:val="14"/>
          <w:szCs w:val="14"/>
        </w:rPr>
      </w:pPr>
    </w:p>
    <w:p>
      <w:pPr>
        <w:pStyle w:val="BodyText"/>
        <w:spacing w:line="400" w:lineRule="auto"/>
        <w:ind w:right="0" w:firstLine="420"/>
        <w:jc w:val="left"/>
      </w:pPr>
      <w:r>
        <w:rPr>
          <w:spacing w:val="-2"/>
        </w:rPr>
        <w:t>③无形资产产生经济利益的方式，包括能够证明运用该无形资产生产的产品存在市场或无形资产自身</w:t>
      </w:r>
      <w:r>
        <w:rPr>
          <w:w w:val="100"/>
        </w:rPr>
        <w:t> </w:t>
      </w:r>
      <w:r>
        <w:rPr/>
        <w:t>存在市场，无形资产将在内部使用的，能证明其有用性；</w:t>
      </w:r>
    </w:p>
    <w:p>
      <w:pPr>
        <w:pStyle w:val="BodyText"/>
        <w:spacing w:line="403" w:lineRule="auto" w:before="45"/>
        <w:ind w:right="0" w:firstLine="420"/>
        <w:jc w:val="left"/>
      </w:pPr>
      <w:r>
        <w:rPr>
          <w:spacing w:val="-2"/>
        </w:rPr>
        <w:t>④有足够的技术、财务资源和其他资源支持，以完成该无形资产的开发，并有能力使用或出售该无形</w:t>
      </w:r>
      <w:r>
        <w:rPr>
          <w:w w:val="100"/>
        </w:rPr>
        <w:t> </w:t>
      </w:r>
      <w:r>
        <w:rPr/>
        <w:t>资产；</w:t>
      </w:r>
    </w:p>
    <w:p>
      <w:pPr>
        <w:pStyle w:val="BodyText"/>
        <w:spacing w:line="240" w:lineRule="auto" w:before="40"/>
        <w:ind w:left="572" w:right="0"/>
        <w:jc w:val="left"/>
      </w:pPr>
      <w:r>
        <w:rPr/>
        <w:t>⑤归属于该无形资产开发阶段的支出能够可靠地计量。</w:t>
      </w:r>
    </w:p>
    <w:p>
      <w:pPr>
        <w:spacing w:line="240" w:lineRule="auto" w:before="3"/>
        <w:rPr>
          <w:rFonts w:ascii="宋体" w:hAnsi="宋体" w:cs="宋体" w:eastAsia="宋体" w:hint="default"/>
          <w:sz w:val="14"/>
          <w:szCs w:val="14"/>
        </w:rPr>
      </w:pPr>
    </w:p>
    <w:p>
      <w:pPr>
        <w:pStyle w:val="BodyText"/>
        <w:spacing w:line="240" w:lineRule="auto"/>
        <w:ind w:left="572" w:right="0"/>
        <w:jc w:val="left"/>
      </w:pPr>
      <w:r>
        <w:rPr/>
        <w:t>（</w:t>
      </w:r>
      <w:r>
        <w:rPr>
          <w:rFonts w:ascii="Times New Roman" w:hAnsi="Times New Roman" w:cs="Times New Roman" w:eastAsia="Times New Roman" w:hint="default"/>
        </w:rPr>
        <w:t>2</w:t>
      </w:r>
      <w:r>
        <w:rPr/>
        <w:t>）无形资产的计量</w:t>
      </w:r>
    </w:p>
    <w:p>
      <w:pPr>
        <w:pStyle w:val="BodyText"/>
        <w:spacing w:line="240" w:lineRule="auto" w:before="170"/>
        <w:ind w:left="572" w:right="0"/>
        <w:jc w:val="left"/>
      </w:pPr>
      <w:r>
        <w:rPr/>
        <w:t>①本公司无形资产按照成本进行初始计量。</w:t>
      </w:r>
    </w:p>
    <w:p>
      <w:pPr>
        <w:spacing w:line="240" w:lineRule="auto" w:before="0"/>
        <w:rPr>
          <w:rFonts w:ascii="宋体" w:hAnsi="宋体" w:cs="宋体" w:eastAsia="宋体" w:hint="default"/>
          <w:sz w:val="14"/>
          <w:szCs w:val="14"/>
        </w:rPr>
      </w:pPr>
    </w:p>
    <w:p>
      <w:pPr>
        <w:pStyle w:val="BodyText"/>
        <w:spacing w:line="240" w:lineRule="auto"/>
        <w:ind w:left="572" w:right="0"/>
        <w:jc w:val="left"/>
      </w:pPr>
      <w:r>
        <w:rPr/>
        <w:t>②无形资产的后续计量</w:t>
      </w:r>
    </w:p>
    <w:p>
      <w:pPr>
        <w:spacing w:line="240" w:lineRule="auto" w:before="3"/>
        <w:rPr>
          <w:rFonts w:ascii="宋体" w:hAnsi="宋体" w:cs="宋体" w:eastAsia="宋体" w:hint="default"/>
          <w:sz w:val="14"/>
          <w:szCs w:val="14"/>
        </w:rPr>
      </w:pPr>
    </w:p>
    <w:p>
      <w:pPr>
        <w:pStyle w:val="BodyText"/>
        <w:spacing w:line="381" w:lineRule="auto"/>
        <w:ind w:right="0" w:firstLine="420"/>
        <w:jc w:val="left"/>
      </w:pPr>
      <w:r>
        <w:rPr>
          <w:rFonts w:ascii="Times New Roman" w:hAnsi="Times New Roman" w:cs="Times New Roman" w:eastAsia="Times New Roman" w:hint="default"/>
          <w:spacing w:val="-2"/>
        </w:rPr>
        <w:t>A</w:t>
      </w:r>
      <w:r>
        <w:rPr>
          <w:spacing w:val="-2"/>
        </w:rPr>
        <w:t>、对于使用寿命有限的无形资产本公司在取得时判定其使用寿命并在以后期间在使用寿命内系统合</w:t>
      </w:r>
      <w:r>
        <w:rPr>
          <w:w w:val="100"/>
        </w:rPr>
        <w:t> </w:t>
      </w:r>
      <w:r>
        <w:rPr/>
        <w:t>理摊销，摊销金额按受益项目计入相关成本、费用核算。使用寿命不确定的无形资产不摊销。</w:t>
      </w:r>
    </w:p>
    <w:p>
      <w:pPr>
        <w:pStyle w:val="BodyText"/>
        <w:spacing w:line="240" w:lineRule="auto" w:before="59"/>
        <w:ind w:left="572" w:right="0"/>
        <w:jc w:val="left"/>
      </w:pPr>
      <w:r>
        <w:rPr>
          <w:rFonts w:ascii="Times New Roman" w:hAnsi="Times New Roman" w:cs="Times New Roman" w:eastAsia="Times New Roman" w:hint="default"/>
        </w:rPr>
        <w:t>B</w:t>
      </w:r>
      <w:r>
        <w:rPr/>
        <w:t>、无形资产的减值，按照本公司制定的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379" w:lineRule="auto"/>
        <w:ind w:left="572" w:right="0" w:firstLine="14"/>
        <w:jc w:val="left"/>
      </w:pPr>
      <w:r>
        <w:rPr>
          <w:rFonts w:ascii="Times New Roman" w:hAnsi="Times New Roman" w:cs="Times New Roman" w:eastAsia="Times New Roman" w:hint="default"/>
        </w:rPr>
        <w:t>17</w:t>
      </w:r>
      <w:r>
        <w:rPr/>
        <w:t>、股份支付的确认和计量</w:t>
      </w:r>
      <w:r>
        <w:rPr>
          <w:spacing w:val="-3"/>
          <w:w w:val="100"/>
        </w:rPr>
        <w:t> </w:t>
      </w:r>
      <w:r>
        <w:rPr>
          <w:spacing w:val="-2"/>
        </w:rPr>
        <w:t>本公司股份支付的确认和计量，以真实、完整、有效的股份支付协议为基础。具体分为以权益结算的</w:t>
      </w:r>
      <w:r>
        <w:rPr/>
      </w:r>
    </w:p>
    <w:p>
      <w:pPr>
        <w:pStyle w:val="BodyText"/>
        <w:spacing w:line="240" w:lineRule="auto" w:before="64"/>
        <w:ind w:right="0"/>
        <w:jc w:val="both"/>
      </w:pPr>
      <w:r>
        <w:rPr/>
        <w:t>股份支付和以现金结算的股份支付。</w:t>
      </w:r>
    </w:p>
    <w:p>
      <w:pPr>
        <w:spacing w:line="240" w:lineRule="auto" w:before="3"/>
        <w:rPr>
          <w:rFonts w:ascii="宋体" w:hAnsi="宋体" w:cs="宋体" w:eastAsia="宋体" w:hint="default"/>
          <w:sz w:val="14"/>
          <w:szCs w:val="14"/>
        </w:rPr>
      </w:pPr>
    </w:p>
    <w:p>
      <w:pPr>
        <w:pStyle w:val="BodyText"/>
        <w:spacing w:line="379" w:lineRule="auto"/>
        <w:ind w:left="572" w:right="0"/>
        <w:jc w:val="left"/>
      </w:pPr>
      <w:r>
        <w:rPr/>
        <w:t>（</w:t>
      </w:r>
      <w:r>
        <w:rPr>
          <w:rFonts w:ascii="Times New Roman" w:hAnsi="Times New Roman" w:cs="Times New Roman" w:eastAsia="Times New Roman" w:hint="default"/>
        </w:rPr>
        <w:t>1</w:t>
      </w:r>
      <w:r>
        <w:rPr/>
        <w:t>）以权益工具结算的股份支付</w:t>
      </w:r>
      <w:r>
        <w:rPr>
          <w:w w:val="100"/>
        </w:rPr>
        <w:t> </w:t>
      </w:r>
      <w:r>
        <w:rPr>
          <w:spacing w:val="-2"/>
        </w:rPr>
        <w:t>以权益结算的股份支付换取职工提供服务的，以授予职工权益工具的公允价值计量。授予后立即可行</w:t>
      </w:r>
    </w:p>
    <w:p>
      <w:pPr>
        <w:pStyle w:val="BodyText"/>
        <w:spacing w:line="400" w:lineRule="auto" w:before="64"/>
        <w:ind w:right="207"/>
        <w:jc w:val="both"/>
      </w:pPr>
      <w:r>
        <w:rPr>
          <w:spacing w:val="-2"/>
        </w:rPr>
        <w:t>权的换取职工服务的以权益结算的股份支付，在授予日按照权益工具的公允价值计入相关成本或费用，相</w:t>
      </w:r>
      <w:r>
        <w:rPr>
          <w:spacing w:val="-43"/>
        </w:rPr>
        <w:t> </w:t>
      </w:r>
      <w:r>
        <w:rPr>
          <w:spacing w:val="-43"/>
        </w:rPr>
      </w:r>
      <w:r>
        <w:rPr>
          <w:spacing w:val="-2"/>
        </w:rPr>
        <w:t>应增加资本公积。完成等待期内的服务或达到规定业绩条件才可行权的换取职工服务的以权益结算的股份</w:t>
      </w:r>
      <w:r>
        <w:rPr>
          <w:spacing w:val="-43"/>
        </w:rPr>
        <w:t> </w:t>
      </w:r>
      <w:r>
        <w:rPr>
          <w:spacing w:val="-43"/>
        </w:rPr>
      </w:r>
      <w:r>
        <w:rPr>
          <w:spacing w:val="-2"/>
        </w:rPr>
        <w:t>支付，在等待期内的每个资产负债表日，以对可行权权益工具数量的最佳估计为基础，按照权益工具授予</w:t>
      </w:r>
      <w:r>
        <w:rPr>
          <w:spacing w:val="-48"/>
        </w:rPr>
        <w:t> </w:t>
      </w:r>
      <w:r>
        <w:rPr>
          <w:spacing w:val="-48"/>
        </w:rPr>
      </w:r>
      <w:r>
        <w:rPr/>
        <w:t>日的公允价值，将当期取得的服务计入相关成本或费用和资本公积。</w:t>
      </w:r>
    </w:p>
    <w:p>
      <w:pPr>
        <w:pStyle w:val="BodyText"/>
        <w:spacing w:line="240" w:lineRule="auto" w:before="45"/>
        <w:ind w:left="572" w:right="0"/>
        <w:jc w:val="left"/>
      </w:pPr>
      <w:r>
        <w:rPr/>
        <w:t>权益工具的公允价值的确定：</w:t>
      </w:r>
    </w:p>
    <w:p>
      <w:pPr>
        <w:spacing w:line="240" w:lineRule="auto" w:before="0"/>
        <w:rPr>
          <w:rFonts w:ascii="宋体" w:hAnsi="宋体" w:cs="宋体" w:eastAsia="宋体" w:hint="default"/>
          <w:sz w:val="14"/>
          <w:szCs w:val="14"/>
        </w:rPr>
      </w:pPr>
    </w:p>
    <w:p>
      <w:pPr>
        <w:pStyle w:val="BodyText"/>
        <w:spacing w:line="403" w:lineRule="auto"/>
        <w:ind w:right="0" w:firstLine="420"/>
        <w:jc w:val="left"/>
      </w:pPr>
      <w:r>
        <w:rPr>
          <w:spacing w:val="-2"/>
        </w:rPr>
        <w:t>①对于授予职工的股份，其公允价值按企业股份的市场价格计量，同时考虑授予股份所依据的条款和</w:t>
      </w:r>
      <w:r>
        <w:rPr>
          <w:w w:val="100"/>
        </w:rPr>
        <w:t> </w:t>
      </w:r>
      <w:r>
        <w:rPr>
          <w:spacing w:val="-5"/>
        </w:rPr>
        <w:t>条件（不包括市场条件之外的可行权条件）进行调整。如果企业未公开交易，则应按估计的市场价格计量，</w:t>
      </w:r>
    </w:p>
    <w:p>
      <w:pPr>
        <w:spacing w:after="0" w:line="403" w:lineRule="auto"/>
        <w:jc w:val="left"/>
        <w:sectPr>
          <w:pgSz w:w="11910" w:h="16840"/>
          <w:pgMar w:header="850" w:footer="979" w:top="1200" w:bottom="1160" w:left="980" w:right="920"/>
        </w:sectPr>
      </w:pPr>
    </w:p>
    <w:p>
      <w:pPr>
        <w:spacing w:line="240" w:lineRule="auto" w:before="11"/>
        <w:rPr>
          <w:rFonts w:ascii="宋体" w:hAnsi="宋体" w:cs="宋体" w:eastAsia="宋体" w:hint="default"/>
          <w:sz w:val="13"/>
          <w:szCs w:val="13"/>
        </w:rPr>
      </w:pPr>
    </w:p>
    <w:p>
      <w:pPr>
        <w:pStyle w:val="BodyText"/>
        <w:spacing w:line="240" w:lineRule="auto" w:before="36"/>
        <w:ind w:right="0"/>
        <w:jc w:val="both"/>
      </w:pPr>
      <w:r>
        <w:rPr/>
        <w:t>并考虑授予股份所依据的条款和条件进行调整。</w:t>
      </w:r>
    </w:p>
    <w:p>
      <w:pPr>
        <w:spacing w:line="240" w:lineRule="auto" w:before="3"/>
        <w:rPr>
          <w:rFonts w:ascii="宋体" w:hAnsi="宋体" w:cs="宋体" w:eastAsia="宋体" w:hint="default"/>
          <w:sz w:val="14"/>
          <w:szCs w:val="14"/>
        </w:rPr>
      </w:pPr>
    </w:p>
    <w:p>
      <w:pPr>
        <w:pStyle w:val="BodyText"/>
        <w:spacing w:line="400" w:lineRule="auto"/>
        <w:ind w:right="147" w:firstLine="420"/>
        <w:jc w:val="both"/>
      </w:pPr>
      <w:r>
        <w:rPr>
          <w:spacing w:val="-2"/>
        </w:rPr>
        <w:t>②对于授予职工的股票期权，如果不存在条款和条件相似的交易期权，应通过期权定价模型来估计所</w:t>
      </w:r>
      <w:r>
        <w:rPr>
          <w:w w:val="100"/>
        </w:rPr>
        <w:t> </w:t>
      </w:r>
      <w:r>
        <w:rPr/>
        <w:t>授予的期权的公允价值。</w:t>
      </w:r>
    </w:p>
    <w:p>
      <w:pPr>
        <w:pStyle w:val="BodyText"/>
        <w:spacing w:line="400" w:lineRule="auto" w:before="45"/>
        <w:ind w:right="147" w:firstLine="420"/>
        <w:jc w:val="both"/>
      </w:pPr>
      <w:r>
        <w:rPr>
          <w:spacing w:val="-2"/>
        </w:rPr>
        <w:t>企业在确定权益工具授予日的公允价值时，应当考虑股份支付协议规定的可行权条件中的市场条件和</w:t>
      </w:r>
      <w:r>
        <w:rPr>
          <w:w w:val="100"/>
        </w:rPr>
        <w:t> </w:t>
      </w:r>
      <w:r>
        <w:rPr>
          <w:spacing w:val="-2"/>
        </w:rPr>
        <w:t>非可行权条件的影响。股份支付存在非可行权条件的，只要职工或其他方满足了所有可行权条件中的非市</w:t>
      </w:r>
      <w:r>
        <w:rPr>
          <w:spacing w:val="-44"/>
        </w:rPr>
        <w:t> </w:t>
      </w:r>
      <w:r>
        <w:rPr>
          <w:spacing w:val="-44"/>
        </w:rPr>
      </w:r>
      <w:r>
        <w:rPr/>
        <w:t>场条件（如服务期限等），企业应当确认已得到服务相对应的成本费用。</w:t>
      </w:r>
    </w:p>
    <w:p>
      <w:pPr>
        <w:pStyle w:val="BodyText"/>
        <w:spacing w:line="381" w:lineRule="auto" w:before="45"/>
        <w:ind w:left="572" w:right="0" w:hanging="1"/>
        <w:jc w:val="left"/>
      </w:pPr>
      <w:r>
        <w:rPr/>
        <w:t>（</w:t>
      </w:r>
      <w:r>
        <w:rPr>
          <w:rFonts w:ascii="Times New Roman" w:hAnsi="Times New Roman" w:cs="Times New Roman" w:eastAsia="Times New Roman" w:hint="default"/>
        </w:rPr>
        <w:t>2</w:t>
      </w:r>
      <w:r>
        <w:rPr/>
        <w:t>）以现金结算的股份支付</w:t>
      </w:r>
      <w:r>
        <w:rPr>
          <w:spacing w:val="-3"/>
          <w:w w:val="100"/>
        </w:rPr>
        <w:t> </w:t>
      </w:r>
      <w:r>
        <w:rPr>
          <w:spacing w:val="-2"/>
        </w:rPr>
        <w:t>以现金结算的股份支付，按照本公司承担的以股份或其他权益工具为基础计算确定的负债的公允价值</w:t>
      </w:r>
    </w:p>
    <w:p>
      <w:pPr>
        <w:pStyle w:val="BodyText"/>
        <w:spacing w:line="400" w:lineRule="auto" w:before="59"/>
        <w:ind w:right="147"/>
        <w:jc w:val="both"/>
      </w:pPr>
      <w:r>
        <w:rPr>
          <w:spacing w:val="-2"/>
        </w:rPr>
        <w:t>计量。授予后立即可行权的以现金结算的股份支付，在授予日以本公司承担负债的公允价值计入相关成本</w:t>
      </w:r>
      <w:r>
        <w:rPr>
          <w:spacing w:val="-43"/>
        </w:rPr>
        <w:t> </w:t>
      </w:r>
      <w:r>
        <w:rPr>
          <w:spacing w:val="-43"/>
        </w:rPr>
      </w:r>
      <w:r>
        <w:rPr>
          <w:spacing w:val="-2"/>
        </w:rPr>
        <w:t>或费用，相应增加负债。完成等待期内的服务或达到规定业绩条件才可行权的换取职工服务的以现金结算</w:t>
      </w:r>
      <w:r>
        <w:rPr>
          <w:spacing w:val="-43"/>
        </w:rPr>
        <w:t> </w:t>
      </w:r>
      <w:r>
        <w:rPr>
          <w:spacing w:val="-43"/>
        </w:rPr>
      </w:r>
      <w:r>
        <w:rPr>
          <w:spacing w:val="-2"/>
        </w:rPr>
        <w:t>的股份支付，在等待期内的每个资产负债表日，以对可行权情况的最佳估计为基础，按本公司承担负债的</w:t>
      </w:r>
      <w:r>
        <w:rPr>
          <w:spacing w:val="-43"/>
        </w:rPr>
        <w:t> </w:t>
      </w:r>
      <w:r>
        <w:rPr>
          <w:spacing w:val="-43"/>
        </w:rPr>
      </w:r>
      <w:r>
        <w:rPr/>
        <w:t>公允价值金额，将当期取得的服务计入成本或费用和相应的负债。</w:t>
      </w:r>
    </w:p>
    <w:p>
      <w:pPr>
        <w:pStyle w:val="BodyText"/>
        <w:spacing w:line="391" w:lineRule="auto" w:before="45"/>
        <w:ind w:right="0" w:firstLine="420"/>
        <w:jc w:val="left"/>
      </w:pPr>
      <w:r>
        <w:rPr/>
        <w:t>（</w:t>
      </w:r>
      <w:r>
        <w:rPr>
          <w:rFonts w:ascii="Times New Roman" w:hAnsi="Times New Roman" w:cs="Times New Roman" w:eastAsia="Times New Roman" w:hint="default"/>
        </w:rPr>
        <w:t>3</w:t>
      </w:r>
      <w:r>
        <w:rPr/>
        <w:t>）确认可行权权益工具最佳估计的依据：在等待期内每个资产负债表日，公司根据最新取得的可</w:t>
      </w:r>
      <w:r>
        <w:rPr>
          <w:w w:val="100"/>
        </w:rPr>
        <w:t> </w:t>
      </w:r>
      <w:r>
        <w:rPr>
          <w:spacing w:val="-2"/>
        </w:rPr>
        <w:t>行权职工人数变动等后续信息作出最佳估计，修正预计可行权的权益工具数量，以作出可行权权益工具的</w:t>
      </w:r>
      <w:r>
        <w:rPr>
          <w:spacing w:val="-43"/>
        </w:rPr>
        <w:t> </w:t>
      </w:r>
      <w:r>
        <w:rPr>
          <w:spacing w:val="-43"/>
        </w:rPr>
      </w:r>
      <w:r>
        <w:rPr/>
        <w:t>最佳估计。</w:t>
      </w:r>
    </w:p>
    <w:p>
      <w:pPr>
        <w:pStyle w:val="BodyText"/>
        <w:spacing w:line="381" w:lineRule="auto" w:before="53"/>
        <w:ind w:left="572" w:right="0"/>
        <w:jc w:val="left"/>
      </w:pPr>
      <w:r>
        <w:rPr/>
        <w:t>（</w:t>
      </w:r>
      <w:r>
        <w:rPr>
          <w:rFonts w:ascii="Times New Roman" w:hAnsi="Times New Roman" w:cs="Times New Roman" w:eastAsia="Times New Roman" w:hint="default"/>
        </w:rPr>
        <w:t>4</w:t>
      </w:r>
      <w:r>
        <w:rPr/>
        <w:t>）修改、终止股份支付计划的相关会计处理</w:t>
      </w:r>
      <w:r>
        <w:rPr>
          <w:w w:val="100"/>
        </w:rPr>
        <w:t> </w:t>
      </w:r>
      <w:r>
        <w:rPr>
          <w:spacing w:val="-2"/>
        </w:rPr>
        <w:t>如果修改增加了所授予的权益工具的公允价值，公司按照权益工具公允价值的增加相应地确认取得服</w:t>
      </w:r>
    </w:p>
    <w:p>
      <w:pPr>
        <w:pStyle w:val="BodyText"/>
        <w:spacing w:line="403" w:lineRule="auto" w:before="59"/>
        <w:ind w:right="147"/>
        <w:jc w:val="both"/>
      </w:pPr>
      <w:r>
        <w:rPr>
          <w:spacing w:val="-2"/>
        </w:rPr>
        <w:t>务的增加；如果修改增加了所授予的权益工具的数量，公司将增加的权益工具的公允价值相应地确认为取</w:t>
      </w:r>
      <w:r>
        <w:rPr>
          <w:spacing w:val="-43"/>
        </w:rPr>
        <w:t> </w:t>
      </w:r>
      <w:r>
        <w:rPr>
          <w:spacing w:val="-43"/>
        </w:rPr>
      </w:r>
      <w:r>
        <w:rPr>
          <w:spacing w:val="-2"/>
        </w:rPr>
        <w:t>得服务的增加；如果公司按照有利于职工的方式修改可行权条件，公司在处理可行权条件时，考虑修改后</w:t>
      </w:r>
      <w:r>
        <w:rPr>
          <w:spacing w:val="-48"/>
        </w:rPr>
        <w:t> </w:t>
      </w:r>
      <w:r>
        <w:rPr>
          <w:spacing w:val="-48"/>
        </w:rPr>
      </w:r>
      <w:r>
        <w:rPr/>
        <w:t>的可行权条件。</w:t>
      </w:r>
    </w:p>
    <w:p>
      <w:pPr>
        <w:pStyle w:val="BodyText"/>
        <w:spacing w:line="400" w:lineRule="auto" w:before="40"/>
        <w:ind w:right="147" w:firstLine="420"/>
        <w:jc w:val="both"/>
      </w:pPr>
      <w:r>
        <w:rPr>
          <w:spacing w:val="-2"/>
        </w:rPr>
        <w:t>如果修改减少了授予的权益工具的公允价值，公司继续以权益工具在授予日的公允价值为基础，确认</w:t>
      </w:r>
      <w:r>
        <w:rPr>
          <w:w w:val="100"/>
        </w:rPr>
        <w:t> </w:t>
      </w:r>
      <w:r>
        <w:rPr>
          <w:spacing w:val="-2"/>
        </w:rPr>
        <w:t>取得服务的金额，而不考虑权益工具公允价值的减少；如果修改减少了授予的权益工具的数量，公司将减</w:t>
      </w:r>
      <w:r>
        <w:rPr>
          <w:spacing w:val="-43"/>
        </w:rPr>
        <w:t> </w:t>
      </w:r>
      <w:r>
        <w:rPr>
          <w:spacing w:val="-43"/>
        </w:rPr>
      </w:r>
      <w:r>
        <w:rPr>
          <w:spacing w:val="-2"/>
        </w:rPr>
        <w:t>少部分作为已授予的权益工具的取消来进行处理；如果以不利于职工的方式修改了可行权条件，在处理可</w:t>
      </w:r>
      <w:r>
        <w:rPr>
          <w:spacing w:val="-43"/>
        </w:rPr>
        <w:t> </w:t>
      </w:r>
      <w:r>
        <w:rPr>
          <w:spacing w:val="-43"/>
        </w:rPr>
      </w:r>
      <w:r>
        <w:rPr/>
        <w:t>行权条件时，不考虑修改后的可行权条件。</w:t>
      </w:r>
    </w:p>
    <w:p>
      <w:pPr>
        <w:pStyle w:val="BodyText"/>
        <w:spacing w:line="403" w:lineRule="auto" w:before="45"/>
        <w:ind w:right="147" w:firstLine="420"/>
        <w:jc w:val="both"/>
      </w:pPr>
      <w:r>
        <w:rPr>
          <w:spacing w:val="-2"/>
        </w:rPr>
        <w:t>如果公司在等待期内取消了所授予的权益工具或结算了所授予的权益工具（因未满足可行权条件而被</w:t>
      </w:r>
      <w:r>
        <w:rPr>
          <w:w w:val="100"/>
        </w:rPr>
        <w:t> </w:t>
      </w:r>
      <w:r>
        <w:rPr/>
        <w:t>取消的除外，则将取消或结算作为加速可行权处理，立即确认原本在剩余等待期内确认的金额。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381" w:lineRule="auto"/>
        <w:ind w:left="572" w:right="0"/>
        <w:jc w:val="left"/>
      </w:pPr>
      <w:r>
        <w:rPr>
          <w:rFonts w:ascii="Times New Roman" w:hAnsi="Times New Roman" w:cs="Times New Roman" w:eastAsia="Times New Roman" w:hint="default"/>
        </w:rPr>
        <w:t>18</w:t>
      </w:r>
      <w:r>
        <w:rPr/>
        <w:t>、收入确认方法和原则</w:t>
      </w:r>
      <w:r>
        <w:rPr>
          <w:w w:val="100"/>
        </w:rPr>
        <w:t> </w:t>
      </w:r>
      <w:r>
        <w:rPr>
          <w:spacing w:val="-2"/>
        </w:rPr>
        <w:t>本公司的收入包括销售自行开发研制的软件产品收入、销售商品收入、系统集成收入、技术支持与维</w:t>
      </w:r>
    </w:p>
    <w:p>
      <w:pPr>
        <w:pStyle w:val="BodyText"/>
        <w:spacing w:line="240" w:lineRule="auto" w:before="59"/>
        <w:ind w:right="0"/>
        <w:jc w:val="both"/>
      </w:pPr>
      <w:r>
        <w:rPr/>
        <w:t>护收入和一次性技术开发收入。</w:t>
      </w:r>
    </w:p>
    <w:p>
      <w:pPr>
        <w:spacing w:line="240" w:lineRule="auto" w:before="3"/>
        <w:rPr>
          <w:rFonts w:ascii="宋体" w:hAnsi="宋体" w:cs="宋体" w:eastAsia="宋体" w:hint="default"/>
          <w:sz w:val="14"/>
          <w:szCs w:val="14"/>
        </w:rPr>
      </w:pPr>
    </w:p>
    <w:p>
      <w:pPr>
        <w:pStyle w:val="BodyText"/>
        <w:spacing w:line="240" w:lineRule="auto"/>
        <w:ind w:left="572" w:right="3480"/>
        <w:jc w:val="left"/>
      </w:pPr>
      <w:r>
        <w:rPr/>
        <w:t>（</w:t>
      </w:r>
      <w:r>
        <w:rPr>
          <w:rFonts w:ascii="Times New Roman" w:hAnsi="Times New Roman" w:cs="Times New Roman" w:eastAsia="Times New Roman" w:hint="default"/>
        </w:rPr>
        <w:t>1</w:t>
      </w:r>
      <w:r>
        <w:rPr/>
        <w:t>）销售自行开发研制的软件产品收入</w:t>
      </w:r>
    </w:p>
    <w:p>
      <w:pPr>
        <w:spacing w:after="0" w:line="240" w:lineRule="auto"/>
        <w:jc w:val="left"/>
        <w:sectPr>
          <w:pgSz w:w="11910" w:h="16840"/>
          <w:pgMar w:header="850" w:footer="979" w:top="1200" w:bottom="1160" w:left="980" w:right="980"/>
        </w:sectPr>
      </w:pPr>
    </w:p>
    <w:p>
      <w:pPr>
        <w:spacing w:line="240" w:lineRule="auto" w:before="11"/>
        <w:rPr>
          <w:rFonts w:ascii="宋体" w:hAnsi="宋体" w:cs="宋体" w:eastAsia="宋体" w:hint="default"/>
          <w:sz w:val="13"/>
          <w:szCs w:val="13"/>
        </w:rPr>
      </w:pPr>
    </w:p>
    <w:p>
      <w:pPr>
        <w:pStyle w:val="BodyText"/>
        <w:spacing w:line="403" w:lineRule="auto" w:before="36"/>
        <w:ind w:left="572" w:right="0"/>
        <w:jc w:val="left"/>
      </w:pPr>
      <w:r>
        <w:rPr/>
        <w:t>自行开发研制的软件产品是指公司拥有著作权，销售时不转让所有权的软件产品。</w:t>
      </w:r>
      <w:r>
        <w:rPr>
          <w:w w:val="100"/>
        </w:rPr>
        <w:t> </w:t>
      </w:r>
      <w:r>
        <w:rPr>
          <w:spacing w:val="2"/>
        </w:rPr>
        <w:t>对于不需要安装就可以使用的软件产品，公司在已将软件产品使用权上的主要风险和报酬转给购货</w:t>
      </w:r>
    </w:p>
    <w:p>
      <w:pPr>
        <w:pStyle w:val="BodyText"/>
        <w:spacing w:line="403" w:lineRule="auto" w:before="40"/>
        <w:ind w:right="0"/>
        <w:jc w:val="left"/>
      </w:pPr>
      <w:r>
        <w:rPr>
          <w:spacing w:val="-2"/>
        </w:rPr>
        <w:t>方；公司既没有保留与使用权相联系的继续管理权；也没有对已售出的软件产品实施控制；与交易相关的</w:t>
      </w:r>
      <w:r>
        <w:rPr>
          <w:spacing w:val="-44"/>
        </w:rPr>
        <w:t> </w:t>
      </w:r>
      <w:r>
        <w:rPr>
          <w:spacing w:val="-44"/>
        </w:rPr>
      </w:r>
      <w:r>
        <w:rPr/>
        <w:t>经济利益能够流入企业；相关的收入和成本能够可靠地计量时，确认收入实现。</w:t>
      </w:r>
    </w:p>
    <w:p>
      <w:pPr>
        <w:pStyle w:val="BodyText"/>
        <w:spacing w:line="240" w:lineRule="auto" w:before="43"/>
        <w:ind w:left="572" w:right="0"/>
        <w:jc w:val="left"/>
      </w:pPr>
      <w:r>
        <w:rPr/>
        <w:t>对于系统集成中的软件产品收入，按系统集成收入确认的原则确认。</w:t>
      </w:r>
    </w:p>
    <w:p>
      <w:pPr>
        <w:spacing w:line="240" w:lineRule="auto" w:before="0"/>
        <w:rPr>
          <w:rFonts w:ascii="宋体" w:hAnsi="宋体" w:cs="宋体" w:eastAsia="宋体" w:hint="default"/>
          <w:sz w:val="14"/>
          <w:szCs w:val="14"/>
        </w:rPr>
      </w:pPr>
    </w:p>
    <w:p>
      <w:pPr>
        <w:pStyle w:val="BodyText"/>
        <w:spacing w:line="381" w:lineRule="auto"/>
        <w:ind w:left="572" w:right="0"/>
        <w:jc w:val="left"/>
      </w:pPr>
      <w:r>
        <w:rPr/>
        <w:t>（</w:t>
      </w:r>
      <w:r>
        <w:rPr>
          <w:rFonts w:ascii="Times New Roman" w:hAnsi="Times New Roman" w:cs="Times New Roman" w:eastAsia="Times New Roman" w:hint="default"/>
        </w:rPr>
        <w:t>2</w:t>
      </w:r>
      <w:r>
        <w:rPr/>
        <w:t>）销售商品收入</w:t>
      </w:r>
      <w:r>
        <w:rPr>
          <w:w w:val="100"/>
        </w:rPr>
        <w:t> </w:t>
      </w:r>
      <w:r>
        <w:rPr>
          <w:spacing w:val="2"/>
        </w:rPr>
        <w:t>公司已将外购商品的所有权的主要风险和报酬转给购货方；既没有保留与所有权相联系的继续管理</w:t>
      </w:r>
    </w:p>
    <w:p>
      <w:pPr>
        <w:pStyle w:val="BodyText"/>
        <w:spacing w:line="400" w:lineRule="auto" w:before="62"/>
        <w:ind w:right="0"/>
        <w:jc w:val="left"/>
      </w:pPr>
      <w:r>
        <w:rPr>
          <w:spacing w:val="-2"/>
        </w:rPr>
        <w:t>权；也没有对已售出的所有权实施控制；与交易相关的经济利益能够流入企业；相关的收入和成本能够可</w:t>
      </w:r>
      <w:r>
        <w:rPr>
          <w:spacing w:val="-43"/>
        </w:rPr>
        <w:t> </w:t>
      </w:r>
      <w:r>
        <w:rPr>
          <w:spacing w:val="-43"/>
        </w:rPr>
      </w:r>
      <w:r>
        <w:rPr/>
        <w:t>靠地计量时，确认收入实现。</w:t>
      </w:r>
    </w:p>
    <w:p>
      <w:pPr>
        <w:pStyle w:val="BodyText"/>
        <w:spacing w:line="240" w:lineRule="auto" w:before="45"/>
        <w:ind w:left="572" w:right="0"/>
        <w:jc w:val="left"/>
      </w:pPr>
      <w:r>
        <w:rPr/>
        <w:t>对于系统集成中的外购商品收入，按系统集成收入确认的原则确认。</w:t>
      </w:r>
    </w:p>
    <w:p>
      <w:pPr>
        <w:spacing w:line="240" w:lineRule="auto" w:before="3"/>
        <w:rPr>
          <w:rFonts w:ascii="宋体" w:hAnsi="宋体" w:cs="宋体" w:eastAsia="宋体" w:hint="default"/>
          <w:sz w:val="14"/>
          <w:szCs w:val="14"/>
        </w:rPr>
      </w:pPr>
    </w:p>
    <w:p>
      <w:pPr>
        <w:pStyle w:val="BodyText"/>
        <w:spacing w:line="379" w:lineRule="auto"/>
        <w:ind w:left="572" w:right="3480"/>
        <w:jc w:val="left"/>
      </w:pPr>
      <w:r>
        <w:rPr/>
        <w:t>（</w:t>
      </w:r>
      <w:r>
        <w:rPr>
          <w:rFonts w:ascii="Times New Roman" w:hAnsi="Times New Roman" w:cs="Times New Roman" w:eastAsia="Times New Roman" w:hint="default"/>
        </w:rPr>
        <w:t>3</w:t>
      </w:r>
      <w:r>
        <w:rPr/>
        <w:t>）系统集成收入</w:t>
      </w:r>
      <w:r>
        <w:rPr>
          <w:w w:val="100"/>
        </w:rPr>
        <w:t> </w:t>
      </w:r>
      <w:r>
        <w:rPr>
          <w:spacing w:val="-2"/>
        </w:rPr>
        <w:t>系统集成包括外购商品、自行开发软件产品的销售及安装。</w:t>
      </w:r>
    </w:p>
    <w:p>
      <w:pPr>
        <w:pStyle w:val="BodyText"/>
        <w:spacing w:line="400" w:lineRule="auto" w:before="64"/>
        <w:ind w:right="147" w:firstLine="420"/>
        <w:jc w:val="both"/>
      </w:pPr>
      <w:r>
        <w:rPr>
          <w:spacing w:val="-2"/>
        </w:rPr>
        <w:t>公司在将系统集成中外购商品的所有权、自行开发研制的软件产品使用权上的主要风险和报酬转给购</w:t>
      </w:r>
      <w:r>
        <w:rPr>
          <w:w w:val="100"/>
        </w:rPr>
        <w:t> </w:t>
      </w:r>
      <w:r>
        <w:rPr>
          <w:spacing w:val="-2"/>
        </w:rPr>
        <w:t>货方，公司既没有保留与所有权及使用权相联系的继续管理权；也没有对已售出的使用权及所有权实施控</w:t>
      </w:r>
      <w:r>
        <w:rPr>
          <w:spacing w:val="-43"/>
        </w:rPr>
        <w:t> </w:t>
      </w:r>
      <w:r>
        <w:rPr>
          <w:spacing w:val="-43"/>
        </w:rPr>
      </w:r>
      <w:r>
        <w:rPr>
          <w:spacing w:val="-2"/>
        </w:rPr>
        <w:t>制；系统安装调试完毕并取得购货方的确认；与交易相关的经济利益能够流入企业；相关的收入和成本能</w:t>
      </w:r>
      <w:r>
        <w:rPr>
          <w:spacing w:val="-42"/>
        </w:rPr>
        <w:t> </w:t>
      </w:r>
      <w:r>
        <w:rPr>
          <w:spacing w:val="-42"/>
        </w:rPr>
      </w:r>
      <w:r>
        <w:rPr/>
        <w:t>够可靠地计量时，确认收入实现。</w:t>
      </w:r>
    </w:p>
    <w:p>
      <w:pPr>
        <w:pStyle w:val="BodyText"/>
        <w:spacing w:line="379" w:lineRule="auto" w:before="45"/>
        <w:ind w:left="572" w:right="0"/>
        <w:jc w:val="left"/>
      </w:pPr>
      <w:r>
        <w:rPr/>
        <w:t>（</w:t>
      </w:r>
      <w:r>
        <w:rPr>
          <w:rFonts w:ascii="Times New Roman" w:hAnsi="Times New Roman" w:cs="Times New Roman" w:eastAsia="Times New Roman" w:hint="default"/>
        </w:rPr>
        <w:t>4</w:t>
      </w:r>
      <w:r>
        <w:rPr/>
        <w:t>）技术支持与维护收入</w:t>
      </w:r>
      <w:r>
        <w:rPr>
          <w:spacing w:val="-3"/>
          <w:w w:val="100"/>
        </w:rPr>
        <w:t> </w:t>
      </w:r>
      <w:r>
        <w:rPr>
          <w:spacing w:val="-2"/>
        </w:rPr>
        <w:t>技术支持与维护主要是指根据合同规定向用户提供的后续服务，后续服务包括系统维护、技术与应用</w:t>
      </w:r>
    </w:p>
    <w:p>
      <w:pPr>
        <w:pStyle w:val="BodyText"/>
        <w:spacing w:line="403" w:lineRule="auto" w:before="64"/>
        <w:ind w:left="572" w:right="0" w:hanging="421"/>
        <w:jc w:val="left"/>
      </w:pPr>
      <w:r>
        <w:rPr/>
        <w:t>咨询、产品升级等。</w:t>
      </w:r>
      <w:r>
        <w:rPr>
          <w:w w:val="100"/>
        </w:rPr>
        <w:t> </w:t>
      </w:r>
      <w:r>
        <w:rPr>
          <w:spacing w:val="-2"/>
        </w:rPr>
        <w:t>公司在劳务已经提供，收到价款或取得收款的依据后，根据与用户签订的技术支持与维护合同规定的</w:t>
      </w:r>
    </w:p>
    <w:p>
      <w:pPr>
        <w:pStyle w:val="BodyText"/>
        <w:spacing w:line="240" w:lineRule="auto" w:before="40"/>
        <w:ind w:right="0"/>
        <w:jc w:val="left"/>
      </w:pPr>
      <w:r>
        <w:rPr/>
        <w:t>维护期间及合同总金额，按提供技术支持与维护的进度确认技术与维护收入。</w:t>
      </w:r>
    </w:p>
    <w:p>
      <w:pPr>
        <w:spacing w:line="240" w:lineRule="auto" w:before="3"/>
        <w:rPr>
          <w:rFonts w:ascii="宋体" w:hAnsi="宋体" w:cs="宋体" w:eastAsia="宋体" w:hint="default"/>
          <w:sz w:val="14"/>
          <w:szCs w:val="14"/>
        </w:rPr>
      </w:pPr>
    </w:p>
    <w:p>
      <w:pPr>
        <w:pStyle w:val="BodyText"/>
        <w:spacing w:line="381" w:lineRule="auto"/>
        <w:ind w:left="572" w:right="0"/>
        <w:jc w:val="left"/>
      </w:pPr>
      <w:r>
        <w:rPr/>
        <w:t>（</w:t>
      </w:r>
      <w:r>
        <w:rPr>
          <w:rFonts w:ascii="Times New Roman" w:hAnsi="Times New Roman" w:cs="Times New Roman" w:eastAsia="Times New Roman" w:hint="default"/>
        </w:rPr>
        <w:t>5</w:t>
      </w:r>
      <w:r>
        <w:rPr/>
        <w:t>）一次性技术开发收入</w:t>
      </w:r>
      <w:r>
        <w:rPr>
          <w:spacing w:val="-3"/>
          <w:w w:val="100"/>
        </w:rPr>
        <w:t> </w:t>
      </w:r>
      <w:r>
        <w:rPr>
          <w:spacing w:val="-2"/>
        </w:rPr>
        <w:t>一次性技术开发主要是指根据集团客户的要求对自行开发研究的软件进行再次开发，向集团客户一次</w:t>
      </w:r>
    </w:p>
    <w:p>
      <w:pPr>
        <w:pStyle w:val="BodyText"/>
        <w:spacing w:line="403" w:lineRule="auto" w:before="59"/>
        <w:ind w:left="572" w:right="0" w:hanging="420"/>
        <w:jc w:val="left"/>
      </w:pPr>
      <w:r>
        <w:rPr/>
        <w:t>性收取的技术开发费。</w:t>
      </w:r>
      <w:r>
        <w:rPr>
          <w:w w:val="100"/>
        </w:rPr>
        <w:t> </w:t>
      </w:r>
      <w:r>
        <w:rPr>
          <w:spacing w:val="-2"/>
        </w:rPr>
        <w:t>公司在劳务已经提供，收到价款或取得收款的依据，集团客户第一个系统集成项目完工时确认收入的</w:t>
      </w:r>
    </w:p>
    <w:p>
      <w:pPr>
        <w:pStyle w:val="BodyText"/>
        <w:spacing w:line="240" w:lineRule="auto" w:before="43"/>
        <w:ind w:right="3480"/>
        <w:jc w:val="left"/>
      </w:pPr>
      <w:r>
        <w:rPr/>
        <w:t>实现。</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left="572" w:right="3480"/>
        <w:jc w:val="left"/>
      </w:pPr>
      <w:r>
        <w:rPr>
          <w:rFonts w:ascii="Times New Roman" w:hAnsi="Times New Roman" w:cs="Times New Roman" w:eastAsia="Times New Roman" w:hint="default"/>
        </w:rPr>
        <w:t>19</w:t>
      </w:r>
      <w:r>
        <w:rPr/>
        <w:t>、政府补助的确认和计量</w:t>
      </w:r>
    </w:p>
    <w:p>
      <w:pPr>
        <w:pStyle w:val="BodyText"/>
        <w:spacing w:line="379" w:lineRule="auto" w:before="170"/>
        <w:ind w:left="572" w:right="0"/>
        <w:jc w:val="left"/>
      </w:pPr>
      <w:r>
        <w:rPr/>
        <w:t>（</w:t>
      </w:r>
      <w:r>
        <w:rPr>
          <w:rFonts w:ascii="Times New Roman" w:hAnsi="Times New Roman" w:cs="Times New Roman" w:eastAsia="Times New Roman" w:hint="default"/>
        </w:rPr>
        <w:t>1</w:t>
      </w:r>
      <w:r>
        <w:rPr/>
        <w:t>）政府补助的确认</w:t>
      </w:r>
      <w:r>
        <w:rPr>
          <w:spacing w:val="-3"/>
          <w:w w:val="100"/>
        </w:rPr>
        <w:t> </w:t>
      </w:r>
      <w:r>
        <w:rPr>
          <w:spacing w:val="-2"/>
        </w:rPr>
        <w:t>本公司收到政府无偿拨入的货币性资产或非货币性资产，同时满足下列条件时，确认为政府补助：</w:t>
      </w:r>
    </w:p>
    <w:p>
      <w:pPr>
        <w:pStyle w:val="BodyText"/>
        <w:spacing w:line="240" w:lineRule="auto" w:before="64"/>
        <w:ind w:left="571" w:right="3480"/>
        <w:jc w:val="left"/>
      </w:pPr>
      <w:r>
        <w:rPr/>
        <w:t>①</w:t>
      </w:r>
      <w:r>
        <w:rPr>
          <w:spacing w:val="-2"/>
        </w:rPr>
        <w:t> </w:t>
      </w:r>
      <w:r>
        <w:rPr/>
        <w:t>企业能够满足政府补助所附条件；</w:t>
      </w:r>
    </w:p>
    <w:p>
      <w:pPr>
        <w:spacing w:after="0" w:line="240" w:lineRule="auto"/>
        <w:jc w:val="left"/>
        <w:sectPr>
          <w:footerReference w:type="default" r:id="rId49"/>
          <w:pgSz w:w="11910" w:h="16840"/>
          <w:pgMar w:footer="979" w:header="850" w:top="1200" w:bottom="1160" w:left="980" w:right="980"/>
          <w:pgNumType w:start="98"/>
        </w:sectPr>
      </w:pPr>
    </w:p>
    <w:p>
      <w:pPr>
        <w:spacing w:line="240" w:lineRule="auto" w:before="11"/>
        <w:rPr>
          <w:rFonts w:ascii="宋体" w:hAnsi="宋体" w:cs="宋体" w:eastAsia="宋体" w:hint="default"/>
          <w:sz w:val="13"/>
          <w:szCs w:val="13"/>
        </w:rPr>
      </w:pPr>
    </w:p>
    <w:p>
      <w:pPr>
        <w:pStyle w:val="BodyText"/>
        <w:spacing w:line="240" w:lineRule="auto" w:before="36"/>
        <w:ind w:left="572" w:right="3480"/>
        <w:jc w:val="left"/>
      </w:pPr>
      <w:r>
        <w:rPr/>
        <w:t>②</w:t>
      </w:r>
      <w:r>
        <w:rPr>
          <w:spacing w:val="-7"/>
        </w:rPr>
        <w:t> </w:t>
      </w:r>
      <w:r>
        <w:rPr/>
        <w:t>企业能够收到政府补助。</w:t>
      </w:r>
    </w:p>
    <w:p>
      <w:pPr>
        <w:spacing w:line="240" w:lineRule="auto" w:before="3"/>
        <w:rPr>
          <w:rFonts w:ascii="宋体" w:hAnsi="宋体" w:cs="宋体" w:eastAsia="宋体" w:hint="default"/>
          <w:sz w:val="14"/>
          <w:szCs w:val="14"/>
        </w:rPr>
      </w:pPr>
    </w:p>
    <w:p>
      <w:pPr>
        <w:pStyle w:val="BodyText"/>
        <w:spacing w:line="240" w:lineRule="auto"/>
        <w:ind w:left="572" w:right="3480"/>
        <w:jc w:val="left"/>
      </w:pPr>
      <w:r>
        <w:rPr/>
        <w:t>（</w:t>
      </w:r>
      <w:r>
        <w:rPr>
          <w:rFonts w:ascii="Times New Roman" w:hAnsi="Times New Roman" w:cs="Times New Roman" w:eastAsia="Times New Roman" w:hint="default"/>
        </w:rPr>
        <w:t>2</w:t>
      </w:r>
      <w:r>
        <w:rPr/>
        <w:t>）政府补助的计量：</w:t>
      </w:r>
    </w:p>
    <w:p>
      <w:pPr>
        <w:pStyle w:val="BodyText"/>
        <w:spacing w:line="403" w:lineRule="auto" w:before="167"/>
        <w:ind w:right="151" w:firstLine="420"/>
        <w:jc w:val="both"/>
      </w:pPr>
      <w:r>
        <w:rPr/>
        <w:t>①</w:t>
      </w:r>
      <w:r>
        <w:rPr>
          <w:spacing w:val="71"/>
        </w:rPr>
        <w:t> </w:t>
      </w:r>
      <w:r>
        <w:rPr/>
        <w:t>政府补助为货币性资产的，按照收到或应收的金额计量。政府补助为非货币性资产的，按照公允</w:t>
      </w:r>
      <w:r>
        <w:rPr>
          <w:w w:val="100"/>
        </w:rPr>
        <w:t> </w:t>
      </w:r>
      <w:r>
        <w:rPr/>
        <w:t>价值计量；公允价值不能可靠取得的，按照名义金额计量。</w:t>
      </w:r>
    </w:p>
    <w:p>
      <w:pPr>
        <w:pStyle w:val="BodyText"/>
        <w:spacing w:line="400" w:lineRule="auto" w:before="43"/>
        <w:ind w:right="149" w:firstLine="420"/>
        <w:jc w:val="both"/>
      </w:pPr>
      <w:r>
        <w:rPr/>
        <w:t>②</w:t>
      </w:r>
      <w:r>
        <w:rPr>
          <w:spacing w:val="69"/>
        </w:rPr>
        <w:t> </w:t>
      </w:r>
      <w:r>
        <w:rPr/>
        <w:t>与资产相关的政府补助，公司取得时确认为递延收益，自相关资产达到预定可使用状态时，在该</w:t>
      </w:r>
      <w:r>
        <w:rPr>
          <w:w w:val="100"/>
        </w:rPr>
        <w:t> </w:t>
      </w:r>
      <w:r>
        <w:rPr>
          <w:spacing w:val="-2"/>
        </w:rPr>
        <w:t>资产使用寿命内平均分配，分次计入以后各期的损益。相关资产在使用寿命结束前被出售、转让、报废或</w:t>
      </w:r>
      <w:r>
        <w:rPr>
          <w:spacing w:val="-47"/>
        </w:rPr>
        <w:t> </w:t>
      </w:r>
      <w:r>
        <w:rPr>
          <w:spacing w:val="-47"/>
        </w:rPr>
      </w:r>
      <w:r>
        <w:rPr/>
        <w:t>发生毁损的，将尚未分配的递延收益余额一次性转入资产处置当期的损益。</w:t>
      </w:r>
    </w:p>
    <w:p>
      <w:pPr>
        <w:pStyle w:val="BodyText"/>
        <w:spacing w:line="400" w:lineRule="auto" w:before="45"/>
        <w:ind w:right="127" w:firstLine="420"/>
        <w:jc w:val="both"/>
      </w:pPr>
      <w:r>
        <w:rPr>
          <w:spacing w:val="-2"/>
        </w:rPr>
        <w:t>与收益相关的政府补助，用于补偿公司以后期间的相关费用或损失的，取得时确认为递延收益，在确</w:t>
      </w:r>
      <w:r>
        <w:rPr>
          <w:w w:val="100"/>
        </w:rPr>
        <w:t> </w:t>
      </w:r>
      <w:r>
        <w:rPr>
          <w:spacing w:val="-2"/>
        </w:rPr>
        <w:t>认相关费用的期间计入当期损益；用于补偿公司已发生的相关费用或损失的，取得时直接计入当期损益。</w:t>
      </w:r>
    </w:p>
    <w:p>
      <w:pPr>
        <w:pStyle w:val="BodyText"/>
        <w:spacing w:line="391" w:lineRule="auto" w:before="45"/>
        <w:ind w:left="572" w:right="0"/>
        <w:jc w:val="left"/>
      </w:pPr>
      <w:r>
        <w:rPr/>
        <w:t>③</w:t>
      </w:r>
      <w:r>
        <w:rPr>
          <w:spacing w:val="-1"/>
        </w:rPr>
        <w:t> </w:t>
      </w:r>
      <w:r>
        <w:rPr/>
        <w:t>已确认的政府补助需要返还的，分别下列情况处理：</w:t>
      </w:r>
      <w:r>
        <w:rPr>
          <w:w w:val="100"/>
        </w:rPr>
        <w:t> </w:t>
      </w:r>
      <w:r>
        <w:rPr>
          <w:rFonts w:ascii="Times New Roman" w:hAnsi="Times New Roman" w:cs="Times New Roman" w:eastAsia="Times New Roman" w:hint="default"/>
          <w:spacing w:val="-2"/>
        </w:rPr>
        <w:t>A</w:t>
      </w:r>
      <w:r>
        <w:rPr>
          <w:spacing w:val="-2"/>
        </w:rPr>
        <w:t>、存在相关递延收益的，冲减相关递延收益账面余额，超出部分计入当期损益。</w:t>
      </w:r>
      <w:r>
        <w:rPr>
          <w:spacing w:val="-37"/>
        </w:rPr>
        <w:t> </w:t>
      </w:r>
      <w:r>
        <w:rPr>
          <w:spacing w:val="-37"/>
        </w:rPr>
      </w:r>
      <w:r>
        <w:rPr>
          <w:rFonts w:ascii="Times New Roman" w:hAnsi="Times New Roman" w:cs="Times New Roman" w:eastAsia="Times New Roman" w:hint="default"/>
        </w:rPr>
        <w:t>B</w:t>
      </w:r>
      <w:r>
        <w:rPr/>
        <w:t>、不存在相关递延收益的，直接计入当期损益。</w:t>
      </w:r>
    </w:p>
    <w:p>
      <w:pPr>
        <w:spacing w:line="240" w:lineRule="auto" w:before="0"/>
        <w:rPr>
          <w:rFonts w:ascii="宋体" w:hAnsi="宋体" w:cs="宋体" w:eastAsia="宋体" w:hint="default"/>
          <w:sz w:val="22"/>
          <w:szCs w:val="22"/>
        </w:rPr>
      </w:pPr>
    </w:p>
    <w:p>
      <w:pPr>
        <w:pStyle w:val="BodyText"/>
        <w:spacing w:line="379" w:lineRule="auto" w:before="196"/>
        <w:ind w:left="572" w:right="3480"/>
        <w:jc w:val="left"/>
      </w:pPr>
      <w:r>
        <w:rPr>
          <w:rFonts w:ascii="Times New Roman" w:hAnsi="Times New Roman" w:cs="Times New Roman" w:eastAsia="Times New Roman" w:hint="default"/>
        </w:rPr>
        <w:t>20</w:t>
      </w:r>
      <w:r>
        <w:rPr/>
        <w:t>、所得税会计处理方法</w:t>
      </w:r>
      <w:r>
        <w:rPr>
          <w:w w:val="100"/>
        </w:rPr>
        <w:t> </w:t>
      </w:r>
      <w:r>
        <w:rPr>
          <w:spacing w:val="-2"/>
        </w:rPr>
        <w:t>本公司采用资产负债表债务法进行所得税会计处理。</w:t>
      </w:r>
    </w:p>
    <w:p>
      <w:pPr>
        <w:pStyle w:val="BodyText"/>
        <w:spacing w:line="240" w:lineRule="auto" w:before="64"/>
        <w:ind w:left="572" w:right="3480"/>
        <w:jc w:val="left"/>
      </w:pPr>
      <w:r>
        <w:rPr/>
        <w:t>（</w:t>
      </w:r>
      <w:r>
        <w:rPr>
          <w:rFonts w:ascii="Times New Roman" w:hAnsi="Times New Roman" w:cs="Times New Roman" w:eastAsia="Times New Roman" w:hint="default"/>
        </w:rPr>
        <w:t>1</w:t>
      </w:r>
      <w:r>
        <w:rPr/>
        <w:t>）递延所得税资产</w:t>
      </w:r>
    </w:p>
    <w:p>
      <w:pPr>
        <w:pStyle w:val="BodyText"/>
        <w:spacing w:line="400" w:lineRule="auto" w:before="170"/>
        <w:ind w:right="147" w:firstLine="420"/>
        <w:jc w:val="both"/>
      </w:pPr>
      <w:r>
        <w:rPr>
          <w:spacing w:val="-2"/>
        </w:rPr>
        <w:t>①资产、负债的账面价值与其计税基础存在可抵扣暂时性差异的，以未来期间很可能取得的用以抵扣</w:t>
      </w:r>
      <w:r>
        <w:rPr>
          <w:w w:val="100"/>
        </w:rPr>
        <w:t> </w:t>
      </w:r>
      <w:r>
        <w:rPr>
          <w:spacing w:val="-2"/>
        </w:rPr>
        <w:t>可抵扣暂时性差异的应纳税所得额为限，按照预期收回该资产或清偿该负债期间的适用税率，计算确认由</w:t>
      </w:r>
      <w:r>
        <w:rPr>
          <w:spacing w:val="-43"/>
        </w:rPr>
        <w:t> </w:t>
      </w:r>
      <w:r>
        <w:rPr>
          <w:spacing w:val="-43"/>
        </w:rPr>
      </w:r>
      <w:r>
        <w:rPr/>
        <w:t>可抵扣暂时性差异产生的递延所得税资产。</w:t>
      </w:r>
    </w:p>
    <w:p>
      <w:pPr>
        <w:pStyle w:val="BodyText"/>
        <w:spacing w:line="400" w:lineRule="auto" w:before="45"/>
        <w:ind w:right="147" w:firstLine="420"/>
        <w:jc w:val="both"/>
      </w:pPr>
      <w:r>
        <w:rPr>
          <w:spacing w:val="-2"/>
        </w:rPr>
        <w:t>②资产负债表日，有确凿证据表明未来期间很可能获得足够的应纳税所得额用来抵扣可抵扣暂时性差</w:t>
      </w:r>
      <w:r>
        <w:rPr>
          <w:w w:val="100"/>
        </w:rPr>
        <w:t> </w:t>
      </w:r>
      <w:r>
        <w:rPr/>
        <w:t>异的，确认以前期间未确认的递延所得税资产。</w:t>
      </w:r>
    </w:p>
    <w:p>
      <w:pPr>
        <w:pStyle w:val="BodyText"/>
        <w:spacing w:line="400" w:lineRule="auto" w:before="45"/>
        <w:ind w:right="147" w:firstLine="420"/>
        <w:jc w:val="both"/>
      </w:pPr>
      <w:r>
        <w:rPr>
          <w:spacing w:val="-2"/>
        </w:rPr>
        <w:t>③资产负债表日，对递延所得税资产的账面价值进行复核。如果未来期间很可能无法获得足够的应纳</w:t>
      </w:r>
      <w:r>
        <w:rPr>
          <w:w w:val="100"/>
        </w:rPr>
        <w:t> </w:t>
      </w:r>
      <w:r>
        <w:rPr>
          <w:spacing w:val="-2"/>
        </w:rPr>
        <w:t>税所得额用以抵扣递延所得税资产的利益，减记递延所得税资产的账面价值。在很可能获得足够的应纳税</w:t>
      </w:r>
      <w:r>
        <w:rPr>
          <w:spacing w:val="-45"/>
        </w:rPr>
        <w:t> </w:t>
      </w:r>
      <w:r>
        <w:rPr>
          <w:spacing w:val="-45"/>
        </w:rPr>
      </w:r>
      <w:r>
        <w:rPr/>
        <w:t>所得额时，转回减记的金额。</w:t>
      </w:r>
    </w:p>
    <w:p>
      <w:pPr>
        <w:pStyle w:val="BodyText"/>
        <w:spacing w:line="381" w:lineRule="auto" w:before="45"/>
        <w:ind w:left="572" w:right="0"/>
        <w:jc w:val="left"/>
      </w:pPr>
      <w:r>
        <w:rPr/>
        <w:t>（</w:t>
      </w:r>
      <w:r>
        <w:rPr>
          <w:rFonts w:ascii="Times New Roman" w:hAnsi="Times New Roman" w:cs="Times New Roman" w:eastAsia="Times New Roman" w:hint="default"/>
        </w:rPr>
        <w:t>2</w:t>
      </w:r>
      <w:r>
        <w:rPr/>
        <w:t>）递延所得税负债</w:t>
      </w:r>
      <w:r>
        <w:rPr>
          <w:spacing w:val="-3"/>
          <w:w w:val="100"/>
        </w:rPr>
        <w:t> </w:t>
      </w:r>
      <w:r>
        <w:rPr>
          <w:spacing w:val="-2"/>
        </w:rPr>
        <w:t>资产、负债的账面价值与其计税基础存在应纳税暂时性差异的，按照预期收回该资产或清偿该负债期</w:t>
      </w:r>
    </w:p>
    <w:p>
      <w:pPr>
        <w:pStyle w:val="BodyText"/>
        <w:spacing w:line="240" w:lineRule="auto" w:before="59"/>
        <w:ind w:right="3480"/>
        <w:jc w:val="left"/>
      </w:pPr>
      <w:r>
        <w:rPr/>
        <w:t>间的适用税率，确认由应纳税暂时性差异产生的递延所得税负债。</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ind w:left="572" w:right="3480"/>
        <w:jc w:val="left"/>
      </w:pPr>
      <w:r>
        <w:rPr>
          <w:rFonts w:ascii="Times New Roman" w:hAnsi="Times New Roman" w:cs="Times New Roman" w:eastAsia="Times New Roman" w:hint="default"/>
        </w:rPr>
        <w:t>21</w:t>
      </w:r>
      <w:r>
        <w:rPr/>
        <w:t>、经营租赁和融资租赁会计处理</w:t>
      </w:r>
    </w:p>
    <w:p>
      <w:pPr>
        <w:pStyle w:val="BodyText"/>
        <w:spacing w:line="381" w:lineRule="auto" w:before="167"/>
        <w:ind w:left="572" w:right="0"/>
        <w:jc w:val="left"/>
      </w:pPr>
      <w:r>
        <w:rPr/>
        <w:t>（</w:t>
      </w:r>
      <w:r>
        <w:rPr>
          <w:rFonts w:ascii="Times New Roman" w:hAnsi="Times New Roman" w:cs="Times New Roman" w:eastAsia="Times New Roman" w:hint="default"/>
        </w:rPr>
        <w:t>1</w:t>
      </w:r>
      <w:r>
        <w:rPr/>
        <w:t>）经营租赁</w:t>
      </w:r>
      <w:r>
        <w:rPr>
          <w:w w:val="100"/>
        </w:rPr>
        <w:t> </w:t>
      </w:r>
      <w:r>
        <w:rPr>
          <w:spacing w:val="-2"/>
        </w:rPr>
        <w:t>经营租赁中承租人，对于经营租赁的租金，在租赁期内各个期间按照直线法计入相关资产成本或当期</w:t>
      </w:r>
    </w:p>
    <w:p>
      <w:pPr>
        <w:spacing w:after="0" w:line="381" w:lineRule="auto"/>
        <w:jc w:val="left"/>
        <w:sectPr>
          <w:footerReference w:type="default" r:id="rId50"/>
          <w:pgSz w:w="11910" w:h="16840"/>
          <w:pgMar w:footer="979" w:header="850" w:top="1200" w:bottom="1160" w:left="980" w:right="980"/>
        </w:sectPr>
      </w:pPr>
    </w:p>
    <w:p>
      <w:pPr>
        <w:spacing w:line="240" w:lineRule="auto" w:before="11"/>
        <w:rPr>
          <w:rFonts w:ascii="宋体" w:hAnsi="宋体" w:cs="宋体" w:eastAsia="宋体" w:hint="default"/>
          <w:sz w:val="13"/>
          <w:szCs w:val="13"/>
        </w:rPr>
      </w:pPr>
    </w:p>
    <w:p>
      <w:pPr>
        <w:pStyle w:val="BodyText"/>
        <w:spacing w:line="403" w:lineRule="auto" w:before="36"/>
        <w:ind w:left="572" w:right="0" w:hanging="421"/>
        <w:jc w:val="left"/>
      </w:pPr>
      <w:r>
        <w:rPr/>
        <w:t>损益；发生的初始直接费用，计入当期损益；或有租金在实际发生时计入当期损益。</w:t>
      </w:r>
      <w:r>
        <w:rPr>
          <w:w w:val="100"/>
        </w:rPr>
        <w:t> </w:t>
      </w:r>
      <w:r>
        <w:rPr>
          <w:spacing w:val="-2"/>
        </w:rPr>
        <w:t>经营租赁中出租人按资产的性质，将用作经营租赁的资产包括在资产负债表中的相关项目内；对于经</w:t>
      </w:r>
    </w:p>
    <w:p>
      <w:pPr>
        <w:pStyle w:val="BodyText"/>
        <w:spacing w:line="403" w:lineRule="auto" w:before="40"/>
        <w:ind w:right="0"/>
        <w:jc w:val="left"/>
      </w:pPr>
      <w:r>
        <w:rPr/>
        <w:t>营租赁的租金，在租赁期内各个期间按照直线法确认为当期损益；发生的初始直接费用，计入当期损益；</w:t>
      </w:r>
      <w:r>
        <w:rPr>
          <w:w w:val="100"/>
        </w:rPr>
        <w:t> </w:t>
      </w:r>
      <w:r>
        <w:rPr>
          <w:spacing w:val="-5"/>
        </w:rPr>
        <w:t>对于经营租赁资产中的固定资产，出租人应当采用类似资产的折旧政策计提折旧；对于其他经营租赁资产， </w:t>
      </w:r>
      <w:r>
        <w:rPr>
          <w:spacing w:val="-5"/>
        </w:rPr>
      </w:r>
      <w:r>
        <w:rPr/>
        <w:t>应当采用系统合理的方法进行摊销；或有租金在实际发生时计入当期损益。</w:t>
      </w:r>
    </w:p>
    <w:p>
      <w:pPr>
        <w:pStyle w:val="BodyText"/>
        <w:spacing w:line="381" w:lineRule="auto" w:before="40"/>
        <w:ind w:left="572" w:right="0"/>
        <w:jc w:val="left"/>
      </w:pPr>
      <w:r>
        <w:rPr/>
        <w:t>（</w:t>
      </w:r>
      <w:r>
        <w:rPr>
          <w:rFonts w:ascii="Times New Roman" w:hAnsi="Times New Roman" w:cs="Times New Roman" w:eastAsia="Times New Roman" w:hint="default"/>
        </w:rPr>
        <w:t>2</w:t>
      </w:r>
      <w:r>
        <w:rPr/>
        <w:t>）融资租赁</w:t>
      </w:r>
      <w:r>
        <w:rPr>
          <w:w w:val="100"/>
        </w:rPr>
        <w:t> </w:t>
      </w:r>
      <w:r>
        <w:rPr>
          <w:spacing w:val="-2"/>
        </w:rPr>
        <w:t>融资租赁中承租人，在租赁期开始日将租赁开始日租赁资产公允价值与最低租赁付款额现值两者中较</w:t>
      </w:r>
    </w:p>
    <w:p>
      <w:pPr>
        <w:pStyle w:val="BodyText"/>
        <w:spacing w:line="400" w:lineRule="auto" w:before="62"/>
        <w:ind w:right="206"/>
        <w:jc w:val="both"/>
      </w:pPr>
      <w:r>
        <w:rPr>
          <w:spacing w:val="-2"/>
        </w:rPr>
        <w:t>低者作为租入资产的入账价值，将最低租赁付款额作为长期应付款的入账价值，其差额作为未确认融资费</w:t>
      </w:r>
      <w:r>
        <w:rPr>
          <w:spacing w:val="-43"/>
        </w:rPr>
        <w:t> </w:t>
      </w:r>
      <w:r>
        <w:rPr>
          <w:spacing w:val="-43"/>
        </w:rPr>
      </w:r>
      <w:r>
        <w:rPr>
          <w:spacing w:val="-2"/>
        </w:rPr>
        <w:t>用；承租人在租赁谈判和签订租赁合同过程中发生的，可归属于租赁项目的手续费、律师费、差旅费、印</w:t>
      </w:r>
      <w:r>
        <w:rPr>
          <w:spacing w:val="-43"/>
        </w:rPr>
        <w:t> </w:t>
      </w:r>
      <w:r>
        <w:rPr>
          <w:spacing w:val="-43"/>
        </w:rPr>
      </w:r>
      <w:r>
        <w:rPr>
          <w:spacing w:val="-2"/>
        </w:rPr>
        <w:t>花税等初始直接费用，应当计入租入资产价值；未确认融资费用在租赁期内各个期间进行分摊，采用实际</w:t>
      </w:r>
      <w:r>
        <w:rPr>
          <w:spacing w:val="-44"/>
        </w:rPr>
        <w:t> </w:t>
      </w:r>
      <w:r>
        <w:rPr>
          <w:spacing w:val="-44"/>
        </w:rPr>
      </w:r>
      <w:r>
        <w:rPr/>
        <w:t>利率法计算确认当期的融资费用；或有租金应当在实际发生时计入当期损益。</w:t>
      </w:r>
    </w:p>
    <w:p>
      <w:pPr>
        <w:pStyle w:val="BodyText"/>
        <w:spacing w:line="403" w:lineRule="auto" w:before="42"/>
        <w:ind w:right="206" w:firstLine="420"/>
        <w:jc w:val="both"/>
      </w:pPr>
      <w:r>
        <w:rPr>
          <w:spacing w:val="-2"/>
        </w:rPr>
        <w:t>承租人在计算最低租赁付款额的现值时，能够取得出租人租赁内含利率的，应当采用租赁内含利率作</w:t>
      </w:r>
      <w:r>
        <w:rPr>
          <w:w w:val="100"/>
        </w:rPr>
        <w:t> </w:t>
      </w:r>
      <w:r>
        <w:rPr>
          <w:spacing w:val="-2"/>
        </w:rPr>
        <w:t>为折现率；否则，应当采用租赁合同规定的利率作为折现率。承租人无法取得出租人的租赁内含利率且租</w:t>
      </w:r>
      <w:r>
        <w:rPr>
          <w:spacing w:val="-44"/>
        </w:rPr>
        <w:t> </w:t>
      </w:r>
      <w:r>
        <w:rPr>
          <w:spacing w:val="-44"/>
        </w:rPr>
      </w:r>
      <w:r>
        <w:rPr/>
        <w:t>赁合同没有规定利率的，应当采用同期银行贷款利率作为折现率。</w:t>
      </w:r>
    </w:p>
    <w:p>
      <w:pPr>
        <w:pStyle w:val="BodyText"/>
        <w:spacing w:line="403" w:lineRule="auto" w:before="40"/>
        <w:ind w:right="206" w:firstLine="420"/>
        <w:jc w:val="both"/>
      </w:pPr>
      <w:r>
        <w:rPr>
          <w:spacing w:val="-2"/>
        </w:rPr>
        <w:t>承租人采用与自有固定资产相一致的折旧政策计提租赁资产折旧。能够合理确定租赁期届满时取得租</w:t>
      </w:r>
      <w:r>
        <w:rPr>
          <w:w w:val="100"/>
        </w:rPr>
        <w:t> </w:t>
      </w:r>
      <w:r>
        <w:rPr>
          <w:spacing w:val="-2"/>
        </w:rPr>
        <w:t>赁资产所有权的，在租赁资产使用寿命内计提折旧。无法合理确定租赁期届满时能够取得租赁资产所有权</w:t>
      </w:r>
      <w:r>
        <w:rPr>
          <w:spacing w:val="-44"/>
        </w:rPr>
        <w:t> </w:t>
      </w:r>
      <w:r>
        <w:rPr>
          <w:spacing w:val="-44"/>
        </w:rPr>
      </w:r>
      <w:r>
        <w:rPr/>
        <w:t>的，在租赁期与租赁资产使用寿命两者中较短的期间内计提折旧。</w:t>
      </w:r>
    </w:p>
    <w:p>
      <w:pPr>
        <w:pStyle w:val="BodyText"/>
        <w:spacing w:line="400" w:lineRule="auto" w:before="40"/>
        <w:ind w:right="207" w:firstLine="420"/>
        <w:jc w:val="both"/>
      </w:pPr>
      <w:r>
        <w:rPr>
          <w:spacing w:val="-2"/>
        </w:rPr>
        <w:t>融资租赁中出租人在租赁期开始日，将租赁开始日最低租赁收款额与初始直接费用之和作为应收融资</w:t>
      </w:r>
      <w:r>
        <w:rPr>
          <w:w w:val="100"/>
        </w:rPr>
        <w:t> </w:t>
      </w:r>
      <w:r>
        <w:rPr>
          <w:spacing w:val="-2"/>
        </w:rPr>
        <w:t>租赁款的入账价值，同时记录未担保余值；将最低租赁收款额、初始直接费用及未担保余值之和与其现值</w:t>
      </w:r>
      <w:r>
        <w:rPr>
          <w:spacing w:val="-43"/>
        </w:rPr>
        <w:t> </w:t>
      </w:r>
      <w:r>
        <w:rPr>
          <w:spacing w:val="-43"/>
        </w:rPr>
      </w:r>
      <w:r>
        <w:rPr>
          <w:spacing w:val="-2"/>
        </w:rPr>
        <w:t>之和的差额确认为未实现融资收益；未实现融资收益应当在租赁期内各个期间进行分配；采用实际利率法</w:t>
      </w:r>
      <w:r>
        <w:rPr>
          <w:spacing w:val="-43"/>
        </w:rPr>
        <w:t> </w:t>
      </w:r>
      <w:r>
        <w:rPr>
          <w:spacing w:val="-43"/>
        </w:rPr>
      </w:r>
      <w:r>
        <w:rPr/>
        <w:t>计算确认当期的融资收入；或有租金在实际发生时计入当期损益。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ind w:left="572" w:right="0"/>
        <w:jc w:val="left"/>
      </w:pPr>
      <w:r>
        <w:rPr>
          <w:rFonts w:ascii="Times New Roman" w:hAnsi="Times New Roman" w:cs="Times New Roman" w:eastAsia="Times New Roman" w:hint="default"/>
        </w:rPr>
        <w:t>22</w:t>
      </w:r>
      <w:r>
        <w:rPr/>
        <w:t>、主要会计政策和会计估计的变更</w:t>
      </w:r>
    </w:p>
    <w:p>
      <w:pPr>
        <w:pStyle w:val="BodyText"/>
        <w:spacing w:line="381" w:lineRule="auto" w:before="167"/>
        <w:ind w:left="572" w:right="5531"/>
        <w:jc w:val="left"/>
      </w:pPr>
      <w:r>
        <w:rPr/>
        <w:t>（</w:t>
      </w:r>
      <w:r>
        <w:rPr>
          <w:rFonts w:ascii="Times New Roman" w:hAnsi="Times New Roman" w:cs="Times New Roman" w:eastAsia="Times New Roman" w:hint="default"/>
        </w:rPr>
        <w:t>1</w:t>
      </w:r>
      <w:r>
        <w:rPr/>
        <w:t>）会计政策变更</w:t>
      </w:r>
      <w:r>
        <w:rPr>
          <w:w w:val="100"/>
        </w:rPr>
        <w:t> </w:t>
      </w:r>
      <w:r>
        <w:rPr>
          <w:spacing w:val="-2"/>
        </w:rPr>
        <w:t>报告期内无会计政策变更事项发生。</w:t>
      </w:r>
    </w:p>
    <w:p>
      <w:pPr>
        <w:pStyle w:val="BodyText"/>
        <w:spacing w:line="379" w:lineRule="auto" w:before="62"/>
        <w:ind w:left="572" w:right="5531"/>
        <w:jc w:val="left"/>
      </w:pPr>
      <w:r>
        <w:rPr/>
        <w:t>（</w:t>
      </w:r>
      <w:r>
        <w:rPr>
          <w:rFonts w:ascii="Times New Roman" w:hAnsi="Times New Roman" w:cs="Times New Roman" w:eastAsia="Times New Roman" w:hint="default"/>
        </w:rPr>
        <w:t>2</w:t>
      </w:r>
      <w:r>
        <w:rPr/>
        <w:t>）会计估计变更</w:t>
      </w:r>
      <w:r>
        <w:rPr>
          <w:w w:val="100"/>
        </w:rPr>
        <w:t> </w:t>
      </w:r>
      <w:r>
        <w:rPr>
          <w:spacing w:val="-2"/>
        </w:rPr>
        <w:t>报告期内无会计估计变更事项发生。</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379" w:lineRule="auto"/>
        <w:ind w:left="572" w:right="5531"/>
        <w:jc w:val="left"/>
      </w:pPr>
      <w:r>
        <w:rPr>
          <w:rFonts w:ascii="Times New Roman" w:hAnsi="Times New Roman" w:cs="Times New Roman" w:eastAsia="Times New Roman" w:hint="default"/>
        </w:rPr>
        <w:t>23</w:t>
      </w:r>
      <w:r>
        <w:rPr/>
        <w:t>、前期会计差错更正</w:t>
      </w:r>
      <w:r>
        <w:rPr>
          <w:spacing w:val="-3"/>
          <w:w w:val="100"/>
        </w:rPr>
        <w:t> </w:t>
      </w:r>
      <w:r>
        <w:rPr>
          <w:spacing w:val="-2"/>
        </w:rPr>
        <w:t>报告期内无前期会计差错更正。</w:t>
      </w:r>
    </w:p>
    <w:p>
      <w:pPr>
        <w:spacing w:after="0" w:line="379" w:lineRule="auto"/>
        <w:jc w:val="left"/>
        <w:sectPr>
          <w:footerReference w:type="default" r:id="rId51"/>
          <w:pgSz w:w="11910" w:h="16840"/>
          <w:pgMar w:footer="979" w:header="850" w:top="1200" w:bottom="1160" w:left="980" w:right="920"/>
        </w:sectPr>
      </w:pPr>
    </w:p>
    <w:p>
      <w:pPr>
        <w:spacing w:line="240" w:lineRule="auto" w:before="11"/>
        <w:rPr>
          <w:rFonts w:ascii="宋体" w:hAnsi="宋体" w:cs="宋体" w:eastAsia="宋体" w:hint="default"/>
          <w:sz w:val="13"/>
          <w:szCs w:val="13"/>
        </w:rPr>
      </w:pPr>
    </w:p>
    <w:p>
      <w:pPr>
        <w:pStyle w:val="BodyText"/>
        <w:spacing w:line="381" w:lineRule="auto" w:before="36"/>
        <w:ind w:left="572" w:right="3780"/>
        <w:jc w:val="left"/>
      </w:pPr>
      <w:r>
        <w:rPr>
          <w:rFonts w:ascii="Times New Roman" w:hAnsi="Times New Roman" w:cs="Times New Roman" w:eastAsia="Times New Roman" w:hint="default"/>
        </w:rPr>
        <w:t>24</w:t>
      </w:r>
      <w:r>
        <w:rPr/>
        <w:t>、 资产减值</w:t>
      </w:r>
      <w:r>
        <w:rPr>
          <w:spacing w:val="-103"/>
        </w:rPr>
        <w:t> </w:t>
      </w:r>
      <w:r>
        <w:rPr>
          <w:spacing w:val="-103"/>
        </w:rPr>
      </w:r>
      <w:r>
        <w:rPr>
          <w:spacing w:val="-2"/>
        </w:rPr>
        <w:t>当存在下列迹象的，表明资产可能发生了减值：</w:t>
      </w:r>
    </w:p>
    <w:p>
      <w:pPr>
        <w:pStyle w:val="BodyText"/>
        <w:spacing w:line="240" w:lineRule="auto" w:before="59"/>
        <w:ind w:left="572" w:right="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381" w:lineRule="auto" w:before="170"/>
        <w:ind w:right="0" w:firstLine="420"/>
        <w:jc w:val="left"/>
      </w:pPr>
      <w:r>
        <w:rPr>
          <w:spacing w:val="-2"/>
        </w:rPr>
        <w:t>（</w:t>
      </w:r>
      <w:r>
        <w:rPr>
          <w:rFonts w:ascii="Times New Roman" w:hAnsi="Times New Roman" w:cs="Times New Roman" w:eastAsia="Times New Roman" w:hint="default"/>
          <w:spacing w:val="-2"/>
        </w:rPr>
        <w:t>2</w:t>
      </w:r>
      <w:r>
        <w:rPr>
          <w:spacing w:val="-2"/>
        </w:rPr>
        <w:t>）企业经营所处的经济、技术或法律等环境以及资产所处的市场在当期或将在近期发生重大变化，</w:t>
      </w:r>
      <w:r>
        <w:rPr>
          <w:w w:val="100"/>
        </w:rPr>
        <w:t> </w:t>
      </w:r>
      <w:r>
        <w:rPr/>
        <w:t>从而对企业产生不利影响。</w:t>
      </w:r>
    </w:p>
    <w:p>
      <w:pPr>
        <w:pStyle w:val="BodyText"/>
        <w:spacing w:line="381" w:lineRule="auto" w:before="59"/>
        <w:ind w:right="0" w:firstLine="420"/>
        <w:jc w:val="left"/>
      </w:pPr>
      <w:r>
        <w:rPr>
          <w:spacing w:val="-2"/>
        </w:rPr>
        <w:t>（</w:t>
      </w:r>
      <w:r>
        <w:rPr>
          <w:rFonts w:ascii="Times New Roman" w:hAnsi="Times New Roman" w:cs="Times New Roman" w:eastAsia="Times New Roman" w:hint="default"/>
          <w:spacing w:val="-2"/>
        </w:rPr>
        <w:t>3</w:t>
      </w:r>
      <w:r>
        <w:rPr>
          <w:spacing w:val="-2"/>
        </w:rPr>
        <w:t>）市场利率或者其他市场投资回报率在当期已经提高，从而影响企业用来计算资产预计未来现金</w:t>
      </w:r>
      <w:r>
        <w:rPr>
          <w:w w:val="100"/>
        </w:rPr>
        <w:t> </w:t>
      </w:r>
      <w:r>
        <w:rPr/>
        <w:t>流量现值的折现率，导致资产可收回金额大幅度降低。</w:t>
      </w:r>
    </w:p>
    <w:p>
      <w:pPr>
        <w:pStyle w:val="BodyText"/>
        <w:spacing w:line="240" w:lineRule="auto" w:before="62"/>
        <w:ind w:left="572" w:right="0"/>
        <w:jc w:val="left"/>
      </w:pPr>
      <w:r>
        <w:rPr/>
        <w:t>（</w:t>
      </w:r>
      <w:r>
        <w:rPr>
          <w:rFonts w:ascii="Times New Roman" w:hAnsi="Times New Roman" w:cs="Times New Roman" w:eastAsia="Times New Roman" w:hint="default"/>
        </w:rPr>
        <w:t>4</w:t>
      </w:r>
      <w:r>
        <w:rPr/>
        <w:t>）有证据表明资产已经陈旧过时或其实体已经损坏。</w:t>
      </w:r>
    </w:p>
    <w:p>
      <w:pPr>
        <w:pStyle w:val="BodyText"/>
        <w:spacing w:line="240" w:lineRule="auto" w:before="167"/>
        <w:ind w:left="572" w:right="0"/>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381" w:lineRule="auto" w:before="170"/>
        <w:ind w:right="0" w:firstLine="420"/>
        <w:jc w:val="left"/>
      </w:pPr>
      <w:r>
        <w:rPr>
          <w:spacing w:val="-2"/>
        </w:rPr>
        <w:t>（</w:t>
      </w:r>
      <w:r>
        <w:rPr>
          <w:rFonts w:ascii="Times New Roman" w:hAnsi="Times New Roman" w:cs="Times New Roman" w:eastAsia="Times New Roman" w:hint="default"/>
          <w:spacing w:val="-2"/>
        </w:rPr>
        <w:t>6</w:t>
      </w:r>
      <w:r>
        <w:rPr>
          <w:spacing w:val="-2"/>
        </w:rPr>
        <w:t>）企业内部报告的证据表明资产的经济绩效已经低于或者将低于预期，如资产所创造的净现金流</w:t>
      </w:r>
      <w:r>
        <w:rPr>
          <w:w w:val="100"/>
        </w:rPr>
        <w:t> </w:t>
      </w:r>
      <w:r>
        <w:rPr/>
        <w:t>量或者实现的营业利润（或者损失）远远低于预计金额等。</w:t>
      </w:r>
    </w:p>
    <w:p>
      <w:pPr>
        <w:pStyle w:val="BodyText"/>
        <w:spacing w:line="381" w:lineRule="auto" w:before="59"/>
        <w:ind w:left="572" w:right="0"/>
        <w:jc w:val="left"/>
      </w:pPr>
      <w:r>
        <w:rPr/>
        <w:t>（</w:t>
      </w:r>
      <w:r>
        <w:rPr>
          <w:rFonts w:ascii="Times New Roman" w:hAnsi="Times New Roman" w:cs="Times New Roman" w:eastAsia="Times New Roman" w:hint="default"/>
        </w:rPr>
        <w:t>7</w:t>
      </w:r>
      <w:r>
        <w:rPr/>
        <w:t>）其他表明资产可能已经发生减值的迹象。</w:t>
      </w:r>
      <w:r>
        <w:rPr>
          <w:w w:val="100"/>
        </w:rPr>
        <w:t> </w:t>
      </w:r>
      <w:r>
        <w:rPr>
          <w:spacing w:val="-2"/>
        </w:rPr>
        <w:t>本公司在资产负债表日对长期股权投资、固定资产、工程物资、在建工程、无形资产（使用寿命不确</w:t>
      </w:r>
    </w:p>
    <w:p>
      <w:pPr>
        <w:pStyle w:val="BodyText"/>
        <w:spacing w:line="386" w:lineRule="auto" w:before="62"/>
        <w:ind w:right="207"/>
        <w:jc w:val="left"/>
      </w:pPr>
      <w:r>
        <w:rPr/>
        <w:t>定的除外）等适用《企业会计准则第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资产减值》的各项资产进行判断，当存在减值迹象时对其进</w:t>
      </w:r>
      <w:r>
        <w:rPr>
          <w:w w:val="100"/>
        </w:rPr>
        <w:t> </w:t>
      </w:r>
      <w:r>
        <w:rPr>
          <w:spacing w:val="-4"/>
          <w:w w:val="100"/>
        </w:rPr>
        <w:t>行减值测试</w:t>
      </w:r>
      <w:r>
        <w:rPr>
          <w:rFonts w:ascii="Times New Roman" w:hAnsi="Times New Roman" w:cs="Times New Roman" w:eastAsia="Times New Roman" w:hint="default"/>
          <w:spacing w:val="-4"/>
          <w:w w:val="100"/>
        </w:rPr>
        <w:t>-</w:t>
      </w:r>
      <w:r>
        <w:rPr>
          <w:spacing w:val="-4"/>
          <w:w w:val="100"/>
        </w:rPr>
        <w:t>估计其可收回金额。可收回金额以资产的公允价值减去处置费用后的净额与资产预计未来现金</w:t>
      </w:r>
      <w:r>
        <w:rPr>
          <w:spacing w:val="-80"/>
          <w:w w:val="100"/>
        </w:rPr>
        <w:t> </w:t>
      </w:r>
      <w:r>
        <w:rPr>
          <w:spacing w:val="-80"/>
          <w:w w:val="100"/>
        </w:rPr>
      </w:r>
      <w:r>
        <w:rPr>
          <w:spacing w:val="-2"/>
        </w:rPr>
        <w:t>流量的现值两者之间较高者确定。资产的可收回金额低于其账面价值的，将资产的账面价值减记至可收回</w:t>
      </w:r>
      <w:r>
        <w:rPr>
          <w:spacing w:val="-44"/>
        </w:rPr>
        <w:t> </w:t>
      </w:r>
      <w:r>
        <w:rPr>
          <w:spacing w:val="-44"/>
        </w:rPr>
      </w:r>
      <w:r>
        <w:rPr/>
        <w:t>金额，减记的金额确认为资产减值损失，计入当期损益，同时计提相应的资产减值准备。</w:t>
      </w:r>
    </w:p>
    <w:p>
      <w:pPr>
        <w:pStyle w:val="BodyText"/>
        <w:spacing w:line="403" w:lineRule="auto" w:before="55"/>
        <w:ind w:right="0" w:firstLine="420"/>
        <w:jc w:val="left"/>
      </w:pPr>
      <w:r>
        <w:rPr>
          <w:spacing w:val="-2"/>
        </w:rPr>
        <w:t>有迹象表明一项资产可能发生减值的，本公司通常以单项资产为基础估计其可收回金额。当难以对单</w:t>
      </w:r>
      <w:r>
        <w:rPr>
          <w:w w:val="100"/>
        </w:rPr>
        <w:t> </w:t>
      </w:r>
      <w:r>
        <w:rPr/>
        <w:t>项资产的可收回金额进行估计的，以该资产所属的资产组为基础确定资产组的可收回金额。</w:t>
      </w:r>
    </w:p>
    <w:p>
      <w:pPr>
        <w:pStyle w:val="BodyText"/>
        <w:spacing w:line="400" w:lineRule="auto" w:before="43"/>
        <w:ind w:right="186" w:firstLine="420"/>
        <w:jc w:val="both"/>
      </w:pPr>
      <w:r>
        <w:rPr>
          <w:spacing w:val="-2"/>
        </w:rPr>
        <w:t>资产组是企业可以认定的最小资产组合，其产生的现金流入应当基本上独立于其他资产或者资产组。</w:t>
      </w:r>
      <w:r>
        <w:rPr>
          <w:w w:val="100"/>
        </w:rPr>
        <w:t> </w:t>
      </w:r>
      <w:r>
        <w:rPr>
          <w:spacing w:val="-2"/>
        </w:rPr>
        <w:t>资产组由创造现金流入相关的资产组成。资产组的认定，以资产组产生的主要现金流入是否独立于其他资</w:t>
      </w:r>
      <w:r>
        <w:rPr>
          <w:spacing w:val="-42"/>
        </w:rPr>
        <w:t> </w:t>
      </w:r>
      <w:r>
        <w:rPr>
          <w:spacing w:val="-42"/>
        </w:rPr>
      </w:r>
      <w:r>
        <w:rPr/>
        <w:t>产或者资产组的现金流入为依据。</w:t>
      </w:r>
    </w:p>
    <w:p>
      <w:pPr>
        <w:pStyle w:val="BodyText"/>
        <w:spacing w:line="400" w:lineRule="auto" w:before="45"/>
        <w:ind w:right="0" w:firstLine="420"/>
        <w:jc w:val="left"/>
      </w:pPr>
      <w:r>
        <w:rPr>
          <w:spacing w:val="-2"/>
        </w:rPr>
        <w:t>本公司对因企业合并所形成的商誉和使用寿命不确定的无形资产，无论是否存在减值迹象，每年都进</w:t>
      </w:r>
      <w:r>
        <w:rPr>
          <w:w w:val="100"/>
        </w:rPr>
        <w:t> </w:t>
      </w:r>
      <w:r>
        <w:rPr/>
        <w:t>行减值测试。商誉的减值测试结合与其相关的资产组或者资产组组合进行。</w:t>
      </w:r>
    </w:p>
    <w:p>
      <w:pPr>
        <w:pStyle w:val="BodyText"/>
        <w:spacing w:line="240" w:lineRule="auto" w:before="45"/>
        <w:ind w:left="572" w:right="0"/>
        <w:jc w:val="left"/>
      </w:pPr>
      <w:r>
        <w:rPr/>
        <w:t>资产减值损失一经确认，在以后会计期间不予转回。</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381" w:lineRule="auto"/>
        <w:ind w:left="572" w:right="5531"/>
        <w:jc w:val="left"/>
      </w:pPr>
      <w:r>
        <w:rPr>
          <w:rFonts w:ascii="Times New Roman" w:hAnsi="Times New Roman" w:cs="Times New Roman" w:eastAsia="Times New Roman" w:hint="default"/>
        </w:rPr>
        <w:t>25</w:t>
      </w:r>
      <w:r>
        <w:rPr/>
        <w:t>、</w:t>
      </w:r>
      <w:r>
        <w:rPr>
          <w:spacing w:val="-2"/>
        </w:rPr>
        <w:t> </w:t>
      </w:r>
      <w:r>
        <w:rPr/>
        <w:t>公司年金计划的主要内容及重大变化</w:t>
      </w:r>
      <w:r>
        <w:rPr>
          <w:w w:val="100"/>
        </w:rPr>
        <w:t> </w:t>
      </w:r>
      <w:r>
        <w:rPr/>
        <w:t>本公司尚无年金计划。</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4"/>
        <w:spacing w:line="240" w:lineRule="auto"/>
        <w:ind w:left="575" w:right="0"/>
        <w:jc w:val="left"/>
        <w:rPr>
          <w:b w:val="0"/>
          <w:bCs w:val="0"/>
        </w:rPr>
      </w:pPr>
      <w:r>
        <w:rPr/>
        <w:t>（三）税项</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572" w:right="0"/>
        <w:jc w:val="left"/>
      </w:pPr>
      <w:r>
        <w:rPr>
          <w:rFonts w:ascii="Times New Roman" w:hAnsi="Times New Roman" w:cs="Times New Roman" w:eastAsia="Times New Roman" w:hint="default"/>
        </w:rPr>
        <w:t>1</w:t>
      </w:r>
      <w:r>
        <w:rPr/>
        <w:t>、增值税</w:t>
      </w:r>
    </w:p>
    <w:p>
      <w:pPr>
        <w:spacing w:after="0" w:line="240" w:lineRule="auto"/>
        <w:jc w:val="left"/>
        <w:sectPr>
          <w:footerReference w:type="default" r:id="rId52"/>
          <w:pgSz w:w="11910" w:h="16840"/>
          <w:pgMar w:footer="979" w:header="850" w:top="1200" w:bottom="1160" w:left="980" w:right="920"/>
        </w:sectPr>
      </w:pPr>
    </w:p>
    <w:p>
      <w:pPr>
        <w:spacing w:line="240" w:lineRule="auto" w:before="11"/>
        <w:rPr>
          <w:rFonts w:ascii="宋体" w:hAnsi="宋体" w:cs="宋体" w:eastAsia="宋体" w:hint="default"/>
          <w:sz w:val="13"/>
          <w:szCs w:val="13"/>
        </w:rPr>
      </w:pPr>
    </w:p>
    <w:p>
      <w:pPr>
        <w:pStyle w:val="BodyText"/>
        <w:spacing w:line="240" w:lineRule="auto" w:before="36"/>
        <w:ind w:left="572" w:right="0"/>
        <w:jc w:val="left"/>
      </w:pPr>
      <w:r>
        <w:rPr>
          <w:rFonts w:ascii="Times New Roman" w:hAnsi="Times New Roman" w:cs="Times New Roman" w:eastAsia="Times New Roman" w:hint="default"/>
        </w:rPr>
        <w:t>1.1 </w:t>
      </w:r>
      <w:r>
        <w:rPr/>
        <w:t>硬件及外购软件的销项税率为</w:t>
      </w:r>
      <w:r>
        <w:rPr>
          <w:spacing w:val="-64"/>
        </w:rPr>
        <w:t> </w:t>
      </w:r>
      <w:r>
        <w:rPr>
          <w:rFonts w:ascii="Times New Roman" w:hAnsi="Times New Roman" w:cs="Times New Roman" w:eastAsia="Times New Roman" w:hint="default"/>
        </w:rPr>
        <w:t>17%</w:t>
      </w:r>
      <w:r>
        <w:rPr/>
        <w:t>，按扣除进项税后的余额缴纳。</w:t>
      </w:r>
    </w:p>
    <w:p>
      <w:pPr>
        <w:pStyle w:val="BodyText"/>
        <w:spacing w:line="384" w:lineRule="auto" w:before="170"/>
        <w:ind w:right="207" w:firstLine="420"/>
        <w:jc w:val="both"/>
      </w:pPr>
      <w:r>
        <w:rPr>
          <w:rFonts w:ascii="Times New Roman" w:hAnsi="Times New Roman" w:cs="Times New Roman" w:eastAsia="Times New Roman" w:hint="default"/>
        </w:rPr>
        <w:t>1.2 </w:t>
      </w:r>
      <w:r>
        <w:rPr/>
        <w:t>自行开发软件的销项税率为 </w:t>
      </w:r>
      <w:r>
        <w:rPr>
          <w:rFonts w:ascii="Times New Roman" w:hAnsi="Times New Roman" w:cs="Times New Roman" w:eastAsia="Times New Roman" w:hint="default"/>
          <w:spacing w:val="-5"/>
        </w:rPr>
        <w:t>17%</w:t>
      </w:r>
      <w:r>
        <w:rPr>
          <w:spacing w:val="-5"/>
        </w:rPr>
        <w:t>，根据</w:t>
      </w:r>
      <w:r>
        <w:rPr>
          <w:rFonts w:ascii="Times New Roman" w:hAnsi="Times New Roman" w:cs="Times New Roman" w:eastAsia="Times New Roman" w:hint="default"/>
          <w:spacing w:val="-5"/>
        </w:rPr>
        <w:t>“</w:t>
      </w:r>
      <w:r>
        <w:rPr>
          <w:spacing w:val="-5"/>
        </w:rPr>
        <w:t>国发</w:t>
      </w:r>
      <w:r>
        <w:rPr>
          <w:rFonts w:ascii="Times New Roman" w:hAnsi="Times New Roman" w:cs="Times New Roman" w:eastAsia="Times New Roman" w:hint="default"/>
          <w:spacing w:val="-5"/>
        </w:rPr>
        <w:t>[2000]18</w:t>
      </w:r>
      <w:r>
        <w:rPr>
          <w:rFonts w:ascii="Times New Roman" w:hAnsi="Times New Roman" w:cs="Times New Roman" w:eastAsia="Times New Roman" w:hint="default"/>
          <w:spacing w:val="1"/>
        </w:rPr>
        <w:t> </w:t>
      </w:r>
      <w:r>
        <w:rPr>
          <w:spacing w:val="-5"/>
        </w:rPr>
        <w:t>号</w:t>
      </w:r>
      <w:r>
        <w:rPr>
          <w:rFonts w:ascii="Times New Roman" w:hAnsi="Times New Roman" w:cs="Times New Roman" w:eastAsia="Times New Roman" w:hint="default"/>
          <w:spacing w:val="-5"/>
        </w:rPr>
        <w:t>”</w:t>
      </w:r>
      <w:r>
        <w:rPr>
          <w:spacing w:val="-5"/>
        </w:rPr>
        <w:t>文《鼓励软件产业和集成电路产业发展的</w:t>
      </w:r>
      <w:r>
        <w:rPr>
          <w:spacing w:val="-3"/>
          <w:w w:val="100"/>
        </w:rPr>
        <w:t> </w:t>
      </w:r>
      <w:r>
        <w:rPr>
          <w:spacing w:val="-4"/>
        </w:rPr>
        <w:t>若干政策》及</w:t>
      </w:r>
      <w:r>
        <w:rPr>
          <w:rFonts w:ascii="Times New Roman" w:hAnsi="Times New Roman" w:cs="Times New Roman" w:eastAsia="Times New Roman" w:hint="default"/>
          <w:spacing w:val="-4"/>
        </w:rPr>
        <w:t>“</w:t>
      </w:r>
      <w:r>
        <w:rPr>
          <w:spacing w:val="-4"/>
        </w:rPr>
        <w:t>国发</w:t>
      </w:r>
      <w:r>
        <w:rPr>
          <w:rFonts w:ascii="Times New Roman" w:hAnsi="Times New Roman" w:cs="Times New Roman" w:eastAsia="Times New Roman" w:hint="default"/>
          <w:spacing w:val="-4"/>
        </w:rPr>
        <w:t>[2011]4 </w:t>
      </w:r>
      <w:r>
        <w:rPr>
          <w:spacing w:val="-3"/>
        </w:rPr>
        <w:t>号</w:t>
      </w:r>
      <w:r>
        <w:rPr>
          <w:rFonts w:ascii="Times New Roman" w:hAnsi="Times New Roman" w:cs="Times New Roman" w:eastAsia="Times New Roman" w:hint="default"/>
          <w:spacing w:val="-3"/>
        </w:rPr>
        <w:t>”</w:t>
      </w:r>
      <w:r>
        <w:rPr>
          <w:spacing w:val="-3"/>
        </w:rPr>
        <w:t>《关于印发进一步鼓励软件产业和集成电路产业发展若干政策的通知》的规</w:t>
      </w:r>
      <w:r>
        <w:rPr>
          <w:spacing w:val="-75"/>
        </w:rPr>
        <w:t> </w:t>
      </w:r>
      <w:r>
        <w:rPr>
          <w:spacing w:val="-75"/>
        </w:rPr>
      </w:r>
      <w:r>
        <w:rPr>
          <w:spacing w:val="-4"/>
        </w:rPr>
        <w:t>定，对增值税一般纳税人销售其自行开发生产的软件产品，按 </w:t>
      </w:r>
      <w:r>
        <w:rPr>
          <w:rFonts w:ascii="Times New Roman" w:hAnsi="Times New Roman" w:cs="Times New Roman" w:eastAsia="Times New Roman" w:hint="default"/>
          <w:spacing w:val="-3"/>
        </w:rPr>
        <w:t>17</w:t>
      </w:r>
      <w:r>
        <w:rPr>
          <w:spacing w:val="-3"/>
        </w:rPr>
        <w:t>％的法定税率征收增值税，以实际税负超</w:t>
      </w:r>
      <w:r>
        <w:rPr>
          <w:spacing w:val="-74"/>
        </w:rPr>
        <w:t> </w:t>
      </w:r>
      <w:r>
        <w:rPr>
          <w:spacing w:val="-74"/>
        </w:rPr>
      </w:r>
      <w:r>
        <w:rPr/>
        <w:t>过</w:t>
      </w:r>
      <w:r>
        <w:rPr>
          <w:spacing w:val="-29"/>
        </w:rPr>
        <w:t> </w:t>
      </w:r>
      <w:r>
        <w:rPr>
          <w:rFonts w:ascii="Times New Roman" w:hAnsi="Times New Roman" w:cs="Times New Roman" w:eastAsia="Times New Roman" w:hint="default"/>
          <w:spacing w:val="-4"/>
        </w:rPr>
        <w:t>3</w:t>
      </w:r>
      <w:r>
        <w:rPr>
          <w:spacing w:val="-4"/>
        </w:rPr>
        <w:t>％的部分即征即退，自行开发软件实际税负为</w:t>
      </w:r>
      <w:r>
        <w:rPr>
          <w:spacing w:val="-29"/>
        </w:rPr>
        <w:t> </w:t>
      </w:r>
      <w:r>
        <w:rPr>
          <w:rFonts w:ascii="Times New Roman" w:hAnsi="Times New Roman" w:cs="Times New Roman" w:eastAsia="Times New Roman" w:hint="default"/>
          <w:spacing w:val="-5"/>
        </w:rPr>
        <w:t>3%</w:t>
      </w:r>
      <w:r>
        <w:rPr>
          <w:spacing w:val="-5"/>
        </w:rPr>
        <w:t>。对于即征即退的税款，根据</w:t>
      </w:r>
      <w:r>
        <w:rPr>
          <w:rFonts w:ascii="Times New Roman" w:hAnsi="Times New Roman" w:cs="Times New Roman" w:eastAsia="Times New Roman" w:hint="default"/>
          <w:spacing w:val="-5"/>
        </w:rPr>
        <w:t>“</w:t>
      </w:r>
      <w:r>
        <w:rPr>
          <w:spacing w:val="-5"/>
        </w:rPr>
        <w:t>财税</w:t>
      </w:r>
      <w:r>
        <w:rPr>
          <w:rFonts w:ascii="Times New Roman" w:hAnsi="Times New Roman" w:cs="Times New Roman" w:eastAsia="Times New Roman" w:hint="default"/>
          <w:spacing w:val="-5"/>
        </w:rPr>
        <w:t>[2008]1</w:t>
      </w:r>
      <w:r>
        <w:rPr>
          <w:rFonts w:ascii="Times New Roman" w:hAnsi="Times New Roman" w:cs="Times New Roman" w:eastAsia="Times New Roman" w:hint="default"/>
          <w:spacing w:val="24"/>
        </w:rPr>
        <w:t> </w:t>
      </w:r>
      <w:r>
        <w:rPr>
          <w:spacing w:val="-9"/>
        </w:rPr>
        <w:t>号</w:t>
      </w:r>
      <w:r>
        <w:rPr>
          <w:rFonts w:ascii="Times New Roman" w:hAnsi="Times New Roman" w:cs="Times New Roman" w:eastAsia="Times New Roman" w:hint="default"/>
          <w:spacing w:val="-9"/>
        </w:rPr>
        <w:t>”</w:t>
      </w:r>
      <w:r>
        <w:rPr>
          <w:spacing w:val="-9"/>
        </w:rPr>
        <w:t>文《关</w:t>
      </w:r>
      <w:r>
        <w:rPr>
          <w:spacing w:val="-93"/>
        </w:rPr>
        <w:t> </w:t>
      </w:r>
      <w:r>
        <w:rPr>
          <w:spacing w:val="-93"/>
        </w:rPr>
      </w:r>
      <w:r>
        <w:rPr>
          <w:spacing w:val="-2"/>
        </w:rPr>
        <w:t>于企业所得税若干优惠政策的通知》的规定，用于研究开发软件产品和扩大再生产，不作为企业所得税应</w:t>
      </w:r>
      <w:r>
        <w:rPr>
          <w:spacing w:val="-44"/>
        </w:rPr>
        <w:t> </w:t>
      </w:r>
      <w:r>
        <w:rPr>
          <w:spacing w:val="-44"/>
        </w:rPr>
      </w:r>
      <w:r>
        <w:rPr/>
        <w:t>税收入，不予征收企业所得税。</w:t>
      </w:r>
    </w:p>
    <w:p>
      <w:pPr>
        <w:pStyle w:val="BodyText"/>
        <w:spacing w:line="240" w:lineRule="auto" w:before="60"/>
        <w:ind w:left="572" w:right="0"/>
        <w:jc w:val="left"/>
      </w:pPr>
      <w:r>
        <w:rPr>
          <w:rFonts w:ascii="Times New Roman" w:hAnsi="Times New Roman" w:cs="Times New Roman" w:eastAsia="Times New Roman" w:hint="default"/>
        </w:rPr>
        <w:t>1.3   </w:t>
      </w:r>
      <w:r>
        <w:rPr/>
        <w:t>随同自行开发软件销售向购买方收取的培训费、维护费等费用，销项税率为</w:t>
      </w:r>
      <w:r>
        <w:rPr>
          <w:spacing w:val="21"/>
        </w:rPr>
        <w:t> </w:t>
      </w:r>
      <w:r>
        <w:rPr>
          <w:rFonts w:ascii="Times New Roman" w:hAnsi="Times New Roman" w:cs="Times New Roman" w:eastAsia="Times New Roman" w:hint="default"/>
        </w:rPr>
        <w:t>17%</w:t>
      </w:r>
      <w:r>
        <w:rPr/>
        <w:t>。根据</w:t>
      </w:r>
      <w:r>
        <w:rPr>
          <w:rFonts w:ascii="Times New Roman" w:hAnsi="Times New Roman" w:cs="Times New Roman" w:eastAsia="Times New Roman" w:hint="default"/>
        </w:rPr>
        <w:t>“</w:t>
      </w:r>
      <w:r>
        <w:rPr/>
        <w:t>国税函</w:t>
      </w:r>
    </w:p>
    <w:p>
      <w:pPr>
        <w:pStyle w:val="BodyText"/>
        <w:spacing w:line="391" w:lineRule="auto" w:before="167"/>
        <w:ind w:right="206"/>
        <w:jc w:val="both"/>
      </w:pPr>
      <w:r>
        <w:rPr/>
        <w:t>［</w:t>
      </w:r>
      <w:r>
        <w:rPr>
          <w:rFonts w:ascii="Times New Roman" w:hAnsi="Times New Roman" w:cs="Times New Roman" w:eastAsia="Times New Roman" w:hint="default"/>
        </w:rPr>
        <w:t>2004</w:t>
      </w:r>
      <w:r>
        <w:rPr/>
        <w:t>］</w:t>
      </w:r>
      <w:r>
        <w:rPr>
          <w:rFonts w:ascii="Times New Roman" w:hAnsi="Times New Roman" w:cs="Times New Roman" w:eastAsia="Times New Roman" w:hint="default"/>
        </w:rPr>
        <w:t>553 </w:t>
      </w:r>
      <w:r>
        <w:rPr/>
        <w:t>号文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京国税函［</w:t>
      </w:r>
      <w:r>
        <w:rPr>
          <w:rFonts w:ascii="Times New Roman" w:hAnsi="Times New Roman" w:cs="Times New Roman" w:eastAsia="Times New Roman" w:hint="default"/>
        </w:rPr>
        <w:t>2004</w:t>
      </w:r>
      <w:r>
        <w:rPr/>
        <w:t>］</w:t>
      </w:r>
      <w:r>
        <w:rPr>
          <w:rFonts w:ascii="Times New Roman" w:hAnsi="Times New Roman" w:cs="Times New Roman" w:eastAsia="Times New Roman" w:hint="default"/>
        </w:rPr>
        <w:t>547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文的规定，对增值税一般纳税人在销售软件产品的同时向</w:t>
      </w:r>
      <w:r>
        <w:rPr>
          <w:spacing w:val="-3"/>
          <w:w w:val="100"/>
        </w:rPr>
        <w:t> </w:t>
      </w:r>
      <w:r>
        <w:rPr>
          <w:spacing w:val="-2"/>
        </w:rPr>
        <w:t>购买方收取的培训费、维护费等费用，应按现行规定征收增值税，也应享受软件产品增值税即征即退的政</w:t>
      </w:r>
      <w:r>
        <w:rPr>
          <w:spacing w:val="-44"/>
        </w:rPr>
        <w:t> </w:t>
      </w:r>
      <w:r>
        <w:rPr>
          <w:spacing w:val="-44"/>
        </w:rPr>
      </w:r>
      <w:r>
        <w:rPr/>
        <w:t>策。</w:t>
      </w:r>
    </w:p>
    <w:p>
      <w:pPr>
        <w:pStyle w:val="BodyText"/>
        <w:spacing w:line="240" w:lineRule="auto" w:before="51"/>
        <w:ind w:left="573" w:right="0"/>
        <w:jc w:val="left"/>
      </w:pPr>
      <w:r>
        <w:rPr>
          <w:rFonts w:ascii="Times New Roman" w:hAnsi="Times New Roman" w:cs="Times New Roman" w:eastAsia="Times New Roman" w:hint="default"/>
          <w:spacing w:val="-2"/>
        </w:rPr>
        <w:t>2</w:t>
      </w:r>
      <w:r>
        <w:rPr>
          <w:spacing w:val="-2"/>
        </w:rPr>
        <w:t>、安装及技术支持与维护的营业税为应税收入额的</w:t>
      </w:r>
      <w:r>
        <w:rPr>
          <w:spacing w:val="-12"/>
        </w:rPr>
        <w:t> </w:t>
      </w:r>
      <w:r>
        <w:rPr>
          <w:rFonts w:ascii="Times New Roman" w:hAnsi="Times New Roman" w:cs="Times New Roman" w:eastAsia="Times New Roman" w:hint="default"/>
          <w:spacing w:val="-1"/>
        </w:rPr>
        <w:t>5%</w:t>
      </w:r>
      <w:r>
        <w:rPr>
          <w:spacing w:val="-1"/>
        </w:rPr>
        <w:t>。</w:t>
      </w:r>
    </w:p>
    <w:p>
      <w:pPr>
        <w:pStyle w:val="BodyText"/>
        <w:spacing w:line="381" w:lineRule="auto" w:before="170"/>
        <w:ind w:left="153" w:right="213" w:firstLine="420"/>
        <w:jc w:val="both"/>
      </w:pPr>
      <w:r>
        <w:rPr>
          <w:rFonts w:ascii="Times New Roman" w:hAnsi="Times New Roman" w:cs="Times New Roman" w:eastAsia="Times New Roman" w:hint="default"/>
        </w:rPr>
        <w:t>3</w:t>
      </w:r>
      <w:r>
        <w:rPr/>
        <w:t>、城市维护建设税：公司全资子公司上海石基信息技术有限公司及控股子公司上海正品贵德软件有</w:t>
      </w:r>
      <w:r>
        <w:rPr>
          <w:w w:val="100"/>
        </w:rPr>
        <w:t> </w:t>
      </w:r>
      <w:r>
        <w:rPr/>
        <w:t>限公司为应纳流转税额的</w:t>
      </w:r>
      <w:r>
        <w:rPr>
          <w:spacing w:val="-57"/>
        </w:rPr>
        <w:t> </w:t>
      </w:r>
      <w:r>
        <w:rPr>
          <w:rFonts w:ascii="Times New Roman" w:hAnsi="Times New Roman" w:cs="Times New Roman" w:eastAsia="Times New Roman" w:hint="default"/>
        </w:rPr>
        <w:t>1%</w:t>
      </w:r>
      <w:r>
        <w:rPr/>
        <w:t>，其他各公司为应纳流转税额的</w:t>
      </w:r>
      <w:r>
        <w:rPr>
          <w:spacing w:val="-55"/>
        </w:rPr>
        <w:t> </w:t>
      </w:r>
      <w:r>
        <w:rPr>
          <w:rFonts w:ascii="Times New Roman" w:hAnsi="Times New Roman" w:cs="Times New Roman" w:eastAsia="Times New Roman" w:hint="default"/>
        </w:rPr>
        <w:t>7%</w:t>
      </w:r>
      <w:r>
        <w:rPr/>
        <w:t>。</w:t>
      </w:r>
    </w:p>
    <w:p>
      <w:pPr>
        <w:pStyle w:val="BodyText"/>
        <w:spacing w:line="240" w:lineRule="auto" w:before="30"/>
        <w:ind w:left="573" w:right="0"/>
        <w:jc w:val="left"/>
      </w:pPr>
      <w:r>
        <w:rPr>
          <w:rFonts w:ascii="Times New Roman" w:hAnsi="Times New Roman" w:cs="Times New Roman" w:eastAsia="Times New Roman" w:hint="default"/>
        </w:rPr>
        <w:t>4</w:t>
      </w:r>
      <w:r>
        <w:rPr/>
        <w:t>、教育费附加为应纳流转税额的</w:t>
      </w:r>
      <w:r>
        <w:rPr>
          <w:spacing w:val="-55"/>
        </w:rPr>
        <w:t> </w:t>
      </w:r>
      <w:r>
        <w:rPr>
          <w:rFonts w:ascii="Times New Roman" w:hAnsi="Times New Roman" w:cs="Times New Roman" w:eastAsia="Times New Roman" w:hint="default"/>
        </w:rPr>
        <w:t>3%</w:t>
      </w:r>
      <w:r>
        <w:rPr/>
        <w:t>。</w:t>
      </w:r>
    </w:p>
    <w:p>
      <w:pPr>
        <w:pStyle w:val="BodyText"/>
        <w:spacing w:line="381" w:lineRule="auto" w:before="170"/>
        <w:ind w:left="573" w:right="0"/>
        <w:jc w:val="left"/>
      </w:pPr>
      <w:r>
        <w:rPr>
          <w:rFonts w:ascii="Times New Roman" w:hAnsi="Times New Roman" w:cs="Times New Roman" w:eastAsia="Times New Roman" w:hint="default"/>
        </w:rPr>
        <w:t>5</w:t>
      </w:r>
      <w:r>
        <w:rPr/>
        <w:t>、企业所得税：</w:t>
      </w:r>
      <w:r>
        <w:rPr>
          <w:spacing w:val="-3"/>
          <w:w w:val="100"/>
        </w:rPr>
        <w:t> </w:t>
      </w:r>
      <w:r>
        <w:rPr>
          <w:spacing w:val="-2"/>
        </w:rPr>
        <w:t>公司及其控股子公司北京石基昆仑软件有限公司、杭州西软科技有限公司系高新技术企业，企业所得</w:t>
      </w:r>
    </w:p>
    <w:p>
      <w:pPr>
        <w:pStyle w:val="BodyText"/>
        <w:spacing w:line="381" w:lineRule="auto" w:before="59"/>
        <w:ind w:left="573" w:right="0" w:hanging="421"/>
        <w:jc w:val="left"/>
      </w:pPr>
      <w:r>
        <w:rPr/>
        <w:t>税税率为</w:t>
      </w:r>
      <w:r>
        <w:rPr>
          <w:spacing w:val="-53"/>
        </w:rPr>
        <w:t> </w:t>
      </w:r>
      <w:r>
        <w:rPr>
          <w:rFonts w:ascii="Times New Roman" w:hAnsi="Times New Roman" w:cs="Times New Roman" w:eastAsia="Times New Roman" w:hint="default"/>
        </w:rPr>
        <w:t>15%</w:t>
      </w:r>
      <w:r>
        <w:rPr/>
        <w:t>。</w:t>
      </w:r>
      <w:r>
        <w:rPr>
          <w:w w:val="100"/>
        </w:rPr>
        <w:t> </w:t>
      </w:r>
      <w:r>
        <w:rPr>
          <w:spacing w:val="-5"/>
        </w:rPr>
        <w:t>公司控股子公司现化电脑系统（北京）有限公司、全资子公司北京中长石基软件有限公司系软件企业，</w:t>
      </w:r>
    </w:p>
    <w:p>
      <w:pPr>
        <w:pStyle w:val="BodyText"/>
        <w:spacing w:line="379" w:lineRule="auto" w:before="62"/>
        <w:ind w:left="153" w:right="0" w:hanging="1"/>
        <w:jc w:val="left"/>
      </w:pPr>
      <w:r>
        <w:rPr/>
        <w:t>根据 </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[2008]1</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文《关于企业所得税若干优惠政策的通知》的规定，自获利年度起，第一年和第二</w:t>
      </w:r>
      <w:r>
        <w:rPr>
          <w:w w:val="100"/>
        </w:rPr>
        <w:t> </w:t>
      </w:r>
      <w:r>
        <w:rPr>
          <w:spacing w:val="-2"/>
        </w:rPr>
        <w:t>年免征企业所得税，第三年至第五年减半征收企业所得税。</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spacing w:val="-2"/>
        </w:rPr>
        <w:t>年度，现化电脑系统（北京）有限公司、</w:t>
      </w:r>
      <w:r>
        <w:rPr>
          <w:spacing w:val="-73"/>
        </w:rPr>
        <w:t> </w:t>
      </w:r>
      <w:r>
        <w:rPr>
          <w:spacing w:val="-73"/>
        </w:rPr>
      </w:r>
      <w:r>
        <w:rPr>
          <w:spacing w:val="-2"/>
        </w:rPr>
        <w:t>北京中长石基软件有限公司实际执行的企业所得税税率为</w:t>
      </w:r>
      <w:r>
        <w:rPr>
          <w:spacing w:val="-1"/>
        </w:rPr>
        <w:t> </w:t>
      </w:r>
      <w:r>
        <w:rPr>
          <w:rFonts w:ascii="Times New Roman" w:hAnsi="Times New Roman" w:cs="Times New Roman" w:eastAsia="Times New Roman" w:hint="default"/>
          <w:spacing w:val="-1"/>
        </w:rPr>
        <w:t>12.5%</w:t>
      </w:r>
      <w:r>
        <w:rPr>
          <w:spacing w:val="-1"/>
        </w:rPr>
        <w:t>。</w:t>
      </w:r>
    </w:p>
    <w:p>
      <w:pPr>
        <w:pStyle w:val="BodyText"/>
        <w:spacing w:line="384" w:lineRule="auto" w:before="35"/>
        <w:ind w:left="153" w:right="206" w:firstLine="420"/>
        <w:jc w:val="both"/>
      </w:pPr>
      <w:r>
        <w:rPr/>
        <w:t>公司全资子公司北海石基信息技术有限公司系软件企业，根据 </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[2008]1</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文《关于企业所得税</w:t>
      </w:r>
      <w:r>
        <w:rPr>
          <w:w w:val="100"/>
        </w:rPr>
        <w:t> </w:t>
      </w:r>
      <w:r>
        <w:rPr>
          <w:spacing w:val="-2"/>
        </w:rPr>
        <w:t>若干优惠政策的通知》的规定，自获利年度起，第一年和第二年免征企业所得税，第三年至第五年减半征</w:t>
      </w:r>
      <w:r>
        <w:rPr>
          <w:spacing w:val="-48"/>
        </w:rPr>
        <w:t> </w:t>
      </w:r>
      <w:r>
        <w:rPr>
          <w:spacing w:val="-48"/>
        </w:rPr>
      </w:r>
      <w:r>
        <w:rPr>
          <w:spacing w:val="-2"/>
        </w:rPr>
        <w:t>收企业所得税。同时根据北海市国家税务局</w:t>
      </w:r>
      <w:r>
        <w:rPr>
          <w:rFonts w:ascii="Times New Roman" w:hAnsi="Times New Roman" w:cs="Times New Roman" w:eastAsia="Times New Roman" w:hint="default"/>
          <w:spacing w:val="-2"/>
        </w:rPr>
        <w:t>“</w:t>
      </w:r>
      <w:r>
        <w:rPr>
          <w:spacing w:val="-2"/>
        </w:rPr>
        <w:t>北市国税函</w:t>
      </w:r>
      <w:r>
        <w:rPr>
          <w:rFonts w:ascii="Times New Roman" w:hAnsi="Times New Roman" w:cs="Times New Roman" w:eastAsia="Times New Roman" w:hint="default"/>
          <w:spacing w:val="-2"/>
        </w:rPr>
        <w:t>[2010]69</w:t>
      </w:r>
      <w:r>
        <w:rPr>
          <w:rFonts w:ascii="Times New Roman" w:hAnsi="Times New Roman" w:cs="Times New Roman" w:eastAsia="Times New Roman" w:hint="default"/>
        </w:rPr>
        <w:t> </w:t>
      </w:r>
      <w:r>
        <w:rPr>
          <w:spacing w:val="-2"/>
        </w:rPr>
        <w:t>号</w:t>
      </w:r>
      <w:r>
        <w:rPr>
          <w:rFonts w:ascii="Times New Roman" w:hAnsi="Times New Roman" w:cs="Times New Roman" w:eastAsia="Times New Roman" w:hint="default"/>
          <w:spacing w:val="-2"/>
        </w:rPr>
        <w:t>”</w:t>
      </w:r>
      <w:r>
        <w:rPr>
          <w:spacing w:val="-2"/>
        </w:rPr>
        <w:t>文批准，北海石基信息技术有限公司</w:t>
      </w:r>
      <w:r>
        <w:rPr>
          <w:spacing w:val="-51"/>
        </w:rPr>
        <w:t> </w:t>
      </w:r>
      <w:r>
        <w:rPr>
          <w:spacing w:val="-51"/>
        </w:rPr>
      </w:r>
      <w:r>
        <w:rPr/>
        <w:t>在</w:t>
      </w:r>
      <w:r>
        <w:rPr>
          <w:spacing w:val="-3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7"/>
        </w:rPr>
        <w:t> </w:t>
      </w:r>
      <w:r>
        <w:rPr/>
        <w:t>年至</w:t>
      </w:r>
      <w:r>
        <w:rPr>
          <w:spacing w:val="-3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7"/>
        </w:rPr>
        <w:t> </w:t>
      </w:r>
      <w:r>
        <w:rPr>
          <w:spacing w:val="-3"/>
        </w:rPr>
        <w:t>年期间，在享受软件企业所得税优惠同时，免征属于地方享有的企业所得税，北海石基</w:t>
      </w:r>
      <w:r>
        <w:rPr>
          <w:spacing w:val="-96"/>
        </w:rPr>
        <w:t> </w:t>
      </w:r>
      <w:r>
        <w:rPr>
          <w:spacing w:val="-96"/>
        </w:rPr>
      </w:r>
      <w:r>
        <w:rPr/>
        <w:t>信息技术有限公司</w:t>
      </w:r>
      <w:r>
        <w:rPr>
          <w:spacing w:val="-53"/>
        </w:rPr>
        <w:t> </w:t>
      </w:r>
      <w:r>
        <w:rPr>
          <w:rFonts w:ascii="Times New Roman" w:hAnsi="Times New Roman" w:cs="Times New Roman" w:eastAsia="Times New Roman" w:hint="default"/>
          <w:spacing w:val="-3"/>
        </w:rPr>
        <w:t>2011 </w:t>
      </w:r>
      <w:r>
        <w:rPr/>
        <w:t>年度实际执行的企业所得税税率为</w:t>
      </w:r>
      <w:r>
        <w:rPr>
          <w:spacing w:val="-53"/>
        </w:rPr>
        <w:t> </w:t>
      </w:r>
      <w:r>
        <w:rPr>
          <w:rFonts w:ascii="Times New Roman" w:hAnsi="Times New Roman" w:cs="Times New Roman" w:eastAsia="Times New Roman" w:hint="default"/>
        </w:rPr>
        <w:t>7.5%</w:t>
      </w:r>
      <w:r>
        <w:rPr/>
        <w:t>。</w:t>
      </w:r>
    </w:p>
    <w:p>
      <w:pPr>
        <w:pStyle w:val="BodyText"/>
        <w:spacing w:line="381" w:lineRule="auto" w:before="30"/>
        <w:ind w:left="154" w:right="207" w:firstLine="419"/>
        <w:jc w:val="both"/>
      </w:pPr>
      <w:r>
        <w:rPr/>
        <w:t>公司全资子公司焦点信息技术（香港）有限公司、控股子公司 </w:t>
      </w:r>
      <w:r>
        <w:rPr>
          <w:rFonts w:ascii="Times New Roman" w:hAnsi="Times New Roman" w:cs="Times New Roman" w:eastAsia="Times New Roman" w:hint="default"/>
        </w:rPr>
        <w:t>Infrasys International</w:t>
      </w:r>
      <w:r>
        <w:rPr>
          <w:rFonts w:ascii="Times New Roman" w:hAnsi="Times New Roman" w:cs="Times New Roman" w:eastAsia="Times New Roman" w:hint="default"/>
          <w:spacing w:val="22"/>
        </w:rPr>
        <w:t> </w:t>
      </w:r>
      <w:r>
        <w:rPr>
          <w:rFonts w:ascii="Times New Roman" w:hAnsi="Times New Roman" w:cs="Times New Roman" w:eastAsia="Times New Roman" w:hint="default"/>
        </w:rPr>
        <w:t>Ltd</w:t>
      </w:r>
      <w:r>
        <w:rPr/>
        <w:t>、控股子公司</w:t>
      </w:r>
      <w:r>
        <w:rPr>
          <w:w w:val="100"/>
        </w:rPr>
        <w:t> </w:t>
      </w:r>
      <w:r>
        <w:rPr>
          <w:rFonts w:ascii="Times New Roman" w:hAnsi="Times New Roman" w:cs="Times New Roman" w:eastAsia="Times New Roman" w:hint="default"/>
        </w:rPr>
        <w:t>Pos</w:t>
      </w:r>
      <w:r>
        <w:rPr>
          <w:rFonts w:ascii="Times New Roman" w:hAnsi="Times New Roman" w:cs="Times New Roman" w:eastAsia="Times New Roman" w:hint="default"/>
          <w:spacing w:val="-2"/>
        </w:rPr>
        <w:t> </w:t>
      </w:r>
      <w:r>
        <w:rPr>
          <w:rFonts w:ascii="Times New Roman" w:hAnsi="Times New Roman" w:cs="Times New Roman" w:eastAsia="Times New Roman" w:hint="default"/>
        </w:rPr>
        <w:t>Master</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t>、控股子公司</w:t>
      </w:r>
      <w:r>
        <w:rPr>
          <w:spacing w:val="-54"/>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2"/>
        </w:rPr>
        <w:t> </w:t>
      </w:r>
      <w:r>
        <w:rPr>
          <w:rFonts w:ascii="Times New Roman" w:hAnsi="Times New Roman" w:cs="Times New Roman" w:eastAsia="Times New Roman" w:hint="default"/>
        </w:rPr>
        <w:t>(HK) </w:t>
      </w:r>
      <w:r>
        <w:rPr>
          <w:rFonts w:ascii="Times New Roman" w:hAnsi="Times New Roman" w:cs="Times New Roman" w:eastAsia="Times New Roman" w:hint="default"/>
          <w:spacing w:val="-3"/>
        </w:rPr>
        <w:t>Ltd</w:t>
      </w:r>
      <w:r>
        <w:rPr>
          <w:rFonts w:ascii="Times New Roman" w:hAnsi="Times New Roman" w:cs="Times New Roman" w:eastAsia="Times New Roman" w:hint="default"/>
          <w:spacing w:val="-2"/>
        </w:rPr>
        <w:t> </w:t>
      </w:r>
      <w:r>
        <w:rPr/>
        <w:t>系在香港境内设立的公司，企业所得税税率为</w:t>
      </w:r>
      <w:r>
        <w:rPr>
          <w:spacing w:val="-54"/>
        </w:rPr>
        <w:t> </w:t>
      </w:r>
      <w:r>
        <w:rPr>
          <w:rFonts w:ascii="Times New Roman" w:hAnsi="Times New Roman" w:cs="Times New Roman" w:eastAsia="Times New Roman" w:hint="default"/>
        </w:rPr>
        <w:t>16.50%</w:t>
      </w:r>
      <w:r>
        <w:rPr/>
        <w:t>。</w:t>
      </w:r>
    </w:p>
    <w:p>
      <w:pPr>
        <w:pStyle w:val="BodyText"/>
        <w:spacing w:line="381" w:lineRule="auto" w:before="30"/>
        <w:ind w:left="574" w:right="0" w:hanging="1"/>
        <w:jc w:val="left"/>
      </w:pPr>
      <w:r>
        <w:rPr/>
        <w:t>公司控股子公司</w:t>
      </w:r>
      <w:r>
        <w:rPr>
          <w:spacing w:val="-54"/>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2"/>
        </w:rPr>
        <w:t> </w:t>
      </w:r>
      <w:r>
        <w:rPr>
          <w:rFonts w:ascii="Times New Roman" w:hAnsi="Times New Roman" w:cs="Times New Roman" w:eastAsia="Times New Roman" w:hint="default"/>
        </w:rPr>
        <w:t>Singapore</w:t>
      </w:r>
      <w:r>
        <w:rPr>
          <w:rFonts w:ascii="Times New Roman" w:hAnsi="Times New Roman" w:cs="Times New Roman" w:eastAsia="Times New Roman" w:hint="default"/>
          <w:spacing w:val="-4"/>
        </w:rPr>
        <w:t> </w:t>
      </w:r>
      <w:r>
        <w:rPr>
          <w:rFonts w:ascii="Times New Roman" w:hAnsi="Times New Roman" w:cs="Times New Roman" w:eastAsia="Times New Roman" w:hint="default"/>
        </w:rPr>
        <w:t>Pte</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3"/>
        </w:rPr>
        <w:t>Ltd</w:t>
      </w:r>
      <w:r>
        <w:rPr>
          <w:rFonts w:ascii="Times New Roman" w:hAnsi="Times New Roman" w:cs="Times New Roman" w:eastAsia="Times New Roman" w:hint="default"/>
          <w:spacing w:val="-1"/>
        </w:rPr>
        <w:t> </w:t>
      </w:r>
      <w:r>
        <w:rPr/>
        <w:t>系在新加坡境内设立的公司，企业所得税税率为</w:t>
      </w:r>
      <w:r>
        <w:rPr>
          <w:spacing w:val="-54"/>
        </w:rPr>
        <w:t> </w:t>
      </w:r>
      <w:r>
        <w:rPr>
          <w:rFonts w:ascii="Times New Roman" w:hAnsi="Times New Roman" w:cs="Times New Roman" w:eastAsia="Times New Roman" w:hint="default"/>
        </w:rPr>
        <w:t>18%</w:t>
      </w:r>
      <w:r>
        <w:rPr/>
        <w:t>。</w:t>
      </w:r>
      <w:r>
        <w:rPr>
          <w:w w:val="100"/>
        </w:rPr>
        <w:t> </w:t>
      </w:r>
      <w:r>
        <w:rPr/>
        <w:t>公司控股子公司</w:t>
      </w:r>
      <w:r>
        <w:rPr>
          <w:spacing w:val="-55"/>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3"/>
        </w:rPr>
        <w:t> </w:t>
      </w:r>
      <w:r>
        <w:rPr>
          <w:rFonts w:ascii="Times New Roman" w:hAnsi="Times New Roman" w:cs="Times New Roman" w:eastAsia="Times New Roman" w:hint="default"/>
        </w:rPr>
        <w:t>Malaysia</w:t>
      </w:r>
      <w:r>
        <w:rPr>
          <w:rFonts w:ascii="Times New Roman" w:hAnsi="Times New Roman" w:cs="Times New Roman" w:eastAsia="Times New Roman" w:hint="default"/>
          <w:spacing w:val="-2"/>
        </w:rPr>
        <w:t> </w:t>
      </w:r>
      <w:r>
        <w:rPr>
          <w:rFonts w:ascii="Times New Roman" w:hAnsi="Times New Roman" w:cs="Times New Roman" w:eastAsia="Times New Roman" w:hint="default"/>
        </w:rPr>
        <w:t>Sdn</w:t>
      </w:r>
      <w:r>
        <w:rPr>
          <w:rFonts w:ascii="Times New Roman" w:hAnsi="Times New Roman" w:cs="Times New Roman" w:eastAsia="Times New Roman" w:hint="default"/>
          <w:spacing w:val="-2"/>
        </w:rPr>
        <w:t> </w:t>
      </w:r>
      <w:r>
        <w:rPr>
          <w:rFonts w:ascii="Times New Roman" w:hAnsi="Times New Roman" w:cs="Times New Roman" w:eastAsia="Times New Roman" w:hint="default"/>
        </w:rPr>
        <w:t>Bhd</w:t>
      </w:r>
      <w:r>
        <w:rPr>
          <w:rFonts w:ascii="Times New Roman" w:hAnsi="Times New Roman" w:cs="Times New Roman" w:eastAsia="Times New Roman" w:hint="default"/>
          <w:spacing w:val="-5"/>
        </w:rPr>
        <w:t> </w:t>
      </w:r>
      <w:r>
        <w:rPr/>
        <w:t>系在马来西亚境内设立的公司，企业所得税税率为</w:t>
      </w:r>
      <w:r>
        <w:rPr>
          <w:spacing w:val="-56"/>
        </w:rPr>
        <w:t> </w:t>
      </w:r>
      <w:r>
        <w:rPr>
          <w:rFonts w:ascii="Times New Roman" w:hAnsi="Times New Roman" w:cs="Times New Roman" w:eastAsia="Times New Roman" w:hint="default"/>
        </w:rPr>
        <w:t>20%</w:t>
      </w:r>
      <w:r>
        <w:rPr/>
        <w:t>。</w:t>
      </w:r>
    </w:p>
    <w:p>
      <w:pPr>
        <w:spacing w:after="0" w:line="381" w:lineRule="auto"/>
        <w:jc w:val="left"/>
        <w:sectPr>
          <w:footerReference w:type="default" r:id="rId53"/>
          <w:pgSz w:w="11910" w:h="16840"/>
          <w:pgMar w:footer="979" w:header="850" w:top="1200" w:bottom="1160" w:left="980" w:right="920"/>
          <w:pgNumType w:start="102"/>
        </w:sectPr>
      </w:pPr>
    </w:p>
    <w:p>
      <w:pPr>
        <w:spacing w:line="240" w:lineRule="auto" w:before="6"/>
        <w:rPr>
          <w:rFonts w:ascii="宋体" w:hAnsi="宋体" w:cs="宋体" w:eastAsia="宋体" w:hint="default"/>
          <w:sz w:val="15"/>
          <w:szCs w:val="15"/>
        </w:rPr>
      </w:pPr>
    </w:p>
    <w:p>
      <w:pPr>
        <w:pStyle w:val="BodyText"/>
        <w:spacing w:line="420" w:lineRule="auto" w:before="36"/>
        <w:ind w:left="232" w:right="0" w:firstLine="420"/>
        <w:jc w:val="left"/>
      </w:pPr>
      <w:r>
        <w:rPr>
          <w:spacing w:val="-2"/>
        </w:rPr>
        <w:t>公司软件分公司、全资子公司上海石基信息技术有限公司、南京银石计算机系统有限公司及控股子公</w:t>
      </w:r>
      <w:r>
        <w:rPr>
          <w:w w:val="100"/>
        </w:rPr>
        <w:t> </w:t>
      </w:r>
      <w:r>
        <w:rPr>
          <w:spacing w:val="-2"/>
        </w:rPr>
        <w:t>司上海正品贵德软件有限公司均执行</w:t>
      </w:r>
      <w:r>
        <w:rPr>
          <w:spacing w:val="-1"/>
        </w:rPr>
        <w:t> </w:t>
      </w:r>
      <w:r>
        <w:rPr>
          <w:rFonts w:ascii="Times New Roman" w:hAnsi="Times New Roman" w:cs="Times New Roman" w:eastAsia="Times New Roman" w:hint="default"/>
          <w:spacing w:val="-2"/>
        </w:rPr>
        <w:t>25</w:t>
      </w:r>
      <w:r>
        <w:rPr>
          <w:spacing w:val="-2"/>
        </w:rPr>
        <w:t>％的企业所得税税率。</w:t>
      </w:r>
    </w:p>
    <w:p>
      <w:pPr>
        <w:pStyle w:val="BodyText"/>
        <w:spacing w:line="240" w:lineRule="auto" w:before="15"/>
        <w:ind w:left="652" w:right="5418"/>
        <w:jc w:val="left"/>
      </w:pPr>
      <w:r>
        <w:rPr>
          <w:rFonts w:ascii="Times New Roman" w:hAnsi="Times New Roman" w:cs="Times New Roman" w:eastAsia="Times New Roman" w:hint="default"/>
        </w:rPr>
        <w:t>6</w:t>
      </w:r>
      <w:r>
        <w:rPr/>
        <w:t>、其他税项依据有关规定计缴。</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Heading4"/>
        <w:spacing w:line="240" w:lineRule="auto"/>
        <w:ind w:left="655" w:right="5418"/>
        <w:jc w:val="left"/>
        <w:rPr>
          <w:b w:val="0"/>
          <w:bCs w:val="0"/>
        </w:rPr>
      </w:pPr>
      <w:r>
        <w:rPr/>
        <w:t>（四）企业合并及合并财务报表</w:t>
      </w:r>
      <w:r>
        <w:rPr>
          <w:b w:val="0"/>
          <w:bCs w:val="0"/>
        </w:rPr>
      </w:r>
    </w:p>
    <w:p>
      <w:pPr>
        <w:spacing w:line="240" w:lineRule="auto" w:before="9"/>
        <w:rPr>
          <w:rFonts w:ascii="宋体" w:hAnsi="宋体" w:cs="宋体" w:eastAsia="宋体" w:hint="default"/>
          <w:b/>
          <w:bCs/>
          <w:sz w:val="15"/>
          <w:szCs w:val="15"/>
        </w:rPr>
      </w:pPr>
    </w:p>
    <w:p>
      <w:pPr>
        <w:pStyle w:val="BodyText"/>
        <w:spacing w:line="240" w:lineRule="auto"/>
        <w:ind w:left="652" w:right="5418"/>
        <w:jc w:val="left"/>
      </w:pPr>
      <w:r>
        <w:rPr>
          <w:rFonts w:ascii="Times New Roman" w:hAnsi="Times New Roman" w:cs="Times New Roman" w:eastAsia="Times New Roman" w:hint="default"/>
        </w:rPr>
        <w:t>1</w:t>
      </w:r>
      <w:r>
        <w:rPr/>
        <w:t>、子公司情况</w:t>
      </w:r>
    </w:p>
    <w:p>
      <w:pPr>
        <w:pStyle w:val="BodyText"/>
        <w:spacing w:line="240" w:lineRule="auto" w:before="189"/>
        <w:ind w:left="652" w:right="5418"/>
        <w:jc w:val="left"/>
      </w:pPr>
      <w:r>
        <w:rPr/>
        <w:t>（</w:t>
      </w:r>
      <w:r>
        <w:rPr>
          <w:rFonts w:ascii="Times New Roman" w:hAnsi="Times New Roman" w:cs="Times New Roman" w:eastAsia="Times New Roman" w:hint="default"/>
        </w:rPr>
        <w:t>1</w:t>
      </w:r>
      <w:r>
        <w:rPr/>
        <w:t>）通过设立或投资等方式取得的子公司</w:t>
      </w:r>
    </w:p>
    <w:tbl>
      <w:tblPr>
        <w:tblW w:w="0" w:type="auto"/>
        <w:jc w:val="left"/>
        <w:tblInd w:w="110" w:type="dxa"/>
        <w:tblLayout w:type="fixed"/>
        <w:tblCellMar>
          <w:top w:w="0" w:type="dxa"/>
          <w:left w:w="0" w:type="dxa"/>
          <w:bottom w:w="0" w:type="dxa"/>
          <w:right w:w="0" w:type="dxa"/>
        </w:tblCellMar>
        <w:tblLook w:val="01E0"/>
      </w:tblPr>
      <w:tblGrid>
        <w:gridCol w:w="1325"/>
        <w:gridCol w:w="994"/>
        <w:gridCol w:w="792"/>
        <w:gridCol w:w="991"/>
        <w:gridCol w:w="1190"/>
        <w:gridCol w:w="4577"/>
      </w:tblGrid>
      <w:tr>
        <w:trPr>
          <w:trHeight w:val="982" w:hRule="exact"/>
        </w:trPr>
        <w:tc>
          <w:tcPr>
            <w:tcW w:w="1325" w:type="dxa"/>
            <w:tcBorders>
              <w:top w:val="single" w:sz="12" w:space="0" w:color="000000"/>
              <w:left w:val="nil" w:sz="6" w:space="0" w:color="auto"/>
              <w:bottom w:val="single" w:sz="4" w:space="0" w:color="000000"/>
              <w:right w:val="single" w:sz="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994"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74"/>
              <w:ind w:left="283" w:right="175"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792"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74"/>
              <w:ind w:left="288" w:right="180" w:hanging="106"/>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991"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74"/>
              <w:ind w:left="389" w:right="120" w:hanging="262"/>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质</w:t>
            </w:r>
          </w:p>
        </w:tc>
        <w:tc>
          <w:tcPr>
            <w:tcW w:w="1190" w:type="dxa"/>
            <w:tcBorders>
              <w:top w:val="single" w:sz="12" w:space="0" w:color="000000"/>
              <w:left w:val="single" w:sz="2" w:space="0" w:color="000000"/>
              <w:bottom w:val="single" w:sz="4" w:space="0" w:color="000000"/>
              <w:right w:val="single" w:sz="2" w:space="0" w:color="000000"/>
            </w:tcBorders>
          </w:tcPr>
          <w:p>
            <w:pPr>
              <w:pStyle w:val="TableParagraph"/>
              <w:spacing w:line="274" w:lineRule="exact" w:before="38"/>
              <w:ind w:left="175"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2" w:lineRule="exact" w:before="27"/>
              <w:ind w:left="384" w:right="98" w:hanging="277"/>
              <w:jc w:val="left"/>
              <w:rPr>
                <w:rFonts w:ascii="宋体" w:hAnsi="宋体" w:cs="宋体" w:eastAsia="宋体" w:hint="default"/>
                <w:sz w:val="21"/>
                <w:szCs w:val="21"/>
              </w:rPr>
            </w:pPr>
            <w:r>
              <w:rPr>
                <w:rFonts w:ascii="宋体" w:hAnsi="宋体" w:cs="宋体" w:eastAsia="宋体" w:hint="default"/>
                <w:spacing w:val="-16"/>
                <w:sz w:val="21"/>
                <w:szCs w:val="21"/>
              </w:rPr>
              <w:t>（单位：万</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元）</w:t>
            </w:r>
          </w:p>
        </w:tc>
        <w:tc>
          <w:tcPr>
            <w:tcW w:w="4577" w:type="dxa"/>
            <w:tcBorders>
              <w:top w:val="single" w:sz="12" w:space="0" w:color="000000"/>
              <w:left w:val="single" w:sz="2"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1233" w:hRule="exact"/>
        </w:trPr>
        <w:tc>
          <w:tcPr>
            <w:tcW w:w="1325" w:type="dxa"/>
            <w:tcBorders>
              <w:top w:val="single" w:sz="4" w:space="0" w:color="000000"/>
              <w:left w:val="nil" w:sz="6" w:space="0" w:color="auto"/>
              <w:bottom w:val="nil" w:sz="6" w:space="0" w:color="auto"/>
              <w:right w:val="single" w:sz="2" w:space="0" w:color="000000"/>
            </w:tcBorders>
          </w:tcPr>
          <w:p>
            <w:pPr>
              <w:pStyle w:val="TableParagraph"/>
              <w:spacing w:line="237" w:lineRule="auto" w:before="40"/>
              <w:ind w:left="122" w:right="101"/>
              <w:jc w:val="both"/>
              <w:rPr>
                <w:rFonts w:ascii="宋体" w:hAnsi="宋体" w:cs="宋体" w:eastAsia="宋体" w:hint="default"/>
                <w:sz w:val="21"/>
                <w:szCs w:val="21"/>
              </w:rPr>
            </w:pPr>
            <w:r>
              <w:rPr>
                <w:rFonts w:ascii="宋体" w:hAnsi="宋体" w:cs="宋体" w:eastAsia="宋体" w:hint="default"/>
                <w:spacing w:val="7"/>
                <w:sz w:val="21"/>
                <w:szCs w:val="21"/>
              </w:rPr>
              <w:t>上海石基信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7"/>
                <w:sz w:val="21"/>
                <w:szCs w:val="21"/>
              </w:rPr>
              <w:t>息技术有限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994"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37"/>
              <w:ind w:left="283" w:right="175" w:hanging="106"/>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92"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37"/>
              <w:ind w:left="182"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991" w:type="dxa"/>
            <w:tcBorders>
              <w:top w:val="single" w:sz="4" w:space="0" w:color="000000"/>
              <w:left w:val="single" w:sz="2" w:space="0" w:color="000000"/>
              <w:bottom w:val="nil" w:sz="6" w:space="0" w:color="auto"/>
              <w:right w:val="single" w:sz="2" w:space="0" w:color="000000"/>
            </w:tcBorders>
          </w:tcPr>
          <w:p>
            <w:pPr>
              <w:pStyle w:val="TableParagraph"/>
              <w:spacing w:line="237" w:lineRule="auto" w:before="40"/>
              <w:ind w:left="178" w:right="172"/>
              <w:jc w:val="both"/>
              <w:rPr>
                <w:rFonts w:ascii="宋体" w:hAnsi="宋体" w:cs="宋体" w:eastAsia="宋体" w:hint="default"/>
                <w:sz w:val="21"/>
                <w:szCs w:val="21"/>
              </w:rPr>
            </w:pPr>
            <w:r>
              <w:rPr>
                <w:rFonts w:ascii="宋体" w:hAnsi="宋体" w:cs="宋体" w:eastAsia="宋体" w:hint="default"/>
                <w:sz w:val="21"/>
                <w:szCs w:val="21"/>
              </w:rPr>
              <w:t>计算机</w:t>
            </w:r>
            <w:r>
              <w:rPr>
                <w:rFonts w:ascii="宋体" w:hAnsi="宋体" w:cs="宋体" w:eastAsia="宋体" w:hint="default"/>
                <w:spacing w:val="-102"/>
                <w:sz w:val="21"/>
                <w:szCs w:val="21"/>
              </w:rPr>
              <w:t> </w:t>
            </w:r>
            <w:r>
              <w:rPr>
                <w:rFonts w:ascii="宋体" w:hAnsi="宋体" w:cs="宋体" w:eastAsia="宋体" w:hint="default"/>
                <w:sz w:val="21"/>
                <w:szCs w:val="21"/>
              </w:rPr>
              <w:t>应用服</w:t>
            </w:r>
            <w:r>
              <w:rPr>
                <w:rFonts w:ascii="宋体" w:hAnsi="宋体" w:cs="宋体" w:eastAsia="宋体" w:hint="default"/>
                <w:spacing w:val="-102"/>
                <w:sz w:val="21"/>
                <w:szCs w:val="21"/>
              </w:rPr>
              <w:t> </w:t>
            </w:r>
            <w:r>
              <w:rPr>
                <w:rFonts w:ascii="宋体" w:hAnsi="宋体" w:cs="宋体" w:eastAsia="宋体" w:hint="default"/>
                <w:sz w:val="21"/>
                <w:szCs w:val="21"/>
              </w:rPr>
              <w:t>务业</w:t>
            </w:r>
          </w:p>
        </w:tc>
        <w:tc>
          <w:tcPr>
            <w:tcW w:w="1190"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100.00</w:t>
            </w:r>
          </w:p>
        </w:tc>
        <w:tc>
          <w:tcPr>
            <w:tcW w:w="4577" w:type="dxa"/>
            <w:tcBorders>
              <w:top w:val="single" w:sz="4" w:space="0" w:color="000000"/>
              <w:left w:val="single" w:sz="2" w:space="0" w:color="000000"/>
              <w:bottom w:val="nil" w:sz="6" w:space="0" w:color="auto"/>
              <w:right w:val="nil" w:sz="6" w:space="0" w:color="auto"/>
            </w:tcBorders>
          </w:tcPr>
          <w:p>
            <w:pPr>
              <w:pStyle w:val="TableParagraph"/>
              <w:spacing w:line="232" w:lineRule="auto" w:before="45"/>
              <w:ind w:left="108" w:right="49"/>
              <w:jc w:val="both"/>
              <w:rPr>
                <w:rFonts w:ascii="宋体" w:hAnsi="宋体" w:cs="宋体" w:eastAsia="宋体" w:hint="default"/>
                <w:sz w:val="21"/>
                <w:szCs w:val="21"/>
              </w:rPr>
            </w:pPr>
            <w:r>
              <w:rPr>
                <w:rFonts w:ascii="宋体" w:hAnsi="宋体" w:cs="宋体" w:eastAsia="宋体" w:hint="default"/>
                <w:spacing w:val="-4"/>
                <w:sz w:val="21"/>
                <w:szCs w:val="21"/>
              </w:rPr>
              <w:t>计算机软件开发、制作、销售，系统集成，电子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产品、网络设备的销售，网络技术的研究开发，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并提供以上领域的</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八技</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服务（涉及许可经营的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5"/>
                <w:w w:val="100"/>
                <w:sz w:val="21"/>
                <w:szCs w:val="21"/>
              </w:rPr>
              <w:t>凭许可证经营）。</w:t>
            </w:r>
          </w:p>
        </w:tc>
      </w:tr>
      <w:tr>
        <w:trPr>
          <w:trHeight w:val="1783"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37" w:lineRule="auto" w:before="46"/>
              <w:ind w:left="122" w:right="101"/>
              <w:jc w:val="both"/>
              <w:rPr>
                <w:rFonts w:ascii="宋体" w:hAnsi="宋体" w:cs="宋体" w:eastAsia="宋体" w:hint="default"/>
                <w:sz w:val="21"/>
                <w:szCs w:val="21"/>
              </w:rPr>
            </w:pPr>
            <w:r>
              <w:rPr>
                <w:rFonts w:ascii="宋体" w:hAnsi="宋体" w:cs="宋体" w:eastAsia="宋体" w:hint="default"/>
                <w:spacing w:val="7"/>
                <w:sz w:val="21"/>
                <w:szCs w:val="21"/>
              </w:rPr>
              <w:t>北京石基昆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7"/>
                <w:sz w:val="21"/>
                <w:szCs w:val="21"/>
              </w:rPr>
              <w:t>仑软件有限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72" w:lineRule="exact" w:before="71"/>
              <w:ind w:left="283" w:right="175"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43"/>
              <w:ind w:left="182"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91" w:type="dxa"/>
            <w:tcBorders>
              <w:top w:val="nil" w:sz="6" w:space="0" w:color="auto"/>
              <w:left w:val="single" w:sz="2" w:space="0" w:color="000000"/>
              <w:bottom w:val="nil" w:sz="6" w:space="0" w:color="auto"/>
              <w:right w:val="single" w:sz="2" w:space="0" w:color="000000"/>
            </w:tcBorders>
          </w:tcPr>
          <w:p>
            <w:pPr>
              <w:pStyle w:val="TableParagraph"/>
              <w:spacing w:line="240" w:lineRule="auto" w:before="43"/>
              <w:ind w:left="283" w:right="0"/>
              <w:jc w:val="left"/>
              <w:rPr>
                <w:rFonts w:ascii="宋体" w:hAnsi="宋体" w:cs="宋体" w:eastAsia="宋体" w:hint="default"/>
                <w:sz w:val="21"/>
                <w:szCs w:val="21"/>
              </w:rPr>
            </w:pPr>
            <w:r>
              <w:rPr>
                <w:rFonts w:ascii="宋体" w:hAnsi="宋体" w:cs="宋体" w:eastAsia="宋体" w:hint="default"/>
                <w:sz w:val="21"/>
                <w:szCs w:val="21"/>
              </w:rPr>
              <w:t>综合</w:t>
            </w:r>
          </w:p>
        </w:tc>
        <w:tc>
          <w:tcPr>
            <w:tcW w:w="1190" w:type="dxa"/>
            <w:tcBorders>
              <w:top w:val="nil" w:sz="6" w:space="0" w:color="auto"/>
              <w:left w:val="single" w:sz="2" w:space="0" w:color="000000"/>
              <w:bottom w:val="nil" w:sz="6" w:space="0" w:color="auto"/>
              <w:right w:val="single" w:sz="2" w:space="0" w:color="000000"/>
            </w:tcBorders>
          </w:tcPr>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sz w:val="21"/>
              </w:rPr>
              <w:t>428.00</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237" w:lineRule="auto" w:before="46"/>
              <w:ind w:left="107" w:right="-4"/>
              <w:jc w:val="left"/>
              <w:rPr>
                <w:rFonts w:ascii="宋体" w:hAnsi="宋体" w:cs="宋体" w:eastAsia="宋体" w:hint="default"/>
                <w:sz w:val="21"/>
                <w:szCs w:val="21"/>
              </w:rPr>
            </w:pPr>
            <w:r>
              <w:rPr>
                <w:rFonts w:ascii="宋体" w:hAnsi="宋体" w:cs="宋体" w:eastAsia="宋体" w:hint="default"/>
                <w:spacing w:val="-9"/>
                <w:sz w:val="21"/>
                <w:szCs w:val="21"/>
              </w:rPr>
              <w:t>法律、行政法规、国务院决定禁止的，不得经营；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法律、行政法规、国务院决定规定应经许可的，</w:t>
            </w:r>
            <w:r>
              <w:rPr>
                <w:rFonts w:ascii="宋体" w:hAnsi="宋体" w:cs="宋体" w:eastAsia="宋体" w:hint="default"/>
                <w:w w:val="100"/>
                <w:sz w:val="21"/>
                <w:szCs w:val="21"/>
              </w:rPr>
              <w:t> </w:t>
            </w:r>
            <w:r>
              <w:rPr>
                <w:rFonts w:ascii="宋体" w:hAnsi="宋体" w:cs="宋体" w:eastAsia="宋体" w:hint="default"/>
                <w:spacing w:val="5"/>
                <w:sz w:val="21"/>
                <w:szCs w:val="21"/>
              </w:rPr>
              <w:t>经审批机关批准并经工商行政管理机关登记注</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册后方可经营；法律、行政法规、国务院决定未</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规定许可的，自主选择经营项目开展经营活动。</w:t>
            </w:r>
          </w:p>
          <w:p>
            <w:pPr>
              <w:pStyle w:val="TableParagraph"/>
              <w:spacing w:line="287" w:lineRule="exact"/>
              <w:ind w:left="107" w:right="0"/>
              <w:jc w:val="left"/>
              <w:rPr>
                <w:rFonts w:ascii="宋体" w:hAnsi="宋体" w:cs="宋体" w:eastAsia="宋体" w:hint="default"/>
                <w:sz w:val="21"/>
                <w:szCs w:val="21"/>
              </w:rPr>
            </w:pPr>
            <w:r>
              <w:rPr>
                <w:rFonts w:ascii="宋体" w:hAnsi="宋体" w:cs="宋体" w:eastAsia="宋体" w:hint="default"/>
                <w:sz w:val="21"/>
                <w:szCs w:val="21"/>
              </w:rPr>
              <w:t>（知识产权出资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tc>
      </w:tr>
      <w:tr>
        <w:trPr>
          <w:trHeight w:val="1500"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37" w:lineRule="auto" w:before="41"/>
              <w:ind w:left="122" w:right="101"/>
              <w:jc w:val="both"/>
              <w:rPr>
                <w:rFonts w:ascii="宋体" w:hAnsi="宋体" w:cs="宋体" w:eastAsia="宋体" w:hint="default"/>
                <w:sz w:val="21"/>
                <w:szCs w:val="21"/>
              </w:rPr>
            </w:pPr>
            <w:r>
              <w:rPr>
                <w:rFonts w:ascii="宋体" w:hAnsi="宋体" w:cs="宋体" w:eastAsia="宋体" w:hint="default"/>
                <w:spacing w:val="7"/>
                <w:sz w:val="21"/>
                <w:szCs w:val="21"/>
              </w:rPr>
              <w:t>北京中长石</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7"/>
                <w:sz w:val="21"/>
                <w:szCs w:val="21"/>
              </w:rPr>
              <w:t>基软件有限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72" w:lineRule="exact" w:before="66"/>
              <w:ind w:left="283" w:right="175" w:hanging="106"/>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38"/>
              <w:ind w:left="182"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91" w:type="dxa"/>
            <w:tcBorders>
              <w:top w:val="nil" w:sz="6" w:space="0" w:color="auto"/>
              <w:left w:val="single" w:sz="2" w:space="0" w:color="000000"/>
              <w:bottom w:val="nil" w:sz="6" w:space="0" w:color="auto"/>
              <w:right w:val="single" w:sz="2" w:space="0" w:color="000000"/>
            </w:tcBorders>
          </w:tcPr>
          <w:p>
            <w:pPr>
              <w:pStyle w:val="TableParagraph"/>
              <w:spacing w:line="240" w:lineRule="auto" w:before="38"/>
              <w:ind w:left="283" w:right="0"/>
              <w:jc w:val="left"/>
              <w:rPr>
                <w:rFonts w:ascii="宋体" w:hAnsi="宋体" w:cs="宋体" w:eastAsia="宋体" w:hint="default"/>
                <w:sz w:val="21"/>
                <w:szCs w:val="21"/>
              </w:rPr>
            </w:pPr>
            <w:r>
              <w:rPr>
                <w:rFonts w:ascii="宋体" w:hAnsi="宋体" w:cs="宋体" w:eastAsia="宋体" w:hint="default"/>
                <w:sz w:val="21"/>
                <w:szCs w:val="21"/>
              </w:rPr>
              <w:t>综合</w:t>
            </w:r>
          </w:p>
        </w:tc>
        <w:tc>
          <w:tcPr>
            <w:tcW w:w="1190" w:type="dxa"/>
            <w:tcBorders>
              <w:top w:val="nil" w:sz="6" w:space="0" w:color="auto"/>
              <w:left w:val="single" w:sz="2" w:space="0" w:color="000000"/>
              <w:bottom w:val="nil" w:sz="6" w:space="0" w:color="auto"/>
              <w:right w:val="single" w:sz="2"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237" w:lineRule="auto" w:before="41"/>
              <w:ind w:left="107" w:right="-4"/>
              <w:jc w:val="left"/>
              <w:rPr>
                <w:rFonts w:ascii="宋体" w:hAnsi="宋体" w:cs="宋体" w:eastAsia="宋体" w:hint="default"/>
                <w:sz w:val="21"/>
                <w:szCs w:val="21"/>
              </w:rPr>
            </w:pPr>
            <w:r>
              <w:rPr>
                <w:rFonts w:ascii="宋体" w:hAnsi="宋体" w:cs="宋体" w:eastAsia="宋体" w:hint="default"/>
                <w:spacing w:val="-9"/>
                <w:sz w:val="21"/>
                <w:szCs w:val="21"/>
              </w:rPr>
              <w:t>法律、行政法规、国务院决定禁止的，不得经营；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法律、行政法规、国务院决定规定应经许可的，</w:t>
            </w:r>
            <w:r>
              <w:rPr>
                <w:rFonts w:ascii="宋体" w:hAnsi="宋体" w:cs="宋体" w:eastAsia="宋体" w:hint="default"/>
                <w:w w:val="100"/>
                <w:sz w:val="21"/>
                <w:szCs w:val="21"/>
              </w:rPr>
              <w:t> </w:t>
            </w:r>
            <w:r>
              <w:rPr>
                <w:rFonts w:ascii="宋体" w:hAnsi="宋体" w:cs="宋体" w:eastAsia="宋体" w:hint="default"/>
                <w:spacing w:val="5"/>
                <w:sz w:val="21"/>
                <w:szCs w:val="21"/>
              </w:rPr>
              <w:t>经审批机关批准并经工商行政管理机关登记注</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册后方可经营；法律、行政法规、国务院决定未</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规定许可的，自主选择经营项目开展经营活动。</w:t>
            </w:r>
          </w:p>
        </w:tc>
      </w:tr>
      <w:tr>
        <w:trPr>
          <w:trHeight w:val="2056"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37" w:lineRule="auto" w:before="46"/>
              <w:ind w:left="122" w:right="101"/>
              <w:jc w:val="both"/>
              <w:rPr>
                <w:rFonts w:ascii="宋体" w:hAnsi="宋体" w:cs="宋体" w:eastAsia="宋体" w:hint="default"/>
                <w:sz w:val="21"/>
                <w:szCs w:val="21"/>
              </w:rPr>
            </w:pPr>
            <w:r>
              <w:rPr>
                <w:rFonts w:ascii="宋体" w:hAnsi="宋体" w:cs="宋体" w:eastAsia="宋体" w:hint="default"/>
                <w:spacing w:val="7"/>
                <w:sz w:val="21"/>
                <w:szCs w:val="21"/>
              </w:rPr>
              <w:t>北海石基信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7"/>
                <w:sz w:val="21"/>
                <w:szCs w:val="21"/>
              </w:rPr>
              <w:t>息技术有限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40" w:lineRule="auto" w:before="43"/>
              <w:ind w:left="283" w:right="175" w:hanging="106"/>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43"/>
              <w:ind w:left="182" w:right="0"/>
              <w:jc w:val="left"/>
              <w:rPr>
                <w:rFonts w:ascii="宋体" w:hAnsi="宋体" w:cs="宋体" w:eastAsia="宋体" w:hint="default"/>
                <w:sz w:val="21"/>
                <w:szCs w:val="21"/>
              </w:rPr>
            </w:pPr>
            <w:r>
              <w:rPr>
                <w:rFonts w:ascii="宋体" w:hAnsi="宋体" w:cs="宋体" w:eastAsia="宋体" w:hint="default"/>
                <w:sz w:val="21"/>
                <w:szCs w:val="21"/>
              </w:rPr>
              <w:t>北海</w:t>
            </w:r>
          </w:p>
        </w:tc>
        <w:tc>
          <w:tcPr>
            <w:tcW w:w="991" w:type="dxa"/>
            <w:tcBorders>
              <w:top w:val="nil" w:sz="6" w:space="0" w:color="auto"/>
              <w:left w:val="single" w:sz="2" w:space="0" w:color="000000"/>
              <w:bottom w:val="nil" w:sz="6" w:space="0" w:color="auto"/>
              <w:right w:val="single" w:sz="2" w:space="0" w:color="000000"/>
            </w:tcBorders>
          </w:tcPr>
          <w:p>
            <w:pPr>
              <w:pStyle w:val="TableParagraph"/>
              <w:spacing w:line="237" w:lineRule="auto" w:before="45"/>
              <w:ind w:left="178" w:right="172"/>
              <w:jc w:val="both"/>
              <w:rPr>
                <w:rFonts w:ascii="宋体" w:hAnsi="宋体" w:cs="宋体" w:eastAsia="宋体" w:hint="default"/>
                <w:sz w:val="21"/>
                <w:szCs w:val="21"/>
              </w:rPr>
            </w:pPr>
            <w:r>
              <w:rPr>
                <w:rFonts w:ascii="宋体" w:hAnsi="宋体" w:cs="宋体" w:eastAsia="宋体" w:hint="default"/>
                <w:sz w:val="21"/>
                <w:szCs w:val="21"/>
              </w:rPr>
              <w:t>计算机</w:t>
            </w:r>
            <w:r>
              <w:rPr>
                <w:rFonts w:ascii="宋体" w:hAnsi="宋体" w:cs="宋体" w:eastAsia="宋体" w:hint="default"/>
                <w:spacing w:val="-102"/>
                <w:sz w:val="21"/>
                <w:szCs w:val="21"/>
              </w:rPr>
              <w:t> </w:t>
            </w:r>
            <w:r>
              <w:rPr>
                <w:rFonts w:ascii="宋体" w:hAnsi="宋体" w:cs="宋体" w:eastAsia="宋体" w:hint="default"/>
                <w:sz w:val="21"/>
                <w:szCs w:val="21"/>
              </w:rPr>
              <w:t>应用服</w:t>
            </w:r>
            <w:r>
              <w:rPr>
                <w:rFonts w:ascii="宋体" w:hAnsi="宋体" w:cs="宋体" w:eastAsia="宋体" w:hint="default"/>
                <w:spacing w:val="-102"/>
                <w:sz w:val="21"/>
                <w:szCs w:val="21"/>
              </w:rPr>
              <w:t> </w:t>
            </w:r>
            <w:r>
              <w:rPr>
                <w:rFonts w:ascii="宋体" w:hAnsi="宋体" w:cs="宋体" w:eastAsia="宋体" w:hint="default"/>
                <w:sz w:val="21"/>
                <w:szCs w:val="21"/>
              </w:rPr>
              <w:t>务业</w:t>
            </w:r>
          </w:p>
        </w:tc>
        <w:tc>
          <w:tcPr>
            <w:tcW w:w="1190" w:type="dxa"/>
            <w:tcBorders>
              <w:top w:val="nil" w:sz="6" w:space="0" w:color="auto"/>
              <w:left w:val="single" w:sz="2" w:space="0" w:color="000000"/>
              <w:bottom w:val="nil" w:sz="6" w:space="0" w:color="auto"/>
              <w:right w:val="single" w:sz="2"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2"/>
                <w:sz w:val="21"/>
              </w:rPr>
              <w:t>11,000.00</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237" w:lineRule="auto" w:before="46"/>
              <w:ind w:left="107" w:right="99"/>
              <w:jc w:val="both"/>
              <w:rPr>
                <w:rFonts w:ascii="宋体" w:hAnsi="宋体" w:cs="宋体" w:eastAsia="宋体" w:hint="default"/>
                <w:sz w:val="21"/>
                <w:szCs w:val="21"/>
              </w:rPr>
            </w:pPr>
            <w:r>
              <w:rPr>
                <w:rFonts w:ascii="宋体" w:hAnsi="宋体" w:cs="宋体" w:eastAsia="宋体" w:hint="default"/>
                <w:spacing w:val="-4"/>
                <w:sz w:val="21"/>
                <w:szCs w:val="21"/>
              </w:rPr>
              <w:t>计算机软件开发、销售及相关的系统集成、技术</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服务；电子产品、网络设备、网络技术的研究开</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发、销售及服务（以上项目不含互联网信息服</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w w:val="100"/>
                <w:sz w:val="21"/>
                <w:szCs w:val="21"/>
              </w:rPr>
              <w:t>务）。自营和代理各类商品和技术的进出口（国</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sz w:val="21"/>
                <w:szCs w:val="21"/>
              </w:rPr>
              <w:t>家限定公司经营或者禁止进出口的商品和技术</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除外。※（凡涉及许可证的项目凭许可证在有效</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期限内经营）</w:t>
            </w:r>
          </w:p>
        </w:tc>
      </w:tr>
      <w:tr>
        <w:trPr>
          <w:trHeight w:val="1505"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30" w:lineRule="auto" w:before="49"/>
              <w:ind w:left="122" w:right="101"/>
              <w:jc w:val="both"/>
              <w:rPr>
                <w:rFonts w:ascii="宋体" w:hAnsi="宋体" w:cs="宋体" w:eastAsia="宋体" w:hint="default"/>
                <w:sz w:val="21"/>
                <w:szCs w:val="21"/>
              </w:rPr>
            </w:pPr>
            <w:r>
              <w:rPr>
                <w:rFonts w:ascii="宋体" w:hAnsi="宋体" w:cs="宋体" w:eastAsia="宋体" w:hint="default"/>
                <w:spacing w:val="7"/>
                <w:sz w:val="21"/>
                <w:szCs w:val="21"/>
              </w:rPr>
              <w:t>现化电脑系</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统</w:t>
            </w:r>
            <w:r>
              <w:rPr>
                <w:rFonts w:ascii="Times New Roman" w:hAnsi="Times New Roman" w:cs="Times New Roman" w:eastAsia="Times New Roman" w:hint="default"/>
                <w:spacing w:val="11"/>
                <w:sz w:val="21"/>
                <w:szCs w:val="21"/>
              </w:rPr>
              <w:t>(</w:t>
            </w:r>
            <w:r>
              <w:rPr>
                <w:rFonts w:ascii="Times New Roman" w:hAnsi="Times New Roman" w:cs="Times New Roman" w:eastAsia="Times New Roman" w:hint="default"/>
                <w:spacing w:val="-28"/>
                <w:sz w:val="21"/>
                <w:szCs w:val="21"/>
              </w:rPr>
              <w:t> </w:t>
            </w:r>
            <w:r>
              <w:rPr>
                <w:rFonts w:ascii="宋体" w:hAnsi="宋体" w:cs="宋体" w:eastAsia="宋体" w:hint="default"/>
                <w:spacing w:val="13"/>
                <w:sz w:val="21"/>
                <w:szCs w:val="21"/>
              </w:rPr>
              <w:t>北京</w:t>
            </w:r>
            <w:r>
              <w:rPr>
                <w:rFonts w:ascii="Times New Roman" w:hAnsi="Times New Roman" w:cs="Times New Roman" w:eastAsia="Times New Roman" w:hint="default"/>
                <w:spacing w:val="13"/>
                <w:sz w:val="21"/>
                <w:szCs w:val="21"/>
              </w:rPr>
              <w:t>)</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72" w:lineRule="exact" w:before="67"/>
              <w:ind w:left="283" w:right="175"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39"/>
              <w:ind w:left="182"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91" w:type="dxa"/>
            <w:tcBorders>
              <w:top w:val="nil" w:sz="6" w:space="0" w:color="auto"/>
              <w:left w:val="single" w:sz="2" w:space="0" w:color="000000"/>
              <w:bottom w:val="nil" w:sz="6" w:space="0" w:color="auto"/>
              <w:right w:val="single" w:sz="2" w:space="0" w:color="000000"/>
            </w:tcBorders>
          </w:tcPr>
          <w:p>
            <w:pPr>
              <w:pStyle w:val="TableParagraph"/>
              <w:spacing w:line="237" w:lineRule="auto" w:before="42"/>
              <w:ind w:left="178" w:right="172"/>
              <w:jc w:val="both"/>
              <w:rPr>
                <w:rFonts w:ascii="宋体" w:hAnsi="宋体" w:cs="宋体" w:eastAsia="宋体" w:hint="default"/>
                <w:sz w:val="21"/>
                <w:szCs w:val="21"/>
              </w:rPr>
            </w:pPr>
            <w:r>
              <w:rPr>
                <w:rFonts w:ascii="宋体" w:hAnsi="宋体" w:cs="宋体" w:eastAsia="宋体" w:hint="default"/>
                <w:sz w:val="21"/>
                <w:szCs w:val="21"/>
              </w:rPr>
              <w:t>计算机</w:t>
            </w:r>
            <w:r>
              <w:rPr>
                <w:rFonts w:ascii="宋体" w:hAnsi="宋体" w:cs="宋体" w:eastAsia="宋体" w:hint="default"/>
                <w:spacing w:val="-102"/>
                <w:sz w:val="21"/>
                <w:szCs w:val="21"/>
              </w:rPr>
              <w:t> </w:t>
            </w:r>
            <w:r>
              <w:rPr>
                <w:rFonts w:ascii="宋体" w:hAnsi="宋体" w:cs="宋体" w:eastAsia="宋体" w:hint="default"/>
                <w:sz w:val="21"/>
                <w:szCs w:val="21"/>
              </w:rPr>
              <w:t>应用服</w:t>
            </w:r>
            <w:r>
              <w:rPr>
                <w:rFonts w:ascii="宋体" w:hAnsi="宋体" w:cs="宋体" w:eastAsia="宋体" w:hint="default"/>
                <w:spacing w:val="-102"/>
                <w:sz w:val="21"/>
                <w:szCs w:val="21"/>
              </w:rPr>
              <w:t> </w:t>
            </w:r>
            <w:r>
              <w:rPr>
                <w:rFonts w:ascii="宋体" w:hAnsi="宋体" w:cs="宋体" w:eastAsia="宋体" w:hint="default"/>
                <w:sz w:val="21"/>
                <w:szCs w:val="21"/>
              </w:rPr>
              <w:t>务业</w:t>
            </w:r>
          </w:p>
        </w:tc>
        <w:tc>
          <w:tcPr>
            <w:tcW w:w="1190" w:type="dxa"/>
            <w:tcBorders>
              <w:top w:val="nil" w:sz="6" w:space="0" w:color="auto"/>
              <w:left w:val="single" w:sz="2" w:space="0" w:color="000000"/>
              <w:bottom w:val="nil" w:sz="6" w:space="0" w:color="auto"/>
              <w:right w:val="single" w:sz="2" w:space="0" w:color="000000"/>
            </w:tcBorders>
          </w:tcPr>
          <w:p>
            <w:pPr>
              <w:pStyle w:val="TableParagraph"/>
              <w:spacing w:line="240" w:lineRule="auto" w:before="39"/>
              <w:ind w:left="663" w:right="0"/>
              <w:jc w:val="left"/>
              <w:rPr>
                <w:rFonts w:ascii="宋体" w:hAnsi="宋体" w:cs="宋体" w:eastAsia="宋体" w:hint="default"/>
                <w:sz w:val="21"/>
                <w:szCs w:val="21"/>
              </w:rPr>
            </w:pPr>
            <w:r>
              <w:rPr>
                <w:rFonts w:ascii="宋体" w:hAnsi="宋体" w:cs="宋体" w:eastAsia="宋体" w:hint="default"/>
                <w:sz w:val="21"/>
                <w:szCs w:val="21"/>
              </w:rPr>
              <w:t>美元</w:t>
            </w:r>
          </w:p>
          <w:p>
            <w:pPr>
              <w:pStyle w:val="TableParagraph"/>
              <w:spacing w:line="240" w:lineRule="auto" w:before="96"/>
              <w:ind w:left="610" w:right="0"/>
              <w:jc w:val="left"/>
              <w:rPr>
                <w:rFonts w:ascii="Times New Roman" w:hAnsi="Times New Roman" w:cs="Times New Roman" w:eastAsia="Times New Roman" w:hint="default"/>
                <w:sz w:val="21"/>
                <w:szCs w:val="21"/>
              </w:rPr>
            </w:pPr>
            <w:r>
              <w:rPr>
                <w:rFonts w:ascii="Times New Roman"/>
                <w:sz w:val="21"/>
              </w:rPr>
              <w:t>20.00</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237" w:lineRule="auto" w:before="41"/>
              <w:ind w:left="108" w:right="99"/>
              <w:jc w:val="both"/>
              <w:rPr>
                <w:rFonts w:ascii="宋体" w:hAnsi="宋体" w:cs="宋体" w:eastAsia="宋体" w:hint="default"/>
                <w:sz w:val="21"/>
                <w:szCs w:val="21"/>
              </w:rPr>
            </w:pPr>
            <w:r>
              <w:rPr>
                <w:rFonts w:ascii="宋体" w:hAnsi="宋体" w:cs="宋体" w:eastAsia="宋体" w:hint="default"/>
                <w:spacing w:val="-4"/>
                <w:sz w:val="21"/>
                <w:szCs w:val="21"/>
              </w:rPr>
              <w:t>研究、开发计算机软硬件；提供技术咨询、技术</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服务、技术转让；计算机技术培训；销售自行开</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发的产品，批发计算机软硬件及外围设备（涉及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4"/>
                <w:sz w:val="21"/>
                <w:szCs w:val="21"/>
              </w:rPr>
              <w:t>配额许可证管理，专项规定管理的商品按照国家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有关规定办理）</w:t>
            </w:r>
          </w:p>
        </w:tc>
      </w:tr>
      <w:tr>
        <w:trPr>
          <w:trHeight w:val="957"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230" w:lineRule="auto" w:before="49"/>
              <w:ind w:left="122" w:right="101"/>
              <w:jc w:val="both"/>
              <w:rPr>
                <w:rFonts w:ascii="宋体" w:hAnsi="宋体" w:cs="宋体" w:eastAsia="宋体" w:hint="default"/>
                <w:sz w:val="21"/>
                <w:szCs w:val="21"/>
              </w:rPr>
            </w:pPr>
            <w:r>
              <w:rPr>
                <w:rFonts w:ascii="宋体" w:hAnsi="宋体" w:cs="宋体" w:eastAsia="宋体" w:hint="default"/>
                <w:spacing w:val="7"/>
                <w:sz w:val="21"/>
                <w:szCs w:val="21"/>
              </w:rPr>
              <w:t>焦点信息技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术</w:t>
            </w:r>
            <w:r>
              <w:rPr>
                <w:rFonts w:ascii="Times New Roman" w:hAnsi="Times New Roman" w:cs="Times New Roman" w:eastAsia="Times New Roman" w:hint="default"/>
                <w:spacing w:val="11"/>
                <w:sz w:val="21"/>
                <w:szCs w:val="21"/>
              </w:rPr>
              <w:t>(</w:t>
            </w:r>
            <w:r>
              <w:rPr>
                <w:rFonts w:ascii="Times New Roman" w:hAnsi="Times New Roman" w:cs="Times New Roman" w:eastAsia="Times New Roman" w:hint="default"/>
                <w:spacing w:val="-28"/>
                <w:sz w:val="21"/>
                <w:szCs w:val="21"/>
              </w:rPr>
              <w:t> </w:t>
            </w:r>
            <w:r>
              <w:rPr>
                <w:rFonts w:ascii="宋体" w:hAnsi="宋体" w:cs="宋体" w:eastAsia="宋体" w:hint="default"/>
                <w:spacing w:val="13"/>
                <w:sz w:val="21"/>
                <w:szCs w:val="21"/>
              </w:rPr>
              <w:t>香港</w:t>
            </w:r>
            <w:r>
              <w:rPr>
                <w:rFonts w:ascii="Times New Roman" w:hAnsi="Times New Roman" w:cs="Times New Roman" w:eastAsia="Times New Roman" w:hint="default"/>
                <w:spacing w:val="13"/>
                <w:sz w:val="21"/>
                <w:szCs w:val="21"/>
              </w:rPr>
              <w:t>)</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72" w:lineRule="exact" w:before="67"/>
              <w:ind w:left="283" w:right="175" w:hanging="106"/>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39"/>
              <w:ind w:left="182"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991" w:type="dxa"/>
            <w:tcBorders>
              <w:top w:val="nil" w:sz="6" w:space="0" w:color="auto"/>
              <w:left w:val="single" w:sz="2" w:space="0" w:color="000000"/>
              <w:bottom w:val="nil" w:sz="6" w:space="0" w:color="auto"/>
              <w:right w:val="single" w:sz="2" w:space="0" w:color="000000"/>
            </w:tcBorders>
          </w:tcPr>
          <w:p>
            <w:pPr>
              <w:pStyle w:val="TableParagraph"/>
              <w:spacing w:line="240" w:lineRule="auto" w:before="39"/>
              <w:ind w:left="28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190" w:type="dxa"/>
            <w:tcBorders>
              <w:top w:val="nil" w:sz="6" w:space="0" w:color="auto"/>
              <w:left w:val="single" w:sz="2" w:space="0" w:color="000000"/>
              <w:bottom w:val="nil" w:sz="6" w:space="0" w:color="auto"/>
              <w:right w:val="single" w:sz="2" w:space="0" w:color="000000"/>
            </w:tcBorders>
          </w:tcPr>
          <w:p>
            <w:pPr>
              <w:pStyle w:val="TableParagraph"/>
              <w:spacing w:line="240" w:lineRule="auto" w:before="39"/>
              <w:ind w:left="663" w:right="0"/>
              <w:jc w:val="left"/>
              <w:rPr>
                <w:rFonts w:ascii="宋体" w:hAnsi="宋体" w:cs="宋体" w:eastAsia="宋体" w:hint="default"/>
                <w:sz w:val="21"/>
                <w:szCs w:val="21"/>
              </w:rPr>
            </w:pPr>
            <w:r>
              <w:rPr>
                <w:rFonts w:ascii="宋体" w:hAnsi="宋体" w:cs="宋体" w:eastAsia="宋体" w:hint="default"/>
                <w:sz w:val="21"/>
                <w:szCs w:val="21"/>
              </w:rPr>
              <w:t>港币</w:t>
            </w:r>
          </w:p>
          <w:p>
            <w:pPr>
              <w:pStyle w:val="TableParagraph"/>
              <w:spacing w:line="240" w:lineRule="auto" w:before="24"/>
              <w:ind w:left="348" w:right="0"/>
              <w:jc w:val="left"/>
              <w:rPr>
                <w:rFonts w:ascii="Times New Roman" w:hAnsi="Times New Roman" w:cs="Times New Roman" w:eastAsia="Times New Roman" w:hint="default"/>
                <w:sz w:val="21"/>
                <w:szCs w:val="21"/>
              </w:rPr>
            </w:pPr>
            <w:r>
              <w:rPr>
                <w:rFonts w:ascii="Times New Roman"/>
                <w:sz w:val="21"/>
              </w:rPr>
              <w:t>3,500.00</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21"/>
                <w:szCs w:val="21"/>
              </w:rPr>
            </w:pPr>
            <w:r>
              <w:rPr>
                <w:rFonts w:ascii="宋体" w:hAnsi="宋体" w:cs="宋体" w:eastAsia="宋体" w:hint="default"/>
                <w:sz w:val="21"/>
                <w:szCs w:val="21"/>
              </w:rPr>
              <w:t>投资控股。</w:t>
            </w:r>
          </w:p>
        </w:tc>
      </w:tr>
      <w:tr>
        <w:trPr>
          <w:trHeight w:val="891" w:hRule="exact"/>
        </w:trPr>
        <w:tc>
          <w:tcPr>
            <w:tcW w:w="1325" w:type="dxa"/>
            <w:tcBorders>
              <w:top w:val="nil" w:sz="6" w:space="0" w:color="auto"/>
              <w:left w:val="nil" w:sz="6" w:space="0" w:color="auto"/>
              <w:bottom w:val="single" w:sz="12" w:space="0" w:color="000000"/>
              <w:right w:val="single" w:sz="2" w:space="0" w:color="000000"/>
            </w:tcBorders>
          </w:tcPr>
          <w:p>
            <w:pPr>
              <w:pStyle w:val="TableParagraph"/>
              <w:spacing w:line="240" w:lineRule="auto" w:before="71"/>
              <w:ind w:left="122" w:right="431"/>
              <w:jc w:val="left"/>
              <w:rPr>
                <w:rFonts w:ascii="Times New Roman" w:hAnsi="Times New Roman" w:cs="Times New Roman" w:eastAsia="Times New Roman" w:hint="default"/>
                <w:sz w:val="21"/>
                <w:szCs w:val="21"/>
              </w:rPr>
            </w:pPr>
            <w:r>
              <w:rPr>
                <w:rFonts w:ascii="Times New Roman"/>
                <w:sz w:val="21"/>
              </w:rPr>
              <w:t>Infrasys</w:t>
            </w:r>
            <w:r>
              <w:rPr>
                <w:rFonts w:ascii="Times New Roman"/>
                <w:w w:val="100"/>
                <w:sz w:val="21"/>
              </w:rPr>
              <w:t> </w:t>
            </w:r>
            <w:r>
              <w:rPr>
                <w:rFonts w:ascii="Times New Roman"/>
                <w:spacing w:val="-2"/>
                <w:sz w:val="21"/>
              </w:rPr>
              <w:t>Malaysia</w:t>
            </w:r>
            <w:r>
              <w:rPr>
                <w:rFonts w:ascii="Times New Roman"/>
                <w:spacing w:val="-45"/>
                <w:sz w:val="21"/>
              </w:rPr>
              <w:t> </w:t>
            </w:r>
            <w:r>
              <w:rPr>
                <w:rFonts w:ascii="Times New Roman"/>
                <w:spacing w:val="-45"/>
                <w:sz w:val="21"/>
              </w:rPr>
            </w:r>
            <w:r>
              <w:rPr>
                <w:rFonts w:ascii="Times New Roman"/>
                <w:sz w:val="21"/>
              </w:rPr>
              <w:t>Sdn Bhd</w:t>
            </w:r>
          </w:p>
        </w:tc>
        <w:tc>
          <w:tcPr>
            <w:tcW w:w="994"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43"/>
              <w:ind w:left="283" w:right="175"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92"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43"/>
              <w:ind w:left="182" w:right="180"/>
              <w:jc w:val="left"/>
              <w:rPr>
                <w:rFonts w:ascii="宋体" w:hAnsi="宋体" w:cs="宋体" w:eastAsia="宋体" w:hint="default"/>
                <w:sz w:val="21"/>
                <w:szCs w:val="21"/>
              </w:rPr>
            </w:pPr>
            <w:r>
              <w:rPr>
                <w:rFonts w:ascii="宋体" w:hAnsi="宋体" w:cs="宋体" w:eastAsia="宋体" w:hint="default"/>
                <w:sz w:val="21"/>
                <w:szCs w:val="21"/>
              </w:rPr>
              <w:t>马来</w:t>
            </w:r>
            <w:r>
              <w:rPr>
                <w:rFonts w:ascii="宋体" w:hAnsi="宋体" w:cs="宋体" w:eastAsia="宋体" w:hint="default"/>
                <w:spacing w:val="-103"/>
                <w:sz w:val="21"/>
                <w:szCs w:val="21"/>
              </w:rPr>
              <w:t> </w:t>
            </w:r>
            <w:r>
              <w:rPr>
                <w:rFonts w:ascii="宋体" w:hAnsi="宋体" w:cs="宋体" w:eastAsia="宋体" w:hint="default"/>
                <w:sz w:val="21"/>
                <w:szCs w:val="21"/>
              </w:rPr>
              <w:t>西亚</w:t>
            </w:r>
          </w:p>
        </w:tc>
        <w:tc>
          <w:tcPr>
            <w:tcW w:w="991"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43"/>
              <w:ind w:left="178" w:right="172"/>
              <w:jc w:val="left"/>
              <w:rPr>
                <w:rFonts w:ascii="宋体" w:hAnsi="宋体" w:cs="宋体" w:eastAsia="宋体" w:hint="default"/>
                <w:sz w:val="21"/>
                <w:szCs w:val="21"/>
              </w:rPr>
            </w:pPr>
            <w:r>
              <w:rPr>
                <w:rFonts w:ascii="宋体" w:hAnsi="宋体" w:cs="宋体" w:eastAsia="宋体" w:hint="default"/>
                <w:sz w:val="21"/>
                <w:szCs w:val="21"/>
              </w:rPr>
              <w:t>销售终</w:t>
            </w:r>
            <w:r>
              <w:rPr>
                <w:rFonts w:ascii="宋体" w:hAnsi="宋体" w:cs="宋体" w:eastAsia="宋体" w:hint="default"/>
                <w:spacing w:val="-102"/>
                <w:sz w:val="21"/>
                <w:szCs w:val="21"/>
              </w:rPr>
              <w:t> </w:t>
            </w:r>
            <w:r>
              <w:rPr>
                <w:rFonts w:ascii="宋体" w:hAnsi="宋体" w:cs="宋体" w:eastAsia="宋体" w:hint="default"/>
                <w:sz w:val="21"/>
                <w:szCs w:val="21"/>
              </w:rPr>
              <w:t>端系统</w:t>
            </w:r>
          </w:p>
        </w:tc>
        <w:tc>
          <w:tcPr>
            <w:tcW w:w="1190"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43"/>
              <w:ind w:left="562" w:right="0"/>
              <w:jc w:val="center"/>
              <w:rPr>
                <w:rFonts w:ascii="宋体" w:hAnsi="宋体" w:cs="宋体" w:eastAsia="宋体" w:hint="default"/>
                <w:sz w:val="21"/>
                <w:szCs w:val="21"/>
              </w:rPr>
            </w:pPr>
            <w:r>
              <w:rPr>
                <w:rFonts w:ascii="宋体" w:hAnsi="宋体" w:cs="宋体" w:eastAsia="宋体" w:hint="default"/>
                <w:sz w:val="21"/>
                <w:szCs w:val="21"/>
              </w:rPr>
              <w:t>马币</w:t>
            </w:r>
          </w:p>
          <w:p>
            <w:pPr>
              <w:pStyle w:val="TableParagraph"/>
              <w:spacing w:line="240" w:lineRule="auto" w:before="26"/>
              <w:ind w:left="404" w:right="0"/>
              <w:jc w:val="center"/>
              <w:rPr>
                <w:rFonts w:ascii="Times New Roman" w:hAnsi="Times New Roman" w:cs="Times New Roman" w:eastAsia="Times New Roman" w:hint="default"/>
                <w:sz w:val="21"/>
                <w:szCs w:val="21"/>
              </w:rPr>
            </w:pPr>
            <w:r>
              <w:rPr>
                <w:rFonts w:ascii="Times New Roman"/>
                <w:sz w:val="21"/>
              </w:rPr>
              <w:t>0.0002</w:t>
            </w:r>
          </w:p>
        </w:tc>
        <w:tc>
          <w:tcPr>
            <w:tcW w:w="4577" w:type="dxa"/>
            <w:tcBorders>
              <w:top w:val="nil" w:sz="6" w:space="0" w:color="auto"/>
              <w:left w:val="single" w:sz="2" w:space="0" w:color="000000"/>
              <w:bottom w:val="single" w:sz="12" w:space="0" w:color="000000"/>
              <w:right w:val="nil" w:sz="6" w:space="0" w:color="auto"/>
            </w:tcBorders>
          </w:tcPr>
          <w:p>
            <w:pPr>
              <w:pStyle w:val="TableParagraph"/>
              <w:spacing w:line="240" w:lineRule="auto" w:before="43"/>
              <w:ind w:left="108" w:right="99"/>
              <w:jc w:val="left"/>
              <w:rPr>
                <w:rFonts w:ascii="宋体" w:hAnsi="宋体" w:cs="宋体" w:eastAsia="宋体" w:hint="default"/>
                <w:sz w:val="21"/>
                <w:szCs w:val="21"/>
              </w:rPr>
            </w:pPr>
            <w:r>
              <w:rPr>
                <w:rFonts w:ascii="宋体" w:hAnsi="宋体" w:cs="宋体" w:eastAsia="宋体" w:hint="default"/>
                <w:spacing w:val="-4"/>
                <w:sz w:val="21"/>
                <w:szCs w:val="21"/>
              </w:rPr>
              <w:t>不违反法律规定的情况下，可自主选择经营项目</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开展经营活动。</w:t>
            </w:r>
          </w:p>
        </w:tc>
      </w:tr>
    </w:tbl>
    <w:p>
      <w:pPr>
        <w:spacing w:after="0" w:line="240" w:lineRule="auto"/>
        <w:jc w:val="left"/>
        <w:rPr>
          <w:rFonts w:ascii="宋体" w:hAnsi="宋体" w:cs="宋体" w:eastAsia="宋体" w:hint="default"/>
          <w:sz w:val="21"/>
          <w:szCs w:val="21"/>
        </w:rPr>
        <w:sectPr>
          <w:pgSz w:w="11910" w:h="16840"/>
          <w:pgMar w:header="850" w:footer="979" w:top="1200" w:bottom="1160" w:left="900" w:right="92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325"/>
        <w:gridCol w:w="994"/>
        <w:gridCol w:w="792"/>
        <w:gridCol w:w="991"/>
        <w:gridCol w:w="1190"/>
        <w:gridCol w:w="4577"/>
      </w:tblGrid>
      <w:tr>
        <w:trPr>
          <w:trHeight w:val="989" w:hRule="exact"/>
        </w:trPr>
        <w:tc>
          <w:tcPr>
            <w:tcW w:w="1325" w:type="dxa"/>
            <w:tcBorders>
              <w:top w:val="single" w:sz="17" w:space="0" w:color="000000"/>
              <w:left w:val="nil" w:sz="6" w:space="0" w:color="auto"/>
              <w:bottom w:val="single" w:sz="4" w:space="0" w:color="000000"/>
              <w:right w:val="single" w:sz="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994" w:type="dxa"/>
            <w:tcBorders>
              <w:top w:val="single" w:sz="17" w:space="0" w:color="000000"/>
              <w:left w:val="single" w:sz="2" w:space="0" w:color="000000"/>
              <w:bottom w:val="single" w:sz="4" w:space="0" w:color="000000"/>
              <w:right w:val="single" w:sz="2" w:space="0" w:color="000000"/>
            </w:tcBorders>
          </w:tcPr>
          <w:p>
            <w:pPr>
              <w:pStyle w:val="TableParagraph"/>
              <w:spacing w:line="240" w:lineRule="auto" w:before="174"/>
              <w:ind w:left="283" w:right="175"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792" w:type="dxa"/>
            <w:tcBorders>
              <w:top w:val="single" w:sz="17" w:space="0" w:color="000000"/>
              <w:left w:val="single" w:sz="2" w:space="0" w:color="000000"/>
              <w:bottom w:val="single" w:sz="4" w:space="0" w:color="000000"/>
              <w:right w:val="single" w:sz="2" w:space="0" w:color="000000"/>
            </w:tcBorders>
          </w:tcPr>
          <w:p>
            <w:pPr>
              <w:pStyle w:val="TableParagraph"/>
              <w:spacing w:line="240" w:lineRule="auto" w:before="174"/>
              <w:ind w:left="288" w:right="180" w:hanging="106"/>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991" w:type="dxa"/>
            <w:tcBorders>
              <w:top w:val="single" w:sz="17" w:space="0" w:color="000000"/>
              <w:left w:val="single" w:sz="2" w:space="0" w:color="000000"/>
              <w:bottom w:val="single" w:sz="4" w:space="0" w:color="000000"/>
              <w:right w:val="single" w:sz="2" w:space="0" w:color="000000"/>
            </w:tcBorders>
          </w:tcPr>
          <w:p>
            <w:pPr>
              <w:pStyle w:val="TableParagraph"/>
              <w:spacing w:line="240" w:lineRule="auto" w:before="174"/>
              <w:ind w:left="389" w:right="120" w:hanging="262"/>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质</w:t>
            </w:r>
          </w:p>
        </w:tc>
        <w:tc>
          <w:tcPr>
            <w:tcW w:w="1190" w:type="dxa"/>
            <w:tcBorders>
              <w:top w:val="single" w:sz="17" w:space="0" w:color="000000"/>
              <w:left w:val="single" w:sz="2" w:space="0" w:color="000000"/>
              <w:bottom w:val="single" w:sz="4" w:space="0" w:color="000000"/>
              <w:right w:val="single" w:sz="2" w:space="0" w:color="000000"/>
            </w:tcBorders>
          </w:tcPr>
          <w:p>
            <w:pPr>
              <w:pStyle w:val="TableParagraph"/>
              <w:spacing w:line="274" w:lineRule="exact" w:before="38"/>
              <w:ind w:left="175"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2" w:lineRule="exact" w:before="27"/>
              <w:ind w:left="384" w:right="98" w:hanging="277"/>
              <w:jc w:val="left"/>
              <w:rPr>
                <w:rFonts w:ascii="宋体" w:hAnsi="宋体" w:cs="宋体" w:eastAsia="宋体" w:hint="default"/>
                <w:sz w:val="21"/>
                <w:szCs w:val="21"/>
              </w:rPr>
            </w:pPr>
            <w:r>
              <w:rPr>
                <w:rFonts w:ascii="宋体" w:hAnsi="宋体" w:cs="宋体" w:eastAsia="宋体" w:hint="default"/>
                <w:spacing w:val="-16"/>
                <w:sz w:val="21"/>
                <w:szCs w:val="21"/>
              </w:rPr>
              <w:t>（单位：万</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元）</w:t>
            </w:r>
          </w:p>
        </w:tc>
        <w:tc>
          <w:tcPr>
            <w:tcW w:w="4577" w:type="dxa"/>
            <w:tcBorders>
              <w:top w:val="single" w:sz="17" w:space="0" w:color="000000"/>
              <w:left w:val="single" w:sz="2"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688" w:hRule="exact"/>
        </w:trPr>
        <w:tc>
          <w:tcPr>
            <w:tcW w:w="1325" w:type="dxa"/>
            <w:tcBorders>
              <w:top w:val="single" w:sz="4" w:space="0" w:color="000000"/>
              <w:left w:val="nil" w:sz="6" w:space="0" w:color="auto"/>
              <w:bottom w:val="nil" w:sz="6" w:space="0" w:color="auto"/>
              <w:right w:val="single" w:sz="2" w:space="0" w:color="000000"/>
            </w:tcBorders>
          </w:tcPr>
          <w:p>
            <w:pPr>
              <w:pStyle w:val="TableParagraph"/>
              <w:tabs>
                <w:tab w:pos="635" w:val="left" w:leader="none"/>
              </w:tabs>
              <w:spacing w:line="240" w:lineRule="auto" w:before="65"/>
              <w:ind w:left="122" w:right="100"/>
              <w:jc w:val="left"/>
              <w:rPr>
                <w:rFonts w:ascii="Times New Roman" w:hAnsi="Times New Roman" w:cs="Times New Roman" w:eastAsia="Times New Roman" w:hint="default"/>
                <w:sz w:val="21"/>
                <w:szCs w:val="21"/>
              </w:rPr>
            </w:pPr>
            <w:r>
              <w:rPr>
                <w:rFonts w:ascii="Times New Roman"/>
                <w:sz w:val="21"/>
              </w:rPr>
              <w:t>Pos</w:t>
              <w:tab/>
              <w:t>Master</w:t>
            </w:r>
            <w:r>
              <w:rPr>
                <w:rFonts w:ascii="Times New Roman"/>
                <w:w w:val="100"/>
                <w:sz w:val="21"/>
              </w:rPr>
              <w:t> </w:t>
            </w:r>
            <w:r>
              <w:rPr>
                <w:rFonts w:ascii="Times New Roman"/>
                <w:sz w:val="21"/>
              </w:rPr>
              <w:t>Ltd</w:t>
            </w:r>
          </w:p>
        </w:tc>
        <w:tc>
          <w:tcPr>
            <w:tcW w:w="994"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38"/>
              <w:ind w:left="283" w:right="175"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92"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38"/>
              <w:ind w:left="182"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991"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38"/>
              <w:ind w:left="177" w:right="172"/>
              <w:jc w:val="left"/>
              <w:rPr>
                <w:rFonts w:ascii="宋体" w:hAnsi="宋体" w:cs="宋体" w:eastAsia="宋体" w:hint="default"/>
                <w:sz w:val="21"/>
                <w:szCs w:val="21"/>
              </w:rPr>
            </w:pPr>
            <w:r>
              <w:rPr>
                <w:rFonts w:ascii="宋体" w:hAnsi="宋体" w:cs="宋体" w:eastAsia="宋体" w:hint="default"/>
                <w:sz w:val="21"/>
                <w:szCs w:val="21"/>
              </w:rPr>
              <w:t>销售终</w:t>
            </w:r>
            <w:r>
              <w:rPr>
                <w:rFonts w:ascii="宋体" w:hAnsi="宋体" w:cs="宋体" w:eastAsia="宋体" w:hint="default"/>
                <w:spacing w:val="-102"/>
                <w:sz w:val="21"/>
                <w:szCs w:val="21"/>
              </w:rPr>
              <w:t> </w:t>
            </w:r>
            <w:r>
              <w:rPr>
                <w:rFonts w:ascii="宋体" w:hAnsi="宋体" w:cs="宋体" w:eastAsia="宋体" w:hint="default"/>
                <w:sz w:val="21"/>
                <w:szCs w:val="21"/>
              </w:rPr>
              <w:t>端系统</w:t>
            </w:r>
          </w:p>
        </w:tc>
        <w:tc>
          <w:tcPr>
            <w:tcW w:w="1190"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38"/>
              <w:ind w:left="562" w:right="0"/>
              <w:jc w:val="center"/>
              <w:rPr>
                <w:rFonts w:ascii="宋体" w:hAnsi="宋体" w:cs="宋体" w:eastAsia="宋体" w:hint="default"/>
                <w:sz w:val="21"/>
                <w:szCs w:val="21"/>
              </w:rPr>
            </w:pPr>
            <w:r>
              <w:rPr>
                <w:rFonts w:ascii="宋体" w:hAnsi="宋体" w:cs="宋体" w:eastAsia="宋体" w:hint="default"/>
                <w:sz w:val="21"/>
                <w:szCs w:val="21"/>
              </w:rPr>
              <w:t>港币</w:t>
            </w:r>
          </w:p>
          <w:p>
            <w:pPr>
              <w:pStyle w:val="TableParagraph"/>
              <w:spacing w:line="240" w:lineRule="auto" w:before="26"/>
              <w:ind w:left="403" w:right="0"/>
              <w:jc w:val="center"/>
              <w:rPr>
                <w:rFonts w:ascii="Times New Roman" w:hAnsi="Times New Roman" w:cs="Times New Roman" w:eastAsia="Times New Roman" w:hint="default"/>
                <w:sz w:val="21"/>
                <w:szCs w:val="21"/>
              </w:rPr>
            </w:pPr>
            <w:r>
              <w:rPr>
                <w:rFonts w:ascii="Times New Roman"/>
                <w:sz w:val="21"/>
              </w:rPr>
              <w:t>100.00</w:t>
            </w:r>
          </w:p>
        </w:tc>
        <w:tc>
          <w:tcPr>
            <w:tcW w:w="4577" w:type="dxa"/>
            <w:tcBorders>
              <w:top w:val="single" w:sz="4" w:space="0" w:color="000000"/>
              <w:left w:val="single" w:sz="2" w:space="0" w:color="000000"/>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香港和澳门地区非酒店用户的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pos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系统销售。</w:t>
            </w:r>
          </w:p>
        </w:tc>
      </w:tr>
      <w:tr>
        <w:trPr>
          <w:trHeight w:val="709" w:hRule="exact"/>
        </w:trPr>
        <w:tc>
          <w:tcPr>
            <w:tcW w:w="1325" w:type="dxa"/>
            <w:tcBorders>
              <w:top w:val="nil" w:sz="6" w:space="0" w:color="auto"/>
              <w:left w:val="nil" w:sz="6" w:space="0" w:color="auto"/>
              <w:bottom w:val="single" w:sz="12" w:space="0" w:color="000000"/>
              <w:right w:val="single" w:sz="2" w:space="0" w:color="000000"/>
            </w:tcBorders>
          </w:tcPr>
          <w:p>
            <w:pPr>
              <w:pStyle w:val="TableParagraph"/>
              <w:spacing w:line="240" w:lineRule="auto" w:before="71"/>
              <w:ind w:left="122" w:right="413"/>
              <w:jc w:val="left"/>
              <w:rPr>
                <w:rFonts w:ascii="Times New Roman" w:hAnsi="Times New Roman" w:cs="Times New Roman" w:eastAsia="Times New Roman" w:hint="default"/>
                <w:sz w:val="21"/>
                <w:szCs w:val="21"/>
              </w:rPr>
            </w:pPr>
            <w:r>
              <w:rPr>
                <w:rFonts w:ascii="Times New Roman"/>
                <w:sz w:val="21"/>
              </w:rPr>
              <w:t>Infrasys</w:t>
            </w:r>
            <w:r>
              <w:rPr>
                <w:rFonts w:ascii="Times New Roman"/>
                <w:w w:val="100"/>
                <w:sz w:val="21"/>
              </w:rPr>
              <w:t> </w:t>
            </w:r>
            <w:r>
              <w:rPr>
                <w:rFonts w:ascii="Times New Roman"/>
                <w:sz w:val="21"/>
              </w:rPr>
              <w:t>(HK)</w:t>
            </w:r>
            <w:r>
              <w:rPr>
                <w:rFonts w:ascii="Times New Roman"/>
                <w:spacing w:val="3"/>
                <w:sz w:val="21"/>
              </w:rPr>
              <w:t> </w:t>
            </w:r>
            <w:r>
              <w:rPr>
                <w:rFonts w:ascii="Times New Roman"/>
                <w:spacing w:val="-3"/>
                <w:sz w:val="21"/>
              </w:rPr>
              <w:t>Ltd</w:t>
            </w:r>
          </w:p>
        </w:tc>
        <w:tc>
          <w:tcPr>
            <w:tcW w:w="994"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43"/>
              <w:ind w:left="283" w:right="175"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92"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43"/>
              <w:ind w:left="182"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991"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43"/>
              <w:ind w:left="177" w:right="174"/>
              <w:jc w:val="left"/>
              <w:rPr>
                <w:rFonts w:ascii="宋体" w:hAnsi="宋体" w:cs="宋体" w:eastAsia="宋体" w:hint="default"/>
                <w:sz w:val="21"/>
                <w:szCs w:val="21"/>
              </w:rPr>
            </w:pPr>
            <w:r>
              <w:rPr>
                <w:rFonts w:ascii="宋体" w:hAnsi="宋体" w:cs="宋体" w:eastAsia="宋体" w:hint="default"/>
                <w:sz w:val="21"/>
                <w:szCs w:val="21"/>
              </w:rPr>
              <w:t>销售终</w:t>
            </w:r>
            <w:r>
              <w:rPr>
                <w:rFonts w:ascii="宋体" w:hAnsi="宋体" w:cs="宋体" w:eastAsia="宋体" w:hint="default"/>
                <w:spacing w:val="-102"/>
                <w:sz w:val="21"/>
                <w:szCs w:val="21"/>
              </w:rPr>
              <w:t> </w:t>
            </w:r>
            <w:r>
              <w:rPr>
                <w:rFonts w:ascii="宋体" w:hAnsi="宋体" w:cs="宋体" w:eastAsia="宋体" w:hint="default"/>
                <w:sz w:val="21"/>
                <w:szCs w:val="21"/>
              </w:rPr>
              <w:t>端系统</w:t>
            </w:r>
          </w:p>
        </w:tc>
        <w:tc>
          <w:tcPr>
            <w:tcW w:w="1190"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43"/>
              <w:ind w:left="562" w:right="0"/>
              <w:jc w:val="center"/>
              <w:rPr>
                <w:rFonts w:ascii="宋体" w:hAnsi="宋体" w:cs="宋体" w:eastAsia="宋体" w:hint="default"/>
                <w:sz w:val="21"/>
                <w:szCs w:val="21"/>
              </w:rPr>
            </w:pPr>
            <w:r>
              <w:rPr>
                <w:rFonts w:ascii="宋体" w:hAnsi="宋体" w:cs="宋体" w:eastAsia="宋体" w:hint="default"/>
                <w:sz w:val="21"/>
                <w:szCs w:val="21"/>
              </w:rPr>
              <w:t>港币</w:t>
            </w:r>
          </w:p>
          <w:p>
            <w:pPr>
              <w:pStyle w:val="TableParagraph"/>
              <w:spacing w:line="240" w:lineRule="auto" w:before="26"/>
              <w:ind w:left="403" w:right="0"/>
              <w:jc w:val="center"/>
              <w:rPr>
                <w:rFonts w:ascii="Times New Roman" w:hAnsi="Times New Roman" w:cs="Times New Roman" w:eastAsia="Times New Roman" w:hint="default"/>
                <w:sz w:val="21"/>
                <w:szCs w:val="21"/>
              </w:rPr>
            </w:pPr>
            <w:r>
              <w:rPr>
                <w:rFonts w:ascii="Times New Roman"/>
                <w:sz w:val="21"/>
              </w:rPr>
              <w:t>0.0002</w:t>
            </w:r>
          </w:p>
        </w:tc>
        <w:tc>
          <w:tcPr>
            <w:tcW w:w="4577" w:type="dxa"/>
            <w:tcBorders>
              <w:top w:val="nil" w:sz="6" w:space="0" w:color="auto"/>
              <w:left w:val="single" w:sz="2" w:space="0" w:color="000000"/>
              <w:bottom w:val="single" w:sz="12" w:space="0" w:color="000000"/>
              <w:right w:val="nil" w:sz="6" w:space="0" w:color="auto"/>
            </w:tcBorders>
          </w:tcPr>
          <w:p>
            <w:pPr>
              <w:pStyle w:val="TableParagraph"/>
              <w:spacing w:line="240" w:lineRule="auto" w:before="43"/>
              <w:ind w:left="108" w:right="100"/>
              <w:jc w:val="left"/>
              <w:rPr>
                <w:rFonts w:ascii="宋体" w:hAnsi="宋体" w:cs="宋体" w:eastAsia="宋体" w:hint="default"/>
                <w:sz w:val="21"/>
                <w:szCs w:val="21"/>
              </w:rPr>
            </w:pPr>
            <w:r>
              <w:rPr>
                <w:rFonts w:ascii="宋体" w:hAnsi="宋体" w:cs="宋体" w:eastAsia="宋体" w:hint="default"/>
                <w:spacing w:val="-4"/>
                <w:sz w:val="21"/>
                <w:szCs w:val="21"/>
              </w:rPr>
              <w:t>不违反法律规定的情况下，可自主选择经营项目</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开展经营活动。</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259"/>
        <w:gridCol w:w="1718"/>
        <w:gridCol w:w="1877"/>
        <w:gridCol w:w="953"/>
        <w:gridCol w:w="1066"/>
        <w:gridCol w:w="996"/>
      </w:tblGrid>
      <w:tr>
        <w:trPr>
          <w:trHeight w:val="1219" w:hRule="exact"/>
        </w:trPr>
        <w:tc>
          <w:tcPr>
            <w:tcW w:w="3259"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7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期末实际出资额</w:t>
            </w:r>
          </w:p>
          <w:p>
            <w:pPr>
              <w:pStyle w:val="TableParagraph"/>
              <w:spacing w:line="240" w:lineRule="auto" w:before="126"/>
              <w:ind w:left="120" w:right="0"/>
              <w:jc w:val="left"/>
              <w:rPr>
                <w:rFonts w:ascii="宋体" w:hAnsi="宋体" w:cs="宋体" w:eastAsia="宋体" w:hint="default"/>
                <w:sz w:val="21"/>
                <w:szCs w:val="21"/>
              </w:rPr>
            </w:pPr>
            <w:r>
              <w:rPr>
                <w:rFonts w:ascii="宋体" w:hAnsi="宋体" w:cs="宋体" w:eastAsia="宋体" w:hint="default"/>
                <w:sz w:val="21"/>
                <w:szCs w:val="21"/>
              </w:rPr>
              <w:t>（单位：万元）</w:t>
            </w:r>
          </w:p>
        </w:tc>
        <w:tc>
          <w:tcPr>
            <w:tcW w:w="1877" w:type="dxa"/>
            <w:tcBorders>
              <w:top w:val="single" w:sz="12" w:space="0" w:color="000000"/>
              <w:left w:val="single" w:sz="2" w:space="0" w:color="000000"/>
              <w:bottom w:val="single" w:sz="2" w:space="0" w:color="000000"/>
              <w:right w:val="single" w:sz="2" w:space="0" w:color="000000"/>
            </w:tcBorders>
          </w:tcPr>
          <w:p>
            <w:pPr>
              <w:pStyle w:val="TableParagraph"/>
              <w:spacing w:line="348" w:lineRule="auto" w:before="95"/>
              <w:ind w:left="199" w:right="197"/>
              <w:jc w:val="center"/>
              <w:rPr>
                <w:rFonts w:ascii="宋体" w:hAnsi="宋体" w:cs="宋体" w:eastAsia="宋体" w:hint="default"/>
                <w:sz w:val="21"/>
                <w:szCs w:val="21"/>
              </w:rPr>
            </w:pPr>
            <w:r>
              <w:rPr>
                <w:rFonts w:ascii="宋体" w:hAnsi="宋体" w:cs="宋体" w:eastAsia="宋体" w:hint="default"/>
                <w:spacing w:val="-1"/>
                <w:sz w:val="21"/>
                <w:szCs w:val="21"/>
              </w:rPr>
              <w:t>实质上构成对子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公司净投资的其</w:t>
            </w:r>
          </w:p>
          <w:p>
            <w:pPr>
              <w:pStyle w:val="TableParagraph"/>
              <w:spacing w:line="240" w:lineRule="auto" w:before="31"/>
              <w:ind w:left="2" w:right="0"/>
              <w:jc w:val="center"/>
              <w:rPr>
                <w:rFonts w:ascii="宋体" w:hAnsi="宋体" w:cs="宋体" w:eastAsia="宋体" w:hint="default"/>
                <w:sz w:val="21"/>
                <w:szCs w:val="21"/>
              </w:rPr>
            </w:pPr>
            <w:r>
              <w:rPr>
                <w:rFonts w:ascii="宋体" w:hAnsi="宋体" w:cs="宋体" w:eastAsia="宋体" w:hint="default"/>
                <w:sz w:val="21"/>
                <w:szCs w:val="21"/>
              </w:rPr>
              <w:t>他项目余额</w:t>
            </w:r>
          </w:p>
        </w:tc>
        <w:tc>
          <w:tcPr>
            <w:tcW w:w="9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350" w:lineRule="auto"/>
              <w:ind w:left="211" w:right="154"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350" w:lineRule="auto"/>
              <w:ind w:left="268" w:right="103" w:hanging="157"/>
              <w:jc w:val="left"/>
              <w:rPr>
                <w:rFonts w:ascii="Times New Roman" w:hAnsi="Times New Roman" w:cs="Times New Roman" w:eastAsia="Times New Roman" w:hint="default"/>
                <w:sz w:val="21"/>
                <w:szCs w:val="21"/>
              </w:rPr>
            </w:pPr>
            <w:r>
              <w:rPr>
                <w:rFonts w:ascii="宋体" w:hAnsi="宋体" w:cs="宋体" w:eastAsia="宋体" w:hint="default"/>
                <w:sz w:val="21"/>
                <w:szCs w:val="21"/>
              </w:rPr>
              <w:t>表决权比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350" w:lineRule="auto"/>
              <w:ind w:left="182" w:right="175"/>
              <w:jc w:val="left"/>
              <w:rPr>
                <w:rFonts w:ascii="宋体" w:hAnsi="宋体" w:cs="宋体" w:eastAsia="宋体" w:hint="default"/>
                <w:sz w:val="21"/>
                <w:szCs w:val="21"/>
              </w:rPr>
            </w:pPr>
            <w:r>
              <w:rPr>
                <w:rFonts w:ascii="宋体" w:hAnsi="宋体" w:cs="宋体" w:eastAsia="宋体" w:hint="default"/>
                <w:sz w:val="21"/>
                <w:szCs w:val="21"/>
              </w:rPr>
              <w:t>是否合</w:t>
            </w:r>
            <w:r>
              <w:rPr>
                <w:rFonts w:ascii="宋体" w:hAnsi="宋体" w:cs="宋体" w:eastAsia="宋体" w:hint="default"/>
                <w:spacing w:val="-102"/>
                <w:sz w:val="21"/>
                <w:szCs w:val="21"/>
              </w:rPr>
              <w:t> </w:t>
            </w:r>
            <w:r>
              <w:rPr>
                <w:rFonts w:ascii="宋体" w:hAnsi="宋体" w:cs="宋体" w:eastAsia="宋体" w:hint="default"/>
                <w:sz w:val="21"/>
                <w:szCs w:val="21"/>
              </w:rPr>
              <w:t>并报表</w:t>
            </w:r>
          </w:p>
        </w:tc>
      </w:tr>
      <w:tr>
        <w:trPr>
          <w:trHeight w:val="475" w:hRule="exact"/>
        </w:trPr>
        <w:tc>
          <w:tcPr>
            <w:tcW w:w="3259" w:type="dxa"/>
            <w:tcBorders>
              <w:top w:val="single" w:sz="2" w:space="0" w:color="000000"/>
              <w:left w:val="nil" w:sz="6" w:space="0" w:color="auto"/>
              <w:bottom w:val="nil" w:sz="6" w:space="0" w:color="auto"/>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上海石基信息技术有限公司</w:t>
            </w:r>
          </w:p>
        </w:tc>
        <w:tc>
          <w:tcPr>
            <w:tcW w:w="1718"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sz w:val="21"/>
              </w:rPr>
              <w:t>100.00</w:t>
            </w:r>
          </w:p>
        </w:tc>
        <w:tc>
          <w:tcPr>
            <w:tcW w:w="1877" w:type="dxa"/>
            <w:vMerge w:val="restart"/>
            <w:tcBorders>
              <w:top w:val="single" w:sz="2" w:space="0" w:color="000000"/>
              <w:left w:val="single" w:sz="2" w:space="0" w:color="000000"/>
              <w:right w:val="single" w:sz="2" w:space="0" w:color="000000"/>
            </w:tcBorders>
          </w:tcPr>
          <w:p>
            <w:pPr/>
          </w:p>
        </w:tc>
        <w:tc>
          <w:tcPr>
            <w:tcW w:w="953"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100%</w:t>
            </w:r>
          </w:p>
        </w:tc>
        <w:tc>
          <w:tcPr>
            <w:tcW w:w="106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52"/>
              <w:ind w:right="278"/>
              <w:jc w:val="right"/>
              <w:rPr>
                <w:rFonts w:ascii="Times New Roman" w:hAnsi="Times New Roman" w:cs="Times New Roman" w:eastAsia="Times New Roman" w:hint="default"/>
                <w:sz w:val="21"/>
                <w:szCs w:val="21"/>
              </w:rPr>
            </w:pPr>
            <w:r>
              <w:rPr>
                <w:rFonts w:ascii="Times New Roman"/>
                <w:sz w:val="21"/>
              </w:rPr>
              <w:t>100%</w:t>
            </w:r>
          </w:p>
        </w:tc>
        <w:tc>
          <w:tcPr>
            <w:tcW w:w="996" w:type="dxa"/>
            <w:tcBorders>
              <w:top w:val="single" w:sz="2" w:space="0" w:color="000000"/>
              <w:left w:val="single" w:sz="2" w:space="0" w:color="000000"/>
              <w:bottom w:val="nil" w:sz="6" w:space="0" w:color="auto"/>
              <w:right w:val="nil" w:sz="6" w:space="0" w:color="auto"/>
            </w:tcBorders>
          </w:tcPr>
          <w:p>
            <w:pPr>
              <w:pStyle w:val="TableParagraph"/>
              <w:spacing w:line="240" w:lineRule="auto" w:before="93"/>
              <w:ind w:left="39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0" w:hRule="exact"/>
        </w:trPr>
        <w:tc>
          <w:tcPr>
            <w:tcW w:w="3259" w:type="dxa"/>
            <w:tcBorders>
              <w:top w:val="nil" w:sz="6" w:space="0" w:color="auto"/>
              <w:left w:val="nil" w:sz="6" w:space="0" w:color="auto"/>
              <w:bottom w:val="nil" w:sz="6" w:space="0" w:color="auto"/>
              <w:right w:val="single" w:sz="2" w:space="0" w:color="000000"/>
            </w:tcBorders>
          </w:tcPr>
          <w:p>
            <w:pPr>
              <w:pStyle w:val="TableParagraph"/>
              <w:spacing w:line="240" w:lineRule="auto" w:before="19"/>
              <w:ind w:left="122" w:right="0"/>
              <w:jc w:val="left"/>
              <w:rPr>
                <w:rFonts w:ascii="宋体" w:hAnsi="宋体" w:cs="宋体" w:eastAsia="宋体" w:hint="default"/>
                <w:sz w:val="21"/>
                <w:szCs w:val="21"/>
              </w:rPr>
            </w:pPr>
            <w:r>
              <w:rPr>
                <w:rFonts w:ascii="宋体" w:hAnsi="宋体" w:cs="宋体" w:eastAsia="宋体" w:hint="default"/>
                <w:sz w:val="21"/>
                <w:szCs w:val="21"/>
              </w:rPr>
              <w:t>北京石基昆仑软件有限公司</w:t>
            </w:r>
          </w:p>
        </w:tc>
        <w:tc>
          <w:tcPr>
            <w:tcW w:w="1718" w:type="dxa"/>
            <w:tcBorders>
              <w:top w:val="nil" w:sz="6" w:space="0" w:color="auto"/>
              <w:left w:val="single" w:sz="2" w:space="0" w:color="000000"/>
              <w:bottom w:val="nil" w:sz="6" w:space="0" w:color="auto"/>
              <w:right w:val="single" w:sz="2"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z w:val="21"/>
              </w:rPr>
              <w:t>300.00</w:t>
            </w:r>
          </w:p>
        </w:tc>
        <w:tc>
          <w:tcPr>
            <w:tcW w:w="1877" w:type="dxa"/>
            <w:vMerge/>
            <w:tcBorders>
              <w:left w:val="single" w:sz="2" w:space="0" w:color="000000"/>
              <w:right w:val="single" w:sz="2" w:space="0" w:color="000000"/>
            </w:tcBorders>
          </w:tcPr>
          <w:p>
            <w:pPr/>
          </w:p>
        </w:tc>
        <w:tc>
          <w:tcPr>
            <w:tcW w:w="953" w:type="dxa"/>
            <w:tcBorders>
              <w:top w:val="nil" w:sz="6" w:space="0" w:color="auto"/>
              <w:left w:val="single" w:sz="2" w:space="0" w:color="000000"/>
              <w:bottom w:val="nil" w:sz="6" w:space="0" w:color="auto"/>
              <w:right w:val="single" w:sz="2"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82.40%</w:t>
            </w:r>
          </w:p>
        </w:tc>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78"/>
              <w:ind w:right="198"/>
              <w:jc w:val="right"/>
              <w:rPr>
                <w:rFonts w:ascii="Times New Roman" w:hAnsi="Times New Roman" w:cs="Times New Roman" w:eastAsia="Times New Roman" w:hint="default"/>
                <w:sz w:val="21"/>
                <w:szCs w:val="21"/>
              </w:rPr>
            </w:pPr>
            <w:r>
              <w:rPr>
                <w:rFonts w:ascii="Times New Roman"/>
                <w:sz w:val="21"/>
              </w:rPr>
              <w:t>82.40%</w:t>
            </w:r>
          </w:p>
        </w:tc>
        <w:tc>
          <w:tcPr>
            <w:tcW w:w="996" w:type="dxa"/>
            <w:tcBorders>
              <w:top w:val="nil" w:sz="6" w:space="0" w:color="auto"/>
              <w:left w:val="single" w:sz="2" w:space="0" w:color="000000"/>
              <w:bottom w:val="nil" w:sz="6" w:space="0" w:color="auto"/>
              <w:right w:val="nil" w:sz="6" w:space="0" w:color="auto"/>
            </w:tcBorders>
          </w:tcPr>
          <w:p>
            <w:pPr>
              <w:pStyle w:val="TableParagraph"/>
              <w:spacing w:line="240" w:lineRule="auto" w:before="19"/>
              <w:ind w:left="39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3259" w:type="dxa"/>
            <w:tcBorders>
              <w:top w:val="nil" w:sz="6" w:space="0" w:color="auto"/>
              <w:left w:val="nil" w:sz="6" w:space="0" w:color="auto"/>
              <w:bottom w:val="nil" w:sz="6" w:space="0" w:color="auto"/>
              <w:right w:val="single" w:sz="2"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北京中长石基软件有限公司</w:t>
            </w:r>
          </w:p>
        </w:tc>
        <w:tc>
          <w:tcPr>
            <w:tcW w:w="1718"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101"/>
              <w:jc w:val="right"/>
              <w:rPr>
                <w:rFonts w:ascii="Times New Roman" w:hAnsi="Times New Roman" w:cs="Times New Roman" w:eastAsia="Times New Roman" w:hint="default"/>
                <w:sz w:val="21"/>
                <w:szCs w:val="21"/>
              </w:rPr>
            </w:pPr>
            <w:r>
              <w:rPr>
                <w:rFonts w:ascii="Times New Roman"/>
                <w:spacing w:val="-1"/>
                <w:sz w:val="21"/>
              </w:rPr>
              <w:t>1,000.00</w:t>
            </w:r>
          </w:p>
        </w:tc>
        <w:tc>
          <w:tcPr>
            <w:tcW w:w="1877" w:type="dxa"/>
            <w:vMerge/>
            <w:tcBorders>
              <w:left w:val="single" w:sz="2" w:space="0" w:color="000000"/>
              <w:right w:val="single" w:sz="2" w:space="0" w:color="000000"/>
            </w:tcBorders>
          </w:tcPr>
          <w:p>
            <w:pPr/>
          </w:p>
        </w:tc>
        <w:tc>
          <w:tcPr>
            <w:tcW w:w="953"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100%</w:t>
            </w:r>
          </w:p>
        </w:tc>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278"/>
              <w:jc w:val="right"/>
              <w:rPr>
                <w:rFonts w:ascii="Times New Roman" w:hAnsi="Times New Roman" w:cs="Times New Roman" w:eastAsia="Times New Roman" w:hint="default"/>
                <w:sz w:val="21"/>
                <w:szCs w:val="21"/>
              </w:rPr>
            </w:pPr>
            <w:r>
              <w:rPr>
                <w:rFonts w:ascii="Times New Roman"/>
                <w:sz w:val="21"/>
              </w:rPr>
              <w:t>100%</w:t>
            </w:r>
          </w:p>
        </w:tc>
        <w:tc>
          <w:tcPr>
            <w:tcW w:w="996" w:type="dxa"/>
            <w:tcBorders>
              <w:top w:val="nil" w:sz="6" w:space="0" w:color="auto"/>
              <w:left w:val="single" w:sz="2" w:space="0" w:color="000000"/>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0" w:hRule="exact"/>
        </w:trPr>
        <w:tc>
          <w:tcPr>
            <w:tcW w:w="3259" w:type="dxa"/>
            <w:tcBorders>
              <w:top w:val="nil" w:sz="6" w:space="0" w:color="auto"/>
              <w:left w:val="nil" w:sz="6" w:space="0" w:color="auto"/>
              <w:bottom w:val="nil" w:sz="6" w:space="0" w:color="auto"/>
              <w:right w:val="single" w:sz="2"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北海石基信息技术有限公司</w:t>
            </w:r>
          </w:p>
        </w:tc>
        <w:tc>
          <w:tcPr>
            <w:tcW w:w="1718"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101"/>
              <w:jc w:val="right"/>
              <w:rPr>
                <w:rFonts w:ascii="Times New Roman" w:hAnsi="Times New Roman" w:cs="Times New Roman" w:eastAsia="Times New Roman" w:hint="default"/>
                <w:sz w:val="21"/>
                <w:szCs w:val="21"/>
              </w:rPr>
            </w:pPr>
            <w:r>
              <w:rPr>
                <w:rFonts w:ascii="Times New Roman"/>
                <w:spacing w:val="-2"/>
                <w:sz w:val="21"/>
              </w:rPr>
              <w:t>11,000.00</w:t>
            </w:r>
          </w:p>
        </w:tc>
        <w:tc>
          <w:tcPr>
            <w:tcW w:w="1877" w:type="dxa"/>
            <w:vMerge/>
            <w:tcBorders>
              <w:left w:val="single" w:sz="2" w:space="0" w:color="000000"/>
              <w:right w:val="single" w:sz="2" w:space="0" w:color="000000"/>
            </w:tcBorders>
          </w:tcPr>
          <w:p>
            <w:pPr/>
          </w:p>
        </w:tc>
        <w:tc>
          <w:tcPr>
            <w:tcW w:w="953"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100%</w:t>
            </w:r>
          </w:p>
        </w:tc>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278"/>
              <w:jc w:val="right"/>
              <w:rPr>
                <w:rFonts w:ascii="Times New Roman" w:hAnsi="Times New Roman" w:cs="Times New Roman" w:eastAsia="Times New Roman" w:hint="default"/>
                <w:sz w:val="21"/>
                <w:szCs w:val="21"/>
              </w:rPr>
            </w:pPr>
            <w:r>
              <w:rPr>
                <w:rFonts w:ascii="Times New Roman"/>
                <w:sz w:val="21"/>
              </w:rPr>
              <w:t>100%</w:t>
            </w:r>
          </w:p>
        </w:tc>
        <w:tc>
          <w:tcPr>
            <w:tcW w:w="996" w:type="dxa"/>
            <w:tcBorders>
              <w:top w:val="nil" w:sz="6" w:space="0" w:color="auto"/>
              <w:left w:val="single" w:sz="2" w:space="0" w:color="000000"/>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0" w:hRule="exact"/>
        </w:trPr>
        <w:tc>
          <w:tcPr>
            <w:tcW w:w="3259" w:type="dxa"/>
            <w:tcBorders>
              <w:top w:val="nil" w:sz="6" w:space="0" w:color="auto"/>
              <w:left w:val="nil" w:sz="6" w:space="0" w:color="auto"/>
              <w:bottom w:val="nil" w:sz="6" w:space="0" w:color="auto"/>
              <w:right w:val="single" w:sz="2" w:space="0" w:color="000000"/>
            </w:tcBorders>
          </w:tcPr>
          <w:p>
            <w:pPr>
              <w:pStyle w:val="TableParagraph"/>
              <w:spacing w:line="240" w:lineRule="auto" w:before="19"/>
              <w:ind w:left="122" w:right="0"/>
              <w:jc w:val="left"/>
              <w:rPr>
                <w:rFonts w:ascii="宋体" w:hAnsi="宋体" w:cs="宋体" w:eastAsia="宋体" w:hint="default"/>
                <w:sz w:val="21"/>
                <w:szCs w:val="21"/>
              </w:rPr>
            </w:pPr>
            <w:r>
              <w:rPr>
                <w:rFonts w:ascii="宋体" w:hAnsi="宋体" w:cs="宋体" w:eastAsia="宋体" w:hint="default"/>
                <w:sz w:val="21"/>
                <w:szCs w:val="21"/>
              </w:rPr>
              <w:t>现化电脑系统</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718" w:type="dxa"/>
            <w:tcBorders>
              <w:top w:val="nil" w:sz="6" w:space="0" w:color="auto"/>
              <w:left w:val="single" w:sz="2" w:space="0" w:color="000000"/>
              <w:bottom w:val="nil" w:sz="6" w:space="0" w:color="auto"/>
              <w:right w:val="single" w:sz="2" w:space="0" w:color="000000"/>
            </w:tcBorders>
          </w:tcPr>
          <w:p>
            <w:pPr>
              <w:pStyle w:val="TableParagraph"/>
              <w:spacing w:line="240" w:lineRule="auto" w:before="19"/>
              <w:ind w:right="101"/>
              <w:jc w:val="right"/>
              <w:rPr>
                <w:rFonts w:ascii="Times New Roman" w:hAnsi="Times New Roman" w:cs="Times New Roman" w:eastAsia="Times New Roman" w:hint="default"/>
                <w:sz w:val="21"/>
                <w:szCs w:val="21"/>
              </w:rPr>
            </w:pPr>
            <w:r>
              <w:rPr>
                <w:rFonts w:ascii="宋体" w:hAnsi="宋体" w:cs="宋体" w:eastAsia="宋体" w:hint="default"/>
                <w:sz w:val="21"/>
                <w:szCs w:val="21"/>
              </w:rPr>
              <w:t>美元</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20.00</w:t>
            </w:r>
          </w:p>
        </w:tc>
        <w:tc>
          <w:tcPr>
            <w:tcW w:w="1877" w:type="dxa"/>
            <w:vMerge/>
            <w:tcBorders>
              <w:left w:val="single" w:sz="2" w:space="0" w:color="000000"/>
              <w:right w:val="single" w:sz="2" w:space="0" w:color="000000"/>
            </w:tcBorders>
          </w:tcPr>
          <w:p>
            <w:pPr/>
          </w:p>
        </w:tc>
        <w:tc>
          <w:tcPr>
            <w:tcW w:w="953" w:type="dxa"/>
            <w:tcBorders>
              <w:top w:val="nil" w:sz="6" w:space="0" w:color="auto"/>
              <w:left w:val="single" w:sz="2" w:space="0" w:color="000000"/>
              <w:bottom w:val="nil" w:sz="6" w:space="0" w:color="auto"/>
              <w:right w:val="single" w:sz="2"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100%</w:t>
            </w:r>
          </w:p>
        </w:tc>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78"/>
              <w:ind w:right="278"/>
              <w:jc w:val="right"/>
              <w:rPr>
                <w:rFonts w:ascii="Times New Roman" w:hAnsi="Times New Roman" w:cs="Times New Roman" w:eastAsia="Times New Roman" w:hint="default"/>
                <w:sz w:val="21"/>
                <w:szCs w:val="21"/>
              </w:rPr>
            </w:pPr>
            <w:r>
              <w:rPr>
                <w:rFonts w:ascii="Times New Roman"/>
                <w:sz w:val="21"/>
              </w:rPr>
              <w:t>100%</w:t>
            </w:r>
          </w:p>
        </w:tc>
        <w:tc>
          <w:tcPr>
            <w:tcW w:w="996" w:type="dxa"/>
            <w:tcBorders>
              <w:top w:val="nil" w:sz="6" w:space="0" w:color="auto"/>
              <w:left w:val="single" w:sz="2" w:space="0" w:color="000000"/>
              <w:bottom w:val="nil" w:sz="6" w:space="0" w:color="auto"/>
              <w:right w:val="nil" w:sz="6" w:space="0" w:color="auto"/>
            </w:tcBorders>
          </w:tcPr>
          <w:p>
            <w:pPr>
              <w:pStyle w:val="TableParagraph"/>
              <w:spacing w:line="240" w:lineRule="auto" w:before="19"/>
              <w:ind w:left="39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3259" w:type="dxa"/>
            <w:tcBorders>
              <w:top w:val="nil" w:sz="6" w:space="0" w:color="auto"/>
              <w:left w:val="nil" w:sz="6" w:space="0" w:color="auto"/>
              <w:bottom w:val="nil" w:sz="6" w:space="0" w:color="auto"/>
              <w:right w:val="single" w:sz="2"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焦点信息技术</w:t>
            </w: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718" w:type="dxa"/>
            <w:tcBorders>
              <w:top w:val="nil" w:sz="6" w:space="0" w:color="auto"/>
              <w:left w:val="single" w:sz="2" w:space="0" w:color="000000"/>
              <w:bottom w:val="nil" w:sz="6" w:space="0" w:color="auto"/>
              <w:right w:val="single" w:sz="2"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宋体" w:hAnsi="宋体" w:cs="宋体" w:eastAsia="宋体" w:hint="default"/>
                <w:sz w:val="21"/>
                <w:szCs w:val="21"/>
              </w:rPr>
              <w:t>港币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3,500.00</w:t>
            </w:r>
          </w:p>
        </w:tc>
        <w:tc>
          <w:tcPr>
            <w:tcW w:w="1877" w:type="dxa"/>
            <w:vMerge/>
            <w:tcBorders>
              <w:left w:val="single" w:sz="2" w:space="0" w:color="000000"/>
              <w:right w:val="single" w:sz="2" w:space="0" w:color="000000"/>
            </w:tcBorders>
          </w:tcPr>
          <w:p>
            <w:pPr/>
          </w:p>
        </w:tc>
        <w:tc>
          <w:tcPr>
            <w:tcW w:w="953"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100%</w:t>
            </w:r>
          </w:p>
        </w:tc>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278"/>
              <w:jc w:val="right"/>
              <w:rPr>
                <w:rFonts w:ascii="Times New Roman" w:hAnsi="Times New Roman" w:cs="Times New Roman" w:eastAsia="Times New Roman" w:hint="default"/>
                <w:sz w:val="21"/>
                <w:szCs w:val="21"/>
              </w:rPr>
            </w:pPr>
            <w:r>
              <w:rPr>
                <w:rFonts w:ascii="Times New Roman"/>
                <w:sz w:val="21"/>
              </w:rPr>
              <w:t>100%</w:t>
            </w:r>
          </w:p>
        </w:tc>
        <w:tc>
          <w:tcPr>
            <w:tcW w:w="996" w:type="dxa"/>
            <w:tcBorders>
              <w:top w:val="nil" w:sz="6" w:space="0" w:color="auto"/>
              <w:left w:val="single" w:sz="2" w:space="0" w:color="000000"/>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0" w:hRule="exact"/>
        </w:trPr>
        <w:tc>
          <w:tcPr>
            <w:tcW w:w="3259" w:type="dxa"/>
            <w:tcBorders>
              <w:top w:val="nil" w:sz="6" w:space="0" w:color="auto"/>
              <w:left w:val="nil" w:sz="6" w:space="0" w:color="auto"/>
              <w:bottom w:val="nil" w:sz="6" w:space="0" w:color="auto"/>
              <w:right w:val="single" w:sz="2" w:space="0" w:color="000000"/>
            </w:tcBorders>
          </w:tcPr>
          <w:p>
            <w:pPr>
              <w:pStyle w:val="TableParagraph"/>
              <w:spacing w:line="240" w:lineRule="auto" w:before="79"/>
              <w:ind w:left="122" w:right="0"/>
              <w:jc w:val="left"/>
              <w:rPr>
                <w:rFonts w:ascii="Times New Roman" w:hAnsi="Times New Roman" w:cs="Times New Roman" w:eastAsia="Times New Roman" w:hint="default"/>
                <w:sz w:val="21"/>
                <w:szCs w:val="21"/>
              </w:rPr>
            </w:pPr>
            <w:r>
              <w:rPr>
                <w:rFonts w:ascii="Times New Roman"/>
                <w:sz w:val="21"/>
              </w:rPr>
              <w:t>Infrasys Malaysia Sdn</w:t>
            </w:r>
            <w:r>
              <w:rPr>
                <w:rFonts w:ascii="Times New Roman"/>
                <w:spacing w:val="-9"/>
                <w:sz w:val="21"/>
              </w:rPr>
              <w:t> </w:t>
            </w:r>
            <w:r>
              <w:rPr>
                <w:rFonts w:ascii="Times New Roman"/>
                <w:sz w:val="21"/>
              </w:rPr>
              <w:t>Bhd</w:t>
            </w:r>
          </w:p>
        </w:tc>
        <w:tc>
          <w:tcPr>
            <w:tcW w:w="1718" w:type="dxa"/>
            <w:tcBorders>
              <w:top w:val="nil" w:sz="6" w:space="0" w:color="auto"/>
              <w:left w:val="single" w:sz="2" w:space="0" w:color="000000"/>
              <w:bottom w:val="nil" w:sz="6" w:space="0" w:color="auto"/>
              <w:right w:val="single" w:sz="2"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宋体" w:hAnsi="宋体" w:cs="宋体" w:eastAsia="宋体" w:hint="default"/>
                <w:sz w:val="21"/>
                <w:szCs w:val="21"/>
              </w:rPr>
              <w:t>马币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0.0002</w:t>
            </w:r>
          </w:p>
        </w:tc>
        <w:tc>
          <w:tcPr>
            <w:tcW w:w="1877" w:type="dxa"/>
            <w:vMerge/>
            <w:tcBorders>
              <w:left w:val="single" w:sz="2" w:space="0" w:color="000000"/>
              <w:right w:val="single" w:sz="2" w:space="0" w:color="000000"/>
            </w:tcBorders>
          </w:tcPr>
          <w:p>
            <w:pPr/>
          </w:p>
        </w:tc>
        <w:tc>
          <w:tcPr>
            <w:tcW w:w="953"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100%</w:t>
            </w:r>
          </w:p>
        </w:tc>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79"/>
              <w:ind w:right="278"/>
              <w:jc w:val="right"/>
              <w:rPr>
                <w:rFonts w:ascii="Times New Roman" w:hAnsi="Times New Roman" w:cs="Times New Roman" w:eastAsia="Times New Roman" w:hint="default"/>
                <w:sz w:val="21"/>
                <w:szCs w:val="21"/>
              </w:rPr>
            </w:pPr>
            <w:r>
              <w:rPr>
                <w:rFonts w:ascii="Times New Roman"/>
                <w:sz w:val="21"/>
              </w:rPr>
              <w:t>100%</w:t>
            </w:r>
          </w:p>
        </w:tc>
        <w:tc>
          <w:tcPr>
            <w:tcW w:w="996" w:type="dxa"/>
            <w:tcBorders>
              <w:top w:val="nil" w:sz="6" w:space="0" w:color="auto"/>
              <w:left w:val="single" w:sz="2" w:space="0" w:color="000000"/>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0" w:hRule="exact"/>
        </w:trPr>
        <w:tc>
          <w:tcPr>
            <w:tcW w:w="3259" w:type="dxa"/>
            <w:tcBorders>
              <w:top w:val="nil" w:sz="6" w:space="0" w:color="auto"/>
              <w:left w:val="nil" w:sz="6" w:space="0" w:color="auto"/>
              <w:bottom w:val="nil" w:sz="6" w:space="0" w:color="auto"/>
              <w:right w:val="single" w:sz="2" w:space="0" w:color="000000"/>
            </w:tcBorders>
          </w:tcPr>
          <w:p>
            <w:pPr>
              <w:pStyle w:val="TableParagraph"/>
              <w:spacing w:line="240" w:lineRule="auto" w:before="78"/>
              <w:ind w:left="122" w:right="0"/>
              <w:jc w:val="left"/>
              <w:rPr>
                <w:rFonts w:ascii="Times New Roman" w:hAnsi="Times New Roman" w:cs="Times New Roman" w:eastAsia="Times New Roman" w:hint="default"/>
                <w:sz w:val="21"/>
                <w:szCs w:val="21"/>
              </w:rPr>
            </w:pPr>
            <w:r>
              <w:rPr>
                <w:rFonts w:ascii="Times New Roman"/>
                <w:sz w:val="21"/>
              </w:rPr>
              <w:t>Pos Master </w:t>
            </w:r>
            <w:r>
              <w:rPr>
                <w:rFonts w:ascii="Times New Roman"/>
                <w:spacing w:val="-3"/>
                <w:sz w:val="21"/>
              </w:rPr>
              <w:t>Ltd</w:t>
            </w:r>
          </w:p>
        </w:tc>
        <w:tc>
          <w:tcPr>
            <w:tcW w:w="1718" w:type="dxa"/>
            <w:tcBorders>
              <w:top w:val="nil" w:sz="6" w:space="0" w:color="auto"/>
              <w:left w:val="single" w:sz="2" w:space="0" w:color="000000"/>
              <w:bottom w:val="nil" w:sz="6" w:space="0" w:color="auto"/>
              <w:right w:val="single" w:sz="2" w:space="0" w:color="000000"/>
            </w:tcBorders>
          </w:tcPr>
          <w:p>
            <w:pPr>
              <w:pStyle w:val="TableParagraph"/>
              <w:spacing w:line="240" w:lineRule="auto" w:before="19"/>
              <w:ind w:right="101"/>
              <w:jc w:val="right"/>
              <w:rPr>
                <w:rFonts w:ascii="Times New Roman" w:hAnsi="Times New Roman" w:cs="Times New Roman" w:eastAsia="Times New Roman" w:hint="default"/>
                <w:sz w:val="21"/>
                <w:szCs w:val="21"/>
              </w:rPr>
            </w:pPr>
            <w:r>
              <w:rPr>
                <w:rFonts w:ascii="宋体" w:hAnsi="宋体" w:cs="宋体" w:eastAsia="宋体" w:hint="default"/>
                <w:sz w:val="21"/>
                <w:szCs w:val="21"/>
              </w:rPr>
              <w:t>港币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100.00</w:t>
            </w:r>
          </w:p>
        </w:tc>
        <w:tc>
          <w:tcPr>
            <w:tcW w:w="1877" w:type="dxa"/>
            <w:vMerge/>
            <w:tcBorders>
              <w:left w:val="single" w:sz="2" w:space="0" w:color="000000"/>
              <w:right w:val="single" w:sz="2" w:space="0" w:color="000000"/>
            </w:tcBorders>
          </w:tcPr>
          <w:p>
            <w:pPr/>
          </w:p>
        </w:tc>
        <w:tc>
          <w:tcPr>
            <w:tcW w:w="953" w:type="dxa"/>
            <w:tcBorders>
              <w:top w:val="nil" w:sz="6" w:space="0" w:color="auto"/>
              <w:left w:val="single" w:sz="2" w:space="0" w:color="000000"/>
              <w:bottom w:val="nil" w:sz="6" w:space="0" w:color="auto"/>
              <w:right w:val="single" w:sz="2"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70%</w:t>
            </w:r>
          </w:p>
        </w:tc>
        <w:tc>
          <w:tcPr>
            <w:tcW w:w="1066" w:type="dxa"/>
            <w:tcBorders>
              <w:top w:val="nil" w:sz="6" w:space="0" w:color="auto"/>
              <w:left w:val="single" w:sz="2" w:space="0" w:color="000000"/>
              <w:bottom w:val="nil" w:sz="6" w:space="0" w:color="auto"/>
              <w:right w:val="single" w:sz="2" w:space="0" w:color="000000"/>
            </w:tcBorders>
          </w:tcPr>
          <w:p>
            <w:pPr>
              <w:pStyle w:val="TableParagraph"/>
              <w:spacing w:line="240" w:lineRule="auto" w:before="78"/>
              <w:ind w:left="340" w:right="0"/>
              <w:jc w:val="left"/>
              <w:rPr>
                <w:rFonts w:ascii="Times New Roman" w:hAnsi="Times New Roman" w:cs="Times New Roman" w:eastAsia="Times New Roman" w:hint="default"/>
                <w:sz w:val="21"/>
                <w:szCs w:val="21"/>
              </w:rPr>
            </w:pPr>
            <w:r>
              <w:rPr>
                <w:rFonts w:ascii="Times New Roman"/>
                <w:sz w:val="21"/>
              </w:rPr>
              <w:t>70%</w:t>
            </w:r>
          </w:p>
        </w:tc>
        <w:tc>
          <w:tcPr>
            <w:tcW w:w="996" w:type="dxa"/>
            <w:tcBorders>
              <w:top w:val="nil" w:sz="6" w:space="0" w:color="auto"/>
              <w:left w:val="single" w:sz="2" w:space="0" w:color="000000"/>
              <w:bottom w:val="nil" w:sz="6" w:space="0" w:color="auto"/>
              <w:right w:val="nil" w:sz="6" w:space="0" w:color="auto"/>
            </w:tcBorders>
          </w:tcPr>
          <w:p>
            <w:pPr>
              <w:pStyle w:val="TableParagraph"/>
              <w:spacing w:line="240" w:lineRule="auto" w:before="19"/>
              <w:ind w:left="39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43" w:hRule="exact"/>
        </w:trPr>
        <w:tc>
          <w:tcPr>
            <w:tcW w:w="3259" w:type="dxa"/>
            <w:tcBorders>
              <w:top w:val="nil" w:sz="6" w:space="0" w:color="auto"/>
              <w:left w:val="nil" w:sz="6" w:space="0" w:color="auto"/>
              <w:bottom w:val="single" w:sz="12" w:space="0" w:color="000000"/>
              <w:right w:val="single" w:sz="2" w:space="0" w:color="000000"/>
            </w:tcBorders>
          </w:tcPr>
          <w:p>
            <w:pPr>
              <w:pStyle w:val="TableParagraph"/>
              <w:spacing w:line="240" w:lineRule="auto" w:before="79"/>
              <w:ind w:left="122" w:right="0"/>
              <w:jc w:val="left"/>
              <w:rPr>
                <w:rFonts w:ascii="Times New Roman" w:hAnsi="Times New Roman" w:cs="Times New Roman" w:eastAsia="Times New Roman" w:hint="default"/>
                <w:sz w:val="21"/>
                <w:szCs w:val="21"/>
              </w:rPr>
            </w:pPr>
            <w:r>
              <w:rPr>
                <w:rFonts w:ascii="Times New Roman"/>
                <w:sz w:val="21"/>
              </w:rPr>
              <w:t>Infrasys (HK)</w:t>
            </w:r>
            <w:r>
              <w:rPr>
                <w:rFonts w:ascii="Times New Roman"/>
                <w:spacing w:val="-9"/>
                <w:sz w:val="21"/>
              </w:rPr>
              <w:t> </w:t>
            </w:r>
            <w:r>
              <w:rPr>
                <w:rFonts w:ascii="Times New Roman"/>
                <w:sz w:val="21"/>
              </w:rPr>
              <w:t>Ltd</w:t>
            </w:r>
          </w:p>
        </w:tc>
        <w:tc>
          <w:tcPr>
            <w:tcW w:w="1718"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宋体" w:hAnsi="宋体" w:cs="宋体" w:eastAsia="宋体" w:hint="default"/>
                <w:sz w:val="21"/>
                <w:szCs w:val="21"/>
              </w:rPr>
              <w:t>港币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0.0002</w:t>
            </w:r>
          </w:p>
        </w:tc>
        <w:tc>
          <w:tcPr>
            <w:tcW w:w="1877" w:type="dxa"/>
            <w:vMerge/>
            <w:tcBorders>
              <w:left w:val="single" w:sz="2" w:space="0" w:color="000000"/>
              <w:bottom w:val="single" w:sz="12" w:space="0" w:color="000000"/>
              <w:right w:val="single" w:sz="2" w:space="0" w:color="000000"/>
            </w:tcBorders>
          </w:tcPr>
          <w:p>
            <w:pPr/>
          </w:p>
        </w:tc>
        <w:tc>
          <w:tcPr>
            <w:tcW w:w="953"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100%</w:t>
            </w:r>
          </w:p>
        </w:tc>
        <w:tc>
          <w:tcPr>
            <w:tcW w:w="1066"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79"/>
              <w:ind w:right="278"/>
              <w:jc w:val="right"/>
              <w:rPr>
                <w:rFonts w:ascii="Times New Roman" w:hAnsi="Times New Roman" w:cs="Times New Roman" w:eastAsia="Times New Roman" w:hint="default"/>
                <w:sz w:val="21"/>
                <w:szCs w:val="21"/>
              </w:rPr>
            </w:pPr>
            <w:r>
              <w:rPr>
                <w:rFonts w:ascii="Times New Roman"/>
                <w:sz w:val="21"/>
              </w:rPr>
              <w:t>100%</w:t>
            </w:r>
          </w:p>
        </w:tc>
        <w:tc>
          <w:tcPr>
            <w:tcW w:w="996" w:type="dxa"/>
            <w:tcBorders>
              <w:top w:val="nil" w:sz="6" w:space="0" w:color="auto"/>
              <w:left w:val="single" w:sz="2" w:space="0" w:color="000000"/>
              <w:bottom w:val="single" w:sz="12" w:space="0" w:color="000000"/>
              <w:right w:val="nil" w:sz="6" w:space="0" w:color="auto"/>
            </w:tcBorders>
          </w:tcPr>
          <w:p>
            <w:pPr>
              <w:pStyle w:val="TableParagraph"/>
              <w:spacing w:line="240" w:lineRule="auto" w:before="20"/>
              <w:ind w:left="39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103"/>
        <w:gridCol w:w="1718"/>
        <w:gridCol w:w="4999"/>
      </w:tblGrid>
      <w:tr>
        <w:trPr>
          <w:trHeight w:val="818" w:hRule="exact"/>
        </w:trPr>
        <w:tc>
          <w:tcPr>
            <w:tcW w:w="310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2"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7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left="227" w:right="0"/>
              <w:jc w:val="left"/>
              <w:rPr>
                <w:rFonts w:ascii="宋体" w:hAnsi="宋体" w:cs="宋体" w:eastAsia="宋体" w:hint="default"/>
                <w:sz w:val="21"/>
                <w:szCs w:val="21"/>
              </w:rPr>
            </w:pPr>
            <w:r>
              <w:rPr>
                <w:rFonts w:ascii="宋体" w:hAnsi="宋体" w:cs="宋体" w:eastAsia="宋体" w:hint="default"/>
                <w:sz w:val="21"/>
                <w:szCs w:val="21"/>
              </w:rPr>
              <w:t>少数股东权益</w:t>
            </w:r>
          </w:p>
          <w:p>
            <w:pPr>
              <w:pStyle w:val="TableParagraph"/>
              <w:spacing w:line="240" w:lineRule="auto" w:before="126"/>
              <w:ind w:left="227" w:right="0"/>
              <w:jc w:val="left"/>
              <w:rPr>
                <w:rFonts w:ascii="宋体" w:hAnsi="宋体" w:cs="宋体" w:eastAsia="宋体" w:hint="default"/>
                <w:sz w:val="21"/>
                <w:szCs w:val="21"/>
              </w:rPr>
            </w:pPr>
            <w:r>
              <w:rPr>
                <w:rFonts w:ascii="宋体" w:hAnsi="宋体" w:cs="宋体" w:eastAsia="宋体" w:hint="default"/>
                <w:sz w:val="21"/>
                <w:szCs w:val="21"/>
              </w:rPr>
              <w:t>（单位：元）</w:t>
            </w:r>
          </w:p>
        </w:tc>
        <w:tc>
          <w:tcPr>
            <w:tcW w:w="499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少数股东权益中用于冲减少数股东损益的金额</w:t>
            </w:r>
          </w:p>
        </w:tc>
      </w:tr>
      <w:tr>
        <w:trPr>
          <w:trHeight w:val="485" w:hRule="exact"/>
        </w:trPr>
        <w:tc>
          <w:tcPr>
            <w:tcW w:w="3103" w:type="dxa"/>
            <w:tcBorders>
              <w:top w:val="single" w:sz="2" w:space="0" w:color="000000"/>
              <w:left w:val="nil" w:sz="6" w:space="0" w:color="auto"/>
              <w:bottom w:val="nil" w:sz="6" w:space="0" w:color="auto"/>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北京石基昆仑软件有限公司</w:t>
            </w:r>
          </w:p>
        </w:tc>
        <w:tc>
          <w:tcPr>
            <w:tcW w:w="1718"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3,513,225.84</w:t>
            </w:r>
          </w:p>
        </w:tc>
        <w:tc>
          <w:tcPr>
            <w:tcW w:w="4999" w:type="dxa"/>
            <w:vMerge w:val="restart"/>
            <w:tcBorders>
              <w:top w:val="single" w:sz="2" w:space="0" w:color="000000"/>
              <w:left w:val="single" w:sz="2" w:space="0" w:color="000000"/>
              <w:right w:val="nil" w:sz="6" w:space="0" w:color="auto"/>
            </w:tcBorders>
          </w:tcPr>
          <w:p>
            <w:pPr/>
          </w:p>
        </w:tc>
      </w:tr>
      <w:tr>
        <w:trPr>
          <w:trHeight w:val="333" w:hRule="exact"/>
        </w:trPr>
        <w:tc>
          <w:tcPr>
            <w:tcW w:w="3103" w:type="dxa"/>
            <w:tcBorders>
              <w:top w:val="nil" w:sz="6" w:space="0" w:color="auto"/>
              <w:left w:val="nil" w:sz="6" w:space="0" w:color="auto"/>
              <w:bottom w:val="single" w:sz="12" w:space="0" w:color="000000"/>
              <w:right w:val="single" w:sz="2" w:space="0" w:color="000000"/>
            </w:tcBorders>
          </w:tcPr>
          <w:p>
            <w:pPr>
              <w:pStyle w:val="TableParagraph"/>
              <w:spacing w:line="240" w:lineRule="auto" w:before="67"/>
              <w:ind w:left="122" w:right="0"/>
              <w:jc w:val="left"/>
              <w:rPr>
                <w:rFonts w:ascii="Times New Roman" w:hAnsi="Times New Roman" w:cs="Times New Roman" w:eastAsia="Times New Roman" w:hint="default"/>
                <w:sz w:val="21"/>
                <w:szCs w:val="21"/>
              </w:rPr>
            </w:pPr>
            <w:r>
              <w:rPr>
                <w:rFonts w:ascii="Times New Roman"/>
                <w:sz w:val="21"/>
              </w:rPr>
              <w:t>Pos Master </w:t>
            </w:r>
            <w:r>
              <w:rPr>
                <w:rFonts w:ascii="Times New Roman"/>
                <w:spacing w:val="-3"/>
                <w:sz w:val="21"/>
              </w:rPr>
              <w:t>Ltd</w:t>
            </w:r>
          </w:p>
        </w:tc>
        <w:tc>
          <w:tcPr>
            <w:tcW w:w="1718"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67"/>
              <w:ind w:right="98"/>
              <w:jc w:val="right"/>
              <w:rPr>
                <w:rFonts w:ascii="Times New Roman" w:hAnsi="Times New Roman" w:cs="Times New Roman" w:eastAsia="Times New Roman" w:hint="default"/>
                <w:sz w:val="21"/>
                <w:szCs w:val="21"/>
              </w:rPr>
            </w:pPr>
            <w:r>
              <w:rPr>
                <w:rFonts w:ascii="Times New Roman"/>
                <w:spacing w:val="-1"/>
                <w:sz w:val="21"/>
              </w:rPr>
              <w:t>53,593.43</w:t>
            </w:r>
          </w:p>
        </w:tc>
        <w:tc>
          <w:tcPr>
            <w:tcW w:w="4999" w:type="dxa"/>
            <w:vMerge/>
            <w:tcBorders>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36"/>
        <w:ind w:left="652" w:right="5418"/>
        <w:jc w:val="left"/>
      </w:pPr>
      <w:r>
        <w:rPr/>
        <w:t>（</w:t>
      </w:r>
      <w:r>
        <w:rPr>
          <w:rFonts w:ascii="Times New Roman" w:hAnsi="Times New Roman" w:cs="Times New Roman" w:eastAsia="Times New Roman" w:hint="default"/>
        </w:rPr>
        <w:t>2</w:t>
      </w:r>
      <w:r>
        <w:rPr/>
        <w:t>）非同一控制下企业合并取得的子公司</w:t>
      </w:r>
    </w:p>
    <w:tbl>
      <w:tblPr>
        <w:tblW w:w="0" w:type="auto"/>
        <w:jc w:val="left"/>
        <w:tblInd w:w="110" w:type="dxa"/>
        <w:tblLayout w:type="fixed"/>
        <w:tblCellMar>
          <w:top w:w="0" w:type="dxa"/>
          <w:left w:w="0" w:type="dxa"/>
          <w:bottom w:w="0" w:type="dxa"/>
          <w:right w:w="0" w:type="dxa"/>
        </w:tblCellMar>
        <w:tblLook w:val="01E0"/>
      </w:tblPr>
      <w:tblGrid>
        <w:gridCol w:w="1918"/>
        <w:gridCol w:w="991"/>
        <w:gridCol w:w="948"/>
        <w:gridCol w:w="1022"/>
        <w:gridCol w:w="1339"/>
        <w:gridCol w:w="3650"/>
      </w:tblGrid>
      <w:tr>
        <w:trPr>
          <w:trHeight w:val="982" w:hRule="exact"/>
        </w:trPr>
        <w:tc>
          <w:tcPr>
            <w:tcW w:w="1918" w:type="dxa"/>
            <w:tcBorders>
              <w:top w:val="single" w:sz="12" w:space="0" w:color="000000"/>
              <w:left w:val="nil" w:sz="6" w:space="0" w:color="auto"/>
              <w:bottom w:val="single" w:sz="4" w:space="0" w:color="000000"/>
              <w:right w:val="single" w:sz="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991"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74"/>
              <w:ind w:left="285" w:right="171"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948"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022"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74"/>
              <w:ind w:left="403" w:right="187" w:hanging="209"/>
              <w:jc w:val="left"/>
              <w:rPr>
                <w:rFonts w:ascii="宋体" w:hAnsi="宋体" w:cs="宋体" w:eastAsia="宋体" w:hint="default"/>
                <w:sz w:val="21"/>
                <w:szCs w:val="21"/>
              </w:rPr>
            </w:pPr>
            <w:r>
              <w:rPr>
                <w:rFonts w:ascii="宋体" w:hAnsi="宋体" w:cs="宋体" w:eastAsia="宋体" w:hint="default"/>
                <w:sz w:val="21"/>
                <w:szCs w:val="21"/>
              </w:rPr>
              <w:t>业务性</w:t>
            </w:r>
            <w:r>
              <w:rPr>
                <w:rFonts w:ascii="宋体" w:hAnsi="宋体" w:cs="宋体" w:eastAsia="宋体" w:hint="default"/>
                <w:spacing w:val="-102"/>
                <w:sz w:val="21"/>
                <w:szCs w:val="21"/>
              </w:rPr>
              <w:t> </w:t>
            </w:r>
            <w:r>
              <w:rPr>
                <w:rFonts w:ascii="宋体" w:hAnsi="宋体" w:cs="宋体" w:eastAsia="宋体" w:hint="default"/>
                <w:sz w:val="21"/>
                <w:szCs w:val="21"/>
              </w:rPr>
              <w:t>质</w:t>
            </w:r>
          </w:p>
        </w:tc>
        <w:tc>
          <w:tcPr>
            <w:tcW w:w="1339" w:type="dxa"/>
            <w:tcBorders>
              <w:top w:val="single" w:sz="12" w:space="0" w:color="000000"/>
              <w:left w:val="single" w:sz="2" w:space="0" w:color="000000"/>
              <w:bottom w:val="single" w:sz="4" w:space="0" w:color="000000"/>
              <w:right w:val="single" w:sz="2" w:space="0" w:color="000000"/>
            </w:tcBorders>
          </w:tcPr>
          <w:p>
            <w:pPr>
              <w:pStyle w:val="TableParagraph"/>
              <w:spacing w:line="274" w:lineRule="exact" w:before="37"/>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2" w:lineRule="exact" w:before="27"/>
              <w:ind w:left="141" w:right="137"/>
              <w:jc w:val="center"/>
              <w:rPr>
                <w:rFonts w:ascii="宋体" w:hAnsi="宋体" w:cs="宋体" w:eastAsia="宋体" w:hint="default"/>
                <w:sz w:val="21"/>
                <w:szCs w:val="21"/>
              </w:rPr>
            </w:pPr>
            <w:r>
              <w:rPr>
                <w:rFonts w:ascii="宋体" w:hAnsi="宋体" w:cs="宋体" w:eastAsia="宋体" w:hint="default"/>
                <w:spacing w:val="-1"/>
                <w:sz w:val="21"/>
                <w:szCs w:val="21"/>
              </w:rPr>
              <w:t>（单位：万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元）</w:t>
            </w:r>
          </w:p>
        </w:tc>
        <w:tc>
          <w:tcPr>
            <w:tcW w:w="3650" w:type="dxa"/>
            <w:tcBorders>
              <w:top w:val="single" w:sz="12" w:space="0" w:color="000000"/>
              <w:left w:val="single" w:sz="2"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1233" w:hRule="exact"/>
        </w:trPr>
        <w:tc>
          <w:tcPr>
            <w:tcW w:w="1918" w:type="dxa"/>
            <w:tcBorders>
              <w:top w:val="single" w:sz="4" w:space="0" w:color="000000"/>
              <w:left w:val="nil" w:sz="6" w:space="0" w:color="auto"/>
              <w:bottom w:val="nil" w:sz="6" w:space="0" w:color="auto"/>
              <w:right w:val="single" w:sz="2" w:space="0" w:color="000000"/>
            </w:tcBorders>
          </w:tcPr>
          <w:p>
            <w:pPr>
              <w:pStyle w:val="TableParagraph"/>
              <w:spacing w:line="240" w:lineRule="auto" w:before="38"/>
              <w:ind w:left="122" w:right="101"/>
              <w:jc w:val="left"/>
              <w:rPr>
                <w:rFonts w:ascii="宋体" w:hAnsi="宋体" w:cs="宋体" w:eastAsia="宋体" w:hint="default"/>
                <w:sz w:val="21"/>
                <w:szCs w:val="21"/>
              </w:rPr>
            </w:pPr>
            <w:r>
              <w:rPr>
                <w:rFonts w:ascii="宋体" w:hAnsi="宋体" w:cs="宋体" w:eastAsia="宋体" w:hint="default"/>
                <w:sz w:val="21"/>
                <w:szCs w:val="21"/>
              </w:rPr>
              <w:t>杭州西软科技有限</w:t>
            </w:r>
            <w:r>
              <w:rPr>
                <w:rFonts w:ascii="宋体" w:hAnsi="宋体" w:cs="宋体" w:eastAsia="宋体" w:hint="default"/>
                <w:spacing w:val="-96"/>
                <w:sz w:val="21"/>
                <w:szCs w:val="21"/>
              </w:rPr>
              <w:t> </w:t>
            </w:r>
            <w:r>
              <w:rPr>
                <w:rFonts w:ascii="宋体" w:hAnsi="宋体" w:cs="宋体" w:eastAsia="宋体" w:hint="default"/>
                <w:sz w:val="21"/>
                <w:szCs w:val="21"/>
              </w:rPr>
              <w:t>公司</w:t>
            </w:r>
          </w:p>
        </w:tc>
        <w:tc>
          <w:tcPr>
            <w:tcW w:w="991"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38"/>
              <w:ind w:left="285" w:right="170" w:hanging="106"/>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48"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38"/>
              <w:ind w:left="7"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022"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综合</w:t>
            </w:r>
          </w:p>
        </w:tc>
        <w:tc>
          <w:tcPr>
            <w:tcW w:w="1339"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1,970.00</w:t>
            </w:r>
          </w:p>
        </w:tc>
        <w:tc>
          <w:tcPr>
            <w:tcW w:w="3650" w:type="dxa"/>
            <w:tcBorders>
              <w:top w:val="single" w:sz="4" w:space="0" w:color="000000"/>
              <w:left w:val="single" w:sz="2" w:space="0" w:color="000000"/>
              <w:bottom w:val="nil" w:sz="6" w:space="0" w:color="auto"/>
              <w:right w:val="nil" w:sz="6" w:space="0" w:color="auto"/>
            </w:tcBorders>
          </w:tcPr>
          <w:p>
            <w:pPr>
              <w:pStyle w:val="TableParagraph"/>
              <w:spacing w:line="237" w:lineRule="auto" w:before="40"/>
              <w:ind w:left="108" w:right="96"/>
              <w:jc w:val="both"/>
              <w:rPr>
                <w:rFonts w:ascii="宋体" w:hAnsi="宋体" w:cs="宋体" w:eastAsia="宋体" w:hint="default"/>
                <w:sz w:val="21"/>
                <w:szCs w:val="21"/>
              </w:rPr>
            </w:pPr>
            <w:r>
              <w:rPr>
                <w:rFonts w:ascii="宋体" w:hAnsi="宋体" w:cs="宋体" w:eastAsia="宋体" w:hint="default"/>
                <w:spacing w:val="2"/>
                <w:sz w:val="21"/>
                <w:szCs w:val="21"/>
              </w:rPr>
              <w:t>技术开发、技术服务、成果转让、批</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发、零售：计算机软、硬件及配件，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电子产品；其他无需报经审批的一切</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合法项目。</w:t>
            </w:r>
          </w:p>
        </w:tc>
      </w:tr>
      <w:tr>
        <w:trPr>
          <w:trHeight w:val="1455" w:hRule="exact"/>
        </w:trPr>
        <w:tc>
          <w:tcPr>
            <w:tcW w:w="1918" w:type="dxa"/>
            <w:tcBorders>
              <w:top w:val="nil" w:sz="6" w:space="0" w:color="auto"/>
              <w:left w:val="nil" w:sz="6" w:space="0" w:color="auto"/>
              <w:bottom w:val="single" w:sz="12" w:space="0" w:color="000000"/>
              <w:right w:val="single" w:sz="2" w:space="0" w:color="000000"/>
            </w:tcBorders>
          </w:tcPr>
          <w:p>
            <w:pPr>
              <w:pStyle w:val="TableParagraph"/>
              <w:spacing w:line="272" w:lineRule="exact" w:before="71"/>
              <w:ind w:left="122" w:right="101"/>
              <w:jc w:val="left"/>
              <w:rPr>
                <w:rFonts w:ascii="宋体" w:hAnsi="宋体" w:cs="宋体" w:eastAsia="宋体" w:hint="default"/>
                <w:sz w:val="21"/>
                <w:szCs w:val="21"/>
              </w:rPr>
            </w:pPr>
            <w:r>
              <w:rPr>
                <w:rFonts w:ascii="宋体" w:hAnsi="宋体" w:cs="宋体" w:eastAsia="宋体" w:hint="default"/>
                <w:sz w:val="21"/>
                <w:szCs w:val="21"/>
              </w:rPr>
              <w:t>南京银石计算机系</w:t>
            </w:r>
            <w:r>
              <w:rPr>
                <w:rFonts w:ascii="宋体" w:hAnsi="宋体" w:cs="宋体" w:eastAsia="宋体" w:hint="default"/>
                <w:spacing w:val="-96"/>
                <w:sz w:val="21"/>
                <w:szCs w:val="21"/>
              </w:rPr>
              <w:t> </w:t>
            </w:r>
            <w:r>
              <w:rPr>
                <w:rFonts w:ascii="宋体" w:hAnsi="宋体" w:cs="宋体" w:eastAsia="宋体" w:hint="default"/>
                <w:sz w:val="21"/>
                <w:szCs w:val="21"/>
              </w:rPr>
              <w:t>统有限公司</w:t>
            </w:r>
          </w:p>
        </w:tc>
        <w:tc>
          <w:tcPr>
            <w:tcW w:w="991" w:type="dxa"/>
            <w:tcBorders>
              <w:top w:val="nil" w:sz="6" w:space="0" w:color="auto"/>
              <w:left w:val="single" w:sz="2" w:space="0" w:color="000000"/>
              <w:bottom w:val="single" w:sz="12" w:space="0" w:color="000000"/>
              <w:right w:val="single" w:sz="2" w:space="0" w:color="000000"/>
            </w:tcBorders>
          </w:tcPr>
          <w:p>
            <w:pPr>
              <w:pStyle w:val="TableParagraph"/>
              <w:spacing w:line="272" w:lineRule="exact" w:before="71"/>
              <w:ind w:left="285" w:right="170" w:hanging="106"/>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48"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43"/>
              <w:ind w:left="6"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022"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43"/>
              <w:ind w:left="4" w:right="0"/>
              <w:jc w:val="center"/>
              <w:rPr>
                <w:rFonts w:ascii="宋体" w:hAnsi="宋体" w:cs="宋体" w:eastAsia="宋体" w:hint="default"/>
                <w:sz w:val="21"/>
                <w:szCs w:val="21"/>
              </w:rPr>
            </w:pPr>
            <w:r>
              <w:rPr>
                <w:rFonts w:ascii="宋体" w:hAnsi="宋体" w:cs="宋体" w:eastAsia="宋体" w:hint="default"/>
                <w:sz w:val="21"/>
                <w:szCs w:val="21"/>
              </w:rPr>
              <w:t>综合</w:t>
            </w:r>
          </w:p>
        </w:tc>
        <w:tc>
          <w:tcPr>
            <w:tcW w:w="1339"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3,000.00</w:t>
            </w:r>
          </w:p>
        </w:tc>
        <w:tc>
          <w:tcPr>
            <w:tcW w:w="3650" w:type="dxa"/>
            <w:tcBorders>
              <w:top w:val="nil" w:sz="6" w:space="0" w:color="auto"/>
              <w:left w:val="single" w:sz="2" w:space="0" w:color="000000"/>
              <w:bottom w:val="single" w:sz="12" w:space="0" w:color="000000"/>
              <w:right w:val="nil" w:sz="6" w:space="0" w:color="auto"/>
            </w:tcBorders>
          </w:tcPr>
          <w:p>
            <w:pPr>
              <w:pStyle w:val="TableParagraph"/>
              <w:spacing w:line="273" w:lineRule="exact" w:before="43"/>
              <w:ind w:left="107" w:right="0"/>
              <w:jc w:val="both"/>
              <w:rPr>
                <w:rFonts w:ascii="宋体" w:hAnsi="宋体" w:cs="宋体" w:eastAsia="宋体" w:hint="default"/>
                <w:sz w:val="21"/>
                <w:szCs w:val="21"/>
              </w:rPr>
            </w:pPr>
            <w:r>
              <w:rPr>
                <w:rFonts w:ascii="宋体" w:hAnsi="宋体" w:cs="宋体" w:eastAsia="宋体" w:hint="default"/>
                <w:spacing w:val="2"/>
                <w:sz w:val="21"/>
                <w:szCs w:val="21"/>
              </w:rPr>
              <w:t>计算机软硬件、电子产品、通讯设备</w:t>
            </w:r>
            <w:r>
              <w:rPr>
                <w:rFonts w:ascii="宋体" w:hAnsi="宋体" w:cs="宋体" w:eastAsia="宋体" w:hint="default"/>
                <w:sz w:val="21"/>
                <w:szCs w:val="21"/>
              </w:rPr>
            </w:r>
          </w:p>
          <w:p>
            <w:pPr>
              <w:pStyle w:val="TableParagraph"/>
              <w:spacing w:line="237" w:lineRule="auto"/>
              <w:ind w:left="107" w:right="89"/>
              <w:jc w:val="both"/>
              <w:rPr>
                <w:rFonts w:ascii="宋体" w:hAnsi="宋体" w:cs="宋体" w:eastAsia="宋体" w:hint="default"/>
                <w:sz w:val="21"/>
                <w:szCs w:val="21"/>
              </w:rPr>
            </w:pPr>
            <w:r>
              <w:rPr>
                <w:rFonts w:ascii="宋体" w:hAnsi="宋体" w:cs="宋体" w:eastAsia="宋体" w:hint="default"/>
                <w:spacing w:val="4"/>
                <w:w w:val="100"/>
                <w:sz w:val="21"/>
                <w:szCs w:val="21"/>
              </w:rPr>
              <w:t>（不含卫星地面接收设备）、医疗器</w:t>
            </w:r>
            <w:r>
              <w:rPr>
                <w:rFonts w:ascii="宋体" w:hAnsi="宋体" w:cs="宋体" w:eastAsia="宋体" w:hint="default"/>
                <w:spacing w:val="12"/>
                <w:w w:val="100"/>
                <w:sz w:val="21"/>
                <w:szCs w:val="21"/>
              </w:rPr>
              <w:t> </w:t>
            </w:r>
            <w:r>
              <w:rPr>
                <w:rFonts w:ascii="宋体" w:hAnsi="宋体" w:cs="宋体" w:eastAsia="宋体" w:hint="default"/>
                <w:spacing w:val="2"/>
                <w:sz w:val="21"/>
                <w:szCs w:val="21"/>
              </w:rPr>
              <w:t>械、仪器仪表的技术开发、转让、咨</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询服务；开发销售自研产品；电子计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算机及配件、电子产品的销售；商户</w:t>
            </w:r>
            <w:r>
              <w:rPr>
                <w:rFonts w:ascii="宋体" w:hAnsi="宋体" w:cs="宋体" w:eastAsia="宋体" w:hint="default"/>
                <w:sz w:val="21"/>
                <w:szCs w:val="21"/>
              </w:rPr>
            </w:r>
          </w:p>
        </w:tc>
      </w:tr>
    </w:tbl>
    <w:p>
      <w:pPr>
        <w:spacing w:after="0" w:line="237" w:lineRule="auto"/>
        <w:jc w:val="both"/>
        <w:rPr>
          <w:rFonts w:ascii="宋体" w:hAnsi="宋体" w:cs="宋体" w:eastAsia="宋体" w:hint="default"/>
          <w:sz w:val="21"/>
          <w:szCs w:val="21"/>
        </w:rPr>
        <w:sectPr>
          <w:pgSz w:w="11910" w:h="16840"/>
          <w:pgMar w:header="850" w:footer="979" w:top="1200" w:bottom="1160" w:left="900" w:right="920"/>
        </w:sectPr>
      </w:pPr>
    </w:p>
    <w:p>
      <w:pPr>
        <w:spacing w:line="240" w:lineRule="auto" w:before="10"/>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1918"/>
        <w:gridCol w:w="991"/>
        <w:gridCol w:w="948"/>
        <w:gridCol w:w="1022"/>
        <w:gridCol w:w="1339"/>
        <w:gridCol w:w="3650"/>
      </w:tblGrid>
      <w:tr>
        <w:trPr>
          <w:trHeight w:val="989" w:hRule="exact"/>
        </w:trPr>
        <w:tc>
          <w:tcPr>
            <w:tcW w:w="1918" w:type="dxa"/>
            <w:tcBorders>
              <w:top w:val="single" w:sz="17" w:space="0" w:color="000000"/>
              <w:left w:val="nil" w:sz="6" w:space="0" w:color="auto"/>
              <w:bottom w:val="single" w:sz="4" w:space="0" w:color="000000"/>
              <w:right w:val="single" w:sz="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991" w:type="dxa"/>
            <w:tcBorders>
              <w:top w:val="single" w:sz="17" w:space="0" w:color="000000"/>
              <w:left w:val="single" w:sz="2" w:space="0" w:color="000000"/>
              <w:bottom w:val="single" w:sz="4" w:space="0" w:color="000000"/>
              <w:right w:val="single" w:sz="2" w:space="0" w:color="000000"/>
            </w:tcBorders>
          </w:tcPr>
          <w:p>
            <w:pPr>
              <w:pStyle w:val="TableParagraph"/>
              <w:spacing w:line="240" w:lineRule="auto" w:before="174"/>
              <w:ind w:left="285" w:right="170"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948" w:type="dxa"/>
            <w:tcBorders>
              <w:top w:val="single" w:sz="17" w:space="0" w:color="000000"/>
              <w:left w:val="single" w:sz="2" w:space="0" w:color="000000"/>
              <w:bottom w:val="single" w:sz="4" w:space="0" w:color="000000"/>
              <w:right w:val="single" w:sz="2"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022" w:type="dxa"/>
            <w:tcBorders>
              <w:top w:val="single" w:sz="17" w:space="0" w:color="000000"/>
              <w:left w:val="single" w:sz="2" w:space="0" w:color="000000"/>
              <w:bottom w:val="single" w:sz="4" w:space="0" w:color="000000"/>
              <w:right w:val="single" w:sz="2" w:space="0" w:color="000000"/>
            </w:tcBorders>
          </w:tcPr>
          <w:p>
            <w:pPr>
              <w:pStyle w:val="TableParagraph"/>
              <w:spacing w:line="240" w:lineRule="auto" w:before="174"/>
              <w:ind w:left="403" w:right="187" w:hanging="209"/>
              <w:jc w:val="left"/>
              <w:rPr>
                <w:rFonts w:ascii="宋体" w:hAnsi="宋体" w:cs="宋体" w:eastAsia="宋体" w:hint="default"/>
                <w:sz w:val="21"/>
                <w:szCs w:val="21"/>
              </w:rPr>
            </w:pPr>
            <w:r>
              <w:rPr>
                <w:rFonts w:ascii="宋体" w:hAnsi="宋体" w:cs="宋体" w:eastAsia="宋体" w:hint="default"/>
                <w:sz w:val="21"/>
                <w:szCs w:val="21"/>
              </w:rPr>
              <w:t>业务性</w:t>
            </w:r>
            <w:r>
              <w:rPr>
                <w:rFonts w:ascii="宋体" w:hAnsi="宋体" w:cs="宋体" w:eastAsia="宋体" w:hint="default"/>
                <w:spacing w:val="-102"/>
                <w:sz w:val="21"/>
                <w:szCs w:val="21"/>
              </w:rPr>
              <w:t> </w:t>
            </w:r>
            <w:r>
              <w:rPr>
                <w:rFonts w:ascii="宋体" w:hAnsi="宋体" w:cs="宋体" w:eastAsia="宋体" w:hint="default"/>
                <w:sz w:val="21"/>
                <w:szCs w:val="21"/>
              </w:rPr>
              <w:t>质</w:t>
            </w:r>
          </w:p>
        </w:tc>
        <w:tc>
          <w:tcPr>
            <w:tcW w:w="1339" w:type="dxa"/>
            <w:tcBorders>
              <w:top w:val="single" w:sz="17" w:space="0" w:color="000000"/>
              <w:left w:val="single" w:sz="2" w:space="0" w:color="000000"/>
              <w:bottom w:val="single" w:sz="4" w:space="0" w:color="000000"/>
              <w:right w:val="single" w:sz="2" w:space="0" w:color="000000"/>
            </w:tcBorders>
          </w:tcPr>
          <w:p>
            <w:pPr>
              <w:pStyle w:val="TableParagraph"/>
              <w:spacing w:line="274" w:lineRule="exact" w:before="37"/>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2" w:lineRule="exact" w:before="27"/>
              <w:ind w:left="141" w:right="137"/>
              <w:jc w:val="center"/>
              <w:rPr>
                <w:rFonts w:ascii="宋体" w:hAnsi="宋体" w:cs="宋体" w:eastAsia="宋体" w:hint="default"/>
                <w:sz w:val="21"/>
                <w:szCs w:val="21"/>
              </w:rPr>
            </w:pPr>
            <w:r>
              <w:rPr>
                <w:rFonts w:ascii="宋体" w:hAnsi="宋体" w:cs="宋体" w:eastAsia="宋体" w:hint="default"/>
                <w:spacing w:val="-1"/>
                <w:sz w:val="21"/>
                <w:szCs w:val="21"/>
              </w:rPr>
              <w:t>（单位：万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元）</w:t>
            </w:r>
          </w:p>
        </w:tc>
        <w:tc>
          <w:tcPr>
            <w:tcW w:w="3650" w:type="dxa"/>
            <w:tcBorders>
              <w:top w:val="single" w:sz="17" w:space="0" w:color="000000"/>
              <w:left w:val="single" w:sz="2"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621" w:hRule="exact"/>
        </w:trPr>
        <w:tc>
          <w:tcPr>
            <w:tcW w:w="1918" w:type="dxa"/>
            <w:tcBorders>
              <w:top w:val="single" w:sz="4" w:space="0" w:color="000000"/>
              <w:left w:val="nil" w:sz="6" w:space="0" w:color="auto"/>
              <w:bottom w:val="nil" w:sz="6" w:space="0" w:color="auto"/>
              <w:right w:val="single" w:sz="2" w:space="0" w:color="000000"/>
            </w:tcBorders>
          </w:tcPr>
          <w:p>
            <w:pPr/>
          </w:p>
        </w:tc>
        <w:tc>
          <w:tcPr>
            <w:tcW w:w="991" w:type="dxa"/>
            <w:tcBorders>
              <w:top w:val="single" w:sz="4" w:space="0" w:color="000000"/>
              <w:left w:val="single" w:sz="2" w:space="0" w:color="000000"/>
              <w:bottom w:val="nil" w:sz="6" w:space="0" w:color="auto"/>
              <w:right w:val="single" w:sz="2" w:space="0" w:color="000000"/>
            </w:tcBorders>
          </w:tcPr>
          <w:p>
            <w:pPr/>
          </w:p>
        </w:tc>
        <w:tc>
          <w:tcPr>
            <w:tcW w:w="948" w:type="dxa"/>
            <w:tcBorders>
              <w:top w:val="single" w:sz="4" w:space="0" w:color="000000"/>
              <w:left w:val="single" w:sz="2" w:space="0" w:color="000000"/>
              <w:bottom w:val="nil" w:sz="6" w:space="0" w:color="auto"/>
              <w:right w:val="single" w:sz="2" w:space="0" w:color="000000"/>
            </w:tcBorders>
          </w:tcPr>
          <w:p>
            <w:pPr/>
          </w:p>
        </w:tc>
        <w:tc>
          <w:tcPr>
            <w:tcW w:w="1022" w:type="dxa"/>
            <w:tcBorders>
              <w:top w:val="single" w:sz="4" w:space="0" w:color="000000"/>
              <w:left w:val="single" w:sz="2" w:space="0" w:color="000000"/>
              <w:bottom w:val="nil" w:sz="6" w:space="0" w:color="auto"/>
              <w:right w:val="single" w:sz="2" w:space="0" w:color="000000"/>
            </w:tcBorders>
          </w:tcPr>
          <w:p>
            <w:pPr/>
          </w:p>
        </w:tc>
        <w:tc>
          <w:tcPr>
            <w:tcW w:w="1339" w:type="dxa"/>
            <w:tcBorders>
              <w:top w:val="single" w:sz="4" w:space="0" w:color="000000"/>
              <w:left w:val="single" w:sz="2" w:space="0" w:color="000000"/>
              <w:bottom w:val="nil" w:sz="6" w:space="0" w:color="auto"/>
              <w:right w:val="single" w:sz="2" w:space="0" w:color="000000"/>
            </w:tcBorders>
          </w:tcPr>
          <w:p>
            <w:pPr/>
          </w:p>
        </w:tc>
        <w:tc>
          <w:tcPr>
            <w:tcW w:w="3650" w:type="dxa"/>
            <w:tcBorders>
              <w:top w:val="single" w:sz="4" w:space="0" w:color="000000"/>
              <w:left w:val="single" w:sz="2" w:space="0" w:color="000000"/>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2"/>
                <w:sz w:val="21"/>
                <w:szCs w:val="21"/>
              </w:rPr>
              <w:t>收单项目的技术服务、劳务服务及维</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护服务；计算机软硬件租赁服务。</w:t>
            </w:r>
          </w:p>
        </w:tc>
      </w:tr>
      <w:tr>
        <w:trPr>
          <w:trHeight w:val="1500"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38"/>
              <w:ind w:left="122" w:right="101"/>
              <w:jc w:val="left"/>
              <w:rPr>
                <w:rFonts w:ascii="宋体" w:hAnsi="宋体" w:cs="宋体" w:eastAsia="宋体" w:hint="default"/>
                <w:sz w:val="21"/>
                <w:szCs w:val="21"/>
              </w:rPr>
            </w:pPr>
            <w:r>
              <w:rPr>
                <w:rFonts w:ascii="宋体" w:hAnsi="宋体" w:cs="宋体" w:eastAsia="宋体" w:hint="default"/>
                <w:sz w:val="21"/>
                <w:szCs w:val="21"/>
              </w:rPr>
              <w:t>上海正品贵德软件</w:t>
            </w:r>
            <w:r>
              <w:rPr>
                <w:rFonts w:ascii="宋体" w:hAnsi="宋体" w:cs="宋体" w:eastAsia="宋体" w:hint="default"/>
                <w:spacing w:val="-96"/>
                <w:sz w:val="21"/>
                <w:szCs w:val="21"/>
              </w:rPr>
              <w:t> </w:t>
            </w:r>
            <w:r>
              <w:rPr>
                <w:rFonts w:ascii="宋体" w:hAnsi="宋体" w:cs="宋体" w:eastAsia="宋体" w:hint="default"/>
                <w:sz w:val="21"/>
                <w:szCs w:val="21"/>
              </w:rPr>
              <w:t>有限公司</w:t>
            </w:r>
          </w:p>
        </w:tc>
        <w:tc>
          <w:tcPr>
            <w:tcW w:w="991" w:type="dxa"/>
            <w:tcBorders>
              <w:top w:val="nil" w:sz="6" w:space="0" w:color="auto"/>
              <w:left w:val="single" w:sz="2" w:space="0" w:color="000000"/>
              <w:bottom w:val="nil" w:sz="6" w:space="0" w:color="auto"/>
              <w:right w:val="single" w:sz="2" w:space="0" w:color="000000"/>
            </w:tcBorders>
          </w:tcPr>
          <w:p>
            <w:pPr>
              <w:pStyle w:val="TableParagraph"/>
              <w:spacing w:line="240" w:lineRule="auto" w:before="38"/>
              <w:ind w:left="285" w:right="170"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48" w:type="dxa"/>
            <w:tcBorders>
              <w:top w:val="nil" w:sz="6" w:space="0" w:color="auto"/>
              <w:left w:val="single" w:sz="2" w:space="0" w:color="000000"/>
              <w:bottom w:val="nil" w:sz="6" w:space="0" w:color="auto"/>
              <w:right w:val="single" w:sz="2" w:space="0" w:color="000000"/>
            </w:tcBorders>
          </w:tcPr>
          <w:p>
            <w:pPr>
              <w:pStyle w:val="TableParagraph"/>
              <w:spacing w:line="240" w:lineRule="auto" w:before="38"/>
              <w:ind w:left="6"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022" w:type="dxa"/>
            <w:tcBorders>
              <w:top w:val="nil" w:sz="6" w:space="0" w:color="auto"/>
              <w:left w:val="single" w:sz="2" w:space="0" w:color="000000"/>
              <w:bottom w:val="nil" w:sz="6" w:space="0" w:color="auto"/>
              <w:right w:val="single" w:sz="2" w:space="0" w:color="000000"/>
            </w:tcBorders>
          </w:tcPr>
          <w:p>
            <w:pPr>
              <w:pStyle w:val="TableParagraph"/>
              <w:spacing w:line="237" w:lineRule="auto" w:before="40"/>
              <w:ind w:left="194" w:right="187"/>
              <w:jc w:val="both"/>
              <w:rPr>
                <w:rFonts w:ascii="宋体" w:hAnsi="宋体" w:cs="宋体" w:eastAsia="宋体" w:hint="default"/>
                <w:sz w:val="21"/>
                <w:szCs w:val="21"/>
              </w:rPr>
            </w:pPr>
            <w:r>
              <w:rPr>
                <w:rFonts w:ascii="宋体" w:hAnsi="宋体" w:cs="宋体" w:eastAsia="宋体" w:hint="default"/>
                <w:sz w:val="21"/>
                <w:szCs w:val="21"/>
              </w:rPr>
              <w:t>计算机</w:t>
            </w:r>
            <w:r>
              <w:rPr>
                <w:rFonts w:ascii="宋体" w:hAnsi="宋体" w:cs="宋体" w:eastAsia="宋体" w:hint="default"/>
                <w:spacing w:val="-102"/>
                <w:sz w:val="21"/>
                <w:szCs w:val="21"/>
              </w:rPr>
              <w:t> </w:t>
            </w:r>
            <w:r>
              <w:rPr>
                <w:rFonts w:ascii="宋体" w:hAnsi="宋体" w:cs="宋体" w:eastAsia="宋体" w:hint="default"/>
                <w:sz w:val="21"/>
                <w:szCs w:val="21"/>
              </w:rPr>
              <w:t>应用服</w:t>
            </w:r>
            <w:r>
              <w:rPr>
                <w:rFonts w:ascii="宋体" w:hAnsi="宋体" w:cs="宋体" w:eastAsia="宋体" w:hint="default"/>
                <w:spacing w:val="-102"/>
                <w:sz w:val="21"/>
                <w:szCs w:val="21"/>
              </w:rPr>
              <w:t> </w:t>
            </w:r>
            <w:r>
              <w:rPr>
                <w:rFonts w:ascii="宋体" w:hAnsi="宋体" w:cs="宋体" w:eastAsia="宋体" w:hint="default"/>
                <w:sz w:val="21"/>
                <w:szCs w:val="21"/>
              </w:rPr>
              <w:t>务业</w:t>
            </w:r>
          </w:p>
        </w:tc>
        <w:tc>
          <w:tcPr>
            <w:tcW w:w="1339" w:type="dxa"/>
            <w:tcBorders>
              <w:top w:val="nil" w:sz="6" w:space="0" w:color="auto"/>
              <w:left w:val="single" w:sz="2" w:space="0" w:color="000000"/>
              <w:bottom w:val="nil" w:sz="6" w:space="0" w:color="auto"/>
              <w:right w:val="single" w:sz="2"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z w:val="21"/>
              </w:rPr>
              <w:t>500.00</w:t>
            </w:r>
          </w:p>
        </w:tc>
        <w:tc>
          <w:tcPr>
            <w:tcW w:w="3650" w:type="dxa"/>
            <w:tcBorders>
              <w:top w:val="nil" w:sz="6" w:space="0" w:color="auto"/>
              <w:left w:val="single" w:sz="2" w:space="0" w:color="000000"/>
              <w:bottom w:val="nil" w:sz="6" w:space="0" w:color="auto"/>
              <w:right w:val="nil" w:sz="6" w:space="0" w:color="auto"/>
            </w:tcBorders>
          </w:tcPr>
          <w:p>
            <w:pPr>
              <w:pStyle w:val="TableParagraph"/>
              <w:spacing w:line="237" w:lineRule="auto" w:before="40"/>
              <w:ind w:left="107" w:right="-3"/>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计算机软件技术的开发、转让、咨询、</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服务，计算机及软硬件（除计算机信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10"/>
                <w:w w:val="100"/>
                <w:sz w:val="21"/>
                <w:szCs w:val="21"/>
              </w:rPr>
              <w:t>息系统安全专用产品）、电子设备、通</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10"/>
                <w:w w:val="100"/>
                <w:sz w:val="21"/>
                <w:szCs w:val="21"/>
              </w:rPr>
              <w:t>讯设备的销售。（企业经营涉及行政许</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可的，凭许可证经营）</w:t>
            </w:r>
            <w:r>
              <w:rPr>
                <w:rFonts w:ascii="Times New Roman" w:hAnsi="Times New Roman" w:cs="Times New Roman" w:eastAsia="Times New Roman" w:hint="default"/>
                <w:sz w:val="21"/>
                <w:szCs w:val="21"/>
              </w:rPr>
              <w:t></w:t>
            </w:r>
          </w:p>
        </w:tc>
      </w:tr>
      <w:tr>
        <w:trPr>
          <w:trHeight w:val="689"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71"/>
              <w:ind w:left="122" w:right="375"/>
              <w:jc w:val="left"/>
              <w:rPr>
                <w:rFonts w:ascii="Times New Roman" w:hAnsi="Times New Roman" w:cs="Times New Roman" w:eastAsia="Times New Roman" w:hint="default"/>
                <w:sz w:val="21"/>
                <w:szCs w:val="21"/>
              </w:rPr>
            </w:pPr>
            <w:r>
              <w:rPr>
                <w:rFonts w:ascii="Times New Roman"/>
                <w:sz w:val="21"/>
              </w:rPr>
              <w:t>Infrasys</w:t>
            </w:r>
            <w:r>
              <w:rPr>
                <w:rFonts w:ascii="Times New Roman"/>
                <w:spacing w:val="-3"/>
                <w:w w:val="100"/>
                <w:sz w:val="21"/>
              </w:rPr>
              <w:t> </w:t>
            </w:r>
            <w:r>
              <w:rPr>
                <w:rFonts w:ascii="Times New Roman"/>
                <w:sz w:val="21"/>
              </w:rPr>
              <w:t>International</w:t>
            </w:r>
            <w:r>
              <w:rPr>
                <w:rFonts w:ascii="Times New Roman"/>
                <w:spacing w:val="-6"/>
                <w:sz w:val="21"/>
              </w:rPr>
              <w:t> </w:t>
            </w:r>
            <w:r>
              <w:rPr>
                <w:rFonts w:ascii="Times New Roman"/>
                <w:spacing w:val="-2"/>
                <w:sz w:val="21"/>
              </w:rPr>
              <w:t>Ltd</w:t>
            </w:r>
            <w:r>
              <w:rPr>
                <w:rFonts w:ascii="Times New Roman"/>
                <w:sz w:val="21"/>
              </w:rPr>
            </w:r>
          </w:p>
        </w:tc>
        <w:tc>
          <w:tcPr>
            <w:tcW w:w="991" w:type="dxa"/>
            <w:tcBorders>
              <w:top w:val="nil" w:sz="6" w:space="0" w:color="auto"/>
              <w:left w:val="single" w:sz="2" w:space="0" w:color="000000"/>
              <w:bottom w:val="nil" w:sz="6" w:space="0" w:color="auto"/>
              <w:right w:val="single" w:sz="2" w:space="0" w:color="000000"/>
            </w:tcBorders>
          </w:tcPr>
          <w:p>
            <w:pPr>
              <w:pStyle w:val="TableParagraph"/>
              <w:spacing w:line="240" w:lineRule="auto" w:before="43"/>
              <w:ind w:left="285" w:right="170"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48" w:type="dxa"/>
            <w:tcBorders>
              <w:top w:val="nil" w:sz="6" w:space="0" w:color="auto"/>
              <w:left w:val="single" w:sz="2" w:space="0" w:color="000000"/>
              <w:bottom w:val="nil" w:sz="6" w:space="0" w:color="auto"/>
              <w:right w:val="single" w:sz="2" w:space="0" w:color="000000"/>
            </w:tcBorders>
          </w:tcPr>
          <w:p>
            <w:pPr>
              <w:pStyle w:val="TableParagraph"/>
              <w:spacing w:line="240" w:lineRule="auto" w:before="43"/>
              <w:ind w:left="7"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022" w:type="dxa"/>
            <w:tcBorders>
              <w:top w:val="nil" w:sz="6" w:space="0" w:color="auto"/>
              <w:left w:val="single" w:sz="2" w:space="0" w:color="000000"/>
              <w:bottom w:val="nil" w:sz="6" w:space="0" w:color="auto"/>
              <w:right w:val="single" w:sz="2" w:space="0" w:color="000000"/>
            </w:tcBorders>
          </w:tcPr>
          <w:p>
            <w:pPr>
              <w:pStyle w:val="TableParagraph"/>
              <w:spacing w:line="240" w:lineRule="auto" w:before="43"/>
              <w:ind w:left="194" w:right="187"/>
              <w:jc w:val="left"/>
              <w:rPr>
                <w:rFonts w:ascii="宋体" w:hAnsi="宋体" w:cs="宋体" w:eastAsia="宋体" w:hint="default"/>
                <w:sz w:val="21"/>
                <w:szCs w:val="21"/>
              </w:rPr>
            </w:pPr>
            <w:r>
              <w:rPr>
                <w:rFonts w:ascii="宋体" w:hAnsi="宋体" w:cs="宋体" w:eastAsia="宋体" w:hint="default"/>
                <w:sz w:val="21"/>
                <w:szCs w:val="21"/>
              </w:rPr>
              <w:t>销售终</w:t>
            </w:r>
            <w:r>
              <w:rPr>
                <w:rFonts w:ascii="宋体" w:hAnsi="宋体" w:cs="宋体" w:eastAsia="宋体" w:hint="default"/>
                <w:spacing w:val="-102"/>
                <w:sz w:val="21"/>
                <w:szCs w:val="21"/>
              </w:rPr>
              <w:t> </w:t>
            </w:r>
            <w:r>
              <w:rPr>
                <w:rFonts w:ascii="宋体" w:hAnsi="宋体" w:cs="宋体" w:eastAsia="宋体" w:hint="default"/>
                <w:sz w:val="21"/>
                <w:szCs w:val="21"/>
              </w:rPr>
              <w:t>端系统</w:t>
            </w:r>
          </w:p>
        </w:tc>
        <w:tc>
          <w:tcPr>
            <w:tcW w:w="1339" w:type="dxa"/>
            <w:tcBorders>
              <w:top w:val="nil" w:sz="6" w:space="0" w:color="auto"/>
              <w:left w:val="single" w:sz="2" w:space="0" w:color="000000"/>
              <w:bottom w:val="nil" w:sz="6" w:space="0" w:color="auto"/>
              <w:right w:val="single" w:sz="2" w:space="0" w:color="000000"/>
            </w:tcBorders>
          </w:tcPr>
          <w:p>
            <w:pPr>
              <w:pStyle w:val="TableParagraph"/>
              <w:spacing w:line="240" w:lineRule="auto" w:before="43"/>
              <w:ind w:right="100"/>
              <w:jc w:val="right"/>
              <w:rPr>
                <w:rFonts w:ascii="Times New Roman" w:hAnsi="Times New Roman" w:cs="Times New Roman" w:eastAsia="Times New Roman" w:hint="default"/>
                <w:sz w:val="21"/>
                <w:szCs w:val="21"/>
              </w:rPr>
            </w:pPr>
            <w:r>
              <w:rPr>
                <w:rFonts w:ascii="宋体" w:hAnsi="宋体" w:cs="宋体" w:eastAsia="宋体" w:hint="default"/>
                <w:sz w:val="21"/>
                <w:szCs w:val="21"/>
              </w:rPr>
              <w:t>港币</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875.00</w:t>
            </w:r>
          </w:p>
        </w:tc>
        <w:tc>
          <w:tcPr>
            <w:tcW w:w="3650" w:type="dxa"/>
            <w:tcBorders>
              <w:top w:val="nil" w:sz="6" w:space="0" w:color="auto"/>
              <w:left w:val="single" w:sz="2" w:space="0" w:color="000000"/>
              <w:bottom w:val="nil" w:sz="6" w:space="0" w:color="auto"/>
              <w:right w:val="nil" w:sz="6" w:space="0" w:color="auto"/>
            </w:tcBorders>
          </w:tcPr>
          <w:p>
            <w:pPr>
              <w:pStyle w:val="TableParagraph"/>
              <w:spacing w:line="240" w:lineRule="auto" w:before="43"/>
              <w:ind w:left="108" w:right="96"/>
              <w:jc w:val="left"/>
              <w:rPr>
                <w:rFonts w:ascii="宋体" w:hAnsi="宋体" w:cs="宋体" w:eastAsia="宋体" w:hint="default"/>
                <w:sz w:val="21"/>
                <w:szCs w:val="21"/>
              </w:rPr>
            </w:pPr>
            <w:r>
              <w:rPr>
                <w:rFonts w:ascii="宋体" w:hAnsi="宋体" w:cs="宋体" w:eastAsia="宋体" w:hint="default"/>
                <w:spacing w:val="2"/>
                <w:sz w:val="21"/>
                <w:szCs w:val="21"/>
              </w:rPr>
              <w:t>开发、销售零售终端系统并提供相关</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的维护保养服务。</w:t>
            </w:r>
          </w:p>
        </w:tc>
      </w:tr>
      <w:tr>
        <w:trPr>
          <w:trHeight w:val="711" w:hRule="exact"/>
        </w:trPr>
        <w:tc>
          <w:tcPr>
            <w:tcW w:w="1918" w:type="dxa"/>
            <w:tcBorders>
              <w:top w:val="nil" w:sz="6" w:space="0" w:color="auto"/>
              <w:left w:val="nil" w:sz="6" w:space="0" w:color="auto"/>
              <w:bottom w:val="single" w:sz="12" w:space="0" w:color="000000"/>
              <w:right w:val="single" w:sz="2" w:space="0" w:color="000000"/>
            </w:tcBorders>
          </w:tcPr>
          <w:p>
            <w:pPr>
              <w:pStyle w:val="TableParagraph"/>
              <w:spacing w:line="240" w:lineRule="auto" w:before="71"/>
              <w:ind w:left="122" w:right="101"/>
              <w:jc w:val="left"/>
              <w:rPr>
                <w:rFonts w:ascii="Times New Roman" w:hAnsi="Times New Roman" w:cs="Times New Roman" w:eastAsia="Times New Roman" w:hint="default"/>
                <w:sz w:val="21"/>
                <w:szCs w:val="21"/>
              </w:rPr>
            </w:pPr>
            <w:r>
              <w:rPr>
                <w:rFonts w:ascii="Times New Roman"/>
                <w:sz w:val="21"/>
              </w:rPr>
              <w:t>Infrasys</w:t>
            </w:r>
            <w:r>
              <w:rPr>
                <w:rFonts w:ascii="Times New Roman"/>
                <w:spacing w:val="50"/>
                <w:sz w:val="21"/>
              </w:rPr>
              <w:t> </w:t>
            </w:r>
            <w:r>
              <w:rPr>
                <w:rFonts w:ascii="Times New Roman"/>
                <w:sz w:val="21"/>
              </w:rPr>
              <w:t>Singapore</w:t>
            </w:r>
            <w:r>
              <w:rPr>
                <w:rFonts w:ascii="Times New Roman"/>
                <w:w w:val="100"/>
                <w:sz w:val="21"/>
              </w:rPr>
              <w:t> </w:t>
            </w:r>
            <w:r>
              <w:rPr>
                <w:rFonts w:ascii="Times New Roman"/>
                <w:sz w:val="21"/>
              </w:rPr>
              <w:t>Pte</w:t>
            </w:r>
            <w:r>
              <w:rPr>
                <w:rFonts w:ascii="Times New Roman"/>
                <w:spacing w:val="3"/>
                <w:sz w:val="21"/>
              </w:rPr>
              <w:t> </w:t>
            </w:r>
            <w:r>
              <w:rPr>
                <w:rFonts w:ascii="Times New Roman"/>
                <w:spacing w:val="-3"/>
                <w:sz w:val="21"/>
              </w:rPr>
              <w:t>Ltd</w:t>
            </w:r>
            <w:r>
              <w:rPr>
                <w:rFonts w:ascii="Times New Roman"/>
                <w:sz w:val="21"/>
              </w:rPr>
            </w:r>
          </w:p>
        </w:tc>
        <w:tc>
          <w:tcPr>
            <w:tcW w:w="991"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43"/>
              <w:ind w:left="285" w:right="170" w:hanging="10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48"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43"/>
              <w:ind w:left="7" w:right="0"/>
              <w:jc w:val="center"/>
              <w:rPr>
                <w:rFonts w:ascii="宋体" w:hAnsi="宋体" w:cs="宋体" w:eastAsia="宋体" w:hint="default"/>
                <w:sz w:val="21"/>
                <w:szCs w:val="21"/>
              </w:rPr>
            </w:pPr>
            <w:r>
              <w:rPr>
                <w:rFonts w:ascii="宋体" w:hAnsi="宋体" w:cs="宋体" w:eastAsia="宋体" w:hint="default"/>
                <w:sz w:val="21"/>
                <w:szCs w:val="21"/>
              </w:rPr>
              <w:t>新加坡</w:t>
            </w:r>
          </w:p>
        </w:tc>
        <w:tc>
          <w:tcPr>
            <w:tcW w:w="1022"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43"/>
              <w:ind w:left="194" w:right="187"/>
              <w:jc w:val="left"/>
              <w:rPr>
                <w:rFonts w:ascii="宋体" w:hAnsi="宋体" w:cs="宋体" w:eastAsia="宋体" w:hint="default"/>
                <w:sz w:val="21"/>
                <w:szCs w:val="21"/>
              </w:rPr>
            </w:pPr>
            <w:r>
              <w:rPr>
                <w:rFonts w:ascii="宋体" w:hAnsi="宋体" w:cs="宋体" w:eastAsia="宋体" w:hint="default"/>
                <w:sz w:val="21"/>
                <w:szCs w:val="21"/>
              </w:rPr>
              <w:t>销售终</w:t>
            </w:r>
            <w:r>
              <w:rPr>
                <w:rFonts w:ascii="宋体" w:hAnsi="宋体" w:cs="宋体" w:eastAsia="宋体" w:hint="default"/>
                <w:spacing w:val="-102"/>
                <w:sz w:val="21"/>
                <w:szCs w:val="21"/>
              </w:rPr>
              <w:t> </w:t>
            </w:r>
            <w:r>
              <w:rPr>
                <w:rFonts w:ascii="宋体" w:hAnsi="宋体" w:cs="宋体" w:eastAsia="宋体" w:hint="default"/>
                <w:sz w:val="21"/>
                <w:szCs w:val="21"/>
              </w:rPr>
              <w:t>端系统</w:t>
            </w:r>
          </w:p>
        </w:tc>
        <w:tc>
          <w:tcPr>
            <w:tcW w:w="1339"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43"/>
              <w:ind w:right="102"/>
              <w:jc w:val="right"/>
              <w:rPr>
                <w:rFonts w:ascii="Times New Roman" w:hAnsi="Times New Roman" w:cs="Times New Roman" w:eastAsia="Times New Roman" w:hint="default"/>
                <w:sz w:val="21"/>
                <w:szCs w:val="21"/>
              </w:rPr>
            </w:pPr>
            <w:r>
              <w:rPr>
                <w:rFonts w:ascii="宋体" w:hAnsi="宋体" w:cs="宋体" w:eastAsia="宋体" w:hint="default"/>
                <w:sz w:val="21"/>
                <w:szCs w:val="21"/>
              </w:rPr>
              <w:t>新币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46.20</w:t>
            </w:r>
          </w:p>
        </w:tc>
        <w:tc>
          <w:tcPr>
            <w:tcW w:w="3650" w:type="dxa"/>
            <w:tcBorders>
              <w:top w:val="nil" w:sz="6" w:space="0" w:color="auto"/>
              <w:left w:val="single" w:sz="2" w:space="0" w:color="000000"/>
              <w:bottom w:val="single" w:sz="12" w:space="0" w:color="000000"/>
              <w:right w:val="nil" w:sz="6" w:space="0" w:color="auto"/>
            </w:tcBorders>
          </w:tcPr>
          <w:p>
            <w:pPr>
              <w:pStyle w:val="TableParagraph"/>
              <w:spacing w:line="240" w:lineRule="auto" w:before="43"/>
              <w:ind w:left="108" w:right="96"/>
              <w:jc w:val="left"/>
              <w:rPr>
                <w:rFonts w:ascii="宋体" w:hAnsi="宋体" w:cs="宋体" w:eastAsia="宋体" w:hint="default"/>
                <w:sz w:val="21"/>
                <w:szCs w:val="21"/>
              </w:rPr>
            </w:pPr>
            <w:r>
              <w:rPr>
                <w:rFonts w:ascii="宋体" w:hAnsi="宋体" w:cs="宋体" w:eastAsia="宋体" w:hint="default"/>
                <w:spacing w:val="2"/>
                <w:sz w:val="21"/>
                <w:szCs w:val="21"/>
              </w:rPr>
              <w:t>电脑外围以及旅游业的硬件、软件的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销售。</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3415"/>
        <w:gridCol w:w="1718"/>
        <w:gridCol w:w="1874"/>
        <w:gridCol w:w="938"/>
        <w:gridCol w:w="1092"/>
        <w:gridCol w:w="830"/>
      </w:tblGrid>
      <w:tr>
        <w:trPr>
          <w:trHeight w:val="1402" w:hRule="exact"/>
        </w:trPr>
        <w:tc>
          <w:tcPr>
            <w:tcW w:w="3415" w:type="dxa"/>
            <w:tcBorders>
              <w:top w:val="single" w:sz="12" w:space="0" w:color="000000"/>
              <w:left w:val="nil" w:sz="6" w:space="0" w:color="auto"/>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718"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期末实际出资额</w:t>
            </w: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（单位：万元）</w:t>
            </w:r>
          </w:p>
        </w:tc>
        <w:tc>
          <w:tcPr>
            <w:tcW w:w="1874"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55"/>
              <w:ind w:left="6" w:right="0"/>
              <w:jc w:val="center"/>
              <w:rPr>
                <w:rFonts w:ascii="宋体" w:hAnsi="宋体" w:cs="宋体" w:eastAsia="宋体" w:hint="default"/>
                <w:sz w:val="21"/>
                <w:szCs w:val="21"/>
              </w:rPr>
            </w:pPr>
            <w:r>
              <w:rPr>
                <w:rFonts w:ascii="宋体" w:hAnsi="宋体" w:cs="宋体" w:eastAsia="宋体" w:hint="default"/>
                <w:sz w:val="21"/>
                <w:szCs w:val="21"/>
              </w:rPr>
              <w:t>实质上构成对子</w:t>
            </w:r>
          </w:p>
          <w:p>
            <w:pPr>
              <w:pStyle w:val="TableParagraph"/>
              <w:spacing w:line="460" w:lineRule="atLeast" w:before="1"/>
              <w:ind w:left="201" w:right="192"/>
              <w:jc w:val="center"/>
              <w:rPr>
                <w:rFonts w:ascii="宋体" w:hAnsi="宋体" w:cs="宋体" w:eastAsia="宋体" w:hint="default"/>
                <w:sz w:val="21"/>
                <w:szCs w:val="21"/>
              </w:rPr>
            </w:pPr>
            <w:r>
              <w:rPr>
                <w:rFonts w:ascii="宋体" w:hAnsi="宋体" w:cs="宋体" w:eastAsia="宋体" w:hint="default"/>
                <w:spacing w:val="-1"/>
                <w:sz w:val="21"/>
                <w:szCs w:val="21"/>
              </w:rPr>
              <w:t>公司净投资的其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他项目余额</w:t>
            </w:r>
          </w:p>
        </w:tc>
        <w:tc>
          <w:tcPr>
            <w:tcW w:w="938"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400" w:lineRule="auto"/>
              <w:ind w:left="206" w:right="144"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92"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400" w:lineRule="auto"/>
              <w:ind w:left="283" w:right="118"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表决权比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30" w:type="dxa"/>
            <w:tcBorders>
              <w:top w:val="single" w:sz="12" w:space="0" w:color="000000"/>
              <w:left w:val="single" w:sz="2" w:space="0" w:color="000000"/>
              <w:bottom w:val="single" w:sz="4" w:space="0" w:color="000000"/>
              <w:right w:val="nil" w:sz="6" w:space="0" w:color="auto"/>
            </w:tcBorders>
          </w:tcPr>
          <w:p>
            <w:pPr>
              <w:pStyle w:val="TableParagraph"/>
              <w:spacing w:line="240" w:lineRule="auto" w:before="155"/>
              <w:ind w:left="203" w:right="0"/>
              <w:jc w:val="left"/>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460" w:lineRule="atLeast" w:before="1"/>
              <w:ind w:left="203" w:right="199"/>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r>
      <w:tr>
        <w:trPr>
          <w:trHeight w:val="568" w:hRule="exact"/>
        </w:trPr>
        <w:tc>
          <w:tcPr>
            <w:tcW w:w="3415" w:type="dxa"/>
            <w:tcBorders>
              <w:top w:val="single" w:sz="4" w:space="0" w:color="000000"/>
              <w:left w:val="nil" w:sz="6" w:space="0" w:color="auto"/>
              <w:bottom w:val="nil" w:sz="6" w:space="0" w:color="auto"/>
              <w:right w:val="single" w:sz="2"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杭州西软科技有限公司</w:t>
            </w:r>
          </w:p>
        </w:tc>
        <w:tc>
          <w:tcPr>
            <w:tcW w:w="1718"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11,750.00</w:t>
            </w:r>
          </w:p>
        </w:tc>
        <w:tc>
          <w:tcPr>
            <w:tcW w:w="1874" w:type="dxa"/>
            <w:vMerge w:val="restart"/>
            <w:tcBorders>
              <w:top w:val="single" w:sz="4" w:space="0" w:color="000000"/>
              <w:left w:val="single" w:sz="2" w:space="0" w:color="000000"/>
              <w:right w:val="single" w:sz="2" w:space="0" w:color="000000"/>
            </w:tcBorders>
          </w:tcPr>
          <w:p>
            <w:pPr/>
          </w:p>
        </w:tc>
        <w:tc>
          <w:tcPr>
            <w:tcW w:w="938"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100%</w:t>
            </w:r>
          </w:p>
        </w:tc>
        <w:tc>
          <w:tcPr>
            <w:tcW w:w="1092"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99" w:right="0"/>
              <w:jc w:val="left"/>
              <w:rPr>
                <w:rFonts w:ascii="Times New Roman" w:hAnsi="Times New Roman" w:cs="Times New Roman" w:eastAsia="Times New Roman" w:hint="default"/>
                <w:sz w:val="21"/>
                <w:szCs w:val="21"/>
              </w:rPr>
            </w:pPr>
            <w:r>
              <w:rPr>
                <w:rFonts w:ascii="Times New Roman"/>
                <w:sz w:val="21"/>
              </w:rPr>
              <w:t>100%</w:t>
            </w:r>
          </w:p>
        </w:tc>
        <w:tc>
          <w:tcPr>
            <w:tcW w:w="830" w:type="dxa"/>
            <w:tcBorders>
              <w:top w:val="single" w:sz="4" w:space="0" w:color="000000"/>
              <w:left w:val="single" w:sz="2" w:space="0" w:color="000000"/>
              <w:bottom w:val="nil" w:sz="6" w:space="0" w:color="auto"/>
              <w:right w:val="nil" w:sz="6" w:space="0" w:color="auto"/>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0" w:hRule="exact"/>
        </w:trPr>
        <w:tc>
          <w:tcPr>
            <w:tcW w:w="3415" w:type="dxa"/>
            <w:tcBorders>
              <w:top w:val="nil" w:sz="6" w:space="0" w:color="auto"/>
              <w:left w:val="nil" w:sz="6" w:space="0" w:color="auto"/>
              <w:bottom w:val="nil" w:sz="6" w:space="0" w:color="auto"/>
              <w:right w:val="single" w:sz="2"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南京银石计算机系统有限公司</w:t>
            </w:r>
          </w:p>
        </w:tc>
        <w:tc>
          <w:tcPr>
            <w:tcW w:w="1718" w:type="dxa"/>
            <w:tcBorders>
              <w:top w:val="nil" w:sz="6" w:space="0" w:color="auto"/>
              <w:left w:val="single" w:sz="2" w:space="0" w:color="000000"/>
              <w:bottom w:val="nil" w:sz="6" w:space="0" w:color="auto"/>
              <w:right w:val="single" w:sz="2"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7,300.00</w:t>
            </w:r>
          </w:p>
        </w:tc>
        <w:tc>
          <w:tcPr>
            <w:tcW w:w="1874" w:type="dxa"/>
            <w:vMerge/>
            <w:tcBorders>
              <w:left w:val="single" w:sz="2" w:space="0" w:color="000000"/>
              <w:right w:val="single" w:sz="2" w:space="0" w:color="000000"/>
            </w:tcBorders>
          </w:tcPr>
          <w:p>
            <w:pPr/>
          </w:p>
        </w:tc>
        <w:tc>
          <w:tcPr>
            <w:tcW w:w="938" w:type="dxa"/>
            <w:tcBorders>
              <w:top w:val="nil" w:sz="6" w:space="0" w:color="auto"/>
              <w:left w:val="single" w:sz="2" w:space="0" w:color="000000"/>
              <w:bottom w:val="nil" w:sz="6" w:space="0" w:color="auto"/>
              <w:right w:val="single" w:sz="2" w:space="0" w:color="000000"/>
            </w:tcBorders>
          </w:tcPr>
          <w:p>
            <w:pPr>
              <w:pStyle w:val="TableParagraph"/>
              <w:spacing w:line="240" w:lineRule="auto" w:before="109"/>
              <w:ind w:left="5" w:right="0"/>
              <w:jc w:val="center"/>
              <w:rPr>
                <w:rFonts w:ascii="Times New Roman" w:hAnsi="Times New Roman" w:cs="Times New Roman" w:eastAsia="Times New Roman" w:hint="default"/>
                <w:sz w:val="21"/>
                <w:szCs w:val="21"/>
              </w:rPr>
            </w:pPr>
            <w:r>
              <w:rPr>
                <w:rFonts w:ascii="Times New Roman"/>
                <w:sz w:val="21"/>
              </w:rPr>
              <w:t>100%</w:t>
            </w:r>
          </w:p>
        </w:tc>
        <w:tc>
          <w:tcPr>
            <w:tcW w:w="1092" w:type="dxa"/>
            <w:tcBorders>
              <w:top w:val="nil" w:sz="6" w:space="0" w:color="auto"/>
              <w:left w:val="single" w:sz="2" w:space="0" w:color="000000"/>
              <w:bottom w:val="nil" w:sz="6" w:space="0" w:color="auto"/>
              <w:right w:val="single" w:sz="2" w:space="0" w:color="000000"/>
            </w:tcBorders>
          </w:tcPr>
          <w:p>
            <w:pPr>
              <w:pStyle w:val="TableParagraph"/>
              <w:spacing w:line="240" w:lineRule="auto" w:before="109"/>
              <w:ind w:left="299" w:right="0"/>
              <w:jc w:val="left"/>
              <w:rPr>
                <w:rFonts w:ascii="Times New Roman" w:hAnsi="Times New Roman" w:cs="Times New Roman" w:eastAsia="Times New Roman" w:hint="default"/>
                <w:sz w:val="21"/>
                <w:szCs w:val="21"/>
              </w:rPr>
            </w:pPr>
            <w:r>
              <w:rPr>
                <w:rFonts w:ascii="Times New Roman"/>
                <w:sz w:val="21"/>
              </w:rPr>
              <w:t>100%</w:t>
            </w:r>
          </w:p>
        </w:tc>
        <w:tc>
          <w:tcPr>
            <w:tcW w:w="830" w:type="dxa"/>
            <w:tcBorders>
              <w:top w:val="nil" w:sz="6" w:space="0" w:color="auto"/>
              <w:left w:val="single" w:sz="2" w:space="0" w:color="000000"/>
              <w:bottom w:val="nil" w:sz="6" w:space="0" w:color="auto"/>
              <w:right w:val="nil" w:sz="6" w:space="0" w:color="auto"/>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0" w:hRule="exact"/>
        </w:trPr>
        <w:tc>
          <w:tcPr>
            <w:tcW w:w="3415" w:type="dxa"/>
            <w:tcBorders>
              <w:top w:val="nil" w:sz="6" w:space="0" w:color="auto"/>
              <w:left w:val="nil" w:sz="6" w:space="0" w:color="auto"/>
              <w:bottom w:val="nil" w:sz="6" w:space="0" w:color="auto"/>
              <w:right w:val="single" w:sz="2"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上海正品贵德软件有限公司</w:t>
            </w:r>
          </w:p>
        </w:tc>
        <w:tc>
          <w:tcPr>
            <w:tcW w:w="1718" w:type="dxa"/>
            <w:tcBorders>
              <w:top w:val="nil" w:sz="6" w:space="0" w:color="auto"/>
              <w:left w:val="single" w:sz="2" w:space="0" w:color="000000"/>
              <w:bottom w:val="nil" w:sz="6" w:space="0" w:color="auto"/>
              <w:right w:val="single" w:sz="2"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1,992.90</w:t>
            </w:r>
          </w:p>
        </w:tc>
        <w:tc>
          <w:tcPr>
            <w:tcW w:w="1874" w:type="dxa"/>
            <w:vMerge/>
            <w:tcBorders>
              <w:left w:val="single" w:sz="2" w:space="0" w:color="000000"/>
              <w:right w:val="single" w:sz="2" w:space="0" w:color="000000"/>
            </w:tcBorders>
          </w:tcPr>
          <w:p>
            <w:pPr/>
          </w:p>
        </w:tc>
        <w:tc>
          <w:tcPr>
            <w:tcW w:w="938" w:type="dxa"/>
            <w:tcBorders>
              <w:top w:val="nil" w:sz="6" w:space="0" w:color="auto"/>
              <w:left w:val="single" w:sz="2" w:space="0" w:color="000000"/>
              <w:bottom w:val="nil" w:sz="6" w:space="0" w:color="auto"/>
              <w:right w:val="single" w:sz="2" w:space="0" w:color="000000"/>
            </w:tcBorders>
          </w:tcPr>
          <w:p>
            <w:pPr>
              <w:pStyle w:val="TableParagraph"/>
              <w:spacing w:line="240" w:lineRule="auto" w:before="108"/>
              <w:ind w:left="5" w:right="0"/>
              <w:jc w:val="center"/>
              <w:rPr>
                <w:rFonts w:ascii="Times New Roman" w:hAnsi="Times New Roman" w:cs="Times New Roman" w:eastAsia="Times New Roman" w:hint="default"/>
                <w:sz w:val="21"/>
                <w:szCs w:val="21"/>
              </w:rPr>
            </w:pPr>
            <w:r>
              <w:rPr>
                <w:rFonts w:ascii="Times New Roman"/>
                <w:sz w:val="21"/>
              </w:rPr>
              <w:t>70%</w:t>
            </w:r>
          </w:p>
        </w:tc>
        <w:tc>
          <w:tcPr>
            <w:tcW w:w="1092" w:type="dxa"/>
            <w:tcBorders>
              <w:top w:val="nil" w:sz="6" w:space="0" w:color="auto"/>
              <w:left w:val="single" w:sz="2" w:space="0" w:color="000000"/>
              <w:bottom w:val="nil" w:sz="6" w:space="0" w:color="auto"/>
              <w:right w:val="single" w:sz="2" w:space="0" w:color="000000"/>
            </w:tcBorders>
          </w:tcPr>
          <w:p>
            <w:pPr>
              <w:pStyle w:val="TableParagraph"/>
              <w:spacing w:line="240" w:lineRule="auto" w:before="108"/>
              <w:ind w:left="352" w:right="0"/>
              <w:jc w:val="left"/>
              <w:rPr>
                <w:rFonts w:ascii="Times New Roman" w:hAnsi="Times New Roman" w:cs="Times New Roman" w:eastAsia="Times New Roman" w:hint="default"/>
                <w:sz w:val="21"/>
                <w:szCs w:val="21"/>
              </w:rPr>
            </w:pPr>
            <w:r>
              <w:rPr>
                <w:rFonts w:ascii="Times New Roman"/>
                <w:sz w:val="21"/>
              </w:rPr>
              <w:t>70%</w:t>
            </w:r>
          </w:p>
        </w:tc>
        <w:tc>
          <w:tcPr>
            <w:tcW w:w="830" w:type="dxa"/>
            <w:tcBorders>
              <w:top w:val="nil" w:sz="6" w:space="0" w:color="auto"/>
              <w:left w:val="single" w:sz="2" w:space="0" w:color="000000"/>
              <w:bottom w:val="nil" w:sz="6" w:space="0" w:color="auto"/>
              <w:right w:val="nil" w:sz="6" w:space="0" w:color="auto"/>
            </w:tcBorders>
          </w:tcPr>
          <w:p>
            <w:pPr>
              <w:pStyle w:val="TableParagraph"/>
              <w:spacing w:line="240" w:lineRule="auto" w:before="49"/>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1" w:hRule="exact"/>
        </w:trPr>
        <w:tc>
          <w:tcPr>
            <w:tcW w:w="3415" w:type="dxa"/>
            <w:tcBorders>
              <w:top w:val="nil" w:sz="6" w:space="0" w:color="auto"/>
              <w:left w:val="nil" w:sz="6" w:space="0" w:color="auto"/>
              <w:bottom w:val="nil" w:sz="6" w:space="0" w:color="auto"/>
              <w:right w:val="single" w:sz="2" w:space="0" w:color="000000"/>
            </w:tcBorders>
          </w:tcPr>
          <w:p>
            <w:pPr>
              <w:pStyle w:val="TableParagraph"/>
              <w:spacing w:line="240" w:lineRule="auto" w:before="109"/>
              <w:ind w:left="122" w:right="0"/>
              <w:jc w:val="left"/>
              <w:rPr>
                <w:rFonts w:ascii="Times New Roman" w:hAnsi="Times New Roman" w:cs="Times New Roman" w:eastAsia="Times New Roman" w:hint="default"/>
                <w:sz w:val="21"/>
                <w:szCs w:val="21"/>
              </w:rPr>
            </w:pPr>
            <w:r>
              <w:rPr>
                <w:rFonts w:ascii="Times New Roman"/>
                <w:sz w:val="21"/>
              </w:rPr>
              <w:t>Infrasys International</w:t>
            </w:r>
            <w:r>
              <w:rPr>
                <w:rFonts w:ascii="Times New Roman"/>
                <w:spacing w:val="-9"/>
                <w:sz w:val="21"/>
              </w:rPr>
              <w:t> </w:t>
            </w:r>
            <w:r>
              <w:rPr>
                <w:rFonts w:ascii="Times New Roman"/>
                <w:spacing w:val="-3"/>
                <w:sz w:val="21"/>
              </w:rPr>
              <w:t>Ltd</w:t>
            </w:r>
            <w:r>
              <w:rPr>
                <w:rFonts w:ascii="Times New Roman"/>
                <w:sz w:val="21"/>
              </w:rPr>
            </w:r>
          </w:p>
        </w:tc>
        <w:tc>
          <w:tcPr>
            <w:tcW w:w="1718" w:type="dxa"/>
            <w:tcBorders>
              <w:top w:val="nil" w:sz="6" w:space="0" w:color="auto"/>
              <w:left w:val="single" w:sz="2" w:space="0" w:color="000000"/>
              <w:bottom w:val="nil" w:sz="6" w:space="0" w:color="auto"/>
              <w:right w:val="single" w:sz="2" w:space="0" w:color="000000"/>
            </w:tcBorders>
          </w:tcPr>
          <w:p>
            <w:pPr>
              <w:pStyle w:val="TableParagraph"/>
              <w:spacing w:line="240" w:lineRule="auto" w:before="50"/>
              <w:ind w:right="98"/>
              <w:jc w:val="right"/>
              <w:rPr>
                <w:rFonts w:ascii="Times New Roman" w:hAnsi="Times New Roman" w:cs="Times New Roman" w:eastAsia="Times New Roman" w:hint="default"/>
                <w:sz w:val="21"/>
                <w:szCs w:val="21"/>
              </w:rPr>
            </w:pPr>
            <w:r>
              <w:rPr>
                <w:rFonts w:ascii="宋体" w:hAnsi="宋体" w:cs="宋体" w:eastAsia="宋体" w:hint="default"/>
                <w:sz w:val="21"/>
                <w:szCs w:val="21"/>
              </w:rPr>
              <w:t>港币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2,924.30</w:t>
            </w:r>
          </w:p>
        </w:tc>
        <w:tc>
          <w:tcPr>
            <w:tcW w:w="1874" w:type="dxa"/>
            <w:vMerge/>
            <w:tcBorders>
              <w:left w:val="single" w:sz="2" w:space="0" w:color="000000"/>
              <w:right w:val="single" w:sz="2" w:space="0" w:color="000000"/>
            </w:tcBorders>
          </w:tcPr>
          <w:p>
            <w:pPr/>
          </w:p>
        </w:tc>
        <w:tc>
          <w:tcPr>
            <w:tcW w:w="938" w:type="dxa"/>
            <w:tcBorders>
              <w:top w:val="nil" w:sz="6" w:space="0" w:color="auto"/>
              <w:left w:val="single" w:sz="2" w:space="0" w:color="000000"/>
              <w:bottom w:val="nil" w:sz="6" w:space="0" w:color="auto"/>
              <w:right w:val="single" w:sz="2" w:space="0" w:color="000000"/>
            </w:tcBorders>
          </w:tcPr>
          <w:p>
            <w:pPr>
              <w:pStyle w:val="TableParagraph"/>
              <w:spacing w:line="240" w:lineRule="auto" w:before="109"/>
              <w:ind w:left="5" w:right="0"/>
              <w:jc w:val="center"/>
              <w:rPr>
                <w:rFonts w:ascii="Times New Roman" w:hAnsi="Times New Roman" w:cs="Times New Roman" w:eastAsia="Times New Roman" w:hint="default"/>
                <w:sz w:val="21"/>
                <w:szCs w:val="21"/>
              </w:rPr>
            </w:pPr>
            <w:r>
              <w:rPr>
                <w:rFonts w:ascii="Times New Roman"/>
                <w:sz w:val="21"/>
              </w:rPr>
              <w:t>70%</w:t>
            </w:r>
          </w:p>
        </w:tc>
        <w:tc>
          <w:tcPr>
            <w:tcW w:w="1092" w:type="dxa"/>
            <w:tcBorders>
              <w:top w:val="nil" w:sz="6" w:space="0" w:color="auto"/>
              <w:left w:val="single" w:sz="2" w:space="0" w:color="000000"/>
              <w:bottom w:val="nil" w:sz="6" w:space="0" w:color="auto"/>
              <w:right w:val="single" w:sz="2" w:space="0" w:color="000000"/>
            </w:tcBorders>
          </w:tcPr>
          <w:p>
            <w:pPr>
              <w:pStyle w:val="TableParagraph"/>
              <w:spacing w:line="240" w:lineRule="auto" w:before="109"/>
              <w:ind w:left="352" w:right="0"/>
              <w:jc w:val="left"/>
              <w:rPr>
                <w:rFonts w:ascii="Times New Roman" w:hAnsi="Times New Roman" w:cs="Times New Roman" w:eastAsia="Times New Roman" w:hint="default"/>
                <w:sz w:val="21"/>
                <w:szCs w:val="21"/>
              </w:rPr>
            </w:pPr>
            <w:r>
              <w:rPr>
                <w:rFonts w:ascii="Times New Roman"/>
                <w:sz w:val="21"/>
              </w:rPr>
              <w:t>70%</w:t>
            </w:r>
          </w:p>
        </w:tc>
        <w:tc>
          <w:tcPr>
            <w:tcW w:w="830" w:type="dxa"/>
            <w:tcBorders>
              <w:top w:val="nil" w:sz="6" w:space="0" w:color="auto"/>
              <w:left w:val="single" w:sz="2" w:space="0" w:color="000000"/>
              <w:bottom w:val="nil" w:sz="6" w:space="0" w:color="auto"/>
              <w:right w:val="nil" w:sz="6" w:space="0" w:color="auto"/>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73" w:hRule="exact"/>
        </w:trPr>
        <w:tc>
          <w:tcPr>
            <w:tcW w:w="3415" w:type="dxa"/>
            <w:tcBorders>
              <w:top w:val="nil" w:sz="6" w:space="0" w:color="auto"/>
              <w:left w:val="nil" w:sz="6" w:space="0" w:color="auto"/>
              <w:bottom w:val="single" w:sz="12" w:space="0" w:color="000000"/>
              <w:right w:val="single" w:sz="2" w:space="0" w:color="000000"/>
            </w:tcBorders>
          </w:tcPr>
          <w:p>
            <w:pPr>
              <w:pStyle w:val="TableParagraph"/>
              <w:spacing w:line="240" w:lineRule="auto" w:before="109"/>
              <w:ind w:left="122" w:right="0"/>
              <w:jc w:val="left"/>
              <w:rPr>
                <w:rFonts w:ascii="Times New Roman" w:hAnsi="Times New Roman" w:cs="Times New Roman" w:eastAsia="Times New Roman" w:hint="default"/>
                <w:sz w:val="21"/>
                <w:szCs w:val="21"/>
              </w:rPr>
            </w:pPr>
            <w:r>
              <w:rPr>
                <w:rFonts w:ascii="Times New Roman"/>
                <w:sz w:val="21"/>
              </w:rPr>
              <w:t>Infrasys Singapore Pte</w:t>
            </w:r>
            <w:r>
              <w:rPr>
                <w:rFonts w:ascii="Times New Roman"/>
                <w:spacing w:val="-4"/>
                <w:sz w:val="21"/>
              </w:rPr>
              <w:t> </w:t>
            </w:r>
            <w:r>
              <w:rPr>
                <w:rFonts w:ascii="Times New Roman"/>
                <w:spacing w:val="-3"/>
                <w:sz w:val="21"/>
              </w:rPr>
              <w:t>Ltd</w:t>
            </w:r>
          </w:p>
        </w:tc>
        <w:tc>
          <w:tcPr>
            <w:tcW w:w="1718"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50"/>
              <w:ind w:right="98"/>
              <w:jc w:val="right"/>
              <w:rPr>
                <w:rFonts w:ascii="Times New Roman" w:hAnsi="Times New Roman" w:cs="Times New Roman" w:eastAsia="Times New Roman" w:hint="default"/>
                <w:sz w:val="21"/>
                <w:szCs w:val="21"/>
              </w:rPr>
            </w:pPr>
            <w:r>
              <w:rPr>
                <w:rFonts w:ascii="宋体" w:hAnsi="宋体" w:cs="宋体" w:eastAsia="宋体" w:hint="default"/>
                <w:sz w:val="21"/>
                <w:szCs w:val="21"/>
              </w:rPr>
              <w:t>新币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46.20</w:t>
            </w:r>
          </w:p>
        </w:tc>
        <w:tc>
          <w:tcPr>
            <w:tcW w:w="1874" w:type="dxa"/>
            <w:vMerge/>
            <w:tcBorders>
              <w:left w:val="single" w:sz="2" w:space="0" w:color="000000"/>
              <w:bottom w:val="single" w:sz="12" w:space="0" w:color="000000"/>
              <w:right w:val="single" w:sz="2" w:space="0" w:color="000000"/>
            </w:tcBorders>
          </w:tcPr>
          <w:p>
            <w:pPr/>
          </w:p>
        </w:tc>
        <w:tc>
          <w:tcPr>
            <w:tcW w:w="938"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09"/>
              <w:ind w:left="5" w:right="0"/>
              <w:jc w:val="center"/>
              <w:rPr>
                <w:rFonts w:ascii="Times New Roman" w:hAnsi="Times New Roman" w:cs="Times New Roman" w:eastAsia="Times New Roman" w:hint="default"/>
                <w:sz w:val="21"/>
                <w:szCs w:val="21"/>
              </w:rPr>
            </w:pPr>
            <w:r>
              <w:rPr>
                <w:rFonts w:ascii="Times New Roman"/>
                <w:sz w:val="21"/>
              </w:rPr>
              <w:t>100%</w:t>
            </w:r>
          </w:p>
        </w:tc>
        <w:tc>
          <w:tcPr>
            <w:tcW w:w="1092"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09"/>
              <w:ind w:left="299" w:right="0"/>
              <w:jc w:val="left"/>
              <w:rPr>
                <w:rFonts w:ascii="Times New Roman" w:hAnsi="Times New Roman" w:cs="Times New Roman" w:eastAsia="Times New Roman" w:hint="default"/>
                <w:sz w:val="21"/>
                <w:szCs w:val="21"/>
              </w:rPr>
            </w:pPr>
            <w:r>
              <w:rPr>
                <w:rFonts w:ascii="Times New Roman"/>
                <w:sz w:val="21"/>
              </w:rPr>
              <w:t>100%</w:t>
            </w:r>
          </w:p>
        </w:tc>
        <w:tc>
          <w:tcPr>
            <w:tcW w:w="830" w:type="dxa"/>
            <w:tcBorders>
              <w:top w:val="nil" w:sz="6" w:space="0" w:color="auto"/>
              <w:left w:val="single" w:sz="2" w:space="0" w:color="000000"/>
              <w:bottom w:val="single" w:sz="12" w:space="0" w:color="000000"/>
              <w:right w:val="nil" w:sz="6" w:space="0" w:color="auto"/>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3415"/>
        <w:gridCol w:w="2813"/>
        <w:gridCol w:w="3641"/>
      </w:tblGrid>
      <w:tr>
        <w:trPr>
          <w:trHeight w:val="938" w:hRule="exact"/>
        </w:trPr>
        <w:tc>
          <w:tcPr>
            <w:tcW w:w="3415" w:type="dxa"/>
            <w:tcBorders>
              <w:top w:val="single" w:sz="12" w:space="0" w:color="000000"/>
              <w:left w:val="nil" w:sz="6" w:space="0" w:color="auto"/>
              <w:bottom w:val="single" w:sz="4" w:space="0" w:color="000000"/>
              <w:right w:val="single" w:sz="2"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2813"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少数股东权益（单位：元）</w:t>
            </w:r>
          </w:p>
        </w:tc>
        <w:tc>
          <w:tcPr>
            <w:tcW w:w="3641" w:type="dxa"/>
            <w:tcBorders>
              <w:top w:val="single" w:sz="12" w:space="0" w:color="000000"/>
              <w:left w:val="single" w:sz="2" w:space="0" w:color="000000"/>
              <w:bottom w:val="single" w:sz="4" w:space="0" w:color="000000"/>
              <w:right w:val="nil" w:sz="6" w:space="0" w:color="auto"/>
            </w:tcBorders>
          </w:tcPr>
          <w:p>
            <w:pPr>
              <w:pStyle w:val="TableParagraph"/>
              <w:spacing w:line="460" w:lineRule="exact" w:before="30"/>
              <w:ind w:left="1399" w:right="132" w:hanging="1260"/>
              <w:jc w:val="left"/>
              <w:rPr>
                <w:rFonts w:ascii="宋体" w:hAnsi="宋体" w:cs="宋体" w:eastAsia="宋体" w:hint="default"/>
                <w:sz w:val="21"/>
                <w:szCs w:val="21"/>
              </w:rPr>
            </w:pPr>
            <w:r>
              <w:rPr>
                <w:rFonts w:ascii="宋体" w:hAnsi="宋体" w:cs="宋体" w:eastAsia="宋体" w:hint="default"/>
                <w:spacing w:val="-2"/>
                <w:sz w:val="21"/>
                <w:szCs w:val="21"/>
              </w:rPr>
              <w:t>少数股东权益中用于冲减少数股东损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益的金额</w:t>
            </w:r>
          </w:p>
        </w:tc>
      </w:tr>
      <w:tr>
        <w:trPr>
          <w:trHeight w:val="941" w:hRule="exact"/>
        </w:trPr>
        <w:tc>
          <w:tcPr>
            <w:tcW w:w="3415" w:type="dxa"/>
            <w:tcBorders>
              <w:top w:val="single" w:sz="4" w:space="0" w:color="000000"/>
              <w:left w:val="nil" w:sz="6" w:space="0" w:color="auto"/>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Infrasys International</w:t>
            </w:r>
            <w:r>
              <w:rPr>
                <w:rFonts w:ascii="Times New Roman"/>
                <w:spacing w:val="-9"/>
                <w:sz w:val="21"/>
              </w:rPr>
              <w:t> </w:t>
            </w:r>
            <w:r>
              <w:rPr>
                <w:rFonts w:ascii="Times New Roman"/>
                <w:spacing w:val="-3"/>
                <w:sz w:val="21"/>
              </w:rPr>
              <w:t>Ltd</w:t>
            </w:r>
            <w:r>
              <w:rPr>
                <w:rFonts w:ascii="Times New Roman"/>
                <w:sz w:val="21"/>
              </w:rPr>
            </w:r>
          </w:p>
          <w:p>
            <w:pPr>
              <w:pStyle w:val="TableParagraph"/>
              <w:spacing w:line="240" w:lineRule="auto" w:before="158"/>
              <w:ind w:left="122" w:right="0"/>
              <w:jc w:val="left"/>
              <w:rPr>
                <w:rFonts w:ascii="宋体" w:hAnsi="宋体" w:cs="宋体" w:eastAsia="宋体" w:hint="default"/>
                <w:sz w:val="21"/>
                <w:szCs w:val="21"/>
              </w:rPr>
            </w:pPr>
            <w:r>
              <w:rPr>
                <w:rFonts w:ascii="宋体" w:hAnsi="宋体" w:cs="宋体" w:eastAsia="宋体" w:hint="default"/>
                <w:sz w:val="21"/>
                <w:szCs w:val="21"/>
              </w:rPr>
              <w:t>上海正品贵德软件有限公司</w:t>
            </w:r>
          </w:p>
        </w:tc>
        <w:tc>
          <w:tcPr>
            <w:tcW w:w="2813"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95" w:right="0"/>
              <w:jc w:val="left"/>
              <w:rPr>
                <w:rFonts w:ascii="Times New Roman" w:hAnsi="Times New Roman" w:cs="Times New Roman" w:eastAsia="Times New Roman" w:hint="default"/>
                <w:sz w:val="21"/>
                <w:szCs w:val="21"/>
              </w:rPr>
            </w:pPr>
            <w:r>
              <w:rPr>
                <w:rFonts w:ascii="Times New Roman"/>
                <w:sz w:val="21"/>
              </w:rPr>
              <w:t>27,788,178.58</w:t>
            </w: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56" w:right="0"/>
              <w:jc w:val="left"/>
              <w:rPr>
                <w:rFonts w:ascii="Times New Roman" w:hAnsi="Times New Roman" w:cs="Times New Roman" w:eastAsia="Times New Roman" w:hint="default"/>
                <w:sz w:val="21"/>
                <w:szCs w:val="21"/>
              </w:rPr>
            </w:pPr>
            <w:r>
              <w:rPr>
                <w:rFonts w:ascii="Times New Roman"/>
                <w:sz w:val="21"/>
              </w:rPr>
              <w:t>475,687.22</w:t>
            </w:r>
          </w:p>
        </w:tc>
        <w:tc>
          <w:tcPr>
            <w:tcW w:w="3641" w:type="dxa"/>
            <w:tcBorders>
              <w:top w:val="single" w:sz="4"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36"/>
        <w:ind w:left="672" w:right="0"/>
        <w:jc w:val="left"/>
      </w:pPr>
      <w:r>
        <w:rPr>
          <w:rFonts w:ascii="Times New Roman" w:hAnsi="Times New Roman" w:cs="Times New Roman" w:eastAsia="Times New Roman" w:hint="default"/>
        </w:rPr>
        <w:t>2</w:t>
      </w:r>
      <w:r>
        <w:rPr/>
        <w:t>、合并范围变更情况</w:t>
      </w:r>
    </w:p>
    <w:p>
      <w:pPr>
        <w:pStyle w:val="BodyText"/>
        <w:spacing w:line="364" w:lineRule="auto" w:before="148"/>
        <w:ind w:left="252" w:right="0" w:firstLine="420"/>
        <w:jc w:val="left"/>
      </w:pPr>
      <w:r>
        <w:rPr/>
        <w:pict>
          <v:shape style="position:absolute;margin-left:49.799999pt;margin-top:44.743668pt;width:495.6pt;height:47.55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44"/>
                    <w:gridCol w:w="2669"/>
                    <w:gridCol w:w="3156"/>
                  </w:tblGrid>
                  <w:tr>
                    <w:trPr>
                      <w:trHeight w:val="461" w:hRule="exact"/>
                    </w:trPr>
                    <w:tc>
                      <w:tcPr>
                        <w:tcW w:w="4044"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36"/>
                          <w:ind w:left="19"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26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6"/>
                          <w:ind w:left="804"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31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6"/>
                          <w:ind w:left="1048"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61" w:hRule="exact"/>
                    </w:trPr>
                    <w:tc>
                      <w:tcPr>
                        <w:tcW w:w="40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上海正品贵德软件有限公司</w:t>
                        </w:r>
                      </w:p>
                    </w:tc>
                    <w:tc>
                      <w:tcPr>
                        <w:tcW w:w="26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454" w:right="0"/>
                          <w:jc w:val="left"/>
                          <w:rPr>
                            <w:rFonts w:ascii="Times New Roman" w:hAnsi="Times New Roman" w:cs="Times New Roman" w:eastAsia="Times New Roman" w:hint="default"/>
                            <w:sz w:val="21"/>
                            <w:szCs w:val="21"/>
                          </w:rPr>
                        </w:pPr>
                        <w:r>
                          <w:rPr>
                            <w:rFonts w:ascii="Times New Roman"/>
                            <w:sz w:val="21"/>
                          </w:rPr>
                          <w:t>1,585,624.05</w:t>
                        </w:r>
                      </w:p>
                    </w:tc>
                    <w:tc>
                      <w:tcPr>
                        <w:tcW w:w="31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43" w:right="0"/>
                          <w:jc w:val="left"/>
                          <w:rPr>
                            <w:rFonts w:ascii="Times New Roman" w:hAnsi="Times New Roman" w:cs="Times New Roman" w:eastAsia="Times New Roman" w:hint="default"/>
                            <w:sz w:val="21"/>
                            <w:szCs w:val="21"/>
                          </w:rPr>
                        </w:pPr>
                        <w:r>
                          <w:rPr>
                            <w:rFonts w:ascii="Times New Roman"/>
                            <w:sz w:val="21"/>
                          </w:rPr>
                          <w:t>1,004,410.63</w:t>
                        </w:r>
                      </w:p>
                    </w:tc>
                  </w:tr>
                </w:tbl>
                <w:p>
                  <w:pPr/>
                </w:p>
              </w:txbxContent>
            </v:textbox>
            <w10:wrap type="none"/>
          </v:shape>
        </w:pict>
      </w:r>
      <w:r>
        <w:rPr/>
        <w:t>（</w:t>
      </w:r>
      <w:r>
        <w:rPr>
          <w:rFonts w:ascii="Times New Roman" w:hAnsi="Times New Roman" w:cs="Times New Roman" w:eastAsia="Times New Roman" w:hint="default"/>
        </w:rPr>
        <w:t>1</w:t>
      </w:r>
      <w:r>
        <w:rPr/>
        <w:t>）</w:t>
      </w:r>
      <w:r>
        <w:rPr>
          <w:spacing w:val="86"/>
        </w:rPr>
        <w:t> </w:t>
      </w:r>
      <w:r>
        <w:rPr>
          <w:spacing w:val="-3"/>
        </w:rPr>
        <w:t>本期新纳入合并范围的子公司、特殊目的主体、通过受托经营或承租等方式形成控制权的经营</w:t>
      </w:r>
      <w:r>
        <w:rPr>
          <w:w w:val="100"/>
        </w:rPr>
        <w:t> </w:t>
      </w:r>
      <w:r>
        <w:rPr/>
        <w:t>实体：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left="672" w:right="0"/>
        <w:jc w:val="left"/>
      </w:pPr>
      <w:r>
        <w:rPr/>
        <w:t>（</w:t>
      </w:r>
      <w:r>
        <w:rPr>
          <w:rFonts w:ascii="Times New Roman" w:hAnsi="Times New Roman" w:cs="Times New Roman" w:eastAsia="Times New Roman" w:hint="default"/>
        </w:rPr>
        <w:t>2</w:t>
      </w:r>
      <w:r>
        <w:rPr/>
        <w:t>）合并报表变更原因及情况说明</w:t>
      </w:r>
    </w:p>
    <w:p>
      <w:pPr>
        <w:spacing w:after="0" w:line="240" w:lineRule="auto"/>
        <w:jc w:val="left"/>
        <w:sectPr>
          <w:pgSz w:w="11910" w:h="16840"/>
          <w:pgMar w:header="850" w:footer="979" w:top="1200" w:bottom="1160" w:left="880" w:right="880"/>
        </w:sectPr>
      </w:pPr>
    </w:p>
    <w:p>
      <w:pPr>
        <w:spacing w:line="240" w:lineRule="auto" w:before="10"/>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7"/>
          <w:szCs w:val="7"/>
        </w:rPr>
      </w:pPr>
    </w:p>
    <w:p>
      <w:pPr>
        <w:pStyle w:val="BodyText"/>
        <w:spacing w:line="240" w:lineRule="auto" w:before="36"/>
        <w:ind w:left="672" w:right="0"/>
        <w:jc w:val="left"/>
      </w:pPr>
      <w:r>
        <w:rPr/>
        <w:t>经公司第四届董事会第三次会议决议，</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日公司签署上海正品贵德软件有限公司股权转</w:t>
      </w:r>
    </w:p>
    <w:p>
      <w:pPr>
        <w:pStyle w:val="BodyText"/>
        <w:spacing w:line="240" w:lineRule="auto" w:before="148"/>
        <w:ind w:left="252" w:right="0"/>
        <w:jc w:val="left"/>
        <w:rPr>
          <w:rFonts w:ascii="Times New Roman" w:hAnsi="Times New Roman" w:cs="Times New Roman" w:eastAsia="Times New Roman" w:hint="default"/>
        </w:rPr>
      </w:pPr>
      <w:r>
        <w:rPr/>
        <w:t>让框架协议，以人民币 </w:t>
      </w:r>
      <w:r>
        <w:rPr>
          <w:rFonts w:ascii="Times New Roman" w:hAnsi="Times New Roman" w:cs="Times New Roman" w:eastAsia="Times New Roman" w:hint="default"/>
        </w:rPr>
        <w:t>3,066.00 </w:t>
      </w:r>
      <w:r>
        <w:rPr/>
        <w:t>万元的价格收购上海正品贵德软件有限公司 </w:t>
      </w:r>
      <w:r>
        <w:rPr>
          <w:rFonts w:ascii="Times New Roman" w:hAnsi="Times New Roman" w:cs="Times New Roman" w:eastAsia="Times New Roman" w:hint="default"/>
        </w:rPr>
        <w:t>70%</w:t>
      </w:r>
      <w:r>
        <w:rPr/>
        <w:t>的股权，公司已于</w:t>
      </w:r>
      <w:r>
        <w:rPr>
          <w:spacing w:val="-41"/>
        </w:rPr>
        <w:t> </w:t>
      </w:r>
      <w:r>
        <w:rPr>
          <w:rFonts w:ascii="Times New Roman" w:hAnsi="Times New Roman" w:cs="Times New Roman" w:eastAsia="Times New Roman" w:hint="default"/>
          <w:spacing w:val="-5"/>
        </w:rPr>
        <w:t>2011</w:t>
      </w:r>
      <w:r>
        <w:rPr>
          <w:rFonts w:ascii="Times New Roman" w:hAnsi="Times New Roman" w:cs="Times New Roman" w:eastAsia="Times New Roman" w:hint="default"/>
        </w:rPr>
      </w:r>
    </w:p>
    <w:p>
      <w:pPr>
        <w:pStyle w:val="BodyText"/>
        <w:spacing w:line="362" w:lineRule="auto" w:before="151"/>
        <w:ind w:left="252" w:right="0"/>
        <w:jc w:val="left"/>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月前支付</w:t>
      </w:r>
      <w:r>
        <w:rPr>
          <w:spacing w:val="-46"/>
        </w:rPr>
        <w:t> </w:t>
      </w:r>
      <w:r>
        <w:rPr>
          <w:rFonts w:ascii="Times New Roman" w:hAnsi="Times New Roman" w:cs="Times New Roman" w:eastAsia="Times New Roman" w:hint="default"/>
        </w:rPr>
        <w:t>65%</w:t>
      </w:r>
      <w:r>
        <w:rPr/>
        <w:t>的股权收购款，并办理完毕该项股权工商变更手续，自</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日将其纳入合</w:t>
      </w:r>
      <w:r>
        <w:rPr>
          <w:w w:val="100"/>
        </w:rPr>
        <w:t> </w:t>
      </w:r>
      <w:r>
        <w:rPr/>
        <w:t>并报表范围。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left="673" w:right="0"/>
        <w:jc w:val="left"/>
      </w:pPr>
      <w:r>
        <w:rPr>
          <w:rFonts w:ascii="Times New Roman" w:hAnsi="Times New Roman" w:cs="Times New Roman" w:eastAsia="Times New Roman" w:hint="default"/>
        </w:rPr>
        <w:t>3</w:t>
      </w:r>
      <w:r>
        <w:rPr/>
        <w:t>、本期发生的非同一控制下企业合并</w:t>
      </w:r>
    </w:p>
    <w:tbl>
      <w:tblPr>
        <w:tblW w:w="0" w:type="auto"/>
        <w:jc w:val="left"/>
        <w:tblInd w:w="116" w:type="dxa"/>
        <w:tblLayout w:type="fixed"/>
        <w:tblCellMar>
          <w:top w:w="0" w:type="dxa"/>
          <w:left w:w="0" w:type="dxa"/>
          <w:bottom w:w="0" w:type="dxa"/>
          <w:right w:w="0" w:type="dxa"/>
        </w:tblCellMar>
        <w:tblLook w:val="01E0"/>
      </w:tblPr>
      <w:tblGrid>
        <w:gridCol w:w="3108"/>
        <w:gridCol w:w="2784"/>
        <w:gridCol w:w="3977"/>
      </w:tblGrid>
      <w:tr>
        <w:trPr>
          <w:trHeight w:val="461" w:hRule="exact"/>
        </w:trPr>
        <w:tc>
          <w:tcPr>
            <w:tcW w:w="31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4"/>
              <w:ind w:left="19" w:right="0"/>
              <w:jc w:val="center"/>
              <w:rPr>
                <w:rFonts w:ascii="宋体" w:hAnsi="宋体" w:cs="宋体" w:eastAsia="宋体" w:hint="default"/>
                <w:sz w:val="21"/>
                <w:szCs w:val="21"/>
              </w:rPr>
            </w:pPr>
            <w:r>
              <w:rPr>
                <w:rFonts w:ascii="宋体" w:hAnsi="宋体" w:cs="宋体" w:eastAsia="宋体" w:hint="default"/>
                <w:sz w:val="21"/>
                <w:szCs w:val="21"/>
              </w:rPr>
              <w:t>被合并方</w:t>
            </w:r>
          </w:p>
        </w:tc>
        <w:tc>
          <w:tcPr>
            <w:tcW w:w="27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4"/>
              <w:ind w:left="7" w:right="0"/>
              <w:jc w:val="center"/>
              <w:rPr>
                <w:rFonts w:ascii="宋体" w:hAnsi="宋体" w:cs="宋体" w:eastAsia="宋体" w:hint="default"/>
                <w:sz w:val="21"/>
                <w:szCs w:val="21"/>
              </w:rPr>
            </w:pPr>
            <w:r>
              <w:rPr>
                <w:rFonts w:ascii="宋体" w:hAnsi="宋体" w:cs="宋体" w:eastAsia="宋体" w:hint="default"/>
                <w:sz w:val="21"/>
                <w:szCs w:val="21"/>
              </w:rPr>
              <w:t>商誉金额</w:t>
            </w:r>
          </w:p>
        </w:tc>
        <w:tc>
          <w:tcPr>
            <w:tcW w:w="39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商誉计算方法</w:t>
            </w:r>
          </w:p>
        </w:tc>
      </w:tr>
      <w:tr>
        <w:trPr>
          <w:trHeight w:val="900" w:hRule="exact"/>
        </w:trPr>
        <w:tc>
          <w:tcPr>
            <w:tcW w:w="31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上海正品贵德软件有限公司</w:t>
            </w:r>
          </w:p>
        </w:tc>
        <w:tc>
          <w:tcPr>
            <w:tcW w:w="2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66" w:right="0"/>
              <w:jc w:val="left"/>
              <w:rPr>
                <w:rFonts w:ascii="Times New Roman" w:hAnsi="Times New Roman" w:cs="Times New Roman" w:eastAsia="Times New Roman" w:hint="default"/>
                <w:sz w:val="21"/>
                <w:szCs w:val="21"/>
              </w:rPr>
            </w:pPr>
            <w:r>
              <w:rPr>
                <w:rFonts w:ascii="Times New Roman"/>
                <w:sz w:val="21"/>
              </w:rPr>
              <w:t>30,253,150.61</w:t>
            </w:r>
          </w:p>
        </w:tc>
        <w:tc>
          <w:tcPr>
            <w:tcW w:w="3977" w:type="dxa"/>
            <w:tcBorders>
              <w:top w:val="single" w:sz="4" w:space="0" w:color="000000"/>
              <w:left w:val="single" w:sz="4" w:space="0" w:color="000000"/>
              <w:bottom w:val="single" w:sz="12" w:space="0" w:color="000000"/>
              <w:right w:val="nil" w:sz="6" w:space="0" w:color="auto"/>
            </w:tcBorders>
          </w:tcPr>
          <w:p>
            <w:pPr>
              <w:pStyle w:val="TableParagraph"/>
              <w:spacing w:line="440" w:lineRule="exact" w:before="27"/>
              <w:ind w:left="103" w:right="292"/>
              <w:jc w:val="left"/>
              <w:rPr>
                <w:rFonts w:ascii="宋体" w:hAnsi="宋体" w:cs="宋体" w:eastAsia="宋体" w:hint="default"/>
                <w:sz w:val="21"/>
                <w:szCs w:val="21"/>
              </w:rPr>
            </w:pPr>
            <w:r>
              <w:rPr>
                <w:rFonts w:ascii="宋体" w:hAnsi="宋体" w:cs="宋体" w:eastAsia="宋体" w:hint="default"/>
                <w:spacing w:val="-2"/>
                <w:sz w:val="21"/>
                <w:szCs w:val="21"/>
              </w:rPr>
              <w:t>母公司的合并成本与取得的子公司可辨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认净资产公允价值份额的差额</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362" w:lineRule="auto" w:before="36"/>
        <w:ind w:left="672" w:right="4559"/>
        <w:jc w:val="left"/>
      </w:pPr>
      <w:r>
        <w:rPr>
          <w:rFonts w:ascii="Times New Roman" w:hAnsi="Times New Roman" w:cs="Times New Roman" w:eastAsia="Times New Roman" w:hint="default"/>
          <w:spacing w:val="-2"/>
        </w:rPr>
        <w:t>4</w:t>
      </w:r>
      <w:r>
        <w:rPr>
          <w:spacing w:val="-2"/>
        </w:rPr>
        <w:t>、境外经营实体主要报表项目期末的折算汇率</w:t>
      </w:r>
      <w:r>
        <w:rPr>
          <w:spacing w:val="-66"/>
        </w:rPr>
        <w:t> </w:t>
      </w:r>
      <w:r>
        <w:rPr>
          <w:spacing w:val="-66"/>
        </w:rPr>
      </w:r>
      <w:r>
        <w:rPr/>
        <w:t>港币对人民币：</w:t>
      </w:r>
      <w:r>
        <w:rPr>
          <w:rFonts w:ascii="Times New Roman" w:hAnsi="Times New Roman" w:cs="Times New Roman" w:eastAsia="Times New Roman" w:hint="default"/>
        </w:rPr>
        <w:t>0.8107</w:t>
      </w:r>
      <w:r>
        <w:rPr/>
        <w:t>；</w:t>
      </w:r>
      <w:r>
        <w:rPr>
          <w:w w:val="100"/>
        </w:rPr>
        <w:t> </w:t>
      </w:r>
      <w:r>
        <w:rPr/>
        <w:t>新加坡币对人民币：</w:t>
      </w:r>
      <w:r>
        <w:rPr>
          <w:rFonts w:ascii="Times New Roman" w:hAnsi="Times New Roman" w:cs="Times New Roman" w:eastAsia="Times New Roman" w:hint="default"/>
        </w:rPr>
        <w:t>4.8475</w:t>
      </w:r>
      <w:r>
        <w:rPr/>
        <w:t>；</w:t>
      </w:r>
      <w:r>
        <w:rPr>
          <w:w w:val="100"/>
        </w:rPr>
        <w:t> </w:t>
      </w:r>
      <w:r>
        <w:rPr/>
        <w:t>马来西亚币对人民币：</w:t>
      </w:r>
      <w:r>
        <w:rPr>
          <w:rFonts w:ascii="Times New Roman" w:hAnsi="Times New Roman" w:cs="Times New Roman" w:eastAsia="Times New Roman" w:hint="default"/>
        </w:rPr>
        <w:t>1.9819</w:t>
      </w:r>
      <w:r>
        <w:rPr/>
        <w:t>。</w:t>
      </w:r>
    </w:p>
    <w:p>
      <w:pPr>
        <w:spacing w:line="240" w:lineRule="auto" w:before="0"/>
        <w:rPr>
          <w:rFonts w:ascii="宋体" w:hAnsi="宋体" w:cs="宋体" w:eastAsia="宋体" w:hint="default"/>
          <w:sz w:val="22"/>
          <w:szCs w:val="22"/>
        </w:rPr>
      </w:pPr>
    </w:p>
    <w:p>
      <w:pPr>
        <w:pStyle w:val="Heading4"/>
        <w:spacing w:line="240" w:lineRule="auto" w:before="183"/>
        <w:ind w:left="675" w:right="0"/>
        <w:jc w:val="left"/>
        <w:rPr>
          <w:b w:val="0"/>
          <w:bCs w:val="0"/>
        </w:rPr>
      </w:pPr>
      <w:r>
        <w:rPr/>
        <w:t>（五）合并会计报表主要项目附注</w:t>
      </w:r>
      <w:r>
        <w:rPr>
          <w:b w:val="0"/>
          <w:bCs w:val="0"/>
        </w:rPr>
      </w:r>
    </w:p>
    <w:p>
      <w:pPr>
        <w:pStyle w:val="BodyText"/>
        <w:spacing w:line="240" w:lineRule="auto" w:before="164"/>
        <w:ind w:left="672" w:right="0"/>
        <w:jc w:val="left"/>
      </w:pPr>
      <w:r>
        <w:rPr/>
        <w:t>（以下附注未经特别注明，年末余额指</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日账面余额，年初余额指</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151"/>
        <w:ind w:left="253" w:right="0"/>
        <w:jc w:val="left"/>
      </w:pPr>
      <w:r>
        <w:rPr/>
        <w:t>账面余额，本年发生额指</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年度发生额，上年发生额是指</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年度发生额。金额单位为人民币元）</w:t>
      </w:r>
    </w:p>
    <w:p>
      <w:pPr>
        <w:pStyle w:val="BodyText"/>
        <w:spacing w:line="240" w:lineRule="auto" w:before="148"/>
        <w:ind w:left="673" w:right="0"/>
        <w:jc w:val="left"/>
      </w:pPr>
      <w:r>
        <w:rPr>
          <w:rFonts w:ascii="Times New Roman" w:hAnsi="Times New Roman" w:cs="Times New Roman" w:eastAsia="Times New Roman" w:hint="default"/>
        </w:rPr>
        <w:t>1</w:t>
      </w:r>
      <w:r>
        <w:rPr/>
        <w:t>．货币资金</w:t>
      </w:r>
    </w:p>
    <w:tbl>
      <w:tblPr>
        <w:tblW w:w="0" w:type="auto"/>
        <w:jc w:val="left"/>
        <w:tblInd w:w="116" w:type="dxa"/>
        <w:tblLayout w:type="fixed"/>
        <w:tblCellMar>
          <w:top w:w="0" w:type="dxa"/>
          <w:left w:w="0" w:type="dxa"/>
          <w:bottom w:w="0" w:type="dxa"/>
          <w:right w:w="0" w:type="dxa"/>
        </w:tblCellMar>
        <w:tblLook w:val="01E0"/>
      </w:tblPr>
      <w:tblGrid>
        <w:gridCol w:w="1984"/>
        <w:gridCol w:w="967"/>
        <w:gridCol w:w="2936"/>
        <w:gridCol w:w="1985"/>
        <w:gridCol w:w="1997"/>
      </w:tblGrid>
      <w:tr>
        <w:trPr>
          <w:trHeight w:val="458" w:hRule="exact"/>
        </w:trPr>
        <w:tc>
          <w:tcPr>
            <w:tcW w:w="5887" w:type="dxa"/>
            <w:gridSpan w:val="3"/>
            <w:tcBorders>
              <w:top w:val="single" w:sz="12"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136"/>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6"/>
              <w:ind w:left="571"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9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6"/>
              <w:ind w:left="578"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37" w:hRule="exact"/>
        </w:trPr>
        <w:tc>
          <w:tcPr>
            <w:tcW w:w="5887" w:type="dxa"/>
            <w:gridSpan w:val="3"/>
            <w:tcBorders>
              <w:top w:val="single" w:sz="2" w:space="0" w:color="000000"/>
              <w:left w:val="nil" w:sz="6" w:space="0" w:color="auto"/>
              <w:bottom w:val="nil" w:sz="6" w:space="0" w:color="auto"/>
              <w:right w:val="single" w:sz="2" w:space="0" w:color="000000"/>
            </w:tcBorders>
          </w:tcPr>
          <w:p>
            <w:pPr>
              <w:pStyle w:val="TableParagraph"/>
              <w:tabs>
                <w:tab w:pos="647" w:val="left" w:leader="none"/>
              </w:tabs>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现</w:t>
              <w:tab/>
              <w:t>金</w:t>
            </w:r>
          </w:p>
        </w:tc>
        <w:tc>
          <w:tcPr>
            <w:tcW w:w="1985"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481,674.15</w:t>
            </w:r>
          </w:p>
        </w:tc>
        <w:tc>
          <w:tcPr>
            <w:tcW w:w="1997" w:type="dxa"/>
            <w:tcBorders>
              <w:top w:val="single" w:sz="2" w:space="0" w:color="000000"/>
              <w:left w:val="single" w:sz="2"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412,655.58</w:t>
            </w:r>
          </w:p>
        </w:tc>
      </w:tr>
      <w:tr>
        <w:trPr>
          <w:trHeight w:val="440" w:hRule="exact"/>
        </w:trPr>
        <w:tc>
          <w:tcPr>
            <w:tcW w:w="5887" w:type="dxa"/>
            <w:gridSpan w:val="3"/>
            <w:tcBorders>
              <w:top w:val="nil" w:sz="6" w:space="0" w:color="auto"/>
              <w:left w:val="nil" w:sz="6" w:space="0" w:color="auto"/>
              <w:bottom w:val="nil" w:sz="6" w:space="0" w:color="auto"/>
              <w:right w:val="single" w:sz="2"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985" w:type="dxa"/>
            <w:tcBorders>
              <w:top w:val="nil" w:sz="6" w:space="0" w:color="auto"/>
              <w:left w:val="single" w:sz="2" w:space="0" w:color="000000"/>
              <w:bottom w:val="nil" w:sz="6" w:space="0" w:color="auto"/>
              <w:right w:val="single" w:sz="2"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436,718,729.94</w:t>
            </w:r>
          </w:p>
        </w:tc>
        <w:tc>
          <w:tcPr>
            <w:tcW w:w="1997" w:type="dxa"/>
            <w:tcBorders>
              <w:top w:val="nil" w:sz="6" w:space="0" w:color="auto"/>
              <w:left w:val="single" w:sz="2" w:space="0" w:color="000000"/>
              <w:bottom w:val="nil" w:sz="6" w:space="0" w:color="auto"/>
              <w:right w:val="nil" w:sz="6" w:space="0" w:color="auto"/>
            </w:tcBorders>
          </w:tcPr>
          <w:p>
            <w:pPr>
              <w:pStyle w:val="TableParagraph"/>
              <w:spacing w:line="240" w:lineRule="auto" w:before="99"/>
              <w:ind w:right="103"/>
              <w:jc w:val="right"/>
              <w:rPr>
                <w:rFonts w:ascii="Times New Roman" w:hAnsi="Times New Roman" w:cs="Times New Roman" w:eastAsia="Times New Roman" w:hint="default"/>
                <w:sz w:val="21"/>
                <w:szCs w:val="21"/>
              </w:rPr>
            </w:pPr>
            <w:r>
              <w:rPr>
                <w:rFonts w:ascii="Times New Roman"/>
                <w:spacing w:val="-1"/>
                <w:sz w:val="21"/>
              </w:rPr>
              <w:t>482,712,522.46</w:t>
            </w:r>
          </w:p>
        </w:tc>
      </w:tr>
      <w:tr>
        <w:trPr>
          <w:trHeight w:val="347" w:hRule="exact"/>
        </w:trPr>
        <w:tc>
          <w:tcPr>
            <w:tcW w:w="5887" w:type="dxa"/>
            <w:gridSpan w:val="3"/>
            <w:tcBorders>
              <w:top w:val="nil" w:sz="6" w:space="0" w:color="auto"/>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985"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730,709.50</w:t>
            </w:r>
          </w:p>
        </w:tc>
        <w:tc>
          <w:tcPr>
            <w:tcW w:w="1997" w:type="dxa"/>
            <w:tcBorders>
              <w:top w:val="nil" w:sz="6" w:space="0" w:color="auto"/>
              <w:left w:val="single" w:sz="2" w:space="0" w:color="000000"/>
              <w:bottom w:val="single" w:sz="2"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8,385,826.98</w:t>
            </w:r>
          </w:p>
        </w:tc>
      </w:tr>
      <w:tr>
        <w:trPr>
          <w:trHeight w:val="458" w:hRule="exact"/>
        </w:trPr>
        <w:tc>
          <w:tcPr>
            <w:tcW w:w="1984" w:type="dxa"/>
            <w:tcBorders>
              <w:top w:val="single" w:sz="2" w:space="0" w:color="000000"/>
              <w:left w:val="nil" w:sz="6" w:space="0" w:color="auto"/>
              <w:bottom w:val="single" w:sz="12" w:space="0" w:color="000000"/>
              <w:right w:val="nil" w:sz="6" w:space="0" w:color="auto"/>
            </w:tcBorders>
          </w:tcPr>
          <w:p>
            <w:pPr/>
          </w:p>
        </w:tc>
        <w:tc>
          <w:tcPr>
            <w:tcW w:w="967" w:type="dxa"/>
            <w:tcBorders>
              <w:top w:val="single" w:sz="2" w:space="0" w:color="000000"/>
              <w:left w:val="nil" w:sz="6" w:space="0" w:color="auto"/>
              <w:bottom w:val="single" w:sz="12" w:space="0" w:color="000000"/>
              <w:right w:val="nil" w:sz="6" w:space="0" w:color="auto"/>
            </w:tcBorders>
          </w:tcPr>
          <w:p>
            <w:pPr>
              <w:pStyle w:val="TableParagraph"/>
              <w:spacing w:line="240" w:lineRule="auto" w:before="134"/>
              <w:ind w:left="598" w:right="0"/>
              <w:jc w:val="left"/>
              <w:rPr>
                <w:rFonts w:ascii="宋体" w:hAnsi="宋体" w:cs="宋体" w:eastAsia="宋体" w:hint="default"/>
                <w:sz w:val="21"/>
                <w:szCs w:val="21"/>
              </w:rPr>
            </w:pPr>
            <w:r>
              <w:rPr>
                <w:rFonts w:ascii="宋体" w:hAnsi="宋体" w:cs="宋体" w:eastAsia="宋体" w:hint="default"/>
                <w:w w:val="100"/>
                <w:sz w:val="21"/>
                <w:szCs w:val="21"/>
              </w:rPr>
              <w:t>合</w:t>
            </w:r>
          </w:p>
        </w:tc>
        <w:tc>
          <w:tcPr>
            <w:tcW w:w="29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4"/>
              <w:ind w:left="157"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437,931,113.59</w:t>
            </w:r>
          </w:p>
        </w:tc>
        <w:tc>
          <w:tcPr>
            <w:tcW w:w="19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491,511,005.02</w:t>
            </w:r>
          </w:p>
        </w:tc>
      </w:tr>
    </w:tbl>
    <w:p>
      <w:pPr>
        <w:spacing w:line="240" w:lineRule="auto" w:before="2"/>
        <w:rPr>
          <w:rFonts w:ascii="宋体" w:hAnsi="宋体" w:cs="宋体" w:eastAsia="宋体" w:hint="default"/>
          <w:sz w:val="6"/>
          <w:szCs w:val="6"/>
        </w:rPr>
      </w:pPr>
    </w:p>
    <w:p>
      <w:pPr>
        <w:pStyle w:val="BodyText"/>
        <w:spacing w:line="240" w:lineRule="auto" w:before="36"/>
        <w:ind w:left="672" w:right="0"/>
        <w:jc w:val="left"/>
      </w:pPr>
      <w:r>
        <w:rPr/>
        <w:t>货币资金按币种列示如下：</w:t>
      </w:r>
    </w:p>
    <w:p>
      <w:pPr>
        <w:spacing w:line="240" w:lineRule="auto" w:before="7"/>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450"/>
        <w:gridCol w:w="1482"/>
        <w:gridCol w:w="1942"/>
        <w:gridCol w:w="2006"/>
        <w:gridCol w:w="1877"/>
        <w:gridCol w:w="1939"/>
      </w:tblGrid>
      <w:tr>
        <w:trPr>
          <w:trHeight w:val="430" w:hRule="exact"/>
        </w:trPr>
        <w:tc>
          <w:tcPr>
            <w:tcW w:w="1932" w:type="dxa"/>
            <w:gridSpan w:val="2"/>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tabs>
                <w:tab w:pos="1178" w:val="left" w:leader="none"/>
              </w:tabs>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76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20" w:hRule="exact"/>
        </w:trPr>
        <w:tc>
          <w:tcPr>
            <w:tcW w:w="1932" w:type="dxa"/>
            <w:gridSpan w:val="2"/>
            <w:vMerge/>
            <w:tcBorders>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04" w:hRule="exact"/>
        </w:trPr>
        <w:tc>
          <w:tcPr>
            <w:tcW w:w="450"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28" w:right="0"/>
              <w:jc w:val="left"/>
              <w:rPr>
                <w:rFonts w:ascii="宋体" w:hAnsi="宋体" w:cs="宋体" w:eastAsia="宋体" w:hint="default"/>
                <w:sz w:val="21"/>
                <w:szCs w:val="21"/>
              </w:rPr>
            </w:pPr>
            <w:r>
              <w:rPr>
                <w:rFonts w:ascii="宋体" w:hAnsi="宋体" w:cs="宋体" w:eastAsia="宋体" w:hint="default"/>
                <w:w w:val="100"/>
                <w:sz w:val="21"/>
                <w:szCs w:val="21"/>
              </w:rPr>
              <w:t>现</w:t>
            </w:r>
          </w:p>
        </w:tc>
        <w:tc>
          <w:tcPr>
            <w:tcW w:w="1482" w:type="dxa"/>
            <w:tcBorders>
              <w:top w:val="single" w:sz="4" w:space="0" w:color="000000"/>
              <w:left w:val="nil" w:sz="6" w:space="0" w:color="auto"/>
              <w:bottom w:val="nil" w:sz="6" w:space="0" w:color="auto"/>
              <w:right w:val="single" w:sz="4" w:space="0" w:color="000000"/>
            </w:tcBorders>
          </w:tcPr>
          <w:p>
            <w:pPr>
              <w:pStyle w:val="TableParagraph"/>
              <w:spacing w:line="240" w:lineRule="auto" w:before="105"/>
              <w:ind w:left="21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9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4"/>
              <w:ind w:left="1" w:right="0"/>
              <w:jc w:val="center"/>
              <w:rPr>
                <w:rFonts w:ascii="Times New Roman" w:hAnsi="Times New Roman" w:cs="Times New Roman" w:eastAsia="Times New Roman" w:hint="default"/>
                <w:sz w:val="21"/>
                <w:szCs w:val="21"/>
              </w:rPr>
            </w:pPr>
            <w:r>
              <w:rPr>
                <w:rFonts w:ascii="Times New Roman"/>
                <w:sz w:val="21"/>
              </w:rPr>
              <w:t>RMB</w:t>
            </w:r>
          </w:p>
        </w:tc>
        <w:tc>
          <w:tcPr>
            <w:tcW w:w="20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4"/>
              <w:ind w:right="21"/>
              <w:jc w:val="right"/>
              <w:rPr>
                <w:rFonts w:ascii="Times New Roman" w:hAnsi="Times New Roman" w:cs="Times New Roman" w:eastAsia="Times New Roman" w:hint="default"/>
                <w:sz w:val="21"/>
                <w:szCs w:val="21"/>
              </w:rPr>
            </w:pPr>
            <w:r>
              <w:rPr>
                <w:rFonts w:ascii="Times New Roman"/>
                <w:spacing w:val="-1"/>
                <w:sz w:val="21"/>
              </w:rPr>
              <w:t>440,762.23</w:t>
            </w:r>
          </w:p>
        </w:tc>
        <w:tc>
          <w:tcPr>
            <w:tcW w:w="18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4"/>
              <w:ind w:right="17"/>
              <w:jc w:val="right"/>
              <w:rPr>
                <w:rFonts w:ascii="Times New Roman" w:hAnsi="Times New Roman" w:cs="Times New Roman" w:eastAsia="Times New Roman" w:hint="default"/>
                <w:sz w:val="21"/>
                <w:szCs w:val="21"/>
              </w:rPr>
            </w:pPr>
            <w:r>
              <w:rPr>
                <w:rFonts w:ascii="Times New Roman"/>
                <w:sz w:val="21"/>
              </w:rPr>
              <w:t>1.0000</w:t>
            </w:r>
          </w:p>
        </w:tc>
        <w:tc>
          <w:tcPr>
            <w:tcW w:w="1939" w:type="dxa"/>
            <w:tcBorders>
              <w:top w:val="single" w:sz="4" w:space="0" w:color="000000"/>
              <w:left w:val="single" w:sz="4" w:space="0" w:color="000000"/>
              <w:bottom w:val="nil" w:sz="6" w:space="0" w:color="auto"/>
              <w:right w:val="nil" w:sz="6" w:space="0" w:color="auto"/>
            </w:tcBorders>
          </w:tcPr>
          <w:p>
            <w:pPr>
              <w:pStyle w:val="TableParagraph"/>
              <w:spacing w:line="240" w:lineRule="auto" w:before="164"/>
              <w:ind w:right="24"/>
              <w:jc w:val="right"/>
              <w:rPr>
                <w:rFonts w:ascii="Times New Roman" w:hAnsi="Times New Roman" w:cs="Times New Roman" w:eastAsia="Times New Roman" w:hint="default"/>
                <w:sz w:val="21"/>
                <w:szCs w:val="21"/>
              </w:rPr>
            </w:pPr>
            <w:r>
              <w:rPr>
                <w:rFonts w:ascii="Times New Roman"/>
                <w:spacing w:val="-1"/>
                <w:sz w:val="21"/>
              </w:rPr>
              <w:t>440,762.23</w:t>
            </w:r>
          </w:p>
        </w:tc>
      </w:tr>
      <w:tr>
        <w:trPr>
          <w:trHeight w:val="409" w:hRule="exact"/>
        </w:trPr>
        <w:tc>
          <w:tcPr>
            <w:tcW w:w="450"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
              <w:jc w:val="center"/>
              <w:rPr>
                <w:rFonts w:ascii="Times New Roman" w:hAnsi="Times New Roman" w:cs="Times New Roman" w:eastAsia="Times New Roman" w:hint="default"/>
                <w:sz w:val="21"/>
                <w:szCs w:val="21"/>
              </w:rPr>
            </w:pPr>
            <w:r>
              <w:rPr>
                <w:rFonts w:ascii="Times New Roman"/>
                <w:spacing w:val="-3"/>
                <w:sz w:val="21"/>
              </w:rPr>
              <w:t>HKD</w:t>
            </w:r>
            <w:r>
              <w:rPr>
                <w:rFonts w:ascii="Times New Roman"/>
                <w:sz w:val="21"/>
              </w:rPr>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19,780.00</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21"/>
                <w:szCs w:val="21"/>
              </w:rPr>
            </w:pPr>
            <w:r>
              <w:rPr>
                <w:rFonts w:ascii="Times New Roman"/>
                <w:sz w:val="21"/>
              </w:rPr>
              <w:t>0.8107</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24"/>
              <w:jc w:val="right"/>
              <w:rPr>
                <w:rFonts w:ascii="Times New Roman" w:hAnsi="Times New Roman" w:cs="Times New Roman" w:eastAsia="Times New Roman" w:hint="default"/>
                <w:sz w:val="21"/>
                <w:szCs w:val="21"/>
              </w:rPr>
            </w:pPr>
            <w:r>
              <w:rPr>
                <w:rFonts w:ascii="Times New Roman"/>
                <w:spacing w:val="-1"/>
                <w:sz w:val="21"/>
              </w:rPr>
              <w:t>16,035.65</w:t>
            </w:r>
          </w:p>
        </w:tc>
      </w:tr>
      <w:tr>
        <w:trPr>
          <w:trHeight w:val="410" w:hRule="exact"/>
        </w:trPr>
        <w:tc>
          <w:tcPr>
            <w:tcW w:w="450"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SGD</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spacing w:val="-1"/>
                <w:sz w:val="21"/>
              </w:rPr>
              <w:t>2,314.73</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21"/>
                <w:szCs w:val="21"/>
              </w:rPr>
            </w:pPr>
            <w:r>
              <w:rPr>
                <w:rFonts w:ascii="Times New Roman"/>
                <w:sz w:val="21"/>
              </w:rPr>
              <w:t>4.8475</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21"/>
                <w:szCs w:val="21"/>
              </w:rPr>
            </w:pPr>
            <w:r>
              <w:rPr>
                <w:rFonts w:ascii="Times New Roman"/>
                <w:spacing w:val="-2"/>
                <w:sz w:val="21"/>
              </w:rPr>
              <w:t>11,220.61</w:t>
            </w:r>
          </w:p>
        </w:tc>
      </w:tr>
      <w:tr>
        <w:trPr>
          <w:trHeight w:val="400" w:hRule="exact"/>
        </w:trPr>
        <w:tc>
          <w:tcPr>
            <w:tcW w:w="450"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MYC</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spacing w:val="-1"/>
                <w:sz w:val="21"/>
              </w:rPr>
              <w:t>6,890.29</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21"/>
                <w:szCs w:val="21"/>
              </w:rPr>
            </w:pPr>
            <w:r>
              <w:rPr>
                <w:rFonts w:ascii="Times New Roman"/>
                <w:sz w:val="21"/>
              </w:rPr>
              <w:t>1.9819</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21"/>
                <w:szCs w:val="21"/>
              </w:rPr>
            </w:pPr>
            <w:r>
              <w:rPr>
                <w:rFonts w:ascii="Times New Roman"/>
                <w:spacing w:val="-1"/>
                <w:sz w:val="21"/>
              </w:rPr>
              <w:t>13,655.66</w:t>
            </w:r>
          </w:p>
        </w:tc>
      </w:tr>
      <w:tr>
        <w:trPr>
          <w:trHeight w:val="333" w:hRule="exact"/>
        </w:trPr>
        <w:tc>
          <w:tcPr>
            <w:tcW w:w="450"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21"/>
              <w:jc w:val="right"/>
              <w:rPr>
                <w:rFonts w:ascii="Times New Roman" w:hAnsi="Times New Roman" w:cs="Times New Roman" w:eastAsia="Times New Roman" w:hint="default"/>
                <w:sz w:val="21"/>
                <w:szCs w:val="21"/>
              </w:rPr>
            </w:pPr>
            <w:r>
              <w:rPr>
                <w:rFonts w:ascii="Times New Roman"/>
                <w:spacing w:val="-1"/>
                <w:sz w:val="21"/>
              </w:rPr>
              <w:t>481,674.15</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200" w:bottom="1160" w:left="880" w:right="880"/>
        </w:sectPr>
      </w:pPr>
    </w:p>
    <w:p>
      <w:pPr>
        <w:spacing w:line="240" w:lineRule="auto" w:before="10"/>
        <w:rPr>
          <w:rFonts w:ascii="宋体" w:hAnsi="宋体" w:cs="宋体" w:eastAsia="宋体" w:hint="default"/>
          <w:sz w:val="3"/>
          <w:szCs w:val="3"/>
        </w:rPr>
      </w:pPr>
    </w:p>
    <w:tbl>
      <w:tblPr>
        <w:tblW w:w="0" w:type="auto"/>
        <w:jc w:val="left"/>
        <w:tblInd w:w="169" w:type="dxa"/>
        <w:tblLayout w:type="fixed"/>
        <w:tblCellMar>
          <w:top w:w="0" w:type="dxa"/>
          <w:left w:w="0" w:type="dxa"/>
          <w:bottom w:w="0" w:type="dxa"/>
          <w:right w:w="0" w:type="dxa"/>
        </w:tblCellMar>
        <w:tblLook w:val="01E0"/>
      </w:tblPr>
      <w:tblGrid>
        <w:gridCol w:w="1946"/>
        <w:gridCol w:w="1942"/>
        <w:gridCol w:w="2006"/>
        <w:gridCol w:w="1877"/>
        <w:gridCol w:w="1939"/>
      </w:tblGrid>
      <w:tr>
        <w:trPr>
          <w:trHeight w:val="506" w:hRule="exact"/>
        </w:trPr>
        <w:tc>
          <w:tcPr>
            <w:tcW w:w="1946" w:type="dxa"/>
            <w:tcBorders>
              <w:top w:val="single" w:sz="6" w:space="0" w:color="000000"/>
              <w:left w:val="nil" w:sz="6" w:space="0" w:color="auto"/>
              <w:bottom w:val="nil" w:sz="6" w:space="0" w:color="auto"/>
              <w:right w:val="single" w:sz="4" w:space="0" w:color="000000"/>
            </w:tcBorders>
          </w:tcPr>
          <w:p>
            <w:pPr>
              <w:pStyle w:val="TableParagraph"/>
              <w:spacing w:line="240" w:lineRule="auto" w:before="102"/>
              <w:ind w:left="4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94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RMB</w:t>
            </w:r>
          </w:p>
        </w:tc>
        <w:tc>
          <w:tcPr>
            <w:tcW w:w="2006"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61"/>
              <w:ind w:right="23"/>
              <w:jc w:val="right"/>
              <w:rPr>
                <w:rFonts w:ascii="Times New Roman" w:hAnsi="Times New Roman" w:cs="Times New Roman" w:eastAsia="Times New Roman" w:hint="default"/>
                <w:sz w:val="21"/>
                <w:szCs w:val="21"/>
              </w:rPr>
            </w:pPr>
            <w:r>
              <w:rPr>
                <w:rFonts w:ascii="Times New Roman"/>
                <w:spacing w:val="-1"/>
                <w:sz w:val="21"/>
              </w:rPr>
              <w:t>418,354,441.99</w:t>
            </w:r>
          </w:p>
        </w:tc>
        <w:tc>
          <w:tcPr>
            <w:tcW w:w="1877"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61"/>
              <w:ind w:right="17"/>
              <w:jc w:val="right"/>
              <w:rPr>
                <w:rFonts w:ascii="Times New Roman" w:hAnsi="Times New Roman" w:cs="Times New Roman" w:eastAsia="Times New Roman" w:hint="default"/>
                <w:sz w:val="21"/>
                <w:szCs w:val="21"/>
              </w:rPr>
            </w:pPr>
            <w:r>
              <w:rPr>
                <w:rFonts w:ascii="Times New Roman"/>
                <w:sz w:val="21"/>
              </w:rPr>
              <w:t>1.0000</w:t>
            </w:r>
          </w:p>
        </w:tc>
        <w:tc>
          <w:tcPr>
            <w:tcW w:w="1939" w:type="dxa"/>
            <w:tcBorders>
              <w:top w:val="single" w:sz="6" w:space="0" w:color="000000"/>
              <w:left w:val="single" w:sz="4" w:space="0" w:color="000000"/>
              <w:bottom w:val="nil" w:sz="6" w:space="0" w:color="auto"/>
              <w:right w:val="nil" w:sz="6" w:space="0" w:color="auto"/>
            </w:tcBorders>
          </w:tcPr>
          <w:p>
            <w:pPr>
              <w:pStyle w:val="TableParagraph"/>
              <w:spacing w:line="240" w:lineRule="auto" w:before="161"/>
              <w:ind w:right="24"/>
              <w:jc w:val="right"/>
              <w:rPr>
                <w:rFonts w:ascii="Times New Roman" w:hAnsi="Times New Roman" w:cs="Times New Roman" w:eastAsia="Times New Roman" w:hint="default"/>
                <w:sz w:val="21"/>
                <w:szCs w:val="21"/>
              </w:rPr>
            </w:pPr>
            <w:r>
              <w:rPr>
                <w:rFonts w:ascii="Times New Roman"/>
                <w:spacing w:val="-1"/>
                <w:sz w:val="21"/>
              </w:rPr>
              <w:t>418,354,441.99</w:t>
            </w:r>
          </w:p>
        </w:tc>
      </w:tr>
      <w:tr>
        <w:trPr>
          <w:trHeight w:val="410" w:hRule="exact"/>
        </w:trPr>
        <w:tc>
          <w:tcPr>
            <w:tcW w:w="1946"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5"/>
              <w:jc w:val="center"/>
              <w:rPr>
                <w:rFonts w:ascii="Times New Roman" w:hAnsi="Times New Roman" w:cs="Times New Roman" w:eastAsia="Times New Roman" w:hint="default"/>
                <w:sz w:val="21"/>
                <w:szCs w:val="21"/>
              </w:rPr>
            </w:pPr>
            <w:r>
              <w:rPr>
                <w:rFonts w:ascii="Times New Roman"/>
                <w:spacing w:val="-3"/>
                <w:sz w:val="21"/>
              </w:rPr>
              <w:t>HKD</w:t>
            </w:r>
            <w:r>
              <w:rPr>
                <w:rFonts w:ascii="Times New Roman"/>
                <w:sz w:val="21"/>
              </w:rPr>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spacing w:val="-1"/>
                <w:sz w:val="21"/>
              </w:rPr>
              <w:t>20,824,056.24</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21"/>
                <w:szCs w:val="21"/>
              </w:rPr>
            </w:pPr>
            <w:r>
              <w:rPr>
                <w:rFonts w:ascii="Times New Roman"/>
                <w:sz w:val="21"/>
              </w:rPr>
              <w:t>0.8107</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21"/>
                <w:szCs w:val="21"/>
              </w:rPr>
            </w:pPr>
            <w:r>
              <w:rPr>
                <w:rFonts w:ascii="Times New Roman"/>
                <w:spacing w:val="-1"/>
                <w:sz w:val="21"/>
              </w:rPr>
              <w:t>16,882,062.40</w:t>
            </w:r>
          </w:p>
        </w:tc>
      </w:tr>
      <w:tr>
        <w:trPr>
          <w:trHeight w:val="409" w:hRule="exact"/>
        </w:trPr>
        <w:tc>
          <w:tcPr>
            <w:tcW w:w="1946"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SGD</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spacing w:val="-1"/>
                <w:sz w:val="21"/>
              </w:rPr>
              <w:t>74,406.14</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21"/>
                <w:szCs w:val="21"/>
              </w:rPr>
            </w:pPr>
            <w:r>
              <w:rPr>
                <w:rFonts w:ascii="Times New Roman"/>
                <w:sz w:val="21"/>
              </w:rPr>
              <w:t>4.8475</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21"/>
                <w:szCs w:val="21"/>
              </w:rPr>
            </w:pPr>
            <w:r>
              <w:rPr>
                <w:rFonts w:ascii="Times New Roman"/>
                <w:spacing w:val="-1"/>
                <w:sz w:val="21"/>
              </w:rPr>
              <w:t>360,682.28</w:t>
            </w:r>
          </w:p>
        </w:tc>
      </w:tr>
      <w:tr>
        <w:trPr>
          <w:trHeight w:val="399" w:hRule="exact"/>
        </w:trPr>
        <w:tc>
          <w:tcPr>
            <w:tcW w:w="1946"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MYC</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565,901.53</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21"/>
                <w:szCs w:val="21"/>
              </w:rPr>
            </w:pPr>
            <w:r>
              <w:rPr>
                <w:rFonts w:ascii="Times New Roman"/>
                <w:sz w:val="21"/>
              </w:rPr>
              <w:t>1.9819</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24"/>
              <w:jc w:val="right"/>
              <w:rPr>
                <w:rFonts w:ascii="Times New Roman" w:hAnsi="Times New Roman" w:cs="Times New Roman" w:eastAsia="Times New Roman" w:hint="default"/>
                <w:sz w:val="21"/>
                <w:szCs w:val="21"/>
              </w:rPr>
            </w:pPr>
            <w:r>
              <w:rPr>
                <w:rFonts w:ascii="Times New Roman"/>
                <w:spacing w:val="-1"/>
                <w:sz w:val="21"/>
              </w:rPr>
              <w:t>1,121,543.27</w:t>
            </w:r>
          </w:p>
        </w:tc>
      </w:tr>
      <w:tr>
        <w:trPr>
          <w:trHeight w:val="421" w:hRule="exact"/>
        </w:trPr>
        <w:tc>
          <w:tcPr>
            <w:tcW w:w="1946"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21"/>
              <w:jc w:val="right"/>
              <w:rPr>
                <w:rFonts w:ascii="Times New Roman" w:hAnsi="Times New Roman" w:cs="Times New Roman" w:eastAsia="Times New Roman" w:hint="default"/>
                <w:sz w:val="21"/>
                <w:szCs w:val="21"/>
              </w:rPr>
            </w:pPr>
            <w:r>
              <w:rPr>
                <w:rFonts w:ascii="Times New Roman"/>
                <w:spacing w:val="-1"/>
                <w:sz w:val="21"/>
              </w:rPr>
              <w:t>436,718,729.94</w:t>
            </w:r>
          </w:p>
        </w:tc>
      </w:tr>
      <w:tr>
        <w:trPr>
          <w:trHeight w:val="400" w:hRule="exact"/>
        </w:trPr>
        <w:tc>
          <w:tcPr>
            <w:tcW w:w="1946" w:type="dxa"/>
            <w:tcBorders>
              <w:top w:val="nil" w:sz="6" w:space="0" w:color="auto"/>
              <w:left w:val="nil" w:sz="6" w:space="0" w:color="auto"/>
              <w:bottom w:val="nil" w:sz="6" w:space="0" w:color="auto"/>
              <w:right w:val="single" w:sz="4" w:space="0" w:color="000000"/>
            </w:tcBorders>
          </w:tcPr>
          <w:p>
            <w:pPr>
              <w:pStyle w:val="TableParagraph"/>
              <w:spacing w:line="240" w:lineRule="auto" w:before="14"/>
              <w:ind w:left="4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RMB</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21"/>
                <w:szCs w:val="21"/>
              </w:rPr>
            </w:pPr>
            <w:r>
              <w:rPr>
                <w:rFonts w:ascii="Times New Roman"/>
                <w:spacing w:val="-1"/>
                <w:sz w:val="21"/>
              </w:rPr>
              <w:t>730,709.50</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21"/>
                <w:szCs w:val="21"/>
              </w:rPr>
            </w:pPr>
            <w:r>
              <w:rPr>
                <w:rFonts w:ascii="Times New Roman"/>
                <w:spacing w:val="-1"/>
                <w:sz w:val="21"/>
              </w:rPr>
              <w:t>1.00000</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23"/>
              <w:jc w:val="right"/>
              <w:rPr>
                <w:rFonts w:ascii="Times New Roman" w:hAnsi="Times New Roman" w:cs="Times New Roman" w:eastAsia="Times New Roman" w:hint="default"/>
                <w:sz w:val="21"/>
                <w:szCs w:val="21"/>
              </w:rPr>
            </w:pPr>
            <w:r>
              <w:rPr>
                <w:rFonts w:ascii="Times New Roman"/>
                <w:spacing w:val="-1"/>
                <w:sz w:val="21"/>
              </w:rPr>
              <w:t>730,709.50</w:t>
            </w:r>
          </w:p>
        </w:tc>
      </w:tr>
      <w:tr>
        <w:trPr>
          <w:trHeight w:val="338" w:hRule="exact"/>
        </w:trPr>
        <w:tc>
          <w:tcPr>
            <w:tcW w:w="1946" w:type="dxa"/>
            <w:tcBorders>
              <w:top w:val="nil" w:sz="6" w:space="0" w:color="auto"/>
              <w:left w:val="nil" w:sz="6" w:space="0" w:color="auto"/>
              <w:bottom w:val="single" w:sz="4" w:space="0" w:color="000000"/>
              <w:right w:val="single" w:sz="4" w:space="0" w:color="000000"/>
            </w:tcBorders>
          </w:tcPr>
          <w:p>
            <w:pPr/>
          </w:p>
        </w:tc>
        <w:tc>
          <w:tcPr>
            <w:tcW w:w="19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0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7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39" w:type="dxa"/>
            <w:tcBorders>
              <w:top w:val="nil" w:sz="6" w:space="0" w:color="auto"/>
              <w:left w:val="single" w:sz="4" w:space="0" w:color="000000"/>
              <w:bottom w:val="single" w:sz="4" w:space="0" w:color="000000"/>
              <w:right w:val="nil" w:sz="6" w:space="0" w:color="auto"/>
            </w:tcBorders>
          </w:tcPr>
          <w:p>
            <w:pPr>
              <w:pStyle w:val="TableParagraph"/>
              <w:spacing w:line="240" w:lineRule="auto" w:before="84"/>
              <w:ind w:right="21"/>
              <w:jc w:val="right"/>
              <w:rPr>
                <w:rFonts w:ascii="Times New Roman" w:hAnsi="Times New Roman" w:cs="Times New Roman" w:eastAsia="Times New Roman" w:hint="default"/>
                <w:sz w:val="21"/>
                <w:szCs w:val="21"/>
              </w:rPr>
            </w:pPr>
            <w:r>
              <w:rPr>
                <w:rFonts w:ascii="Times New Roman"/>
                <w:spacing w:val="-1"/>
                <w:sz w:val="21"/>
              </w:rPr>
              <w:t>730,709.50</w:t>
            </w:r>
          </w:p>
        </w:tc>
      </w:tr>
      <w:tr>
        <w:trPr>
          <w:trHeight w:val="430" w:hRule="exact"/>
        </w:trPr>
        <w:tc>
          <w:tcPr>
            <w:tcW w:w="1946" w:type="dxa"/>
            <w:tcBorders>
              <w:top w:val="single" w:sz="4" w:space="0" w:color="000000"/>
              <w:left w:val="nil" w:sz="6" w:space="0" w:color="auto"/>
              <w:bottom w:val="single" w:sz="12" w:space="0" w:color="000000"/>
              <w:right w:val="single" w:sz="4" w:space="0" w:color="000000"/>
            </w:tcBorders>
          </w:tcPr>
          <w:p>
            <w:pPr>
              <w:pStyle w:val="TableParagraph"/>
              <w:tabs>
                <w:tab w:pos="1192" w:val="left" w:leader="none"/>
              </w:tabs>
              <w:spacing w:line="240" w:lineRule="auto" w:before="102"/>
              <w:ind w:left="56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1"/>
              <w:ind w:left="72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1"/>
              <w:ind w:right="21"/>
              <w:jc w:val="right"/>
              <w:rPr>
                <w:rFonts w:ascii="Times New Roman" w:hAnsi="Times New Roman" w:cs="Times New Roman" w:eastAsia="Times New Roman" w:hint="default"/>
                <w:sz w:val="21"/>
                <w:szCs w:val="21"/>
              </w:rPr>
            </w:pPr>
            <w:r>
              <w:rPr>
                <w:rFonts w:ascii="Times New Roman"/>
                <w:spacing w:val="-1"/>
                <w:sz w:val="21"/>
              </w:rPr>
              <w:t>437,931,113.59</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69" w:type="dxa"/>
        <w:tblLayout w:type="fixed"/>
        <w:tblCellMar>
          <w:top w:w="0" w:type="dxa"/>
          <w:left w:w="0" w:type="dxa"/>
          <w:bottom w:w="0" w:type="dxa"/>
          <w:right w:w="0" w:type="dxa"/>
        </w:tblCellMar>
        <w:tblLook w:val="01E0"/>
      </w:tblPr>
      <w:tblGrid>
        <w:gridCol w:w="1946"/>
        <w:gridCol w:w="1942"/>
        <w:gridCol w:w="2006"/>
        <w:gridCol w:w="1877"/>
        <w:gridCol w:w="1939"/>
      </w:tblGrid>
      <w:tr>
        <w:trPr>
          <w:trHeight w:val="430" w:hRule="exact"/>
        </w:trPr>
        <w:tc>
          <w:tcPr>
            <w:tcW w:w="1946"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tabs>
                <w:tab w:pos="1192" w:val="left" w:leader="none"/>
              </w:tabs>
              <w:spacing w:line="240" w:lineRule="auto"/>
              <w:ind w:left="56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76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20" w:hRule="exact"/>
        </w:trPr>
        <w:tc>
          <w:tcPr>
            <w:tcW w:w="1946" w:type="dxa"/>
            <w:vMerge/>
            <w:tcBorders>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24"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04" w:hRule="exact"/>
        </w:trPr>
        <w:tc>
          <w:tcPr>
            <w:tcW w:w="1946" w:type="dxa"/>
            <w:tcBorders>
              <w:top w:val="single" w:sz="4" w:space="0" w:color="000000"/>
              <w:left w:val="nil" w:sz="6" w:space="0" w:color="auto"/>
              <w:bottom w:val="nil" w:sz="6" w:space="0" w:color="auto"/>
              <w:right w:val="single" w:sz="4" w:space="0" w:color="000000"/>
            </w:tcBorders>
          </w:tcPr>
          <w:p>
            <w:pPr>
              <w:pStyle w:val="TableParagraph"/>
              <w:tabs>
                <w:tab w:pos="674" w:val="left" w:leader="none"/>
              </w:tabs>
              <w:spacing w:line="240" w:lineRule="auto" w:before="105"/>
              <w:ind w:left="43" w:right="0"/>
              <w:jc w:val="left"/>
              <w:rPr>
                <w:rFonts w:ascii="宋体" w:hAnsi="宋体" w:cs="宋体" w:eastAsia="宋体" w:hint="default"/>
                <w:sz w:val="21"/>
                <w:szCs w:val="21"/>
              </w:rPr>
            </w:pPr>
            <w:r>
              <w:rPr>
                <w:rFonts w:ascii="宋体" w:hAnsi="宋体" w:cs="宋体" w:eastAsia="宋体" w:hint="default"/>
                <w:sz w:val="21"/>
                <w:szCs w:val="21"/>
              </w:rPr>
              <w:t>现</w:t>
              <w:tab/>
              <w:t>金</w:t>
            </w:r>
          </w:p>
        </w:tc>
        <w:tc>
          <w:tcPr>
            <w:tcW w:w="19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4"/>
              <w:ind w:left="1" w:right="0"/>
              <w:jc w:val="center"/>
              <w:rPr>
                <w:rFonts w:ascii="Times New Roman" w:hAnsi="Times New Roman" w:cs="Times New Roman" w:eastAsia="Times New Roman" w:hint="default"/>
                <w:sz w:val="21"/>
                <w:szCs w:val="21"/>
              </w:rPr>
            </w:pPr>
            <w:r>
              <w:rPr>
                <w:rFonts w:ascii="Times New Roman"/>
                <w:sz w:val="21"/>
              </w:rPr>
              <w:t>RMB</w:t>
            </w:r>
          </w:p>
        </w:tc>
        <w:tc>
          <w:tcPr>
            <w:tcW w:w="20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4"/>
              <w:ind w:right="19"/>
              <w:jc w:val="right"/>
              <w:rPr>
                <w:rFonts w:ascii="Times New Roman" w:hAnsi="Times New Roman" w:cs="Times New Roman" w:eastAsia="Times New Roman" w:hint="default"/>
                <w:sz w:val="21"/>
                <w:szCs w:val="21"/>
              </w:rPr>
            </w:pPr>
            <w:r>
              <w:rPr>
                <w:rFonts w:ascii="Times New Roman"/>
                <w:spacing w:val="-1"/>
                <w:sz w:val="21"/>
              </w:rPr>
              <w:t>358,133.22</w:t>
            </w:r>
          </w:p>
        </w:tc>
        <w:tc>
          <w:tcPr>
            <w:tcW w:w="18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4"/>
              <w:ind w:right="119"/>
              <w:jc w:val="right"/>
              <w:rPr>
                <w:rFonts w:ascii="Times New Roman" w:hAnsi="Times New Roman" w:cs="Times New Roman" w:eastAsia="Times New Roman" w:hint="default"/>
                <w:sz w:val="21"/>
                <w:szCs w:val="21"/>
              </w:rPr>
            </w:pPr>
            <w:r>
              <w:rPr>
                <w:rFonts w:ascii="Times New Roman"/>
                <w:sz w:val="21"/>
              </w:rPr>
              <w:t>1.0000</w:t>
            </w:r>
          </w:p>
        </w:tc>
        <w:tc>
          <w:tcPr>
            <w:tcW w:w="1939" w:type="dxa"/>
            <w:tcBorders>
              <w:top w:val="single" w:sz="4" w:space="0" w:color="000000"/>
              <w:left w:val="single" w:sz="4" w:space="0" w:color="000000"/>
              <w:bottom w:val="nil" w:sz="6" w:space="0" w:color="auto"/>
              <w:right w:val="nil" w:sz="6" w:space="0" w:color="auto"/>
            </w:tcBorders>
          </w:tcPr>
          <w:p>
            <w:pPr>
              <w:pStyle w:val="TableParagraph"/>
              <w:spacing w:line="240" w:lineRule="auto" w:before="164"/>
              <w:ind w:right="21"/>
              <w:jc w:val="right"/>
              <w:rPr>
                <w:rFonts w:ascii="Times New Roman" w:hAnsi="Times New Roman" w:cs="Times New Roman" w:eastAsia="Times New Roman" w:hint="default"/>
                <w:sz w:val="21"/>
                <w:szCs w:val="21"/>
              </w:rPr>
            </w:pPr>
            <w:r>
              <w:rPr>
                <w:rFonts w:ascii="Times New Roman"/>
                <w:spacing w:val="-1"/>
                <w:sz w:val="21"/>
              </w:rPr>
              <w:t>358,133.22</w:t>
            </w:r>
          </w:p>
        </w:tc>
      </w:tr>
      <w:tr>
        <w:trPr>
          <w:trHeight w:val="409" w:hRule="exact"/>
        </w:trPr>
        <w:tc>
          <w:tcPr>
            <w:tcW w:w="1946"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
              <w:jc w:val="center"/>
              <w:rPr>
                <w:rFonts w:ascii="Times New Roman" w:hAnsi="Times New Roman" w:cs="Times New Roman" w:eastAsia="Times New Roman" w:hint="default"/>
                <w:sz w:val="21"/>
                <w:szCs w:val="21"/>
              </w:rPr>
            </w:pPr>
            <w:r>
              <w:rPr>
                <w:rFonts w:ascii="Times New Roman"/>
                <w:spacing w:val="-3"/>
                <w:sz w:val="21"/>
              </w:rPr>
              <w:t>HKD</w:t>
            </w:r>
            <w:r>
              <w:rPr>
                <w:rFonts w:ascii="Times New Roman"/>
                <w:sz w:val="21"/>
              </w:rPr>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16,725.00</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21"/>
                <w:szCs w:val="21"/>
              </w:rPr>
            </w:pPr>
            <w:r>
              <w:rPr>
                <w:rFonts w:ascii="Times New Roman"/>
                <w:spacing w:val="-1"/>
                <w:sz w:val="21"/>
              </w:rPr>
              <w:t>0.85090</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14,231.30</w:t>
            </w:r>
          </w:p>
        </w:tc>
      </w:tr>
      <w:tr>
        <w:trPr>
          <w:trHeight w:val="410" w:hRule="exact"/>
        </w:trPr>
        <w:tc>
          <w:tcPr>
            <w:tcW w:w="1946"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SGD</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21"/>
                <w:szCs w:val="21"/>
              </w:rPr>
            </w:pPr>
            <w:r>
              <w:rPr>
                <w:rFonts w:ascii="Times New Roman"/>
                <w:spacing w:val="-1"/>
                <w:sz w:val="21"/>
              </w:rPr>
              <w:t>6,372.36</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21"/>
                <w:szCs w:val="21"/>
              </w:rPr>
            </w:pPr>
            <w:r>
              <w:rPr>
                <w:rFonts w:ascii="Times New Roman"/>
                <w:spacing w:val="-1"/>
                <w:sz w:val="21"/>
              </w:rPr>
              <w:t>5.12785</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spacing w:val="-1"/>
                <w:sz w:val="21"/>
              </w:rPr>
              <w:t>32,676.51</w:t>
            </w:r>
          </w:p>
        </w:tc>
      </w:tr>
      <w:tr>
        <w:trPr>
          <w:trHeight w:val="400" w:hRule="exact"/>
        </w:trPr>
        <w:tc>
          <w:tcPr>
            <w:tcW w:w="1946"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MYC</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21"/>
                <w:szCs w:val="21"/>
              </w:rPr>
            </w:pPr>
            <w:r>
              <w:rPr>
                <w:rFonts w:ascii="Times New Roman"/>
                <w:spacing w:val="-1"/>
                <w:sz w:val="21"/>
              </w:rPr>
              <w:t>3,541.65</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21"/>
                <w:szCs w:val="21"/>
              </w:rPr>
            </w:pPr>
            <w:r>
              <w:rPr>
                <w:rFonts w:ascii="Times New Roman"/>
                <w:spacing w:val="-1"/>
                <w:sz w:val="21"/>
              </w:rPr>
              <w:t>2.15000</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spacing w:val="-1"/>
                <w:sz w:val="21"/>
              </w:rPr>
              <w:t>7,614.55</w:t>
            </w:r>
          </w:p>
        </w:tc>
      </w:tr>
      <w:tr>
        <w:trPr>
          <w:trHeight w:val="421" w:hRule="exact"/>
        </w:trPr>
        <w:tc>
          <w:tcPr>
            <w:tcW w:w="1946"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21"/>
              <w:jc w:val="right"/>
              <w:rPr>
                <w:rFonts w:ascii="Times New Roman" w:hAnsi="Times New Roman" w:cs="Times New Roman" w:eastAsia="Times New Roman" w:hint="default"/>
                <w:sz w:val="21"/>
                <w:szCs w:val="21"/>
              </w:rPr>
            </w:pPr>
            <w:r>
              <w:rPr>
                <w:rFonts w:ascii="Times New Roman"/>
                <w:spacing w:val="-1"/>
                <w:sz w:val="21"/>
              </w:rPr>
              <w:t>412,655.58</w:t>
            </w:r>
          </w:p>
        </w:tc>
      </w:tr>
      <w:tr>
        <w:trPr>
          <w:trHeight w:val="410" w:hRule="exact"/>
        </w:trPr>
        <w:tc>
          <w:tcPr>
            <w:tcW w:w="1946" w:type="dxa"/>
            <w:tcBorders>
              <w:top w:val="nil" w:sz="6" w:space="0" w:color="auto"/>
              <w:left w:val="nil" w:sz="6" w:space="0" w:color="auto"/>
              <w:bottom w:val="nil" w:sz="6" w:space="0" w:color="auto"/>
              <w:right w:val="single" w:sz="4" w:space="0" w:color="000000"/>
            </w:tcBorders>
          </w:tcPr>
          <w:p>
            <w:pPr>
              <w:pStyle w:val="TableParagraph"/>
              <w:spacing w:line="240" w:lineRule="auto" w:before="14"/>
              <w:ind w:left="4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RMB</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21"/>
                <w:szCs w:val="21"/>
              </w:rPr>
            </w:pPr>
            <w:r>
              <w:rPr>
                <w:rFonts w:ascii="Times New Roman"/>
                <w:spacing w:val="-1"/>
                <w:sz w:val="21"/>
              </w:rPr>
              <w:t>458,813,349.44</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21"/>
                <w:szCs w:val="21"/>
              </w:rPr>
            </w:pPr>
            <w:r>
              <w:rPr>
                <w:rFonts w:ascii="Times New Roman"/>
                <w:spacing w:val="-1"/>
                <w:sz w:val="21"/>
              </w:rPr>
              <w:t>1.00000</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spacing w:val="-1"/>
                <w:sz w:val="21"/>
              </w:rPr>
              <w:t>458,813,349.44</w:t>
            </w:r>
          </w:p>
        </w:tc>
      </w:tr>
      <w:tr>
        <w:trPr>
          <w:trHeight w:val="409" w:hRule="exact"/>
        </w:trPr>
        <w:tc>
          <w:tcPr>
            <w:tcW w:w="1946"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5"/>
              <w:jc w:val="center"/>
              <w:rPr>
                <w:rFonts w:ascii="Times New Roman" w:hAnsi="Times New Roman" w:cs="Times New Roman" w:eastAsia="Times New Roman" w:hint="default"/>
                <w:sz w:val="21"/>
                <w:szCs w:val="21"/>
              </w:rPr>
            </w:pPr>
            <w:r>
              <w:rPr>
                <w:rFonts w:ascii="Times New Roman"/>
                <w:spacing w:val="-3"/>
                <w:sz w:val="21"/>
              </w:rPr>
              <w:t>HKD</w:t>
            </w:r>
            <w:r>
              <w:rPr>
                <w:rFonts w:ascii="Times New Roman"/>
                <w:sz w:val="21"/>
              </w:rPr>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21"/>
                <w:szCs w:val="21"/>
              </w:rPr>
            </w:pPr>
            <w:r>
              <w:rPr>
                <w:rFonts w:ascii="Times New Roman"/>
                <w:spacing w:val="-1"/>
                <w:sz w:val="21"/>
              </w:rPr>
              <w:t>25,467,867.16</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21"/>
                <w:szCs w:val="21"/>
              </w:rPr>
            </w:pPr>
            <w:r>
              <w:rPr>
                <w:rFonts w:ascii="Times New Roman"/>
                <w:spacing w:val="-1"/>
                <w:sz w:val="21"/>
              </w:rPr>
              <w:t>0.85090</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spacing w:val="-1"/>
                <w:sz w:val="21"/>
              </w:rPr>
              <w:t>21,670,608.17</w:t>
            </w:r>
          </w:p>
        </w:tc>
      </w:tr>
      <w:tr>
        <w:trPr>
          <w:trHeight w:val="409" w:hRule="exact"/>
        </w:trPr>
        <w:tc>
          <w:tcPr>
            <w:tcW w:w="1946"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SGD</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21"/>
                <w:szCs w:val="21"/>
              </w:rPr>
            </w:pPr>
            <w:r>
              <w:rPr>
                <w:rFonts w:ascii="Times New Roman"/>
                <w:spacing w:val="-1"/>
                <w:sz w:val="21"/>
              </w:rPr>
              <w:t>238,988.98</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21"/>
                <w:szCs w:val="21"/>
              </w:rPr>
            </w:pPr>
            <w:r>
              <w:rPr>
                <w:rFonts w:ascii="Times New Roman"/>
                <w:spacing w:val="-1"/>
                <w:sz w:val="21"/>
              </w:rPr>
              <w:t>5.12785</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1,225,499.64</w:t>
            </w:r>
          </w:p>
        </w:tc>
      </w:tr>
      <w:tr>
        <w:trPr>
          <w:trHeight w:val="400" w:hRule="exact"/>
        </w:trPr>
        <w:tc>
          <w:tcPr>
            <w:tcW w:w="1946"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MYC</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21"/>
                <w:szCs w:val="21"/>
              </w:rPr>
            </w:pPr>
            <w:r>
              <w:rPr>
                <w:rFonts w:ascii="Times New Roman"/>
                <w:spacing w:val="-1"/>
                <w:sz w:val="21"/>
              </w:rPr>
              <w:t>466,541.96</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21"/>
                <w:szCs w:val="21"/>
              </w:rPr>
            </w:pPr>
            <w:r>
              <w:rPr>
                <w:rFonts w:ascii="Times New Roman"/>
                <w:spacing w:val="-1"/>
                <w:sz w:val="21"/>
              </w:rPr>
              <w:t>2.15000</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spacing w:val="-1"/>
                <w:sz w:val="21"/>
              </w:rPr>
              <w:t>1,003,065.21</w:t>
            </w:r>
          </w:p>
        </w:tc>
      </w:tr>
      <w:tr>
        <w:trPr>
          <w:trHeight w:val="421" w:hRule="exact"/>
        </w:trPr>
        <w:tc>
          <w:tcPr>
            <w:tcW w:w="1946"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21"/>
              <w:jc w:val="right"/>
              <w:rPr>
                <w:rFonts w:ascii="Times New Roman" w:hAnsi="Times New Roman" w:cs="Times New Roman" w:eastAsia="Times New Roman" w:hint="default"/>
                <w:sz w:val="21"/>
                <w:szCs w:val="21"/>
              </w:rPr>
            </w:pPr>
            <w:r>
              <w:rPr>
                <w:rFonts w:ascii="Times New Roman"/>
                <w:spacing w:val="-1"/>
                <w:sz w:val="21"/>
              </w:rPr>
              <w:t>482,712,522.46</w:t>
            </w:r>
          </w:p>
        </w:tc>
      </w:tr>
      <w:tr>
        <w:trPr>
          <w:trHeight w:val="400" w:hRule="exact"/>
        </w:trPr>
        <w:tc>
          <w:tcPr>
            <w:tcW w:w="1946" w:type="dxa"/>
            <w:tcBorders>
              <w:top w:val="nil" w:sz="6" w:space="0" w:color="auto"/>
              <w:left w:val="nil" w:sz="6" w:space="0" w:color="auto"/>
              <w:bottom w:val="nil" w:sz="6" w:space="0" w:color="auto"/>
              <w:right w:val="single" w:sz="4" w:space="0" w:color="000000"/>
            </w:tcBorders>
          </w:tcPr>
          <w:p>
            <w:pPr>
              <w:pStyle w:val="TableParagraph"/>
              <w:spacing w:line="240" w:lineRule="auto" w:before="14"/>
              <w:ind w:left="4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RMB</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21"/>
                <w:szCs w:val="21"/>
              </w:rPr>
            </w:pPr>
            <w:r>
              <w:rPr>
                <w:rFonts w:ascii="Times New Roman"/>
                <w:spacing w:val="-1"/>
                <w:sz w:val="21"/>
              </w:rPr>
              <w:t>8,385,826.98</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21"/>
                <w:szCs w:val="21"/>
              </w:rPr>
            </w:pPr>
            <w:r>
              <w:rPr>
                <w:rFonts w:ascii="Times New Roman"/>
                <w:spacing w:val="-1"/>
                <w:sz w:val="21"/>
              </w:rPr>
              <w:t>1.00000</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spacing w:val="-1"/>
                <w:sz w:val="21"/>
              </w:rPr>
              <w:t>8,385,826.98</w:t>
            </w:r>
          </w:p>
        </w:tc>
      </w:tr>
      <w:tr>
        <w:trPr>
          <w:trHeight w:val="338" w:hRule="exact"/>
        </w:trPr>
        <w:tc>
          <w:tcPr>
            <w:tcW w:w="1946" w:type="dxa"/>
            <w:tcBorders>
              <w:top w:val="nil" w:sz="6" w:space="0" w:color="auto"/>
              <w:left w:val="nil" w:sz="6" w:space="0" w:color="auto"/>
              <w:bottom w:val="single" w:sz="4" w:space="0" w:color="000000"/>
              <w:right w:val="single" w:sz="4" w:space="0" w:color="000000"/>
            </w:tcBorders>
          </w:tcPr>
          <w:p>
            <w:pPr/>
          </w:p>
        </w:tc>
        <w:tc>
          <w:tcPr>
            <w:tcW w:w="19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0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7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39" w:type="dxa"/>
            <w:tcBorders>
              <w:top w:val="nil" w:sz="6" w:space="0" w:color="auto"/>
              <w:left w:val="single" w:sz="4" w:space="0" w:color="000000"/>
              <w:bottom w:val="single" w:sz="4" w:space="0" w:color="000000"/>
              <w:right w:val="nil" w:sz="6" w:space="0" w:color="auto"/>
            </w:tcBorders>
          </w:tcPr>
          <w:p>
            <w:pPr>
              <w:pStyle w:val="TableParagraph"/>
              <w:spacing w:line="240" w:lineRule="auto" w:before="84"/>
              <w:ind w:right="21"/>
              <w:jc w:val="right"/>
              <w:rPr>
                <w:rFonts w:ascii="Times New Roman" w:hAnsi="Times New Roman" w:cs="Times New Roman" w:eastAsia="Times New Roman" w:hint="default"/>
                <w:sz w:val="21"/>
                <w:szCs w:val="21"/>
              </w:rPr>
            </w:pPr>
            <w:r>
              <w:rPr>
                <w:rFonts w:ascii="Times New Roman"/>
                <w:spacing w:val="-1"/>
                <w:sz w:val="21"/>
              </w:rPr>
              <w:t>8,385,826.98</w:t>
            </w:r>
          </w:p>
        </w:tc>
      </w:tr>
      <w:tr>
        <w:trPr>
          <w:trHeight w:val="430" w:hRule="exact"/>
        </w:trPr>
        <w:tc>
          <w:tcPr>
            <w:tcW w:w="1946" w:type="dxa"/>
            <w:tcBorders>
              <w:top w:val="single" w:sz="4" w:space="0" w:color="000000"/>
              <w:left w:val="nil" w:sz="6" w:space="0" w:color="auto"/>
              <w:bottom w:val="single" w:sz="12" w:space="0" w:color="000000"/>
              <w:right w:val="single" w:sz="4" w:space="0" w:color="000000"/>
            </w:tcBorders>
          </w:tcPr>
          <w:p>
            <w:pPr>
              <w:pStyle w:val="TableParagraph"/>
              <w:tabs>
                <w:tab w:pos="1192" w:val="left" w:leader="none"/>
              </w:tabs>
              <w:spacing w:line="240" w:lineRule="auto" w:before="102"/>
              <w:ind w:left="56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1"/>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1"/>
              <w:ind w:left="7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1"/>
              <w:ind w:right="21"/>
              <w:jc w:val="right"/>
              <w:rPr>
                <w:rFonts w:ascii="Times New Roman" w:hAnsi="Times New Roman" w:cs="Times New Roman" w:eastAsia="Times New Roman" w:hint="default"/>
                <w:sz w:val="21"/>
                <w:szCs w:val="21"/>
              </w:rPr>
            </w:pPr>
            <w:r>
              <w:rPr>
                <w:rFonts w:ascii="Times New Roman"/>
                <w:spacing w:val="-1"/>
                <w:sz w:val="21"/>
              </w:rPr>
              <w:t>491,511,005.02</w:t>
            </w:r>
          </w:p>
        </w:tc>
      </w:tr>
    </w:tbl>
    <w:p>
      <w:pPr>
        <w:spacing w:line="240" w:lineRule="auto" w:before="1"/>
        <w:rPr>
          <w:rFonts w:ascii="宋体" w:hAnsi="宋体" w:cs="宋体" w:eastAsia="宋体" w:hint="default"/>
          <w:sz w:val="5"/>
          <w:szCs w:val="5"/>
        </w:rPr>
      </w:pPr>
    </w:p>
    <w:p>
      <w:pPr>
        <w:pStyle w:val="BodyText"/>
        <w:spacing w:line="240" w:lineRule="auto" w:before="36"/>
        <w:ind w:left="632" w:right="0"/>
        <w:jc w:val="left"/>
      </w:pPr>
      <w:r>
        <w:rPr/>
        <w:t>注：其他货币资金均系保函保证金。</w:t>
      </w:r>
    </w:p>
    <w:p>
      <w:pPr>
        <w:pStyle w:val="BodyText"/>
        <w:spacing w:line="240" w:lineRule="auto" w:before="167"/>
        <w:ind w:left="632" w:right="0"/>
        <w:jc w:val="left"/>
      </w:pPr>
      <w:r>
        <w:rPr>
          <w:rFonts w:ascii="Times New Roman" w:hAnsi="Times New Roman" w:cs="Times New Roman" w:eastAsia="Times New Roman" w:hint="default"/>
        </w:rPr>
        <w:t>2</w:t>
      </w:r>
      <w:r>
        <w:rPr/>
        <w:t>．应收账款</w:t>
      </w:r>
    </w:p>
    <w:p>
      <w:pPr>
        <w:pStyle w:val="BodyText"/>
        <w:spacing w:line="240" w:lineRule="auto" w:before="148"/>
        <w:ind w:left="632" w:right="0"/>
        <w:jc w:val="left"/>
      </w:pPr>
      <w:r>
        <w:rPr/>
        <w:t>（</w:t>
      </w:r>
      <w:r>
        <w:rPr>
          <w:rFonts w:ascii="Times New Roman" w:hAnsi="Times New Roman" w:cs="Times New Roman" w:eastAsia="Times New Roman" w:hint="default"/>
        </w:rPr>
        <w:t>1</w:t>
      </w:r>
      <w:r>
        <w:rPr/>
        <w:t>）应收账款按种类披露：</w:t>
      </w:r>
    </w:p>
    <w:tbl>
      <w:tblPr>
        <w:tblW w:w="0" w:type="auto"/>
        <w:jc w:val="left"/>
        <w:tblInd w:w="104" w:type="dxa"/>
        <w:tblLayout w:type="fixed"/>
        <w:tblCellMar>
          <w:top w:w="0" w:type="dxa"/>
          <w:left w:w="0" w:type="dxa"/>
          <w:bottom w:w="0" w:type="dxa"/>
          <w:right w:w="0" w:type="dxa"/>
        </w:tblCellMar>
        <w:tblLook w:val="01E0"/>
      </w:tblPr>
      <w:tblGrid>
        <w:gridCol w:w="4027"/>
        <w:gridCol w:w="1718"/>
        <w:gridCol w:w="1250"/>
        <w:gridCol w:w="1570"/>
        <w:gridCol w:w="1289"/>
      </w:tblGrid>
      <w:tr>
        <w:trPr>
          <w:trHeight w:val="458" w:hRule="exact"/>
        </w:trPr>
        <w:tc>
          <w:tcPr>
            <w:tcW w:w="402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tabs>
                <w:tab w:pos="638" w:val="left" w:leader="none"/>
              </w:tabs>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5827"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34"/>
              <w:ind w:left="3"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51" w:hRule="exact"/>
        </w:trPr>
        <w:tc>
          <w:tcPr>
            <w:tcW w:w="4027" w:type="dxa"/>
            <w:vMerge/>
            <w:tcBorders>
              <w:left w:val="nil" w:sz="6" w:space="0" w:color="auto"/>
              <w:right w:val="single" w:sz="4" w:space="0" w:color="000000"/>
            </w:tcBorders>
          </w:tcPr>
          <w:p>
            <w:pPr/>
          </w:p>
        </w:tc>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85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49" w:hRule="exact"/>
        </w:trPr>
        <w:tc>
          <w:tcPr>
            <w:tcW w:w="4027" w:type="dxa"/>
            <w:vMerge/>
            <w:tcBorders>
              <w:left w:val="nil" w:sz="6" w:space="0" w:color="auto"/>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tabs>
                <w:tab w:pos="962" w:val="left" w:leader="none"/>
              </w:tabs>
              <w:spacing w:line="240" w:lineRule="auto" w:before="134"/>
              <w:ind w:left="53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5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tabs>
                <w:tab w:pos="885" w:val="left" w:leader="none"/>
              </w:tabs>
              <w:spacing w:line="240" w:lineRule="auto" w:before="134"/>
              <w:ind w:left="46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left="2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969" w:hRule="exact"/>
        </w:trPr>
        <w:tc>
          <w:tcPr>
            <w:tcW w:w="4027" w:type="dxa"/>
            <w:tcBorders>
              <w:top w:val="single" w:sz="4" w:space="0" w:color="000000"/>
              <w:left w:val="nil" w:sz="6" w:space="0" w:color="auto"/>
              <w:bottom w:val="nil" w:sz="6" w:space="0" w:color="auto"/>
              <w:right w:val="single" w:sz="4" w:space="0" w:color="000000"/>
            </w:tcBorders>
          </w:tcPr>
          <w:p>
            <w:pPr>
              <w:pStyle w:val="TableParagraph"/>
              <w:spacing w:line="362" w:lineRule="auto" w:before="136"/>
              <w:ind w:left="107" w:right="95"/>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、单项金额重大并单项计提坏账准备的应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收账款</w:t>
            </w:r>
          </w:p>
        </w:tc>
        <w:tc>
          <w:tcPr>
            <w:tcW w:w="17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193,369,713.81</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383" w:right="0"/>
              <w:jc w:val="left"/>
              <w:rPr>
                <w:rFonts w:ascii="Times New Roman" w:hAnsi="Times New Roman" w:cs="Times New Roman" w:eastAsia="Times New Roman" w:hint="default"/>
                <w:sz w:val="21"/>
                <w:szCs w:val="21"/>
              </w:rPr>
            </w:pPr>
            <w:r>
              <w:rPr>
                <w:rFonts w:ascii="Times New Roman"/>
                <w:sz w:val="21"/>
              </w:rPr>
              <w:t>99.36</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249" w:right="0"/>
              <w:jc w:val="left"/>
              <w:rPr>
                <w:rFonts w:ascii="Times New Roman" w:hAnsi="Times New Roman" w:cs="Times New Roman" w:eastAsia="Times New Roman" w:hint="default"/>
                <w:sz w:val="21"/>
                <w:szCs w:val="21"/>
              </w:rPr>
            </w:pPr>
            <w:r>
              <w:rPr>
                <w:rFonts w:ascii="Times New Roman"/>
                <w:sz w:val="21"/>
              </w:rPr>
              <w:t>14,270,660.33</w:t>
            </w:r>
          </w:p>
        </w:tc>
        <w:tc>
          <w:tcPr>
            <w:tcW w:w="128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7.38</w:t>
            </w:r>
          </w:p>
        </w:tc>
      </w:tr>
      <w:tr>
        <w:trPr>
          <w:trHeight w:val="358" w:hRule="exact"/>
        </w:trPr>
        <w:tc>
          <w:tcPr>
            <w:tcW w:w="4027"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、按组合计提坏账准备的应收账款：</w:t>
            </w:r>
          </w:p>
        </w:tc>
        <w:tc>
          <w:tcPr>
            <w:tcW w:w="1718" w:type="dxa"/>
            <w:vMerge/>
            <w:tcBorders>
              <w:left w:val="single" w:sz="4" w:space="0" w:color="000000"/>
              <w:bottom w:val="nil" w:sz="6" w:space="0" w:color="auto"/>
              <w:right w:val="single" w:sz="4" w:space="0" w:color="000000"/>
            </w:tcBorders>
          </w:tcPr>
          <w:p>
            <w:pPr/>
          </w:p>
        </w:tc>
        <w:tc>
          <w:tcPr>
            <w:tcW w:w="1250" w:type="dxa"/>
            <w:vMerge/>
            <w:tcBorders>
              <w:left w:val="single" w:sz="4" w:space="0" w:color="000000"/>
              <w:bottom w:val="nil" w:sz="6" w:space="0" w:color="auto"/>
              <w:right w:val="single" w:sz="4" w:space="0" w:color="000000"/>
            </w:tcBorders>
          </w:tcPr>
          <w:p>
            <w:pPr/>
          </w:p>
        </w:tc>
        <w:tc>
          <w:tcPr>
            <w:tcW w:w="1570" w:type="dxa"/>
            <w:vMerge/>
            <w:tcBorders>
              <w:left w:val="single" w:sz="4" w:space="0" w:color="000000"/>
              <w:bottom w:val="nil" w:sz="6" w:space="0" w:color="auto"/>
              <w:right w:val="single" w:sz="4" w:space="0" w:color="000000"/>
            </w:tcBorders>
          </w:tcPr>
          <w:p>
            <w:pPr/>
          </w:p>
        </w:tc>
        <w:tc>
          <w:tcPr>
            <w:tcW w:w="1289" w:type="dxa"/>
            <w:vMerge/>
            <w:tcBorders>
              <w:left w:val="single" w:sz="4" w:space="0" w:color="000000"/>
              <w:bottom w:val="nil" w:sz="6" w:space="0" w:color="auto"/>
              <w:right w:val="nil" w:sz="6" w:space="0" w:color="auto"/>
            </w:tcBorders>
          </w:tcPr>
          <w:p>
            <w:pPr/>
          </w:p>
        </w:tc>
      </w:tr>
    </w:tbl>
    <w:p>
      <w:pPr>
        <w:spacing w:after="0"/>
        <w:sectPr>
          <w:pgSz w:w="11910" w:h="16840"/>
          <w:pgMar w:header="850" w:footer="979" w:top="1200" w:bottom="1160" w:left="920" w:right="920"/>
        </w:sectPr>
      </w:pPr>
    </w:p>
    <w:p>
      <w:pPr>
        <w:spacing w:line="240" w:lineRule="auto" w:before="9"/>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042"/>
        <w:gridCol w:w="1718"/>
        <w:gridCol w:w="1250"/>
        <w:gridCol w:w="1570"/>
        <w:gridCol w:w="1289"/>
      </w:tblGrid>
      <w:tr>
        <w:trPr>
          <w:trHeight w:val="482" w:hRule="exact"/>
        </w:trPr>
        <w:tc>
          <w:tcPr>
            <w:tcW w:w="4042"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tabs>
                <w:tab w:pos="652"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5827" w:type="dxa"/>
            <w:gridSpan w:val="4"/>
            <w:tcBorders>
              <w:top w:val="single" w:sz="17" w:space="0" w:color="000000"/>
              <w:left w:val="single" w:sz="4" w:space="0" w:color="000000"/>
              <w:bottom w:val="single" w:sz="4" w:space="0" w:color="000000"/>
              <w:right w:val="nil" w:sz="6" w:space="0" w:color="auto"/>
            </w:tcBorders>
          </w:tcPr>
          <w:p>
            <w:pPr>
              <w:pStyle w:val="TableParagraph"/>
              <w:spacing w:line="240" w:lineRule="auto" w:before="148"/>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49" w:hRule="exact"/>
        </w:trPr>
        <w:tc>
          <w:tcPr>
            <w:tcW w:w="4042" w:type="dxa"/>
            <w:vMerge/>
            <w:tcBorders>
              <w:left w:val="nil" w:sz="6" w:space="0" w:color="auto"/>
              <w:right w:val="single" w:sz="4" w:space="0" w:color="000000"/>
            </w:tcBorders>
          </w:tcPr>
          <w:p>
            <w:pPr/>
          </w:p>
        </w:tc>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85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51" w:hRule="exact"/>
        </w:trPr>
        <w:tc>
          <w:tcPr>
            <w:tcW w:w="4042" w:type="dxa"/>
            <w:vMerge/>
            <w:tcBorders>
              <w:left w:val="nil" w:sz="6" w:space="0" w:color="auto"/>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tabs>
                <w:tab w:pos="962" w:val="left" w:leader="none"/>
              </w:tabs>
              <w:spacing w:line="240" w:lineRule="auto" w:before="134"/>
              <w:ind w:left="53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tabs>
                <w:tab w:pos="885" w:val="left" w:leader="none"/>
              </w:tabs>
              <w:spacing w:line="240" w:lineRule="auto" w:before="134"/>
              <w:ind w:left="46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890" w:hRule="exact"/>
        </w:trPr>
        <w:tc>
          <w:tcPr>
            <w:tcW w:w="4042" w:type="dxa"/>
            <w:tcBorders>
              <w:top w:val="single" w:sz="4" w:space="0" w:color="000000"/>
              <w:left w:val="nil" w:sz="6" w:space="0" w:color="auto"/>
              <w:bottom w:val="single" w:sz="4" w:space="0" w:color="000000"/>
              <w:right w:val="single" w:sz="4" w:space="0" w:color="000000"/>
            </w:tcBorders>
          </w:tcPr>
          <w:p>
            <w:pPr>
              <w:pStyle w:val="TableParagraph"/>
              <w:spacing w:line="420" w:lineRule="atLeast" w:before="4"/>
              <w:ind w:left="122" w:right="95"/>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、单项金额不重大但单项计提坏账准备的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应收账款</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1,253,924.25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0.64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1,253,924.25</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r>
      <w:tr>
        <w:trPr>
          <w:trHeight w:val="461" w:hRule="exact"/>
        </w:trPr>
        <w:tc>
          <w:tcPr>
            <w:tcW w:w="4042"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134"/>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194,623,638.06</w:t>
            </w:r>
          </w:p>
        </w:tc>
        <w:tc>
          <w:tcPr>
            <w:tcW w:w="1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15,524,584.58</w:t>
            </w:r>
          </w:p>
        </w:tc>
        <w:tc>
          <w:tcPr>
            <w:tcW w:w="12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7.98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30" w:type="dxa"/>
        <w:tblLayout w:type="fixed"/>
        <w:tblCellMar>
          <w:top w:w="0" w:type="dxa"/>
          <w:left w:w="0" w:type="dxa"/>
          <w:bottom w:w="0" w:type="dxa"/>
          <w:right w:w="0" w:type="dxa"/>
        </w:tblCellMar>
        <w:tblLook w:val="01E0"/>
      </w:tblPr>
      <w:tblGrid>
        <w:gridCol w:w="4042"/>
        <w:gridCol w:w="1718"/>
        <w:gridCol w:w="1250"/>
        <w:gridCol w:w="1570"/>
        <w:gridCol w:w="1289"/>
      </w:tblGrid>
      <w:tr>
        <w:trPr>
          <w:trHeight w:val="461" w:hRule="exact"/>
        </w:trPr>
        <w:tc>
          <w:tcPr>
            <w:tcW w:w="404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tabs>
                <w:tab w:pos="652"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5827"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49" w:hRule="exact"/>
        </w:trPr>
        <w:tc>
          <w:tcPr>
            <w:tcW w:w="4042" w:type="dxa"/>
            <w:vMerge/>
            <w:tcBorders>
              <w:left w:val="nil" w:sz="6" w:space="0" w:color="auto"/>
              <w:right w:val="single" w:sz="4" w:space="0" w:color="000000"/>
            </w:tcBorders>
          </w:tcPr>
          <w:p>
            <w:pPr/>
          </w:p>
        </w:tc>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85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51" w:hRule="exact"/>
        </w:trPr>
        <w:tc>
          <w:tcPr>
            <w:tcW w:w="4042" w:type="dxa"/>
            <w:vMerge/>
            <w:tcBorders>
              <w:left w:val="nil" w:sz="6" w:space="0" w:color="auto"/>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tabs>
                <w:tab w:pos="962" w:val="left" w:leader="none"/>
              </w:tabs>
              <w:spacing w:line="240" w:lineRule="auto" w:before="134"/>
              <w:ind w:left="53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tabs>
                <w:tab w:pos="885" w:val="left" w:leader="none"/>
              </w:tabs>
              <w:spacing w:line="240" w:lineRule="auto" w:before="134"/>
              <w:ind w:left="46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968" w:hRule="exact"/>
        </w:trPr>
        <w:tc>
          <w:tcPr>
            <w:tcW w:w="4042" w:type="dxa"/>
            <w:tcBorders>
              <w:top w:val="single" w:sz="4" w:space="0" w:color="000000"/>
              <w:left w:val="nil" w:sz="6" w:space="0" w:color="auto"/>
              <w:bottom w:val="nil" w:sz="6" w:space="0" w:color="auto"/>
              <w:right w:val="single" w:sz="4" w:space="0" w:color="000000"/>
            </w:tcBorders>
          </w:tcPr>
          <w:p>
            <w:pPr>
              <w:pStyle w:val="TableParagraph"/>
              <w:spacing w:line="362" w:lineRule="auto" w:before="134"/>
              <w:ind w:left="122" w:right="95"/>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、单项金额重大并单项计提坏账准备的应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收账款</w:t>
            </w:r>
          </w:p>
        </w:tc>
        <w:tc>
          <w:tcPr>
            <w:tcW w:w="1718"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1570" w:type="dxa"/>
            <w:tcBorders>
              <w:top w:val="single" w:sz="4" w:space="0" w:color="000000"/>
              <w:left w:val="single" w:sz="4" w:space="0" w:color="000000"/>
              <w:bottom w:val="nil" w:sz="6" w:space="0" w:color="auto"/>
              <w:right w:val="single" w:sz="4" w:space="0" w:color="000000"/>
            </w:tcBorders>
          </w:tcPr>
          <w:p>
            <w:pPr/>
          </w:p>
        </w:tc>
        <w:tc>
          <w:tcPr>
            <w:tcW w:w="1289" w:type="dxa"/>
            <w:tcBorders>
              <w:top w:val="single" w:sz="4" w:space="0" w:color="000000"/>
              <w:left w:val="single" w:sz="4" w:space="0" w:color="000000"/>
              <w:bottom w:val="nil" w:sz="6" w:space="0" w:color="auto"/>
              <w:right w:val="nil" w:sz="6" w:space="0" w:color="auto"/>
            </w:tcBorders>
          </w:tcPr>
          <w:p>
            <w:pPr/>
          </w:p>
        </w:tc>
      </w:tr>
      <w:tr>
        <w:trPr>
          <w:trHeight w:val="451" w:hRule="exact"/>
        </w:trPr>
        <w:tc>
          <w:tcPr>
            <w:tcW w:w="4042"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、按组合计提坏账准备的应收账款：</w:t>
            </w:r>
          </w:p>
        </w:tc>
        <w:tc>
          <w:tcPr>
            <w:tcW w:w="17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152,325,314.23</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21"/>
                <w:szCs w:val="21"/>
              </w:rPr>
            </w:pPr>
            <w:r>
              <w:rPr>
                <w:rFonts w:ascii="Times New Roman"/>
                <w:sz w:val="21"/>
              </w:rPr>
              <w:t>99.47</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10,856,230.39</w:t>
            </w:r>
          </w:p>
        </w:tc>
        <w:tc>
          <w:tcPr>
            <w:tcW w:w="1289"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7.13</w:t>
            </w:r>
          </w:p>
        </w:tc>
      </w:tr>
      <w:tr>
        <w:trPr>
          <w:trHeight w:val="791" w:hRule="exact"/>
        </w:trPr>
        <w:tc>
          <w:tcPr>
            <w:tcW w:w="4042" w:type="dxa"/>
            <w:tcBorders>
              <w:top w:val="nil" w:sz="6" w:space="0" w:color="auto"/>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、单项金额不重大但单项计提坏账准备的</w:t>
            </w:r>
          </w:p>
          <w:p>
            <w:pPr>
              <w:pStyle w:val="TableParagraph"/>
              <w:spacing w:line="240" w:lineRule="auto" w:before="148"/>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807,542.00</w:t>
            </w:r>
          </w:p>
        </w:tc>
        <w:tc>
          <w:tcPr>
            <w:tcW w:w="12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0.53</w:t>
            </w:r>
          </w:p>
        </w:tc>
        <w:tc>
          <w:tcPr>
            <w:tcW w:w="15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807,542.00</w:t>
            </w:r>
          </w:p>
        </w:tc>
        <w:tc>
          <w:tcPr>
            <w:tcW w:w="1289" w:type="dxa"/>
            <w:tcBorders>
              <w:top w:val="nil" w:sz="6" w:space="0" w:color="auto"/>
              <w:left w:val="single" w:sz="4" w:space="0" w:color="000000"/>
              <w:bottom w:val="single" w:sz="4" w:space="0" w:color="000000"/>
              <w:right w:val="nil" w:sz="6" w:space="0" w:color="auto"/>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100.00</w:t>
            </w:r>
          </w:p>
        </w:tc>
      </w:tr>
      <w:tr>
        <w:trPr>
          <w:trHeight w:val="461" w:hRule="exact"/>
        </w:trPr>
        <w:tc>
          <w:tcPr>
            <w:tcW w:w="4042"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134"/>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153,132,856.23</w:t>
            </w:r>
          </w:p>
        </w:tc>
        <w:tc>
          <w:tcPr>
            <w:tcW w:w="1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11,663,772.39</w:t>
            </w:r>
          </w:p>
        </w:tc>
        <w:tc>
          <w:tcPr>
            <w:tcW w:w="12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7.62</w:t>
            </w:r>
          </w:p>
        </w:tc>
      </w:tr>
    </w:tbl>
    <w:p>
      <w:pPr>
        <w:spacing w:line="240" w:lineRule="auto" w:before="6"/>
        <w:rPr>
          <w:rFonts w:ascii="宋体" w:hAnsi="宋体" w:cs="宋体" w:eastAsia="宋体" w:hint="default"/>
          <w:sz w:val="7"/>
          <w:szCs w:val="7"/>
        </w:rPr>
      </w:pPr>
    </w:p>
    <w:p>
      <w:pPr>
        <w:pStyle w:val="BodyText"/>
        <w:spacing w:line="384" w:lineRule="auto" w:before="36"/>
        <w:ind w:left="672" w:right="4559"/>
        <w:jc w:val="left"/>
      </w:pPr>
      <w:r>
        <w:rPr/>
        <w:pict>
          <v:shape style="position:absolute;margin-left:50.52pt;margin-top:39.023685pt;width:493.45pt;height:181.1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3"/>
                    <w:gridCol w:w="2290"/>
                    <w:gridCol w:w="1872"/>
                    <w:gridCol w:w="2654"/>
                  </w:tblGrid>
                  <w:tr>
                    <w:trPr>
                      <w:trHeight w:val="461" w:hRule="exact"/>
                    </w:trPr>
                    <w:tc>
                      <w:tcPr>
                        <w:tcW w:w="305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tabs>
                            <w:tab w:pos="652"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681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51" w:hRule="exact"/>
                    </w:trPr>
                    <w:tc>
                      <w:tcPr>
                        <w:tcW w:w="3053" w:type="dxa"/>
                        <w:vMerge/>
                        <w:tcBorders>
                          <w:left w:val="nil" w:sz="6" w:space="0" w:color="auto"/>
                          <w:right w:val="single" w:sz="4" w:space="0" w:color="000000"/>
                        </w:tcBorders>
                      </w:tcPr>
                      <w:p>
                        <w:pPr/>
                      </w:p>
                    </w:tc>
                    <w:tc>
                      <w:tcPr>
                        <w:tcW w:w="4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4"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49" w:hRule="exact"/>
                    </w:trPr>
                    <w:tc>
                      <w:tcPr>
                        <w:tcW w:w="3053" w:type="dxa"/>
                        <w:vMerge/>
                        <w:tcBorders>
                          <w:left w:val="nil" w:sz="6" w:space="0" w:color="auto"/>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134"/>
                          <w:ind w:left="4"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4" w:type="dxa"/>
                        <w:vMerge/>
                        <w:tcBorders>
                          <w:left w:val="single" w:sz="4" w:space="0" w:color="000000"/>
                          <w:bottom w:val="single" w:sz="4" w:space="0" w:color="000000"/>
                          <w:right w:val="nil" w:sz="6" w:space="0" w:color="auto"/>
                        </w:tcBorders>
                      </w:tcPr>
                      <w:p>
                        <w:pPr/>
                      </w:p>
                    </w:tc>
                  </w:tr>
                  <w:tr>
                    <w:trPr>
                      <w:trHeight w:val="539" w:hRule="exact"/>
                    </w:trPr>
                    <w:tc>
                      <w:tcPr>
                        <w:tcW w:w="3053" w:type="dxa"/>
                        <w:tcBorders>
                          <w:top w:val="single" w:sz="4" w:space="0" w:color="000000"/>
                          <w:left w:val="nil" w:sz="6" w:space="0" w:color="auto"/>
                          <w:bottom w:val="nil" w:sz="6" w:space="0" w:color="auto"/>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157,829,998.87</w:t>
                        </w:r>
                      </w:p>
                    </w:tc>
                    <w:tc>
                      <w:tcPr>
                        <w:tcW w:w="18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81.10</w:t>
                        </w:r>
                      </w:p>
                    </w:tc>
                    <w:tc>
                      <w:tcPr>
                        <w:tcW w:w="2654"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7,891,499.93</w:t>
                        </w:r>
                      </w:p>
                    </w:tc>
                  </w:tr>
                  <w:tr>
                    <w:trPr>
                      <w:trHeight w:val="440" w:hRule="exact"/>
                    </w:trPr>
                    <w:tc>
                      <w:tcPr>
                        <w:tcW w:w="3053"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90"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18,385,542.65</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9.45</w:t>
                        </w:r>
                      </w:p>
                    </w:tc>
                    <w:tc>
                      <w:tcPr>
                        <w:tcW w:w="2654" w:type="dxa"/>
                        <w:tcBorders>
                          <w:top w:val="nil" w:sz="6" w:space="0" w:color="auto"/>
                          <w:left w:val="single" w:sz="4" w:space="0" w:color="000000"/>
                          <w:bottom w:val="nil" w:sz="6" w:space="0" w:color="auto"/>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1,838,554.27</w:t>
                        </w:r>
                      </w:p>
                    </w:tc>
                  </w:tr>
                  <w:tr>
                    <w:trPr>
                      <w:trHeight w:val="439" w:hRule="exact"/>
                    </w:trPr>
                    <w:tc>
                      <w:tcPr>
                        <w:tcW w:w="3053"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90"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6,056,455.59</w:t>
                        </w:r>
                        <w:r>
                          <w:rPr>
                            <w:rFonts w:ascii="Times New Roman"/>
                            <w:sz w:val="21"/>
                          </w:rPr>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21"/>
                            <w:szCs w:val="21"/>
                          </w:rPr>
                        </w:pPr>
                        <w:r>
                          <w:rPr>
                            <w:rFonts w:ascii="Times New Roman"/>
                            <w:spacing w:val="-4"/>
                            <w:sz w:val="21"/>
                          </w:rPr>
                          <w:t>3.11</w:t>
                        </w:r>
                        <w:r>
                          <w:rPr>
                            <w:rFonts w:ascii="Times New Roman"/>
                            <w:sz w:val="21"/>
                          </w:rPr>
                        </w:r>
                      </w:p>
                    </w:tc>
                    <w:tc>
                      <w:tcPr>
                        <w:tcW w:w="2654"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spacing w:val="-2"/>
                            <w:sz w:val="21"/>
                          </w:rPr>
                          <w:t>1,211,291.12</w:t>
                        </w:r>
                      </w:p>
                    </w:tc>
                  </w:tr>
                  <w:tr>
                    <w:trPr>
                      <w:trHeight w:val="352" w:hRule="exact"/>
                    </w:trPr>
                    <w:tc>
                      <w:tcPr>
                        <w:tcW w:w="3053" w:type="dxa"/>
                        <w:tcBorders>
                          <w:top w:val="nil" w:sz="6" w:space="0" w:color="auto"/>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2"/>
                            <w:sz w:val="21"/>
                          </w:rPr>
                          <w:t>11,097,716.70</w:t>
                        </w:r>
                      </w:p>
                    </w:tc>
                    <w:tc>
                      <w:tcPr>
                        <w:tcW w:w="18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5.70</w:t>
                        </w:r>
                      </w:p>
                    </w:tc>
                    <w:tc>
                      <w:tcPr>
                        <w:tcW w:w="2654" w:type="dxa"/>
                        <w:tcBorders>
                          <w:top w:val="nil" w:sz="6" w:space="0" w:color="auto"/>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spacing w:val="-1"/>
                            <w:sz w:val="21"/>
                          </w:rPr>
                          <w:t>3,329,315.01</w:t>
                        </w:r>
                      </w:p>
                    </w:tc>
                  </w:tr>
                  <w:tr>
                    <w:trPr>
                      <w:trHeight w:val="461" w:hRule="exact"/>
                    </w:trPr>
                    <w:tc>
                      <w:tcPr>
                        <w:tcW w:w="3053"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134"/>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193,369,713.81</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99.36</w:t>
                        </w:r>
                      </w:p>
                    </w:tc>
                    <w:tc>
                      <w:tcPr>
                        <w:tcW w:w="26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14,270,660.33</w:t>
                        </w:r>
                      </w:p>
                    </w:tc>
                  </w:tr>
                </w:tbl>
                <w:p>
                  <w:pPr/>
                </w:p>
              </w:txbxContent>
            </v:textbox>
            <w10:wrap type="none"/>
          </v:shape>
        </w:pict>
      </w:r>
      <w:r>
        <w:rPr/>
        <w:t>应收账款种类的说明：</w:t>
      </w:r>
      <w:r>
        <w:rPr>
          <w:w w:val="100"/>
        </w:rPr>
        <w:t> </w:t>
      </w:r>
      <w:r>
        <w:rPr>
          <w:spacing w:val="-2"/>
        </w:rPr>
        <w:t>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tbl>
      <w:tblPr>
        <w:tblW w:w="0" w:type="auto"/>
        <w:jc w:val="left"/>
        <w:tblInd w:w="144" w:type="dxa"/>
        <w:tblLayout w:type="fixed"/>
        <w:tblCellMar>
          <w:top w:w="0" w:type="dxa"/>
          <w:left w:w="0" w:type="dxa"/>
          <w:bottom w:w="0" w:type="dxa"/>
          <w:right w:w="0" w:type="dxa"/>
        </w:tblCellMar>
        <w:tblLook w:val="01E0"/>
      </w:tblPr>
      <w:tblGrid>
        <w:gridCol w:w="3038"/>
        <w:gridCol w:w="2290"/>
        <w:gridCol w:w="1872"/>
        <w:gridCol w:w="2654"/>
      </w:tblGrid>
      <w:tr>
        <w:trPr>
          <w:trHeight w:val="463" w:hRule="exact"/>
        </w:trPr>
        <w:tc>
          <w:tcPr>
            <w:tcW w:w="3038"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tabs>
                <w:tab w:pos="641" w:val="left" w:leader="none"/>
              </w:tabs>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6816"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56" w:hRule="exact"/>
        </w:trPr>
        <w:tc>
          <w:tcPr>
            <w:tcW w:w="3038" w:type="dxa"/>
            <w:vMerge/>
            <w:tcBorders>
              <w:left w:val="nil" w:sz="6" w:space="0" w:color="auto"/>
              <w:right w:val="single" w:sz="6" w:space="0" w:color="000000"/>
            </w:tcBorders>
          </w:tcPr>
          <w:p>
            <w:pPr/>
          </w:p>
        </w:tc>
        <w:tc>
          <w:tcPr>
            <w:tcW w:w="41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4" w:type="dxa"/>
            <w:vMerge w:val="restart"/>
            <w:tcBorders>
              <w:top w:val="single" w:sz="6" w:space="0" w:color="000000"/>
              <w:left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54" w:hRule="exact"/>
        </w:trPr>
        <w:tc>
          <w:tcPr>
            <w:tcW w:w="3038" w:type="dxa"/>
            <w:vMerge/>
            <w:tcBorders>
              <w:left w:val="nil" w:sz="6" w:space="0" w:color="auto"/>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Style w:val="TableParagraph"/>
              <w:tabs>
                <w:tab w:pos="427" w:val="left" w:leader="none"/>
              </w:tabs>
              <w:spacing w:line="240" w:lineRule="auto" w:before="134"/>
              <w:ind w:left="4"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4" w:type="dxa"/>
            <w:vMerge/>
            <w:tcBorders>
              <w:left w:val="single" w:sz="6" w:space="0" w:color="000000"/>
              <w:bottom w:val="single" w:sz="6" w:space="0" w:color="000000"/>
              <w:right w:val="nil" w:sz="6" w:space="0" w:color="auto"/>
            </w:tcBorders>
          </w:tcPr>
          <w:p>
            <w:pPr/>
          </w:p>
        </w:tc>
      </w:tr>
      <w:tr>
        <w:trPr>
          <w:trHeight w:val="543" w:hRule="exact"/>
        </w:trPr>
        <w:tc>
          <w:tcPr>
            <w:tcW w:w="3038" w:type="dxa"/>
            <w:tcBorders>
              <w:top w:val="single" w:sz="6" w:space="0" w:color="000000"/>
              <w:left w:val="nil" w:sz="6" w:space="0" w:color="auto"/>
              <w:bottom w:val="nil" w:sz="6" w:space="0" w:color="auto"/>
              <w:right w:val="single" w:sz="6" w:space="0" w:color="000000"/>
            </w:tcBorders>
          </w:tcPr>
          <w:p>
            <w:pPr>
              <w:pStyle w:val="TableParagraph"/>
              <w:spacing w:line="240" w:lineRule="auto" w:before="136"/>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127,470,960.27</w:t>
            </w:r>
          </w:p>
        </w:tc>
        <w:tc>
          <w:tcPr>
            <w:tcW w:w="18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83.24</w:t>
            </w:r>
          </w:p>
        </w:tc>
        <w:tc>
          <w:tcPr>
            <w:tcW w:w="2654" w:type="dxa"/>
            <w:tcBorders>
              <w:top w:val="single" w:sz="6" w:space="0" w:color="000000"/>
              <w:left w:val="single" w:sz="6"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6,373,548.03</w:t>
            </w:r>
          </w:p>
        </w:tc>
      </w:tr>
      <w:tr>
        <w:trPr>
          <w:trHeight w:val="345" w:hRule="exact"/>
        </w:trPr>
        <w:tc>
          <w:tcPr>
            <w:tcW w:w="3038"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90"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10,120,548.29</w:t>
            </w:r>
          </w:p>
        </w:tc>
        <w:tc>
          <w:tcPr>
            <w:tcW w:w="1872"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6.61</w:t>
            </w:r>
          </w:p>
        </w:tc>
        <w:tc>
          <w:tcPr>
            <w:tcW w:w="2654"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spacing w:val="-1"/>
                <w:sz w:val="21"/>
              </w:rPr>
              <w:t>1,012,054.83</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200" w:bottom="1160" w:left="880" w:right="88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053"/>
        <w:gridCol w:w="2290"/>
        <w:gridCol w:w="1872"/>
        <w:gridCol w:w="2654"/>
      </w:tblGrid>
      <w:tr>
        <w:trPr>
          <w:trHeight w:val="541" w:hRule="exact"/>
        </w:trPr>
        <w:tc>
          <w:tcPr>
            <w:tcW w:w="3053" w:type="dxa"/>
            <w:tcBorders>
              <w:top w:val="single" w:sz="6" w:space="0" w:color="000000"/>
              <w:left w:val="nil" w:sz="6" w:space="0" w:color="auto"/>
              <w:bottom w:val="nil" w:sz="6" w:space="0" w:color="auto"/>
              <w:right w:val="single" w:sz="6"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9,495,141.74</w:t>
            </w:r>
          </w:p>
        </w:tc>
        <w:tc>
          <w:tcPr>
            <w:tcW w:w="18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6.20</w:t>
            </w:r>
          </w:p>
        </w:tc>
        <w:tc>
          <w:tcPr>
            <w:tcW w:w="2654" w:type="dxa"/>
            <w:tcBorders>
              <w:top w:val="single" w:sz="6" w:space="0" w:color="000000"/>
              <w:left w:val="single" w:sz="6"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1,899,028.35</w:t>
            </w:r>
          </w:p>
        </w:tc>
      </w:tr>
      <w:tr>
        <w:trPr>
          <w:trHeight w:val="355" w:hRule="exact"/>
        </w:trPr>
        <w:tc>
          <w:tcPr>
            <w:tcW w:w="3053" w:type="dxa"/>
            <w:tcBorders>
              <w:top w:val="nil" w:sz="6" w:space="0" w:color="auto"/>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9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5,238,663.93</w:t>
            </w:r>
          </w:p>
        </w:tc>
        <w:tc>
          <w:tcPr>
            <w:tcW w:w="187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3.42</w:t>
            </w:r>
          </w:p>
        </w:tc>
        <w:tc>
          <w:tcPr>
            <w:tcW w:w="2654" w:type="dxa"/>
            <w:tcBorders>
              <w:top w:val="nil" w:sz="6" w:space="0" w:color="auto"/>
              <w:left w:val="single" w:sz="6" w:space="0" w:color="000000"/>
              <w:bottom w:val="single" w:sz="6"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spacing w:val="-1"/>
                <w:sz w:val="21"/>
              </w:rPr>
              <w:t>1,571,599.18</w:t>
            </w:r>
          </w:p>
        </w:tc>
      </w:tr>
      <w:tr>
        <w:trPr>
          <w:trHeight w:val="463" w:hRule="exact"/>
        </w:trPr>
        <w:tc>
          <w:tcPr>
            <w:tcW w:w="3053" w:type="dxa"/>
            <w:tcBorders>
              <w:top w:val="single" w:sz="6" w:space="0" w:color="000000"/>
              <w:left w:val="nil" w:sz="6" w:space="0" w:color="auto"/>
              <w:bottom w:val="single" w:sz="12" w:space="0" w:color="000000"/>
              <w:right w:val="single" w:sz="6" w:space="0" w:color="000000"/>
            </w:tcBorders>
          </w:tcPr>
          <w:p>
            <w:pPr>
              <w:pStyle w:val="TableParagraph"/>
              <w:tabs>
                <w:tab w:pos="655" w:val="left" w:leader="none"/>
              </w:tabs>
              <w:spacing w:line="240" w:lineRule="auto" w:before="134"/>
              <w:ind w:left="2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152,325,314.23</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99.47</w:t>
            </w:r>
          </w:p>
        </w:tc>
        <w:tc>
          <w:tcPr>
            <w:tcW w:w="26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10,856,230.39</w:t>
            </w:r>
          </w:p>
        </w:tc>
      </w:tr>
    </w:tbl>
    <w:p>
      <w:pPr>
        <w:spacing w:line="240" w:lineRule="auto" w:before="6"/>
        <w:rPr>
          <w:rFonts w:ascii="宋体" w:hAnsi="宋体" w:cs="宋体" w:eastAsia="宋体" w:hint="default"/>
          <w:sz w:val="7"/>
          <w:szCs w:val="7"/>
        </w:rPr>
      </w:pPr>
    </w:p>
    <w:p>
      <w:pPr>
        <w:pStyle w:val="BodyText"/>
        <w:spacing w:line="240" w:lineRule="auto" w:before="36"/>
        <w:ind w:left="547" w:right="0"/>
        <w:jc w:val="left"/>
      </w:pPr>
      <w:r>
        <w:rPr/>
        <w:t>期末单项金额虽不重大但单项计提坏账准备的应收款项：</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384"/>
        <w:gridCol w:w="1416"/>
        <w:gridCol w:w="1418"/>
        <w:gridCol w:w="1135"/>
        <w:gridCol w:w="1601"/>
      </w:tblGrid>
      <w:tr>
        <w:trPr>
          <w:trHeight w:val="461" w:hRule="exact"/>
        </w:trPr>
        <w:tc>
          <w:tcPr>
            <w:tcW w:w="338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6"/>
              <w:ind w:left="1068"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6"/>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6"/>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6"/>
              <w:ind w:left="141"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60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38" w:hRule="exact"/>
        </w:trPr>
        <w:tc>
          <w:tcPr>
            <w:tcW w:w="3384" w:type="dxa"/>
            <w:tcBorders>
              <w:top w:val="single" w:sz="4" w:space="0" w:color="000000"/>
              <w:left w:val="nil" w:sz="6" w:space="0" w:color="auto"/>
              <w:bottom w:val="nil" w:sz="6" w:space="0" w:color="auto"/>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上海千锅居餐饮管理有限公司</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9,195.00</w:t>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9,195.00</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single" w:sz="4" w:space="0" w:color="000000"/>
              <w:left w:val="single" w:sz="4" w:space="0" w:color="000000"/>
              <w:bottom w:val="nil" w:sz="6" w:space="0" w:color="auto"/>
              <w:right w:val="nil" w:sz="6" w:space="0" w:color="auto"/>
            </w:tcBorders>
          </w:tcPr>
          <w:p>
            <w:pPr>
              <w:pStyle w:val="TableParagraph"/>
              <w:spacing w:line="240" w:lineRule="auto" w:before="134"/>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上海福记联合御花园餐饮有限公司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39,527.25</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39,527.25</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宋体" w:hAnsi="宋体" w:cs="宋体" w:eastAsia="宋体" w:hint="default"/>
                <w:sz w:val="21"/>
                <w:szCs w:val="21"/>
              </w:rPr>
              <w:t>上海诺卡餐饮有限公司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5,000.00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5,000.00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39"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山东神龟餐饮管理有限公司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162,950.00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162,950.00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上海沈家花园酒店管理有限公司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21,943.00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21,943.00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宋体" w:hAnsi="宋体" w:cs="宋体" w:eastAsia="宋体" w:hint="default"/>
                <w:sz w:val="21"/>
                <w:szCs w:val="21"/>
              </w:rPr>
              <w:t>上海紫来轩餐饮有限公司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9,000.00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9,000.00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39"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杭州天可汗食品有限公司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12,000.00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12,000.00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6"/>
              <w:jc w:val="left"/>
              <w:rPr>
                <w:rFonts w:ascii="宋体" w:hAnsi="宋体" w:cs="宋体" w:eastAsia="宋体" w:hint="default"/>
                <w:sz w:val="21"/>
                <w:szCs w:val="21"/>
              </w:rPr>
            </w:pPr>
            <w:r>
              <w:rPr>
                <w:rFonts w:ascii="宋体" w:hAnsi="宋体" w:cs="宋体" w:eastAsia="宋体" w:hint="default"/>
                <w:w w:val="100"/>
                <w:sz w:val="21"/>
                <w:szCs w:val="21"/>
              </w:rPr>
              <w:t>上海</w:t>
            </w:r>
            <w:r>
              <w:rPr>
                <w:rFonts w:ascii="宋体" w:hAnsi="宋体" w:cs="宋体" w:eastAsia="宋体" w:hint="default"/>
                <w:spacing w:val="-3"/>
                <w:w w:val="100"/>
                <w:sz w:val="21"/>
                <w:szCs w:val="21"/>
              </w:rPr>
              <w:t>润</w:t>
            </w:r>
            <w:r>
              <w:rPr>
                <w:rFonts w:ascii="宋体" w:hAnsi="宋体" w:cs="宋体" w:eastAsia="宋体" w:hint="default"/>
                <w:w w:val="100"/>
                <w:sz w:val="21"/>
                <w:szCs w:val="21"/>
              </w:rPr>
              <w:t>丰</w:t>
            </w:r>
            <w:r>
              <w:rPr>
                <w:rFonts w:ascii="宋体" w:hAnsi="宋体" w:cs="宋体" w:eastAsia="宋体" w:hint="default"/>
                <w:spacing w:val="-3"/>
                <w:w w:val="100"/>
                <w:sz w:val="21"/>
                <w:szCs w:val="21"/>
              </w:rPr>
              <w:t>餐</w:t>
            </w:r>
            <w:r>
              <w:rPr>
                <w:rFonts w:ascii="宋体" w:hAnsi="宋体" w:cs="宋体" w:eastAsia="宋体" w:hint="default"/>
                <w:w w:val="100"/>
                <w:sz w:val="21"/>
                <w:szCs w:val="21"/>
              </w:rPr>
              <w:t>饮</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spacing w:val="-104"/>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麻</w:t>
            </w:r>
            <w:r>
              <w:rPr>
                <w:rFonts w:ascii="宋体" w:hAnsi="宋体" w:cs="宋体" w:eastAsia="宋体" w:hint="default"/>
                <w:w w:val="100"/>
                <w:sz w:val="21"/>
                <w:szCs w:val="21"/>
              </w:rPr>
              <w:t>辣风</w:t>
            </w:r>
            <w:r>
              <w:rPr>
                <w:rFonts w:ascii="宋体" w:hAnsi="宋体" w:cs="宋体" w:eastAsia="宋体" w:hint="default"/>
                <w:spacing w:val="-3"/>
                <w:w w:val="100"/>
                <w:sz w:val="21"/>
                <w:szCs w:val="21"/>
              </w:rPr>
              <w:t>暴</w:t>
            </w:r>
            <w:r>
              <w:rPr>
                <w:rFonts w:ascii="宋体" w:hAnsi="宋体" w:cs="宋体" w:eastAsia="宋体" w:hint="default"/>
                <w:w w:val="100"/>
                <w:sz w:val="21"/>
                <w:szCs w:val="21"/>
              </w:rPr>
              <w:t>）</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1,000.00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6"/>
              <w:jc w:val="left"/>
              <w:rPr>
                <w:rFonts w:ascii="宋体" w:hAnsi="宋体" w:cs="宋体" w:eastAsia="宋体" w:hint="default"/>
                <w:sz w:val="21"/>
                <w:szCs w:val="21"/>
              </w:rPr>
            </w:pPr>
            <w:r>
              <w:rPr>
                <w:rFonts w:ascii="宋体" w:hAnsi="宋体" w:cs="宋体" w:eastAsia="宋体" w:hint="default"/>
                <w:w w:val="100"/>
                <w:sz w:val="21"/>
                <w:szCs w:val="21"/>
              </w:rPr>
              <w:t>上海</w:t>
            </w:r>
            <w:r>
              <w:rPr>
                <w:rFonts w:ascii="宋体" w:hAnsi="宋体" w:cs="宋体" w:eastAsia="宋体" w:hint="default"/>
                <w:spacing w:val="-3"/>
                <w:w w:val="100"/>
                <w:sz w:val="21"/>
                <w:szCs w:val="21"/>
              </w:rPr>
              <w:t>颐</w:t>
            </w:r>
            <w:r>
              <w:rPr>
                <w:rFonts w:ascii="宋体" w:hAnsi="宋体" w:cs="宋体" w:eastAsia="宋体" w:hint="default"/>
                <w:w w:val="100"/>
                <w:sz w:val="21"/>
                <w:szCs w:val="21"/>
              </w:rPr>
              <w:t>轩</w:t>
            </w:r>
            <w:r>
              <w:rPr>
                <w:rFonts w:ascii="宋体" w:hAnsi="宋体" w:cs="宋体" w:eastAsia="宋体" w:hint="default"/>
                <w:spacing w:val="-3"/>
                <w:w w:val="100"/>
                <w:sz w:val="21"/>
                <w:szCs w:val="21"/>
              </w:rPr>
              <w:t>餐</w:t>
            </w:r>
            <w:r>
              <w:rPr>
                <w:rFonts w:ascii="宋体" w:hAnsi="宋体" w:cs="宋体" w:eastAsia="宋体" w:hint="default"/>
                <w:w w:val="100"/>
                <w:sz w:val="21"/>
                <w:szCs w:val="21"/>
              </w:rPr>
              <w:t>饮</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spacing w:val="-104"/>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家川</w:t>
            </w:r>
            <w:r>
              <w:rPr>
                <w:rFonts w:ascii="宋体" w:hAnsi="宋体" w:cs="宋体" w:eastAsia="宋体" w:hint="default"/>
                <w:spacing w:val="-3"/>
                <w:w w:val="100"/>
                <w:sz w:val="21"/>
                <w:szCs w:val="21"/>
              </w:rPr>
              <w:t>菜</w:t>
            </w:r>
            <w:r>
              <w:rPr>
                <w:rFonts w:ascii="宋体" w:hAnsi="宋体" w:cs="宋体" w:eastAsia="宋体" w:hint="default"/>
                <w:w w:val="100"/>
                <w:sz w:val="21"/>
                <w:szCs w:val="21"/>
              </w:rPr>
              <w:t>）</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1,000.00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39"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上海福天餐饮有限公司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22,055.00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22,055.00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沈家门渔港餐饮有限公司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4,000.00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4,000.00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宋体" w:hAnsi="宋体" w:cs="宋体" w:eastAsia="宋体" w:hint="default"/>
                <w:sz w:val="21"/>
                <w:szCs w:val="21"/>
              </w:rPr>
              <w:t>上海锦尧酒店投资管理有限公司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z w:val="21"/>
              </w:rPr>
              <w:t>400.00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z w:val="21"/>
              </w:rPr>
              <w:t>400.00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185"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128"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39"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哇哇叫</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42,960.00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42,960.00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南京博科基力资讯有限公司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z w:val="21"/>
              </w:rPr>
              <w:t>200.00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z w:val="21"/>
              </w:rPr>
              <w:t>200.00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85"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128"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宋体" w:hAnsi="宋体" w:cs="宋体" w:eastAsia="宋体" w:hint="default"/>
                <w:sz w:val="21"/>
                <w:szCs w:val="21"/>
              </w:rPr>
              <w:t>宁波采得丰餐饮管理有限公司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28,000.00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28,000.00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39"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永强职业学校</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78,530.00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78,530.00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上海金轩大酒店</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21,000.00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21,000.00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88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宋体" w:hAnsi="宋体" w:cs="宋体" w:eastAsia="宋体" w:hint="default"/>
                <w:sz w:val="21"/>
                <w:szCs w:val="21"/>
              </w:rPr>
              <w:t>上海十方餐饮经营管理有限公司</w:t>
            </w:r>
          </w:p>
          <w:p>
            <w:pPr>
              <w:pStyle w:val="TableParagraph"/>
              <w:spacing w:line="240" w:lineRule="auto" w:before="164"/>
              <w:ind w:left="122" w:right="0"/>
              <w:jc w:val="left"/>
              <w:rPr>
                <w:rFonts w:ascii="宋体" w:hAnsi="宋体" w:cs="宋体" w:eastAsia="宋体" w:hint="default"/>
                <w:sz w:val="21"/>
                <w:szCs w:val="21"/>
              </w:rPr>
            </w:pPr>
            <w:r>
              <w:rPr>
                <w:rFonts w:ascii="宋体" w:hAnsi="宋体" w:cs="宋体" w:eastAsia="宋体" w:hint="default"/>
                <w:sz w:val="21"/>
                <w:szCs w:val="21"/>
              </w:rPr>
              <w:t>（孔家花园）</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300.00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5"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8"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上海明港海鲜餐饮管理有限公司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3,240.00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3,240.00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宋体" w:hAnsi="宋体" w:cs="宋体" w:eastAsia="宋体" w:hint="default"/>
                <w:sz w:val="21"/>
                <w:szCs w:val="21"/>
              </w:rPr>
              <w:t>上海瀛通大酒店有限公司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z w:val="21"/>
              </w:rPr>
              <w:t>550.00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z w:val="21"/>
              </w:rPr>
              <w:t>550.00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185"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128"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39"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赛力（中国）有限公司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z w:val="21"/>
              </w:rPr>
              <w:t>500.00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z w:val="21"/>
              </w:rPr>
              <w:t>500.00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881"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pacing w:val="12"/>
                <w:sz w:val="21"/>
                <w:szCs w:val="21"/>
              </w:rPr>
              <w:t>上海沈家花园餐饮管理有限公司</w:t>
            </w:r>
          </w:p>
          <w:p>
            <w:pPr>
              <w:pStyle w:val="TableParagraph"/>
              <w:spacing w:line="240" w:lineRule="auto" w:before="167"/>
              <w:ind w:left="122" w:right="0"/>
              <w:jc w:val="left"/>
              <w:rPr>
                <w:rFonts w:ascii="宋体" w:hAnsi="宋体" w:cs="宋体" w:eastAsia="宋体" w:hint="default"/>
                <w:sz w:val="21"/>
                <w:szCs w:val="21"/>
              </w:rPr>
            </w:pPr>
            <w:r>
              <w:rPr>
                <w:rFonts w:ascii="宋体" w:hAnsi="宋体" w:cs="宋体" w:eastAsia="宋体" w:hint="default"/>
                <w:sz w:val="21"/>
                <w:szCs w:val="21"/>
              </w:rPr>
              <w:t>（常熟市真品）</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17,000.00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17,000.00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39"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宝钢集团宝山宾馆</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4,800.00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4,800.00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碧安咔餐饮（上海）有限公司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63,180.00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63,180.00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63" w:hRule="exact"/>
        </w:trPr>
        <w:tc>
          <w:tcPr>
            <w:tcW w:w="3384" w:type="dxa"/>
            <w:tcBorders>
              <w:top w:val="nil" w:sz="6" w:space="0" w:color="auto"/>
              <w:left w:val="nil" w:sz="6" w:space="0" w:color="auto"/>
              <w:bottom w:val="single" w:sz="12"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宋体" w:hAnsi="宋体" w:cs="宋体" w:eastAsia="宋体" w:hint="default"/>
                <w:sz w:val="21"/>
                <w:szCs w:val="21"/>
              </w:rPr>
              <w:t>北京神舟之韵茶叶有限公司</w:t>
            </w:r>
          </w:p>
        </w:tc>
        <w:tc>
          <w:tcPr>
            <w:tcW w:w="14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10,000.00</w:t>
            </w:r>
          </w:p>
        </w:tc>
        <w:tc>
          <w:tcPr>
            <w:tcW w:w="14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10,000.00</w:t>
            </w:r>
          </w:p>
        </w:tc>
        <w:tc>
          <w:tcPr>
            <w:tcW w:w="113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9"/>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single" w:sz="12" w:space="0" w:color="000000"/>
              <w:right w:val="nil" w:sz="6" w:space="0" w:color="auto"/>
            </w:tcBorders>
          </w:tcPr>
          <w:p>
            <w:pPr>
              <w:pStyle w:val="TableParagraph"/>
              <w:spacing w:line="240" w:lineRule="auto" w:before="41"/>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bl>
    <w:p>
      <w:pPr>
        <w:spacing w:after="0" w:line="240" w:lineRule="auto"/>
        <w:jc w:val="center"/>
        <w:rPr>
          <w:rFonts w:ascii="宋体" w:hAnsi="宋体" w:cs="宋体" w:eastAsia="宋体" w:hint="default"/>
          <w:sz w:val="21"/>
          <w:szCs w:val="21"/>
        </w:rPr>
        <w:sectPr>
          <w:pgSz w:w="11910" w:h="16840"/>
          <w:pgMar w:header="850" w:footer="979" w:top="1200" w:bottom="1160" w:left="900" w:right="920"/>
        </w:sectPr>
      </w:pPr>
    </w:p>
    <w:tbl>
      <w:tblPr>
        <w:tblW w:w="0" w:type="auto"/>
        <w:jc w:val="left"/>
        <w:tblInd w:w="110" w:type="dxa"/>
        <w:tblLayout w:type="fixed"/>
        <w:tblCellMar>
          <w:top w:w="0" w:type="dxa"/>
          <w:left w:w="0" w:type="dxa"/>
          <w:bottom w:w="0" w:type="dxa"/>
          <w:right w:w="0" w:type="dxa"/>
        </w:tblCellMar>
        <w:tblLook w:val="01E0"/>
      </w:tblPr>
      <w:tblGrid>
        <w:gridCol w:w="3384"/>
        <w:gridCol w:w="1416"/>
        <w:gridCol w:w="1418"/>
        <w:gridCol w:w="1135"/>
        <w:gridCol w:w="1601"/>
        <w:gridCol w:w="835"/>
      </w:tblGrid>
      <w:tr>
        <w:trPr>
          <w:trHeight w:val="482" w:hRule="exact"/>
        </w:trPr>
        <w:tc>
          <w:tcPr>
            <w:tcW w:w="338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4"/>
              <w:ind w:left="1068"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41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4"/>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4"/>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4"/>
              <w:ind w:left="141"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2436" w:type="dxa"/>
            <w:gridSpan w:val="2"/>
            <w:tcBorders>
              <w:top w:val="single" w:sz="12" w:space="0" w:color="000000"/>
              <w:left w:val="single" w:sz="4" w:space="0" w:color="000000"/>
              <w:bottom w:val="nil" w:sz="6" w:space="0" w:color="auto"/>
              <w:right w:val="nil" w:sz="6" w:space="0" w:color="auto"/>
            </w:tcBorders>
          </w:tcPr>
          <w:p>
            <w:pPr>
              <w:pStyle w:val="TableParagraph"/>
              <w:spacing w:line="240" w:lineRule="auto" w:before="141"/>
              <w:ind w:left="376"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38" w:hRule="exact"/>
        </w:trPr>
        <w:tc>
          <w:tcPr>
            <w:tcW w:w="3384" w:type="dxa"/>
            <w:tcBorders>
              <w:top w:val="single" w:sz="4" w:space="0" w:color="000000"/>
              <w:left w:val="nil" w:sz="6" w:space="0" w:color="auto"/>
              <w:bottom w:val="nil" w:sz="6" w:space="0" w:color="auto"/>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伟俊</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8"/>
              <w:ind w:right="98"/>
              <w:jc w:val="right"/>
              <w:rPr>
                <w:rFonts w:ascii="Times New Roman" w:hAnsi="Times New Roman" w:cs="Times New Roman" w:eastAsia="Times New Roman" w:hint="default"/>
                <w:sz w:val="21"/>
                <w:szCs w:val="21"/>
              </w:rPr>
            </w:pPr>
            <w:r>
              <w:rPr>
                <w:rFonts w:ascii="Times New Roman"/>
                <w:spacing w:val="-1"/>
                <w:sz w:val="21"/>
              </w:rPr>
              <w:t>4,000.00</w:t>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8"/>
              <w:ind w:right="96"/>
              <w:jc w:val="right"/>
              <w:rPr>
                <w:rFonts w:ascii="Times New Roman" w:hAnsi="Times New Roman" w:cs="Times New Roman" w:eastAsia="Times New Roman" w:hint="default"/>
                <w:sz w:val="21"/>
                <w:szCs w:val="21"/>
              </w:rPr>
            </w:pPr>
            <w:r>
              <w:rPr>
                <w:rFonts w:ascii="Times New Roman"/>
                <w:spacing w:val="-1"/>
                <w:sz w:val="21"/>
              </w:rPr>
              <w:t>4,000.00</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8"/>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single" w:sz="4" w:space="0" w:color="000000"/>
              <w:left w:val="single" w:sz="4" w:space="0" w:color="000000"/>
              <w:bottom w:val="nil" w:sz="6" w:space="0" w:color="auto"/>
              <w:right w:val="nil" w:sz="6" w:space="0" w:color="auto"/>
            </w:tcBorders>
          </w:tcPr>
          <w:p>
            <w:pPr>
              <w:pStyle w:val="TableParagraph"/>
              <w:spacing w:line="240" w:lineRule="auto" w:before="119"/>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val="restart"/>
            <w:tcBorders>
              <w:top w:val="nil" w:sz="6" w:space="0" w:color="auto"/>
              <w:left w:val="nil" w:sz="6" w:space="0" w:color="auto"/>
              <w:right w:val="nil" w:sz="6" w:space="0" w:color="auto"/>
            </w:tcBorders>
          </w:tcPr>
          <w:p>
            <w:pP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sz w:val="21"/>
                <w:szCs w:val="21"/>
              </w:rPr>
              <w:t>上海帆顺餐饮有限公司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1,300.00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1,300.00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郭丁发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8"/>
              <w:jc w:val="right"/>
              <w:rPr>
                <w:rFonts w:ascii="Times New Roman" w:hAnsi="Times New Roman" w:cs="Times New Roman" w:eastAsia="Times New Roman" w:hint="default"/>
                <w:sz w:val="21"/>
                <w:szCs w:val="21"/>
              </w:rPr>
            </w:pPr>
            <w:r>
              <w:rPr>
                <w:rFonts w:ascii="Times New Roman"/>
                <w:spacing w:val="-1"/>
                <w:sz w:val="21"/>
              </w:rPr>
              <w:t>2,600.00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6"/>
              <w:jc w:val="right"/>
              <w:rPr>
                <w:rFonts w:ascii="Times New Roman" w:hAnsi="Times New Roman" w:cs="Times New Roman" w:eastAsia="Times New Roman" w:hint="default"/>
                <w:sz w:val="21"/>
                <w:szCs w:val="21"/>
              </w:rPr>
            </w:pPr>
            <w:r>
              <w:rPr>
                <w:rFonts w:ascii="Times New Roman"/>
                <w:spacing w:val="-1"/>
                <w:sz w:val="21"/>
              </w:rPr>
              <w:t>2,600.00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88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384" w:lineRule="auto" w:before="25"/>
              <w:ind w:left="122" w:right="98"/>
              <w:jc w:val="left"/>
              <w:rPr>
                <w:rFonts w:ascii="宋体" w:hAnsi="宋体" w:cs="宋体" w:eastAsia="宋体" w:hint="default"/>
                <w:sz w:val="21"/>
                <w:szCs w:val="21"/>
              </w:rPr>
            </w:pPr>
            <w:r>
              <w:rPr>
                <w:rFonts w:ascii="宋体" w:hAnsi="宋体" w:cs="宋体" w:eastAsia="宋体" w:hint="default"/>
                <w:spacing w:val="-1"/>
                <w:sz w:val="21"/>
                <w:szCs w:val="21"/>
              </w:rPr>
              <w:t>舟山高佳庄大酒店有限公司定海分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8,000.00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上海河边餐饮企业管理有限公司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8"/>
              <w:jc w:val="right"/>
              <w:rPr>
                <w:rFonts w:ascii="Times New Roman" w:hAnsi="Times New Roman" w:cs="Times New Roman" w:eastAsia="Times New Roman" w:hint="default"/>
                <w:sz w:val="21"/>
                <w:szCs w:val="21"/>
              </w:rPr>
            </w:pPr>
            <w:r>
              <w:rPr>
                <w:rFonts w:ascii="Times New Roman"/>
                <w:spacing w:val="-1"/>
                <w:sz w:val="21"/>
              </w:rPr>
              <w:t>4,999.00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6"/>
              <w:jc w:val="right"/>
              <w:rPr>
                <w:rFonts w:ascii="Times New Roman" w:hAnsi="Times New Roman" w:cs="Times New Roman" w:eastAsia="Times New Roman" w:hint="default"/>
                <w:sz w:val="21"/>
                <w:szCs w:val="21"/>
              </w:rPr>
            </w:pPr>
            <w:r>
              <w:rPr>
                <w:rFonts w:ascii="Times New Roman"/>
                <w:spacing w:val="-1"/>
                <w:sz w:val="21"/>
              </w:rPr>
              <w:t>4,999.00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439"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sz w:val="21"/>
                <w:szCs w:val="21"/>
              </w:rPr>
              <w:t>上海精才电子有限公司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3,500.00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3,500.00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sz w:val="21"/>
                <w:szCs w:val="21"/>
              </w:rPr>
              <w:t>上海金牛餐饮管理有限公司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21,660.00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21,660.00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上海金炀餐饮管理有限公司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8"/>
              <w:jc w:val="right"/>
              <w:rPr>
                <w:rFonts w:ascii="Times New Roman" w:hAnsi="Times New Roman" w:cs="Times New Roman" w:eastAsia="Times New Roman" w:hint="default"/>
                <w:sz w:val="21"/>
                <w:szCs w:val="21"/>
              </w:rPr>
            </w:pPr>
            <w:r>
              <w:rPr>
                <w:rFonts w:ascii="Times New Roman"/>
                <w:spacing w:val="-1"/>
                <w:sz w:val="21"/>
              </w:rPr>
              <w:t>9,050.00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6"/>
              <w:jc w:val="right"/>
              <w:rPr>
                <w:rFonts w:ascii="Times New Roman" w:hAnsi="Times New Roman" w:cs="Times New Roman" w:eastAsia="Times New Roman" w:hint="default"/>
                <w:sz w:val="21"/>
                <w:szCs w:val="21"/>
              </w:rPr>
            </w:pPr>
            <w:r>
              <w:rPr>
                <w:rFonts w:ascii="Times New Roman"/>
                <w:spacing w:val="-1"/>
                <w:sz w:val="21"/>
              </w:rPr>
              <w:t>9,050.00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439"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sz w:val="21"/>
                <w:szCs w:val="21"/>
              </w:rPr>
              <w:t>上海李家花园酒店管理有限公司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6,000.00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6,000.00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sz w:val="21"/>
                <w:szCs w:val="21"/>
              </w:rPr>
              <w:t>上海马上封侯餐饮管理有限公司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4,230.00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4,230.00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上海如君餐饮管理有限公司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8"/>
              <w:jc w:val="right"/>
              <w:rPr>
                <w:rFonts w:ascii="Times New Roman" w:hAnsi="Times New Roman" w:cs="Times New Roman" w:eastAsia="Times New Roman" w:hint="default"/>
                <w:sz w:val="21"/>
                <w:szCs w:val="21"/>
              </w:rPr>
            </w:pPr>
            <w:r>
              <w:rPr>
                <w:rFonts w:ascii="Times New Roman"/>
                <w:spacing w:val="-1"/>
                <w:sz w:val="21"/>
              </w:rPr>
              <w:t>3,245.00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6"/>
              <w:jc w:val="right"/>
              <w:rPr>
                <w:rFonts w:ascii="Times New Roman" w:hAnsi="Times New Roman" w:cs="Times New Roman" w:eastAsia="Times New Roman" w:hint="default"/>
                <w:sz w:val="21"/>
                <w:szCs w:val="21"/>
              </w:rPr>
            </w:pPr>
            <w:r>
              <w:rPr>
                <w:rFonts w:ascii="Times New Roman"/>
                <w:spacing w:val="-1"/>
                <w:sz w:val="21"/>
              </w:rPr>
              <w:t>3,245.00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439"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sz w:val="21"/>
                <w:szCs w:val="21"/>
              </w:rPr>
              <w:t>南京邮电宾馆</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20,736.00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20,736.00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881"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386" w:lineRule="auto" w:before="25"/>
              <w:ind w:left="122" w:right="98"/>
              <w:jc w:val="left"/>
              <w:rPr>
                <w:rFonts w:ascii="宋体" w:hAnsi="宋体" w:cs="宋体" w:eastAsia="宋体" w:hint="default"/>
                <w:sz w:val="21"/>
                <w:szCs w:val="21"/>
              </w:rPr>
            </w:pPr>
            <w:r>
              <w:rPr>
                <w:rFonts w:ascii="宋体" w:hAnsi="宋体" w:cs="宋体" w:eastAsia="宋体" w:hint="default"/>
                <w:spacing w:val="-1"/>
                <w:sz w:val="21"/>
                <w:szCs w:val="21"/>
              </w:rPr>
              <w:t>上海渝州小冲亲酒店管理有限公司</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渝情轩</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6,700.00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439"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sz w:val="21"/>
                <w:szCs w:val="21"/>
              </w:rPr>
              <w:t>新疆吐哈石油大厦</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231,400.00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231,400.00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sz w:val="21"/>
                <w:szCs w:val="21"/>
              </w:rPr>
              <w:t>北京家乐福商业有限公司马连道店</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3,000.00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3,000.00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徐州中央百货大楼股份有限公司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8"/>
              <w:jc w:val="right"/>
              <w:rPr>
                <w:rFonts w:ascii="Times New Roman" w:hAnsi="Times New Roman" w:cs="Times New Roman" w:eastAsia="Times New Roman" w:hint="default"/>
                <w:sz w:val="21"/>
                <w:szCs w:val="21"/>
              </w:rPr>
            </w:pPr>
            <w:r>
              <w:rPr>
                <w:rFonts w:ascii="Times New Roman"/>
                <w:spacing w:val="-1"/>
                <w:sz w:val="21"/>
              </w:rPr>
              <w:t>6,474.00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6"/>
              <w:jc w:val="right"/>
              <w:rPr>
                <w:rFonts w:ascii="Times New Roman" w:hAnsi="Times New Roman" w:cs="Times New Roman" w:eastAsia="Times New Roman" w:hint="default"/>
                <w:sz w:val="21"/>
                <w:szCs w:val="21"/>
              </w:rPr>
            </w:pPr>
            <w:r>
              <w:rPr>
                <w:rFonts w:ascii="Times New Roman"/>
                <w:spacing w:val="-1"/>
                <w:sz w:val="21"/>
              </w:rPr>
              <w:t>6,474.00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439"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sz w:val="21"/>
                <w:szCs w:val="21"/>
              </w:rPr>
              <w:t>银联商务有限公司陕西分公司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10,000.00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10,000.00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sz w:val="21"/>
                <w:szCs w:val="21"/>
              </w:rPr>
              <w:t>金建公司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39,500.00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39,500.00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440" w:hRule="exact"/>
        </w:trPr>
        <w:tc>
          <w:tcPr>
            <w:tcW w:w="3384"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南京力导电子公司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8"/>
              <w:jc w:val="right"/>
              <w:rPr>
                <w:rFonts w:ascii="Times New Roman" w:hAnsi="Times New Roman" w:cs="Times New Roman" w:eastAsia="Times New Roman" w:hint="default"/>
                <w:sz w:val="21"/>
                <w:szCs w:val="21"/>
              </w:rPr>
            </w:pPr>
            <w:r>
              <w:rPr>
                <w:rFonts w:ascii="Times New Roman"/>
                <w:spacing w:val="-1"/>
                <w:sz w:val="21"/>
              </w:rPr>
              <w:t>70,000.00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6"/>
              <w:jc w:val="right"/>
              <w:rPr>
                <w:rFonts w:ascii="Times New Roman" w:hAnsi="Times New Roman" w:cs="Times New Roman" w:eastAsia="Times New Roman" w:hint="default"/>
                <w:sz w:val="21"/>
                <w:szCs w:val="21"/>
              </w:rPr>
            </w:pPr>
            <w:r>
              <w:rPr>
                <w:rFonts w:ascii="Times New Roman"/>
                <w:spacing w:val="-1"/>
                <w:sz w:val="21"/>
              </w:rPr>
              <w:t>70,000.00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350" w:hRule="exact"/>
        </w:trPr>
        <w:tc>
          <w:tcPr>
            <w:tcW w:w="3384" w:type="dxa"/>
            <w:tcBorders>
              <w:top w:val="nil" w:sz="6" w:space="0" w:color="auto"/>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sz w:val="21"/>
                <w:szCs w:val="21"/>
              </w:rPr>
              <w:t>银联商务有限公司上海分公司</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239,200.00</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239,200.00</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184" w:right="0"/>
              <w:jc w:val="left"/>
              <w:rPr>
                <w:rFonts w:ascii="Times New Roman" w:hAnsi="Times New Roman" w:cs="Times New Roman" w:eastAsia="Times New Roman" w:hint="default"/>
                <w:sz w:val="21"/>
                <w:szCs w:val="21"/>
              </w:rPr>
            </w:pPr>
            <w:r>
              <w:rPr>
                <w:rFonts w:ascii="Times New Roman"/>
                <w:sz w:val="21"/>
              </w:rPr>
              <w:t>100.00%</w:t>
            </w:r>
          </w:p>
        </w:tc>
        <w:tc>
          <w:tcPr>
            <w:tcW w:w="1601" w:type="dxa"/>
            <w:tcBorders>
              <w:top w:val="nil" w:sz="6" w:space="0" w:color="auto"/>
              <w:left w:val="single" w:sz="4" w:space="0" w:color="000000"/>
              <w:bottom w:val="single" w:sz="4" w:space="0" w:color="000000"/>
              <w:right w:val="nil" w:sz="6" w:space="0" w:color="auto"/>
            </w:tcBorders>
          </w:tcPr>
          <w:p>
            <w:pPr>
              <w:pStyle w:val="TableParagraph"/>
              <w:spacing w:line="240" w:lineRule="auto" w:before="25"/>
              <w:ind w:left="127"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835" w:type="dxa"/>
            <w:vMerge/>
            <w:tcBorders>
              <w:left w:val="nil" w:sz="6" w:space="0" w:color="auto"/>
              <w:right w:val="nil" w:sz="6" w:space="0" w:color="auto"/>
            </w:tcBorders>
          </w:tcPr>
          <w:p>
            <w:pPr/>
          </w:p>
        </w:tc>
      </w:tr>
      <w:tr>
        <w:trPr>
          <w:trHeight w:val="468" w:hRule="exact"/>
        </w:trPr>
        <w:tc>
          <w:tcPr>
            <w:tcW w:w="3384"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119"/>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8"/>
              <w:ind w:right="98"/>
              <w:jc w:val="right"/>
              <w:rPr>
                <w:rFonts w:ascii="Times New Roman" w:hAnsi="Times New Roman" w:cs="Times New Roman" w:eastAsia="Times New Roman" w:hint="default"/>
                <w:sz w:val="21"/>
                <w:szCs w:val="21"/>
              </w:rPr>
            </w:pPr>
            <w:r>
              <w:rPr>
                <w:rFonts w:ascii="Times New Roman"/>
                <w:spacing w:val="-1"/>
                <w:sz w:val="21"/>
              </w:rPr>
              <w:t>1,253,924.25</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8"/>
              <w:ind w:right="96"/>
              <w:jc w:val="right"/>
              <w:rPr>
                <w:rFonts w:ascii="Times New Roman" w:hAnsi="Times New Roman" w:cs="Times New Roman" w:eastAsia="Times New Roman" w:hint="default"/>
                <w:sz w:val="21"/>
                <w:szCs w:val="21"/>
              </w:rPr>
            </w:pPr>
            <w:r>
              <w:rPr>
                <w:rFonts w:ascii="Times New Roman"/>
                <w:spacing w:val="-1"/>
                <w:sz w:val="21"/>
              </w:rPr>
              <w:t>1,253,924.25</w:t>
            </w:r>
          </w:p>
        </w:tc>
        <w:tc>
          <w:tcPr>
            <w:tcW w:w="1135" w:type="dxa"/>
            <w:tcBorders>
              <w:top w:val="single" w:sz="4" w:space="0" w:color="000000"/>
              <w:left w:val="single" w:sz="4" w:space="0" w:color="000000"/>
              <w:bottom w:val="single" w:sz="12" w:space="0" w:color="000000"/>
              <w:right w:val="single" w:sz="4" w:space="0" w:color="000000"/>
            </w:tcBorders>
          </w:tcPr>
          <w:p>
            <w:pPr/>
          </w:p>
        </w:tc>
        <w:tc>
          <w:tcPr>
            <w:tcW w:w="1601" w:type="dxa"/>
            <w:tcBorders>
              <w:top w:val="single" w:sz="4" w:space="0" w:color="000000"/>
              <w:left w:val="single" w:sz="4" w:space="0" w:color="000000"/>
              <w:bottom w:val="single" w:sz="12" w:space="0" w:color="000000"/>
              <w:right w:val="nil" w:sz="6" w:space="0" w:color="auto"/>
            </w:tcBorders>
          </w:tcPr>
          <w:p>
            <w:pPr/>
          </w:p>
        </w:tc>
        <w:tc>
          <w:tcPr>
            <w:tcW w:w="835" w:type="dxa"/>
            <w:vMerge/>
            <w:tcBorders>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7"/>
          <w:szCs w:val="7"/>
        </w:rPr>
      </w:pPr>
    </w:p>
    <w:p>
      <w:pPr>
        <w:pStyle w:val="BodyText"/>
        <w:spacing w:line="240" w:lineRule="auto" w:before="36"/>
        <w:ind w:left="652" w:right="5418"/>
        <w:jc w:val="left"/>
      </w:pPr>
      <w:r>
        <w:rPr/>
        <w:t>（</w:t>
      </w:r>
      <w:r>
        <w:rPr>
          <w:rFonts w:ascii="Times New Roman" w:hAnsi="Times New Roman" w:cs="Times New Roman" w:eastAsia="Times New Roman" w:hint="default"/>
        </w:rPr>
        <w:t>2</w:t>
      </w:r>
      <w:r>
        <w:rPr/>
        <w:t>）应收账款按币种列示如下：</w:t>
      </w:r>
    </w:p>
    <w:tbl>
      <w:tblPr>
        <w:tblW w:w="0" w:type="auto"/>
        <w:jc w:val="left"/>
        <w:tblInd w:w="110" w:type="dxa"/>
        <w:tblLayout w:type="fixed"/>
        <w:tblCellMar>
          <w:top w:w="0" w:type="dxa"/>
          <w:left w:w="0" w:type="dxa"/>
          <w:bottom w:w="0" w:type="dxa"/>
          <w:right w:w="0" w:type="dxa"/>
        </w:tblCellMar>
        <w:tblLook w:val="01E0"/>
      </w:tblPr>
      <w:tblGrid>
        <w:gridCol w:w="2446"/>
        <w:gridCol w:w="1855"/>
        <w:gridCol w:w="1858"/>
        <w:gridCol w:w="1855"/>
        <w:gridCol w:w="1855"/>
      </w:tblGrid>
      <w:tr>
        <w:trPr>
          <w:trHeight w:val="480" w:hRule="exact"/>
        </w:trPr>
        <w:tc>
          <w:tcPr>
            <w:tcW w:w="2446"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tabs>
                <w:tab w:pos="1439" w:val="left" w:leader="none"/>
              </w:tabs>
              <w:spacing w:line="240" w:lineRule="auto"/>
              <w:ind w:left="80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2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70" w:hRule="exact"/>
        </w:trPr>
        <w:tc>
          <w:tcPr>
            <w:tcW w:w="2446" w:type="dxa"/>
            <w:vMerge/>
            <w:tcBorders>
              <w:left w:val="nil" w:sz="6" w:space="0" w:color="auto"/>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607"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579" w:hRule="exact"/>
        </w:trPr>
        <w:tc>
          <w:tcPr>
            <w:tcW w:w="2446" w:type="dxa"/>
            <w:vMerge w:val="restart"/>
            <w:tcBorders>
              <w:top w:val="single" w:sz="4" w:space="0" w:color="000000"/>
              <w:left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RMB</w:t>
            </w:r>
          </w:p>
        </w:tc>
        <w:tc>
          <w:tcPr>
            <w:tcW w:w="18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147,184,864.28</w:t>
            </w:r>
          </w:p>
        </w:tc>
        <w:tc>
          <w:tcPr>
            <w:tcW w:w="1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578"/>
              <w:jc w:val="right"/>
              <w:rPr>
                <w:rFonts w:ascii="Times New Roman" w:hAnsi="Times New Roman" w:cs="Times New Roman" w:eastAsia="Times New Roman" w:hint="default"/>
                <w:sz w:val="21"/>
                <w:szCs w:val="21"/>
              </w:rPr>
            </w:pPr>
            <w:r>
              <w:rPr>
                <w:rFonts w:ascii="Times New Roman"/>
                <w:spacing w:val="-1"/>
                <w:sz w:val="21"/>
              </w:rPr>
              <w:t>1.00000</w:t>
            </w:r>
          </w:p>
        </w:tc>
        <w:tc>
          <w:tcPr>
            <w:tcW w:w="1855"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147,184,864.28</w:t>
            </w:r>
          </w:p>
        </w:tc>
      </w:tr>
      <w:tr>
        <w:trPr>
          <w:trHeight w:val="460" w:hRule="exact"/>
        </w:trPr>
        <w:tc>
          <w:tcPr>
            <w:tcW w:w="2446" w:type="dxa"/>
            <w:vMerge/>
            <w:tcBorders>
              <w:left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5"/>
              <w:jc w:val="center"/>
              <w:rPr>
                <w:rFonts w:ascii="Times New Roman" w:hAnsi="Times New Roman" w:cs="Times New Roman" w:eastAsia="Times New Roman" w:hint="default"/>
                <w:sz w:val="21"/>
                <w:szCs w:val="21"/>
              </w:rPr>
            </w:pPr>
            <w:r>
              <w:rPr>
                <w:rFonts w:ascii="Times New Roman"/>
                <w:spacing w:val="-3"/>
                <w:sz w:val="21"/>
              </w:rPr>
              <w:t>HKD</w:t>
            </w:r>
            <w:r>
              <w:rPr>
                <w:rFonts w:ascii="Times New Roman"/>
                <w:sz w:val="21"/>
              </w:rPr>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2"/>
                <w:sz w:val="21"/>
              </w:rPr>
              <w:t>11,685,881.63</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629"/>
              <w:jc w:val="right"/>
              <w:rPr>
                <w:rFonts w:ascii="Times New Roman" w:hAnsi="Times New Roman" w:cs="Times New Roman" w:eastAsia="Times New Roman" w:hint="default"/>
                <w:sz w:val="21"/>
                <w:szCs w:val="21"/>
              </w:rPr>
            </w:pPr>
            <w:r>
              <w:rPr>
                <w:rFonts w:ascii="Times New Roman"/>
                <w:sz w:val="21"/>
              </w:rPr>
              <w:t>0.8107</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9,473,744.24</w:t>
            </w:r>
          </w:p>
        </w:tc>
      </w:tr>
      <w:tr>
        <w:trPr>
          <w:trHeight w:val="460" w:hRule="exact"/>
        </w:trPr>
        <w:tc>
          <w:tcPr>
            <w:tcW w:w="2446" w:type="dxa"/>
            <w:vMerge/>
            <w:tcBorders>
              <w:left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1"/>
                <w:szCs w:val="21"/>
              </w:rPr>
            </w:pPr>
            <w:r>
              <w:rPr>
                <w:rFonts w:ascii="Times New Roman"/>
                <w:sz w:val="21"/>
              </w:rPr>
              <w:t>SGD</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98"/>
              <w:jc w:val="right"/>
              <w:rPr>
                <w:rFonts w:ascii="Times New Roman" w:hAnsi="Times New Roman" w:cs="Times New Roman" w:eastAsia="Times New Roman" w:hint="default"/>
                <w:sz w:val="21"/>
                <w:szCs w:val="21"/>
              </w:rPr>
            </w:pPr>
            <w:r>
              <w:rPr>
                <w:rFonts w:ascii="Times New Roman"/>
                <w:spacing w:val="-1"/>
                <w:sz w:val="21"/>
              </w:rPr>
              <w:t>168,101.01</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629"/>
              <w:jc w:val="right"/>
              <w:rPr>
                <w:rFonts w:ascii="Times New Roman" w:hAnsi="Times New Roman" w:cs="Times New Roman" w:eastAsia="Times New Roman" w:hint="default"/>
                <w:sz w:val="21"/>
                <w:szCs w:val="21"/>
              </w:rPr>
            </w:pPr>
            <w:r>
              <w:rPr>
                <w:rFonts w:ascii="Times New Roman"/>
                <w:sz w:val="21"/>
              </w:rPr>
              <w:t>4.8475</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103"/>
              <w:jc w:val="right"/>
              <w:rPr>
                <w:rFonts w:ascii="Times New Roman" w:hAnsi="Times New Roman" w:cs="Times New Roman" w:eastAsia="Times New Roman" w:hint="default"/>
                <w:sz w:val="21"/>
                <w:szCs w:val="21"/>
              </w:rPr>
            </w:pPr>
            <w:r>
              <w:rPr>
                <w:rFonts w:ascii="Times New Roman"/>
                <w:spacing w:val="-1"/>
                <w:sz w:val="21"/>
              </w:rPr>
              <w:t>814,866.28</w:t>
            </w:r>
          </w:p>
        </w:tc>
      </w:tr>
      <w:tr>
        <w:trPr>
          <w:trHeight w:val="362" w:hRule="exact"/>
        </w:trPr>
        <w:tc>
          <w:tcPr>
            <w:tcW w:w="2446" w:type="dxa"/>
            <w:vMerge/>
            <w:tcBorders>
              <w:left w:val="nil" w:sz="6" w:space="0" w:color="auto"/>
              <w:bottom w:val="single" w:sz="12" w:space="0" w:color="000000"/>
              <w:right w:val="single" w:sz="4" w:space="0" w:color="000000"/>
            </w:tcBorders>
          </w:tcPr>
          <w:p>
            <w:pPr/>
          </w:p>
        </w:tc>
        <w:tc>
          <w:tcPr>
            <w:tcW w:w="185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MYC</w:t>
            </w:r>
          </w:p>
        </w:tc>
        <w:tc>
          <w:tcPr>
            <w:tcW w:w="18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200,512.18</w:t>
            </w:r>
          </w:p>
        </w:tc>
        <w:tc>
          <w:tcPr>
            <w:tcW w:w="185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8"/>
              <w:ind w:right="629"/>
              <w:jc w:val="right"/>
              <w:rPr>
                <w:rFonts w:ascii="Times New Roman" w:hAnsi="Times New Roman" w:cs="Times New Roman" w:eastAsia="Times New Roman" w:hint="default"/>
                <w:sz w:val="21"/>
                <w:szCs w:val="21"/>
              </w:rPr>
            </w:pPr>
            <w:r>
              <w:rPr>
                <w:rFonts w:ascii="Times New Roman"/>
                <w:sz w:val="21"/>
              </w:rPr>
              <w:t>1.9819</w:t>
            </w:r>
          </w:p>
        </w:tc>
        <w:tc>
          <w:tcPr>
            <w:tcW w:w="1855" w:type="dxa"/>
            <w:tcBorders>
              <w:top w:val="nil" w:sz="6" w:space="0" w:color="auto"/>
              <w:left w:val="single" w:sz="4" w:space="0" w:color="000000"/>
              <w:bottom w:val="single" w:sz="12"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397,389.07</w:t>
            </w:r>
          </w:p>
        </w:tc>
      </w:tr>
    </w:tbl>
    <w:p>
      <w:pPr>
        <w:spacing w:after="0" w:line="240" w:lineRule="auto"/>
        <w:jc w:val="right"/>
        <w:rPr>
          <w:rFonts w:ascii="Times New Roman" w:hAnsi="Times New Roman" w:cs="Times New Roman" w:eastAsia="Times New Roman" w:hint="default"/>
          <w:sz w:val="21"/>
          <w:szCs w:val="21"/>
        </w:rPr>
        <w:sectPr>
          <w:footerReference w:type="default" r:id="rId54"/>
          <w:pgSz w:w="11910" w:h="16840"/>
          <w:pgMar w:footer="979" w:header="850" w:top="1260" w:bottom="1160" w:left="900" w:right="920"/>
          <w:pgNumType w:start="11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446"/>
        <w:gridCol w:w="1855"/>
        <w:gridCol w:w="1858"/>
        <w:gridCol w:w="1855"/>
        <w:gridCol w:w="1855"/>
      </w:tblGrid>
      <w:tr>
        <w:trPr>
          <w:trHeight w:val="487" w:hRule="exact"/>
        </w:trPr>
        <w:tc>
          <w:tcPr>
            <w:tcW w:w="2446" w:type="dxa"/>
            <w:vMerge w:val="restart"/>
            <w:tcBorders>
              <w:top w:val="single" w:sz="17"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tabs>
                <w:tab w:pos="1439" w:val="left" w:leader="none"/>
              </w:tabs>
              <w:spacing w:line="240" w:lineRule="auto"/>
              <w:ind w:left="80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23" w:type="dxa"/>
            <w:gridSpan w:val="4"/>
            <w:tcBorders>
              <w:top w:val="single" w:sz="17"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70" w:hRule="exact"/>
        </w:trPr>
        <w:tc>
          <w:tcPr>
            <w:tcW w:w="2446" w:type="dxa"/>
            <w:vMerge/>
            <w:tcBorders>
              <w:left w:val="nil" w:sz="6" w:space="0" w:color="auto"/>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607"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579" w:hRule="exact"/>
        </w:trPr>
        <w:tc>
          <w:tcPr>
            <w:tcW w:w="2446" w:type="dxa"/>
            <w:tcBorders>
              <w:top w:val="single" w:sz="4" w:space="0" w:color="000000"/>
              <w:left w:val="nil" w:sz="6" w:space="0" w:color="auto"/>
              <w:bottom w:val="nil" w:sz="6" w:space="0" w:color="auto"/>
              <w:right w:val="single" w:sz="4" w:space="0" w:color="000000"/>
            </w:tcBorders>
          </w:tcPr>
          <w:p>
            <w:pPr/>
          </w:p>
        </w:tc>
        <w:tc>
          <w:tcPr>
            <w:tcW w:w="1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157,870,863.87</w:t>
            </w:r>
          </w:p>
        </w:tc>
      </w:tr>
      <w:tr>
        <w:trPr>
          <w:trHeight w:val="449"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RMB</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18,529,965.65</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1.00000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18,529,965.65</w:t>
            </w:r>
          </w:p>
        </w:tc>
      </w:tr>
      <w:tr>
        <w:trPr>
          <w:trHeight w:val="470"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18,529,965.65</w:t>
            </w:r>
          </w:p>
        </w:tc>
      </w:tr>
      <w:tr>
        <w:trPr>
          <w:trHeight w:val="450"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RMB</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6,595,517.84</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1.00000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6,595,517.84</w:t>
            </w:r>
          </w:p>
        </w:tc>
      </w:tr>
      <w:tr>
        <w:trPr>
          <w:trHeight w:val="470"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6,595,517.84</w:t>
            </w:r>
          </w:p>
        </w:tc>
      </w:tr>
      <w:tr>
        <w:trPr>
          <w:trHeight w:val="449"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1"/>
                <w:szCs w:val="21"/>
              </w:rPr>
            </w:pPr>
            <w:r>
              <w:rPr>
                <w:rFonts w:ascii="Times New Roman"/>
                <w:sz w:val="21"/>
              </w:rPr>
              <w:t>RMB</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98"/>
              <w:jc w:val="right"/>
              <w:rPr>
                <w:rFonts w:ascii="Times New Roman" w:hAnsi="Times New Roman" w:cs="Times New Roman" w:eastAsia="Times New Roman" w:hint="default"/>
                <w:sz w:val="21"/>
                <w:szCs w:val="21"/>
              </w:rPr>
            </w:pPr>
            <w:r>
              <w:rPr>
                <w:rFonts w:ascii="Times New Roman"/>
                <w:spacing w:val="-2"/>
                <w:sz w:val="21"/>
              </w:rPr>
              <w:t>11,627,290.70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1"/>
                <w:szCs w:val="21"/>
              </w:rPr>
            </w:pPr>
            <w:r>
              <w:rPr>
                <w:rFonts w:ascii="Times New Roman"/>
                <w:sz w:val="21"/>
              </w:rPr>
              <w:t>1.00000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103"/>
              <w:jc w:val="right"/>
              <w:rPr>
                <w:rFonts w:ascii="Times New Roman" w:hAnsi="Times New Roman" w:cs="Times New Roman" w:eastAsia="Times New Roman" w:hint="default"/>
                <w:sz w:val="21"/>
                <w:szCs w:val="21"/>
              </w:rPr>
            </w:pPr>
            <w:r>
              <w:rPr>
                <w:rFonts w:ascii="Times New Roman"/>
                <w:spacing w:val="-2"/>
                <w:sz w:val="21"/>
              </w:rPr>
              <w:t>11,627,290.70</w:t>
            </w:r>
          </w:p>
        </w:tc>
      </w:tr>
      <w:tr>
        <w:trPr>
          <w:trHeight w:val="363" w:hRule="exact"/>
        </w:trPr>
        <w:tc>
          <w:tcPr>
            <w:tcW w:w="2446" w:type="dxa"/>
            <w:tcBorders>
              <w:top w:val="nil" w:sz="6" w:space="0" w:color="auto"/>
              <w:left w:val="nil" w:sz="6" w:space="0" w:color="auto"/>
              <w:bottom w:val="single" w:sz="4" w:space="0" w:color="000000"/>
              <w:right w:val="single" w:sz="4" w:space="0" w:color="000000"/>
            </w:tcBorders>
          </w:tcPr>
          <w:p>
            <w:pPr/>
          </w:p>
        </w:tc>
        <w:tc>
          <w:tcPr>
            <w:tcW w:w="18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single" w:sz="4" w:space="0" w:color="000000"/>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2"/>
                <w:sz w:val="21"/>
              </w:rPr>
              <w:t>11,627,290.70</w:t>
            </w:r>
          </w:p>
        </w:tc>
      </w:tr>
      <w:tr>
        <w:trPr>
          <w:trHeight w:val="480" w:hRule="exact"/>
        </w:trPr>
        <w:tc>
          <w:tcPr>
            <w:tcW w:w="2446" w:type="dxa"/>
            <w:tcBorders>
              <w:top w:val="single" w:sz="4" w:space="0" w:color="000000"/>
              <w:left w:val="nil" w:sz="6" w:space="0" w:color="auto"/>
              <w:bottom w:val="single" w:sz="12" w:space="0" w:color="000000"/>
              <w:right w:val="single" w:sz="4" w:space="0" w:color="000000"/>
            </w:tcBorders>
          </w:tcPr>
          <w:p>
            <w:pPr>
              <w:pStyle w:val="TableParagraph"/>
              <w:tabs>
                <w:tab w:pos="1439" w:val="left" w:leader="none"/>
              </w:tabs>
              <w:spacing w:line="240" w:lineRule="auto" w:before="153"/>
              <w:ind w:left="80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194,623,638.06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446"/>
        <w:gridCol w:w="1855"/>
        <w:gridCol w:w="1858"/>
        <w:gridCol w:w="1855"/>
        <w:gridCol w:w="1855"/>
      </w:tblGrid>
      <w:tr>
        <w:trPr>
          <w:trHeight w:val="480" w:hRule="exact"/>
        </w:trPr>
        <w:tc>
          <w:tcPr>
            <w:tcW w:w="2446"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tabs>
                <w:tab w:pos="1439" w:val="left" w:leader="none"/>
              </w:tabs>
              <w:spacing w:line="240" w:lineRule="auto"/>
              <w:ind w:left="80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2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0" w:hRule="exact"/>
        </w:trPr>
        <w:tc>
          <w:tcPr>
            <w:tcW w:w="2446" w:type="dxa"/>
            <w:vMerge/>
            <w:tcBorders>
              <w:left w:val="nil" w:sz="6" w:space="0" w:color="auto"/>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607"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579" w:hRule="exact"/>
        </w:trPr>
        <w:tc>
          <w:tcPr>
            <w:tcW w:w="2446"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18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112,701,284.40</w:t>
            </w:r>
          </w:p>
        </w:tc>
        <w:tc>
          <w:tcPr>
            <w:tcW w:w="1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1.00000</w:t>
            </w:r>
          </w:p>
        </w:tc>
        <w:tc>
          <w:tcPr>
            <w:tcW w:w="1855"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112,701,284.40</w:t>
            </w:r>
          </w:p>
        </w:tc>
      </w:tr>
      <w:tr>
        <w:trPr>
          <w:trHeight w:val="460"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5"/>
              <w:jc w:val="center"/>
              <w:rPr>
                <w:rFonts w:ascii="Times New Roman" w:hAnsi="Times New Roman" w:cs="Times New Roman" w:eastAsia="Times New Roman" w:hint="default"/>
                <w:sz w:val="21"/>
                <w:szCs w:val="21"/>
              </w:rPr>
            </w:pPr>
            <w:r>
              <w:rPr>
                <w:rFonts w:ascii="Times New Roman"/>
                <w:spacing w:val="-3"/>
                <w:sz w:val="21"/>
              </w:rPr>
              <w:t>HKD</w:t>
            </w:r>
            <w:r>
              <w:rPr>
                <w:rFonts w:ascii="Times New Roman"/>
                <w:sz w:val="21"/>
              </w:rPr>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15,645,795.48</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0.85090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spacing w:val="-1"/>
                <w:sz w:val="21"/>
              </w:rPr>
              <w:t>13,313,007.37</w:t>
            </w:r>
          </w:p>
        </w:tc>
      </w:tr>
      <w:tr>
        <w:trPr>
          <w:trHeight w:val="460"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1"/>
                <w:szCs w:val="21"/>
              </w:rPr>
            </w:pPr>
            <w:r>
              <w:rPr>
                <w:rFonts w:ascii="Times New Roman"/>
                <w:sz w:val="21"/>
              </w:rPr>
              <w:t>SGD</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21"/>
                <w:szCs w:val="21"/>
              </w:rPr>
            </w:pPr>
            <w:r>
              <w:rPr>
                <w:rFonts w:ascii="Times New Roman"/>
                <w:spacing w:val="-1"/>
                <w:sz w:val="21"/>
              </w:rPr>
              <w:t>256,708.36</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1"/>
                <w:szCs w:val="21"/>
              </w:rPr>
            </w:pPr>
            <w:r>
              <w:rPr>
                <w:rFonts w:ascii="Times New Roman"/>
                <w:sz w:val="21"/>
              </w:rPr>
              <w:t>5.12785</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105"/>
              <w:jc w:val="right"/>
              <w:rPr>
                <w:rFonts w:ascii="Times New Roman" w:hAnsi="Times New Roman" w:cs="Times New Roman" w:eastAsia="Times New Roman" w:hint="default"/>
                <w:sz w:val="21"/>
                <w:szCs w:val="21"/>
              </w:rPr>
            </w:pPr>
            <w:r>
              <w:rPr>
                <w:rFonts w:ascii="Times New Roman"/>
                <w:spacing w:val="-1"/>
                <w:sz w:val="21"/>
              </w:rPr>
              <w:t>1,316,361.96</w:t>
            </w:r>
          </w:p>
        </w:tc>
      </w:tr>
      <w:tr>
        <w:trPr>
          <w:trHeight w:val="450"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MYC</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75,747.23</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2.15000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spacing w:val="-1"/>
                <w:sz w:val="21"/>
              </w:rPr>
              <w:t>162,856.54</w:t>
            </w:r>
          </w:p>
        </w:tc>
      </w:tr>
      <w:tr>
        <w:trPr>
          <w:trHeight w:val="470"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127,493,510.27</w:t>
            </w:r>
          </w:p>
        </w:tc>
      </w:tr>
      <w:tr>
        <w:trPr>
          <w:trHeight w:val="449"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1"/>
                <w:szCs w:val="21"/>
              </w:rPr>
            </w:pPr>
            <w:r>
              <w:rPr>
                <w:rFonts w:ascii="Times New Roman"/>
                <w:sz w:val="21"/>
              </w:rPr>
              <w:t>RMB</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21"/>
                <w:szCs w:val="21"/>
              </w:rPr>
            </w:pPr>
            <w:r>
              <w:rPr>
                <w:rFonts w:ascii="Times New Roman"/>
                <w:spacing w:val="-1"/>
                <w:sz w:val="21"/>
              </w:rPr>
              <w:t>10,304,548.29</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1"/>
                <w:szCs w:val="21"/>
              </w:rPr>
            </w:pPr>
            <w:r>
              <w:rPr>
                <w:rFonts w:ascii="Times New Roman"/>
                <w:sz w:val="21"/>
              </w:rPr>
              <w:t>1.00000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105"/>
              <w:jc w:val="right"/>
              <w:rPr>
                <w:rFonts w:ascii="Times New Roman" w:hAnsi="Times New Roman" w:cs="Times New Roman" w:eastAsia="Times New Roman" w:hint="default"/>
                <w:sz w:val="21"/>
                <w:szCs w:val="21"/>
              </w:rPr>
            </w:pPr>
            <w:r>
              <w:rPr>
                <w:rFonts w:ascii="Times New Roman"/>
                <w:spacing w:val="-1"/>
                <w:sz w:val="21"/>
              </w:rPr>
              <w:t>10,304,548.29</w:t>
            </w:r>
          </w:p>
        </w:tc>
      </w:tr>
      <w:tr>
        <w:trPr>
          <w:trHeight w:val="471"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10,304,548.29</w:t>
            </w:r>
          </w:p>
        </w:tc>
      </w:tr>
      <w:tr>
        <w:trPr>
          <w:trHeight w:val="449"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RMB</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9,724,141.74</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1.00000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spacing w:val="-1"/>
                <w:sz w:val="21"/>
              </w:rPr>
              <w:t>9,724,141.74</w:t>
            </w:r>
          </w:p>
        </w:tc>
      </w:tr>
      <w:tr>
        <w:trPr>
          <w:trHeight w:val="470"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9,724,141.74</w:t>
            </w:r>
          </w:p>
        </w:tc>
      </w:tr>
      <w:tr>
        <w:trPr>
          <w:trHeight w:val="450"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RMB</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5,610,655.93</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1.00000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spacing w:val="-1"/>
                <w:sz w:val="21"/>
              </w:rPr>
              <w:t>5,610,655.93</w:t>
            </w:r>
          </w:p>
        </w:tc>
      </w:tr>
      <w:tr>
        <w:trPr>
          <w:trHeight w:val="361" w:hRule="exact"/>
        </w:trPr>
        <w:tc>
          <w:tcPr>
            <w:tcW w:w="2446" w:type="dxa"/>
            <w:tcBorders>
              <w:top w:val="nil" w:sz="6" w:space="0" w:color="auto"/>
              <w:left w:val="nil" w:sz="6" w:space="0" w:color="auto"/>
              <w:bottom w:val="single" w:sz="4" w:space="0" w:color="000000"/>
              <w:right w:val="single" w:sz="4" w:space="0" w:color="000000"/>
            </w:tcBorders>
          </w:tcPr>
          <w:p>
            <w:pPr/>
          </w:p>
        </w:tc>
        <w:tc>
          <w:tcPr>
            <w:tcW w:w="18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single" w:sz="4" w:space="0" w:color="000000"/>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5,610,655.93</w:t>
            </w:r>
          </w:p>
        </w:tc>
      </w:tr>
      <w:tr>
        <w:trPr>
          <w:trHeight w:val="482" w:hRule="exact"/>
        </w:trPr>
        <w:tc>
          <w:tcPr>
            <w:tcW w:w="2446" w:type="dxa"/>
            <w:tcBorders>
              <w:top w:val="single" w:sz="4" w:space="0" w:color="000000"/>
              <w:left w:val="nil" w:sz="6" w:space="0" w:color="auto"/>
              <w:bottom w:val="single" w:sz="12" w:space="0" w:color="000000"/>
              <w:right w:val="single" w:sz="4" w:space="0" w:color="000000"/>
            </w:tcBorders>
          </w:tcPr>
          <w:p>
            <w:pPr>
              <w:pStyle w:val="TableParagraph"/>
              <w:tabs>
                <w:tab w:pos="1439" w:val="left" w:leader="none"/>
              </w:tabs>
              <w:spacing w:line="240" w:lineRule="auto" w:before="153"/>
              <w:ind w:left="80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153,132,856.23</w:t>
            </w:r>
          </w:p>
        </w:tc>
      </w:tr>
    </w:tbl>
    <w:p>
      <w:pPr>
        <w:spacing w:line="240" w:lineRule="auto" w:before="12"/>
        <w:rPr>
          <w:rFonts w:ascii="宋体" w:hAnsi="宋体" w:cs="宋体" w:eastAsia="宋体" w:hint="default"/>
          <w:sz w:val="8"/>
          <w:szCs w:val="8"/>
        </w:rPr>
      </w:pPr>
    </w:p>
    <w:p>
      <w:pPr>
        <w:pStyle w:val="BodyText"/>
        <w:spacing w:line="240" w:lineRule="auto" w:before="36"/>
        <w:ind w:left="547" w:right="5418"/>
        <w:jc w:val="left"/>
      </w:pPr>
      <w:r>
        <w:rPr/>
        <w:t>（</w:t>
      </w:r>
      <w:r>
        <w:rPr>
          <w:rFonts w:ascii="Times New Roman" w:hAnsi="Times New Roman" w:cs="Times New Roman" w:eastAsia="Times New Roman" w:hint="default"/>
        </w:rPr>
        <w:t>3</w:t>
      </w:r>
      <w:r>
        <w:rPr/>
        <w:t>）本报告期实际核销的应收账款情况</w:t>
      </w:r>
    </w:p>
    <w:tbl>
      <w:tblPr>
        <w:tblW w:w="0" w:type="auto"/>
        <w:jc w:val="left"/>
        <w:tblInd w:w="124" w:type="dxa"/>
        <w:tblLayout w:type="fixed"/>
        <w:tblCellMar>
          <w:top w:w="0" w:type="dxa"/>
          <w:left w:w="0" w:type="dxa"/>
          <w:bottom w:w="0" w:type="dxa"/>
          <w:right w:w="0" w:type="dxa"/>
        </w:tblCellMar>
        <w:tblLook w:val="01E0"/>
      </w:tblPr>
      <w:tblGrid>
        <w:gridCol w:w="4260"/>
        <w:gridCol w:w="1258"/>
        <w:gridCol w:w="1572"/>
        <w:gridCol w:w="1258"/>
        <w:gridCol w:w="1507"/>
      </w:tblGrid>
      <w:tr>
        <w:trPr>
          <w:trHeight w:val="941" w:hRule="exact"/>
        </w:trPr>
        <w:tc>
          <w:tcPr>
            <w:tcW w:w="4260" w:type="dxa"/>
            <w:tcBorders>
              <w:top w:val="single" w:sz="12" w:space="0" w:color="000000"/>
              <w:left w:val="nil" w:sz="6" w:space="0" w:color="auto"/>
              <w:bottom w:val="single" w:sz="4" w:space="0" w:color="000000"/>
              <w:right w:val="single" w:sz="2"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58" w:type="dxa"/>
            <w:tcBorders>
              <w:top w:val="single" w:sz="12" w:space="0" w:color="000000"/>
              <w:left w:val="single" w:sz="2" w:space="0" w:color="000000"/>
              <w:bottom w:val="single" w:sz="4" w:space="0" w:color="000000"/>
              <w:right w:val="single" w:sz="2" w:space="0" w:color="000000"/>
            </w:tcBorders>
          </w:tcPr>
          <w:p>
            <w:pPr>
              <w:pStyle w:val="TableParagraph"/>
              <w:spacing w:line="458" w:lineRule="exact" w:before="34"/>
              <w:ind w:left="417" w:right="199" w:hanging="209"/>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w w:val="100"/>
                <w:sz w:val="21"/>
                <w:szCs w:val="21"/>
              </w:rPr>
              <w:t> </w:t>
            </w:r>
            <w:r>
              <w:rPr>
                <w:rFonts w:ascii="宋体" w:hAnsi="宋体" w:cs="宋体" w:eastAsia="宋体" w:hint="default"/>
                <w:sz w:val="21"/>
                <w:szCs w:val="21"/>
              </w:rPr>
              <w:t>性质</w:t>
            </w:r>
          </w:p>
        </w:tc>
        <w:tc>
          <w:tcPr>
            <w:tcW w:w="1572"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258"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02"/>
              <w:jc w:val="right"/>
              <w:rPr>
                <w:rFonts w:ascii="宋体" w:hAnsi="宋体" w:cs="宋体" w:eastAsia="宋体" w:hint="default"/>
                <w:sz w:val="21"/>
                <w:szCs w:val="21"/>
              </w:rPr>
            </w:pPr>
            <w:r>
              <w:rPr>
                <w:rFonts w:ascii="宋体" w:hAnsi="宋体" w:cs="宋体" w:eastAsia="宋体" w:hint="default"/>
                <w:spacing w:val="-1"/>
                <w:sz w:val="21"/>
                <w:szCs w:val="21"/>
              </w:rPr>
              <w:t>核销原因</w:t>
            </w:r>
          </w:p>
        </w:tc>
        <w:tc>
          <w:tcPr>
            <w:tcW w:w="1507" w:type="dxa"/>
            <w:tcBorders>
              <w:top w:val="single" w:sz="12" w:space="0" w:color="000000"/>
              <w:left w:val="single" w:sz="2" w:space="0" w:color="000000"/>
              <w:bottom w:val="single" w:sz="4" w:space="0" w:color="000000"/>
              <w:right w:val="nil" w:sz="6" w:space="0" w:color="auto"/>
            </w:tcBorders>
          </w:tcPr>
          <w:p>
            <w:pPr>
              <w:pStyle w:val="TableParagraph"/>
              <w:spacing w:line="458" w:lineRule="exact" w:before="34"/>
              <w:ind w:left="330" w:right="223" w:hanging="106"/>
              <w:jc w:val="left"/>
              <w:rPr>
                <w:rFonts w:ascii="宋体" w:hAnsi="宋体" w:cs="宋体" w:eastAsia="宋体" w:hint="default"/>
                <w:sz w:val="21"/>
                <w:szCs w:val="21"/>
              </w:rPr>
            </w:pPr>
            <w:r>
              <w:rPr>
                <w:rFonts w:ascii="宋体" w:hAnsi="宋体" w:cs="宋体" w:eastAsia="宋体" w:hint="default"/>
                <w:sz w:val="21"/>
                <w:szCs w:val="21"/>
              </w:rPr>
              <w:t>是否因关联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交易产生</w:t>
            </w:r>
          </w:p>
        </w:tc>
      </w:tr>
      <w:tr>
        <w:trPr>
          <w:trHeight w:val="568" w:hRule="exact"/>
        </w:trPr>
        <w:tc>
          <w:tcPr>
            <w:tcW w:w="4260" w:type="dxa"/>
            <w:tcBorders>
              <w:top w:val="single" w:sz="4" w:space="0" w:color="000000"/>
              <w:left w:val="nil" w:sz="6" w:space="0" w:color="auto"/>
              <w:bottom w:val="nil" w:sz="6" w:space="0" w:color="auto"/>
              <w:right w:val="single" w:sz="2" w:space="0" w:color="000000"/>
            </w:tcBorders>
          </w:tcPr>
          <w:p>
            <w:pPr>
              <w:pStyle w:val="TableParagraph"/>
              <w:spacing w:line="240" w:lineRule="auto" w:before="153"/>
              <w:ind w:left="107" w:right="0"/>
              <w:jc w:val="left"/>
              <w:rPr>
                <w:rFonts w:ascii="宋体" w:hAnsi="宋体" w:cs="宋体" w:eastAsia="宋体" w:hint="default"/>
                <w:sz w:val="21"/>
                <w:szCs w:val="21"/>
              </w:rPr>
            </w:pPr>
            <w:r>
              <w:rPr>
                <w:rFonts w:ascii="宋体" w:hAnsi="宋体" w:cs="宋体" w:eastAsia="宋体" w:hint="default"/>
                <w:sz w:val="21"/>
                <w:szCs w:val="21"/>
              </w:rPr>
              <w:t>佛山市恒安置业有限公司</w:t>
            </w:r>
          </w:p>
        </w:tc>
        <w:tc>
          <w:tcPr>
            <w:tcW w:w="1258"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53"/>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358,786.52</w:t>
            </w:r>
          </w:p>
        </w:tc>
        <w:tc>
          <w:tcPr>
            <w:tcW w:w="1258"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53"/>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single" w:sz="4" w:space="0" w:color="000000"/>
              <w:left w:val="single" w:sz="2" w:space="0" w:color="000000"/>
              <w:bottom w:val="nil" w:sz="6" w:space="0" w:color="auto"/>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8" w:hRule="exact"/>
        </w:trPr>
        <w:tc>
          <w:tcPr>
            <w:tcW w:w="4260" w:type="dxa"/>
            <w:tcBorders>
              <w:top w:val="nil" w:sz="6" w:space="0" w:color="auto"/>
              <w:left w:val="nil" w:sz="6" w:space="0" w:color="auto"/>
              <w:bottom w:val="nil" w:sz="6" w:space="0" w:color="auto"/>
              <w:right w:val="single" w:sz="2" w:space="0" w:color="000000"/>
            </w:tcBorders>
          </w:tcPr>
          <w:p>
            <w:pPr>
              <w:pStyle w:val="TableParagraph"/>
              <w:spacing w:line="240" w:lineRule="auto" w:before="50"/>
              <w:ind w:left="107" w:right="0"/>
              <w:jc w:val="left"/>
              <w:rPr>
                <w:rFonts w:ascii="宋体" w:hAnsi="宋体" w:cs="宋体" w:eastAsia="宋体" w:hint="default"/>
                <w:sz w:val="21"/>
                <w:szCs w:val="21"/>
              </w:rPr>
            </w:pPr>
            <w:r>
              <w:rPr>
                <w:rFonts w:ascii="宋体" w:hAnsi="宋体" w:cs="宋体" w:eastAsia="宋体" w:hint="default"/>
                <w:sz w:val="21"/>
                <w:szCs w:val="21"/>
              </w:rPr>
              <w:t>上海静安城建配套发展公司</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50"/>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109"/>
              <w:ind w:right="101"/>
              <w:jc w:val="right"/>
              <w:rPr>
                <w:rFonts w:ascii="Times New Roman" w:hAnsi="Times New Roman" w:cs="Times New Roman" w:eastAsia="Times New Roman" w:hint="default"/>
                <w:sz w:val="21"/>
                <w:szCs w:val="21"/>
              </w:rPr>
            </w:pPr>
            <w:r>
              <w:rPr>
                <w:rFonts w:ascii="Times New Roman"/>
                <w:spacing w:val="-1"/>
                <w:sz w:val="21"/>
              </w:rPr>
              <w:t>413,450.02</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50"/>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850" w:footer="979" w:top="1200" w:bottom="1160" w:left="900" w:right="920"/>
        </w:sectPr>
      </w:pPr>
    </w:p>
    <w:tbl>
      <w:tblPr>
        <w:tblW w:w="0" w:type="auto"/>
        <w:jc w:val="left"/>
        <w:tblInd w:w="110" w:type="dxa"/>
        <w:tblLayout w:type="fixed"/>
        <w:tblCellMar>
          <w:top w:w="0" w:type="dxa"/>
          <w:left w:w="0" w:type="dxa"/>
          <w:bottom w:w="0" w:type="dxa"/>
          <w:right w:w="0" w:type="dxa"/>
        </w:tblCellMar>
        <w:tblLook w:val="01E0"/>
      </w:tblPr>
      <w:tblGrid>
        <w:gridCol w:w="4274"/>
        <w:gridCol w:w="1258"/>
        <w:gridCol w:w="1572"/>
        <w:gridCol w:w="1258"/>
        <w:gridCol w:w="1507"/>
      </w:tblGrid>
      <w:tr>
        <w:trPr>
          <w:trHeight w:val="962" w:hRule="exact"/>
        </w:trPr>
        <w:tc>
          <w:tcPr>
            <w:tcW w:w="4274" w:type="dxa"/>
            <w:tcBorders>
              <w:top w:val="single" w:sz="17" w:space="0" w:color="000000"/>
              <w:left w:val="nil" w:sz="6" w:space="0" w:color="auto"/>
              <w:bottom w:val="single" w:sz="4" w:space="0" w:color="000000"/>
              <w:right w:val="single" w:sz="2"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58" w:type="dxa"/>
            <w:tcBorders>
              <w:top w:val="single" w:sz="17" w:space="0" w:color="000000"/>
              <w:left w:val="single" w:sz="2" w:space="0" w:color="000000"/>
              <w:bottom w:val="single" w:sz="4" w:space="0" w:color="000000"/>
              <w:right w:val="single" w:sz="2" w:space="0" w:color="000000"/>
            </w:tcBorders>
          </w:tcPr>
          <w:p>
            <w:pPr>
              <w:pStyle w:val="TableParagraph"/>
              <w:spacing w:line="460" w:lineRule="exact" w:before="30"/>
              <w:ind w:left="417" w:right="199" w:hanging="209"/>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w w:val="100"/>
                <w:sz w:val="21"/>
                <w:szCs w:val="21"/>
              </w:rPr>
              <w:t> </w:t>
            </w:r>
            <w:r>
              <w:rPr>
                <w:rFonts w:ascii="宋体" w:hAnsi="宋体" w:cs="宋体" w:eastAsia="宋体" w:hint="default"/>
                <w:sz w:val="21"/>
                <w:szCs w:val="21"/>
              </w:rPr>
              <w:t>性质</w:t>
            </w:r>
          </w:p>
        </w:tc>
        <w:tc>
          <w:tcPr>
            <w:tcW w:w="1572" w:type="dxa"/>
            <w:tcBorders>
              <w:top w:val="single" w:sz="17" w:space="0" w:color="000000"/>
              <w:left w:val="single" w:sz="2" w:space="0" w:color="000000"/>
              <w:bottom w:val="single" w:sz="4" w:space="0" w:color="000000"/>
              <w:right w:val="single" w:sz="2"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258" w:type="dxa"/>
            <w:tcBorders>
              <w:top w:val="single" w:sz="17" w:space="0" w:color="000000"/>
              <w:left w:val="single" w:sz="2" w:space="0" w:color="000000"/>
              <w:bottom w:val="single" w:sz="4" w:space="0" w:color="000000"/>
              <w:right w:val="single" w:sz="2"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202"/>
              <w:jc w:val="right"/>
              <w:rPr>
                <w:rFonts w:ascii="宋体" w:hAnsi="宋体" w:cs="宋体" w:eastAsia="宋体" w:hint="default"/>
                <w:sz w:val="21"/>
                <w:szCs w:val="21"/>
              </w:rPr>
            </w:pPr>
            <w:r>
              <w:rPr>
                <w:rFonts w:ascii="宋体" w:hAnsi="宋体" w:cs="宋体" w:eastAsia="宋体" w:hint="default"/>
                <w:spacing w:val="-1"/>
                <w:sz w:val="21"/>
                <w:szCs w:val="21"/>
              </w:rPr>
              <w:t>核销原因</w:t>
            </w:r>
          </w:p>
        </w:tc>
        <w:tc>
          <w:tcPr>
            <w:tcW w:w="1507" w:type="dxa"/>
            <w:tcBorders>
              <w:top w:val="single" w:sz="17" w:space="0" w:color="000000"/>
              <w:left w:val="single" w:sz="2" w:space="0" w:color="000000"/>
              <w:bottom w:val="single" w:sz="4" w:space="0" w:color="000000"/>
              <w:right w:val="nil" w:sz="6" w:space="0" w:color="auto"/>
            </w:tcBorders>
          </w:tcPr>
          <w:p>
            <w:pPr>
              <w:pStyle w:val="TableParagraph"/>
              <w:spacing w:line="460" w:lineRule="exact" w:before="30"/>
              <w:ind w:left="330" w:right="223" w:hanging="106"/>
              <w:jc w:val="left"/>
              <w:rPr>
                <w:rFonts w:ascii="宋体" w:hAnsi="宋体" w:cs="宋体" w:eastAsia="宋体" w:hint="default"/>
                <w:sz w:val="21"/>
                <w:szCs w:val="21"/>
              </w:rPr>
            </w:pPr>
            <w:r>
              <w:rPr>
                <w:rFonts w:ascii="宋体" w:hAnsi="宋体" w:cs="宋体" w:eastAsia="宋体" w:hint="default"/>
                <w:sz w:val="21"/>
                <w:szCs w:val="21"/>
              </w:rPr>
              <w:t>是否因关联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交易产生</w:t>
            </w:r>
          </w:p>
        </w:tc>
      </w:tr>
      <w:tr>
        <w:trPr>
          <w:trHeight w:val="568" w:hRule="exact"/>
        </w:trPr>
        <w:tc>
          <w:tcPr>
            <w:tcW w:w="4274" w:type="dxa"/>
            <w:tcBorders>
              <w:top w:val="single" w:sz="4" w:space="0" w:color="000000"/>
              <w:left w:val="nil" w:sz="6" w:space="0" w:color="auto"/>
              <w:bottom w:val="nil" w:sz="6" w:space="0" w:color="auto"/>
              <w:right w:val="single" w:sz="2"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安徽元一大酒店有限公司</w:t>
            </w:r>
          </w:p>
        </w:tc>
        <w:tc>
          <w:tcPr>
            <w:tcW w:w="1258"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38"/>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23,350.60</w:t>
            </w:r>
          </w:p>
        </w:tc>
        <w:tc>
          <w:tcPr>
            <w:tcW w:w="1258"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38"/>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single" w:sz="4" w:space="0" w:color="000000"/>
              <w:left w:val="single" w:sz="2" w:space="0" w:color="000000"/>
              <w:bottom w:val="nil" w:sz="6" w:space="0" w:color="auto"/>
              <w:right w:val="nil" w:sz="6" w:space="0" w:color="auto"/>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0"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唐古拉旅游列车有限公司北京分公司</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92,800.00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0"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迪庆松赞绿谷酒店有限公司</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3"/>
              <w:ind w:right="101"/>
              <w:jc w:val="right"/>
              <w:rPr>
                <w:rFonts w:ascii="Times New Roman" w:hAnsi="Times New Roman" w:cs="Times New Roman" w:eastAsia="Times New Roman" w:hint="default"/>
                <w:sz w:val="21"/>
                <w:szCs w:val="21"/>
              </w:rPr>
            </w:pPr>
            <w:r>
              <w:rPr>
                <w:rFonts w:ascii="Times New Roman"/>
                <w:spacing w:val="-1"/>
                <w:sz w:val="21"/>
              </w:rPr>
              <w:t>170,823.00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5"/>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1"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北京红树林国际酒店管理公司</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20,750.00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0"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锦江之星旅馆有限公司</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590,000.00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0"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北京美京锦苑餐饮有限公司</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3"/>
              <w:ind w:right="101"/>
              <w:jc w:val="right"/>
              <w:rPr>
                <w:rFonts w:ascii="Times New Roman" w:hAnsi="Times New Roman" w:cs="Times New Roman" w:eastAsia="Times New Roman" w:hint="default"/>
                <w:sz w:val="21"/>
                <w:szCs w:val="21"/>
              </w:rPr>
            </w:pPr>
            <w:r>
              <w:rPr>
                <w:rFonts w:ascii="Times New Roman"/>
                <w:spacing w:val="-1"/>
                <w:sz w:val="21"/>
              </w:rPr>
              <w:t>6,800.00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5"/>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1"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北京志扬创新科技有限公司</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34,773.60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0"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新疆宜兹高信息科技有限公司</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3,000.00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0"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娃哈哈</w:t>
            </w:r>
            <w:r>
              <w:rPr>
                <w:rFonts w:ascii="Times New Roman" w:hAnsi="Times New Roman" w:cs="Times New Roman" w:eastAsia="Times New Roman" w:hint="default"/>
                <w:sz w:val="21"/>
                <w:szCs w:val="21"/>
              </w:rPr>
              <w:t>-</w:t>
            </w:r>
            <w:r>
              <w:rPr>
                <w:rFonts w:ascii="宋体" w:hAnsi="宋体" w:cs="宋体" w:eastAsia="宋体" w:hint="default"/>
                <w:sz w:val="21"/>
                <w:szCs w:val="21"/>
              </w:rPr>
              <w:t>最爱时尚</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3"/>
              <w:ind w:right="98"/>
              <w:jc w:val="right"/>
              <w:rPr>
                <w:rFonts w:ascii="Times New Roman" w:hAnsi="Times New Roman" w:cs="Times New Roman" w:eastAsia="Times New Roman" w:hint="default"/>
                <w:sz w:val="21"/>
                <w:szCs w:val="21"/>
              </w:rPr>
            </w:pPr>
            <w:r>
              <w:rPr>
                <w:rFonts w:ascii="Times New Roman"/>
                <w:sz w:val="21"/>
              </w:rPr>
              <w:t>260.00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5"/>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1"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屋企汤馆总部</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5"/>
              <w:ind w:right="98"/>
              <w:jc w:val="right"/>
              <w:rPr>
                <w:rFonts w:ascii="Times New Roman" w:hAnsi="Times New Roman" w:cs="Times New Roman" w:eastAsia="Times New Roman" w:hint="default"/>
                <w:sz w:val="21"/>
                <w:szCs w:val="21"/>
              </w:rPr>
            </w:pPr>
            <w:r>
              <w:rPr>
                <w:rFonts w:ascii="Times New Roman"/>
                <w:sz w:val="21"/>
              </w:rPr>
              <w:t>650.00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0"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屋企避风塘</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5"/>
              <w:ind w:right="98"/>
              <w:jc w:val="right"/>
              <w:rPr>
                <w:rFonts w:ascii="Times New Roman" w:hAnsi="Times New Roman" w:cs="Times New Roman" w:eastAsia="Times New Roman" w:hint="default"/>
                <w:sz w:val="21"/>
                <w:szCs w:val="21"/>
              </w:rPr>
            </w:pPr>
            <w:r>
              <w:rPr>
                <w:rFonts w:ascii="Times New Roman"/>
                <w:sz w:val="21"/>
              </w:rPr>
              <w:t>650.00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0"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虹口张生记</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3"/>
              <w:ind w:right="101"/>
              <w:jc w:val="right"/>
              <w:rPr>
                <w:rFonts w:ascii="Times New Roman" w:hAnsi="Times New Roman" w:cs="Times New Roman" w:eastAsia="Times New Roman" w:hint="default"/>
                <w:sz w:val="21"/>
                <w:szCs w:val="21"/>
              </w:rPr>
            </w:pPr>
            <w:r>
              <w:rPr>
                <w:rFonts w:ascii="Times New Roman"/>
                <w:sz w:val="21"/>
              </w:rPr>
              <w:t>50.00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5"/>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1"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上海鹿港小镇餐饮</w:t>
            </w:r>
            <w:r>
              <w:rPr>
                <w:rFonts w:ascii="Times New Roman" w:hAnsi="Times New Roman" w:cs="Times New Roman" w:eastAsia="Times New Roman" w:hint="default"/>
                <w:sz w:val="21"/>
                <w:szCs w:val="21"/>
              </w:rPr>
              <w:t>--</w:t>
            </w:r>
            <w:r>
              <w:rPr>
                <w:rFonts w:ascii="宋体" w:hAnsi="宋体" w:cs="宋体" w:eastAsia="宋体" w:hint="default"/>
                <w:sz w:val="21"/>
                <w:szCs w:val="21"/>
              </w:rPr>
              <w:t>淮海店</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1,500.00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0"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上海穆娅餐饮管理有限公司</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5"/>
              <w:ind w:right="98"/>
              <w:jc w:val="right"/>
              <w:rPr>
                <w:rFonts w:ascii="Times New Roman" w:hAnsi="Times New Roman" w:cs="Times New Roman" w:eastAsia="Times New Roman" w:hint="default"/>
                <w:sz w:val="21"/>
                <w:szCs w:val="21"/>
              </w:rPr>
            </w:pPr>
            <w:r>
              <w:rPr>
                <w:rFonts w:ascii="Times New Roman"/>
                <w:sz w:val="21"/>
              </w:rPr>
              <w:t>680.00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0"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上海鹿港小镇餐饮</w:t>
            </w:r>
            <w:r>
              <w:rPr>
                <w:rFonts w:ascii="Times New Roman" w:hAnsi="Times New Roman" w:cs="Times New Roman" w:eastAsia="Times New Roman" w:hint="default"/>
                <w:sz w:val="21"/>
                <w:szCs w:val="21"/>
              </w:rPr>
              <w:t>--</w:t>
            </w:r>
            <w:r>
              <w:rPr>
                <w:rFonts w:ascii="宋体" w:hAnsi="宋体" w:cs="宋体" w:eastAsia="宋体" w:hint="default"/>
                <w:sz w:val="21"/>
                <w:szCs w:val="21"/>
              </w:rPr>
              <w:t>淮海店</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3"/>
              <w:ind w:right="98"/>
              <w:jc w:val="right"/>
              <w:rPr>
                <w:rFonts w:ascii="Times New Roman" w:hAnsi="Times New Roman" w:cs="Times New Roman" w:eastAsia="Times New Roman" w:hint="default"/>
                <w:sz w:val="21"/>
                <w:szCs w:val="21"/>
              </w:rPr>
            </w:pPr>
            <w:r>
              <w:rPr>
                <w:rFonts w:ascii="Times New Roman"/>
                <w:sz w:val="21"/>
              </w:rPr>
              <w:t>350.00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5"/>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1"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绍兴寻宝记餐饮管理有限公司</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z w:val="21"/>
              </w:rPr>
              <w:t>50.00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0"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深圳唐宫海鲜舫</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2,500.00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0"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东莞世博唐宫海鲜舫有限公司</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3"/>
              <w:ind w:right="101"/>
              <w:jc w:val="right"/>
              <w:rPr>
                <w:rFonts w:ascii="Times New Roman" w:hAnsi="Times New Roman" w:cs="Times New Roman" w:eastAsia="Times New Roman" w:hint="default"/>
                <w:sz w:val="21"/>
                <w:szCs w:val="21"/>
              </w:rPr>
            </w:pPr>
            <w:r>
              <w:rPr>
                <w:rFonts w:ascii="Times New Roman"/>
                <w:spacing w:val="-1"/>
                <w:sz w:val="21"/>
              </w:rPr>
              <w:t>1,200.00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5"/>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1"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上海大牛头餐饮有限公司</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3,000.00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0"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上海张生记餐饮有限公司</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2"/>
                <w:sz w:val="21"/>
              </w:rPr>
              <w:t>6,112.00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0"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上海泽安餐饮有限公司</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3"/>
              <w:ind w:right="101"/>
              <w:jc w:val="right"/>
              <w:rPr>
                <w:rFonts w:ascii="Times New Roman" w:hAnsi="Times New Roman" w:cs="Times New Roman" w:eastAsia="Times New Roman" w:hint="default"/>
                <w:sz w:val="21"/>
                <w:szCs w:val="21"/>
              </w:rPr>
            </w:pPr>
            <w:r>
              <w:rPr>
                <w:rFonts w:ascii="Times New Roman"/>
                <w:spacing w:val="-1"/>
                <w:sz w:val="21"/>
              </w:rPr>
              <w:t>8,000.00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5"/>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1"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上海励骏会餐饮有限公司</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2,500.00</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0" w:hRule="exact"/>
        </w:trPr>
        <w:tc>
          <w:tcPr>
            <w:tcW w:w="4274" w:type="dxa"/>
            <w:tcBorders>
              <w:top w:val="nil" w:sz="6" w:space="0" w:color="auto"/>
              <w:left w:val="nil" w:sz="6" w:space="0" w:color="auto"/>
              <w:bottom w:val="nil" w:sz="6" w:space="0" w:color="auto"/>
              <w:right w:val="single" w:sz="2"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上海澳街饮食有限公司</w:t>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nil" w:sz="6" w:space="0" w:color="auto"/>
              <w:right w:val="single" w:sz="2" w:space="0" w:color="000000"/>
            </w:tcBorders>
          </w:tcPr>
          <w:p>
            <w:pPr>
              <w:pStyle w:val="TableParagraph"/>
              <w:spacing w:line="240" w:lineRule="auto" w:before="95"/>
              <w:ind w:right="103"/>
              <w:jc w:val="right"/>
              <w:rPr>
                <w:rFonts w:ascii="Times New Roman" w:hAnsi="Times New Roman" w:cs="Times New Roman" w:eastAsia="Times New Roman" w:hint="default"/>
                <w:sz w:val="21"/>
                <w:szCs w:val="21"/>
              </w:rPr>
            </w:pPr>
            <w:r>
              <w:rPr>
                <w:rFonts w:ascii="Times New Roman"/>
                <w:spacing w:val="-1"/>
                <w:sz w:val="21"/>
              </w:rPr>
              <w:t>2,400.00</w:t>
            </w:r>
            <w:r>
              <w:rPr>
                <w:rFonts w:ascii="Times New Roman"/>
                <w:sz w:val="21"/>
              </w:rPr>
            </w:r>
          </w:p>
        </w:tc>
        <w:tc>
          <w:tcPr>
            <w:tcW w:w="125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2" w:hRule="exact"/>
        </w:trPr>
        <w:tc>
          <w:tcPr>
            <w:tcW w:w="4274" w:type="dxa"/>
            <w:tcBorders>
              <w:top w:val="nil" w:sz="6" w:space="0" w:color="auto"/>
              <w:left w:val="nil" w:sz="6" w:space="0" w:color="auto"/>
              <w:bottom w:val="single" w:sz="4"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唐宫新世纪饭店</w:t>
            </w:r>
          </w:p>
        </w:tc>
        <w:tc>
          <w:tcPr>
            <w:tcW w:w="1258" w:type="dxa"/>
            <w:tcBorders>
              <w:top w:val="nil" w:sz="6" w:space="0" w:color="auto"/>
              <w:left w:val="single" w:sz="2" w:space="0" w:color="000000"/>
              <w:bottom w:val="single" w:sz="4" w:space="0" w:color="000000"/>
              <w:right w:val="single" w:sz="2" w:space="0" w:color="000000"/>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572" w:type="dxa"/>
            <w:tcBorders>
              <w:top w:val="nil" w:sz="6" w:space="0" w:color="auto"/>
              <w:left w:val="single" w:sz="2" w:space="0" w:color="000000"/>
              <w:bottom w:val="single" w:sz="4" w:space="0" w:color="000000"/>
              <w:right w:val="single" w:sz="2" w:space="0" w:color="000000"/>
            </w:tcBorders>
          </w:tcPr>
          <w:p>
            <w:pPr>
              <w:pStyle w:val="TableParagraph"/>
              <w:spacing w:line="240" w:lineRule="auto" w:before="93"/>
              <w:ind w:right="98"/>
              <w:jc w:val="right"/>
              <w:rPr>
                <w:rFonts w:ascii="Times New Roman" w:hAnsi="Times New Roman" w:cs="Times New Roman" w:eastAsia="Times New Roman" w:hint="default"/>
                <w:sz w:val="21"/>
                <w:szCs w:val="21"/>
              </w:rPr>
            </w:pPr>
            <w:r>
              <w:rPr>
                <w:rFonts w:ascii="Times New Roman"/>
                <w:sz w:val="21"/>
              </w:rPr>
              <w:t>907.41</w:t>
            </w:r>
          </w:p>
        </w:tc>
        <w:tc>
          <w:tcPr>
            <w:tcW w:w="1258" w:type="dxa"/>
            <w:tcBorders>
              <w:top w:val="nil" w:sz="6" w:space="0" w:color="auto"/>
              <w:left w:val="single" w:sz="2" w:space="0" w:color="000000"/>
              <w:bottom w:val="single" w:sz="4" w:space="0" w:color="000000"/>
              <w:right w:val="single" w:sz="2" w:space="0" w:color="000000"/>
            </w:tcBorders>
          </w:tcPr>
          <w:p>
            <w:pPr>
              <w:pStyle w:val="TableParagraph"/>
              <w:spacing w:line="240" w:lineRule="auto" w:before="35"/>
              <w:ind w:right="201"/>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c>
          <w:tcPr>
            <w:tcW w:w="1507" w:type="dxa"/>
            <w:tcBorders>
              <w:top w:val="nil" w:sz="6" w:space="0" w:color="auto"/>
              <w:left w:val="single" w:sz="2" w:space="0" w:color="000000"/>
              <w:bottom w:val="single" w:sz="4" w:space="0" w:color="000000"/>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80" w:hRule="exact"/>
        </w:trPr>
        <w:tc>
          <w:tcPr>
            <w:tcW w:w="4274" w:type="dxa"/>
            <w:tcBorders>
              <w:top w:val="single" w:sz="4" w:space="0" w:color="000000"/>
              <w:left w:val="nil" w:sz="6" w:space="0" w:color="auto"/>
              <w:bottom w:val="single" w:sz="12" w:space="0" w:color="000000"/>
              <w:right w:val="single" w:sz="2" w:space="0" w:color="000000"/>
            </w:tcBorders>
          </w:tcPr>
          <w:p>
            <w:pPr>
              <w:pStyle w:val="TableParagraph"/>
              <w:tabs>
                <w:tab w:pos="648" w:val="left" w:leader="none"/>
              </w:tabs>
              <w:spacing w:line="240" w:lineRule="auto" w:before="138"/>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58" w:type="dxa"/>
            <w:tcBorders>
              <w:top w:val="single" w:sz="4" w:space="0" w:color="000000"/>
              <w:left w:val="single" w:sz="2" w:space="0" w:color="000000"/>
              <w:bottom w:val="single" w:sz="12" w:space="0" w:color="000000"/>
              <w:right w:val="single" w:sz="2" w:space="0" w:color="000000"/>
            </w:tcBorders>
          </w:tcPr>
          <w:p>
            <w:pPr/>
          </w:p>
        </w:tc>
        <w:tc>
          <w:tcPr>
            <w:tcW w:w="1572"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1,745,343.15</w:t>
            </w:r>
          </w:p>
        </w:tc>
        <w:tc>
          <w:tcPr>
            <w:tcW w:w="1258" w:type="dxa"/>
            <w:tcBorders>
              <w:top w:val="single" w:sz="4" w:space="0" w:color="000000"/>
              <w:left w:val="single" w:sz="2" w:space="0" w:color="000000"/>
              <w:bottom w:val="single" w:sz="12" w:space="0" w:color="000000"/>
              <w:right w:val="single" w:sz="2" w:space="0" w:color="000000"/>
            </w:tcBorders>
          </w:tcPr>
          <w:p>
            <w:pPr/>
          </w:p>
        </w:tc>
        <w:tc>
          <w:tcPr>
            <w:tcW w:w="1507" w:type="dxa"/>
            <w:tcBorders>
              <w:top w:val="single" w:sz="4"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7"/>
          <w:szCs w:val="7"/>
        </w:rPr>
      </w:pPr>
    </w:p>
    <w:p>
      <w:pPr>
        <w:pStyle w:val="BodyText"/>
        <w:spacing w:line="240" w:lineRule="auto" w:before="36"/>
        <w:ind w:left="652" w:right="0"/>
        <w:jc w:val="left"/>
      </w:pPr>
      <w:r>
        <w:rPr/>
        <w:t>（</w:t>
      </w:r>
      <w:r>
        <w:rPr>
          <w:rFonts w:ascii="Times New Roman" w:hAnsi="Times New Roman" w:cs="Times New Roman" w:eastAsia="Times New Roman" w:hint="default"/>
        </w:rPr>
        <w:t>4</w:t>
      </w:r>
      <w:r>
        <w:rPr/>
        <w:t>）应收账款中无持公司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）以上表决权股份的股东单位欠款。</w:t>
      </w:r>
    </w:p>
    <w:p>
      <w:pPr>
        <w:pStyle w:val="BodyText"/>
        <w:spacing w:line="240" w:lineRule="auto" w:before="160"/>
        <w:ind w:left="652" w:right="0"/>
        <w:jc w:val="left"/>
      </w:pPr>
      <w:r>
        <w:rPr/>
        <w:t>（</w:t>
      </w:r>
      <w:r>
        <w:rPr>
          <w:rFonts w:ascii="Times New Roman" w:hAnsi="Times New Roman" w:cs="Times New Roman" w:eastAsia="Times New Roman" w:hint="default"/>
        </w:rPr>
        <w:t>5</w:t>
      </w:r>
      <w:r>
        <w:rPr/>
        <w:t>）应收账款金额前五名单位情况</w:t>
      </w:r>
    </w:p>
    <w:tbl>
      <w:tblPr>
        <w:tblW w:w="0" w:type="auto"/>
        <w:jc w:val="left"/>
        <w:tblInd w:w="105" w:type="dxa"/>
        <w:tblLayout w:type="fixed"/>
        <w:tblCellMar>
          <w:top w:w="0" w:type="dxa"/>
          <w:left w:w="0" w:type="dxa"/>
          <w:bottom w:w="0" w:type="dxa"/>
          <w:right w:w="0" w:type="dxa"/>
        </w:tblCellMar>
        <w:tblLook w:val="01E0"/>
      </w:tblPr>
      <w:tblGrid>
        <w:gridCol w:w="3970"/>
        <w:gridCol w:w="1210"/>
        <w:gridCol w:w="1814"/>
        <w:gridCol w:w="1212"/>
        <w:gridCol w:w="1663"/>
      </w:tblGrid>
      <w:tr>
        <w:trPr>
          <w:trHeight w:val="922" w:hRule="exact"/>
        </w:trPr>
        <w:tc>
          <w:tcPr>
            <w:tcW w:w="3970"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10" w:type="dxa"/>
            <w:tcBorders>
              <w:top w:val="single" w:sz="12" w:space="0" w:color="000000"/>
              <w:left w:val="single" w:sz="6" w:space="0" w:color="000000"/>
              <w:bottom w:val="single" w:sz="4" w:space="0" w:color="000000"/>
              <w:right w:val="single" w:sz="6" w:space="0" w:color="000000"/>
            </w:tcBorders>
          </w:tcPr>
          <w:p>
            <w:pPr>
              <w:pStyle w:val="TableParagraph"/>
              <w:spacing w:line="448" w:lineRule="exact" w:before="32"/>
              <w:ind w:left="386" w:right="173"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814"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1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663" w:type="dxa"/>
            <w:tcBorders>
              <w:top w:val="single" w:sz="12" w:space="0" w:color="000000"/>
              <w:left w:val="single" w:sz="6" w:space="0" w:color="000000"/>
              <w:bottom w:val="single" w:sz="4" w:space="0" w:color="000000"/>
              <w:right w:val="nil" w:sz="6" w:space="0" w:color="auto"/>
            </w:tcBorders>
          </w:tcPr>
          <w:p>
            <w:pPr>
              <w:pStyle w:val="TableParagraph"/>
              <w:spacing w:line="448" w:lineRule="exact" w:before="32"/>
              <w:ind w:left="247" w:right="196"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w:t>
            </w:r>
            <w:r>
              <w:rPr>
                <w:rFonts w:ascii="宋体" w:hAnsi="宋体" w:cs="宋体" w:eastAsia="宋体" w:hint="default"/>
                <w:w w:val="100"/>
                <w:sz w:val="21"/>
                <w:szCs w:val="21"/>
              </w:rPr>
              <w:t> </w:t>
            </w: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bl>
    <w:p>
      <w:pPr>
        <w:spacing w:after="0" w:line="448" w:lineRule="exact"/>
        <w:jc w:val="left"/>
        <w:rPr>
          <w:rFonts w:ascii="Times New Roman" w:hAnsi="Times New Roman" w:cs="Times New Roman" w:eastAsia="Times New Roman" w:hint="default"/>
          <w:sz w:val="21"/>
          <w:szCs w:val="21"/>
        </w:rPr>
        <w:sectPr>
          <w:pgSz w:w="11910" w:h="16840"/>
          <w:pgMar w:header="850" w:footer="979" w:top="1260" w:bottom="1160" w:left="900" w:right="90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970"/>
        <w:gridCol w:w="1210"/>
        <w:gridCol w:w="1814"/>
        <w:gridCol w:w="1212"/>
        <w:gridCol w:w="1663"/>
      </w:tblGrid>
      <w:tr>
        <w:trPr>
          <w:trHeight w:val="926" w:hRule="exact"/>
        </w:trPr>
        <w:tc>
          <w:tcPr>
            <w:tcW w:w="3970" w:type="dxa"/>
            <w:tcBorders>
              <w:top w:val="single" w:sz="17" w:space="0" w:color="000000"/>
              <w:left w:val="nil" w:sz="6" w:space="0" w:color="auto"/>
              <w:bottom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10" w:type="dxa"/>
            <w:tcBorders>
              <w:top w:val="single" w:sz="17" w:space="0" w:color="000000"/>
              <w:left w:val="single" w:sz="6" w:space="0" w:color="000000"/>
              <w:bottom w:val="single" w:sz="4" w:space="0" w:color="000000"/>
              <w:right w:val="single" w:sz="6" w:space="0" w:color="000000"/>
            </w:tcBorders>
          </w:tcPr>
          <w:p>
            <w:pPr>
              <w:pStyle w:val="TableParagraph"/>
              <w:spacing w:line="452" w:lineRule="exact" w:before="27"/>
              <w:ind w:left="386" w:right="173"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814" w:type="dxa"/>
            <w:tcBorders>
              <w:top w:val="single" w:sz="17" w:space="0" w:color="000000"/>
              <w:left w:val="single" w:sz="6" w:space="0" w:color="000000"/>
              <w:bottom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12" w:type="dxa"/>
            <w:tcBorders>
              <w:top w:val="single" w:sz="17" w:space="0" w:color="000000"/>
              <w:left w:val="single" w:sz="6" w:space="0" w:color="000000"/>
              <w:bottom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663" w:type="dxa"/>
            <w:tcBorders>
              <w:top w:val="single" w:sz="17" w:space="0" w:color="000000"/>
              <w:left w:val="single" w:sz="6" w:space="0" w:color="000000"/>
              <w:bottom w:val="single" w:sz="4" w:space="0" w:color="000000"/>
              <w:right w:val="nil" w:sz="6" w:space="0" w:color="auto"/>
            </w:tcBorders>
          </w:tcPr>
          <w:p>
            <w:pPr>
              <w:pStyle w:val="TableParagraph"/>
              <w:spacing w:line="452" w:lineRule="exact" w:before="27"/>
              <w:ind w:left="247" w:right="196"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w:t>
            </w:r>
            <w:r>
              <w:rPr>
                <w:rFonts w:ascii="宋体" w:hAnsi="宋体" w:cs="宋体" w:eastAsia="宋体" w:hint="default"/>
                <w:w w:val="100"/>
                <w:sz w:val="21"/>
                <w:szCs w:val="21"/>
              </w:rPr>
              <w:t> </w:t>
            </w: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555" w:hRule="exact"/>
        </w:trPr>
        <w:tc>
          <w:tcPr>
            <w:tcW w:w="3970" w:type="dxa"/>
            <w:tcBorders>
              <w:top w:val="single" w:sz="4" w:space="0" w:color="000000"/>
              <w:left w:val="nil" w:sz="6" w:space="0" w:color="auto"/>
              <w:bottom w:val="nil" w:sz="6" w:space="0" w:color="auto"/>
              <w:right w:val="single" w:sz="6"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天津高银国际俱乐部有限公司</w:t>
            </w:r>
          </w:p>
        </w:tc>
        <w:tc>
          <w:tcPr>
            <w:tcW w:w="1210"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6"/>
              <w:ind w:right="17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814"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4,197,857.00</w:t>
            </w:r>
          </w:p>
        </w:tc>
        <w:tc>
          <w:tcPr>
            <w:tcW w:w="1212"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63" w:type="dxa"/>
            <w:tcBorders>
              <w:top w:val="single" w:sz="4" w:space="0" w:color="000000"/>
              <w:left w:val="single" w:sz="6"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2.16</w:t>
            </w:r>
          </w:p>
        </w:tc>
      </w:tr>
      <w:tr>
        <w:trPr>
          <w:trHeight w:val="450" w:hRule="exact"/>
        </w:trPr>
        <w:tc>
          <w:tcPr>
            <w:tcW w:w="397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广州市正佳企业有限公司</w:t>
            </w:r>
          </w:p>
        </w:tc>
        <w:tc>
          <w:tcPr>
            <w:tcW w:w="1210"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17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814"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Times New Roman" w:hAnsi="Times New Roman" w:cs="Times New Roman" w:eastAsia="Times New Roman" w:hint="default"/>
                <w:sz w:val="21"/>
                <w:szCs w:val="21"/>
              </w:rPr>
            </w:pPr>
            <w:r>
              <w:rPr>
                <w:rFonts w:ascii="Times New Roman"/>
                <w:spacing w:val="-1"/>
                <w:sz w:val="21"/>
              </w:rPr>
              <w:t>3,254,808.20</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663" w:type="dxa"/>
            <w:tcBorders>
              <w:top w:val="nil" w:sz="6" w:space="0" w:color="auto"/>
              <w:left w:val="single" w:sz="6" w:space="0" w:color="000000"/>
              <w:bottom w:val="nil" w:sz="6" w:space="0" w:color="auto"/>
              <w:right w:val="nil" w:sz="6" w:space="0" w:color="auto"/>
            </w:tcBorders>
          </w:tcPr>
          <w:p>
            <w:pPr>
              <w:pStyle w:val="TableParagraph"/>
              <w:spacing w:line="240" w:lineRule="auto" w:before="103"/>
              <w:ind w:right="2"/>
              <w:jc w:val="center"/>
              <w:rPr>
                <w:rFonts w:ascii="Times New Roman" w:hAnsi="Times New Roman" w:cs="Times New Roman" w:eastAsia="Times New Roman" w:hint="default"/>
                <w:sz w:val="21"/>
                <w:szCs w:val="21"/>
              </w:rPr>
            </w:pPr>
            <w:r>
              <w:rPr>
                <w:rFonts w:ascii="Times New Roman"/>
                <w:sz w:val="21"/>
              </w:rPr>
              <w:t>1.67</w:t>
            </w:r>
          </w:p>
        </w:tc>
      </w:tr>
      <w:tr>
        <w:trPr>
          <w:trHeight w:val="450" w:hRule="exact"/>
        </w:trPr>
        <w:tc>
          <w:tcPr>
            <w:tcW w:w="3970"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海南开维海棠度假投资有限公司</w:t>
            </w:r>
          </w:p>
        </w:tc>
        <w:tc>
          <w:tcPr>
            <w:tcW w:w="1210"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17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814"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21"/>
                <w:szCs w:val="21"/>
              </w:rPr>
            </w:pPr>
            <w:r>
              <w:rPr>
                <w:rFonts w:ascii="Times New Roman"/>
                <w:spacing w:val="-1"/>
                <w:sz w:val="21"/>
              </w:rPr>
              <w:t>3,120,000.00</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663" w:type="dxa"/>
            <w:tcBorders>
              <w:top w:val="nil" w:sz="6" w:space="0" w:color="auto"/>
              <w:left w:val="single" w:sz="6" w:space="0" w:color="000000"/>
              <w:bottom w:val="nil" w:sz="6" w:space="0" w:color="auto"/>
              <w:right w:val="nil" w:sz="6" w:space="0" w:color="auto"/>
            </w:tcBorders>
          </w:tcPr>
          <w:p>
            <w:pPr>
              <w:pStyle w:val="TableParagraph"/>
              <w:spacing w:line="240" w:lineRule="auto" w:before="104"/>
              <w:ind w:right="2"/>
              <w:jc w:val="center"/>
              <w:rPr>
                <w:rFonts w:ascii="Times New Roman" w:hAnsi="Times New Roman" w:cs="Times New Roman" w:eastAsia="Times New Roman" w:hint="default"/>
                <w:sz w:val="21"/>
                <w:szCs w:val="21"/>
              </w:rPr>
            </w:pPr>
            <w:r>
              <w:rPr>
                <w:rFonts w:ascii="Times New Roman"/>
                <w:sz w:val="21"/>
              </w:rPr>
              <w:t>1.60</w:t>
            </w:r>
          </w:p>
        </w:tc>
      </w:tr>
      <w:tr>
        <w:trPr>
          <w:trHeight w:val="450" w:hRule="exact"/>
        </w:trPr>
        <w:tc>
          <w:tcPr>
            <w:tcW w:w="397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厦门源昌集团有限公司</w:t>
            </w:r>
          </w:p>
        </w:tc>
        <w:tc>
          <w:tcPr>
            <w:tcW w:w="1210"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17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814"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98"/>
              <w:jc w:val="right"/>
              <w:rPr>
                <w:rFonts w:ascii="Times New Roman" w:hAnsi="Times New Roman" w:cs="Times New Roman" w:eastAsia="Times New Roman" w:hint="default"/>
                <w:sz w:val="21"/>
                <w:szCs w:val="21"/>
              </w:rPr>
            </w:pPr>
            <w:r>
              <w:rPr>
                <w:rFonts w:ascii="Times New Roman"/>
                <w:spacing w:val="-1"/>
                <w:sz w:val="21"/>
              </w:rPr>
              <w:t>2,921,800.00</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663" w:type="dxa"/>
            <w:tcBorders>
              <w:top w:val="nil" w:sz="6" w:space="0" w:color="auto"/>
              <w:left w:val="single" w:sz="6" w:space="0" w:color="000000"/>
              <w:bottom w:val="nil" w:sz="6" w:space="0" w:color="auto"/>
              <w:right w:val="nil" w:sz="6" w:space="0" w:color="auto"/>
            </w:tcBorders>
          </w:tcPr>
          <w:p>
            <w:pPr>
              <w:pStyle w:val="TableParagraph"/>
              <w:spacing w:line="240" w:lineRule="auto" w:before="103"/>
              <w:ind w:right="2"/>
              <w:jc w:val="center"/>
              <w:rPr>
                <w:rFonts w:ascii="Times New Roman" w:hAnsi="Times New Roman" w:cs="Times New Roman" w:eastAsia="Times New Roman" w:hint="default"/>
                <w:sz w:val="21"/>
                <w:szCs w:val="21"/>
              </w:rPr>
            </w:pPr>
            <w:r>
              <w:rPr>
                <w:rFonts w:ascii="Times New Roman"/>
                <w:sz w:val="21"/>
              </w:rPr>
              <w:t>1.50</w:t>
            </w:r>
          </w:p>
        </w:tc>
      </w:tr>
      <w:tr>
        <w:trPr>
          <w:trHeight w:val="356" w:hRule="exact"/>
        </w:trPr>
        <w:tc>
          <w:tcPr>
            <w:tcW w:w="3970" w:type="dxa"/>
            <w:tcBorders>
              <w:top w:val="nil" w:sz="6" w:space="0" w:color="auto"/>
              <w:left w:val="nil" w:sz="6" w:space="0" w:color="auto"/>
              <w:bottom w:val="single" w:sz="4" w:space="0" w:color="000000"/>
              <w:right w:val="single" w:sz="6"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上海卢湾万豪酒店</w:t>
            </w:r>
          </w:p>
        </w:tc>
        <w:tc>
          <w:tcPr>
            <w:tcW w:w="1210"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45"/>
              <w:ind w:right="17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814"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21"/>
                <w:szCs w:val="21"/>
              </w:rPr>
            </w:pPr>
            <w:r>
              <w:rPr>
                <w:rFonts w:ascii="Times New Roman"/>
                <w:spacing w:val="-1"/>
                <w:sz w:val="21"/>
              </w:rPr>
              <w:t>2,740,592.60</w:t>
            </w:r>
          </w:p>
        </w:tc>
        <w:tc>
          <w:tcPr>
            <w:tcW w:w="1212"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663" w:type="dxa"/>
            <w:tcBorders>
              <w:top w:val="nil" w:sz="6" w:space="0" w:color="auto"/>
              <w:left w:val="single" w:sz="6" w:space="0" w:color="000000"/>
              <w:bottom w:val="single" w:sz="4" w:space="0" w:color="000000"/>
              <w:right w:val="nil" w:sz="6" w:space="0" w:color="auto"/>
            </w:tcBorders>
          </w:tcPr>
          <w:p>
            <w:pPr>
              <w:pStyle w:val="TableParagraph"/>
              <w:spacing w:line="240" w:lineRule="auto" w:before="104"/>
              <w:ind w:right="2"/>
              <w:jc w:val="center"/>
              <w:rPr>
                <w:rFonts w:ascii="Times New Roman" w:hAnsi="Times New Roman" w:cs="Times New Roman" w:eastAsia="Times New Roman" w:hint="default"/>
                <w:sz w:val="21"/>
                <w:szCs w:val="21"/>
              </w:rPr>
            </w:pPr>
            <w:r>
              <w:rPr>
                <w:rFonts w:ascii="Times New Roman"/>
                <w:sz w:val="21"/>
              </w:rPr>
              <w:t>1.41</w:t>
            </w:r>
          </w:p>
        </w:tc>
      </w:tr>
      <w:tr>
        <w:trPr>
          <w:trHeight w:val="470" w:hRule="exact"/>
        </w:trPr>
        <w:tc>
          <w:tcPr>
            <w:tcW w:w="3970" w:type="dxa"/>
            <w:tcBorders>
              <w:top w:val="single" w:sz="4" w:space="0" w:color="000000"/>
              <w:left w:val="nil" w:sz="6" w:space="0" w:color="auto"/>
              <w:bottom w:val="single" w:sz="12" w:space="0" w:color="000000"/>
              <w:right w:val="single" w:sz="6" w:space="0" w:color="000000"/>
            </w:tcBorders>
          </w:tcPr>
          <w:p>
            <w:pPr>
              <w:pStyle w:val="TableParagraph"/>
              <w:tabs>
                <w:tab w:pos="650" w:val="left" w:leader="none"/>
              </w:tabs>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10" w:type="dxa"/>
            <w:tcBorders>
              <w:top w:val="single" w:sz="4" w:space="0" w:color="000000"/>
              <w:left w:val="single" w:sz="6" w:space="0" w:color="000000"/>
              <w:bottom w:val="single" w:sz="12" w:space="0" w:color="000000"/>
              <w:right w:val="single" w:sz="6" w:space="0" w:color="000000"/>
            </w:tcBorders>
          </w:tcPr>
          <w:p>
            <w:pPr/>
          </w:p>
        </w:tc>
        <w:tc>
          <w:tcPr>
            <w:tcW w:w="1814"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16,235,057.80</w:t>
            </w:r>
          </w:p>
        </w:tc>
        <w:tc>
          <w:tcPr>
            <w:tcW w:w="1212" w:type="dxa"/>
            <w:tcBorders>
              <w:top w:val="single" w:sz="4" w:space="0" w:color="000000"/>
              <w:left w:val="single" w:sz="6" w:space="0" w:color="000000"/>
              <w:bottom w:val="single" w:sz="12" w:space="0" w:color="000000"/>
              <w:right w:val="single" w:sz="6" w:space="0" w:color="000000"/>
            </w:tcBorders>
          </w:tcPr>
          <w:p>
            <w:pPr/>
          </w:p>
        </w:tc>
        <w:tc>
          <w:tcPr>
            <w:tcW w:w="1663"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8.34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36"/>
        <w:ind w:left="652" w:right="5418"/>
        <w:jc w:val="left"/>
      </w:pPr>
      <w:r>
        <w:rPr>
          <w:rFonts w:ascii="Times New Roman" w:hAnsi="Times New Roman" w:cs="Times New Roman" w:eastAsia="Times New Roman" w:hint="default"/>
        </w:rPr>
        <w:t>3</w:t>
      </w:r>
      <w:r>
        <w:rPr/>
        <w:t>．预付账款</w:t>
      </w:r>
    </w:p>
    <w:p>
      <w:pPr>
        <w:pStyle w:val="BodyText"/>
        <w:spacing w:line="240" w:lineRule="auto" w:before="158"/>
        <w:ind w:left="652" w:right="5418"/>
        <w:jc w:val="left"/>
      </w:pPr>
      <w:r>
        <w:rPr/>
        <w:t>（</w:t>
      </w:r>
      <w:r>
        <w:rPr>
          <w:rFonts w:ascii="Times New Roman" w:hAnsi="Times New Roman" w:cs="Times New Roman" w:eastAsia="Times New Roman" w:hint="default"/>
        </w:rPr>
        <w:t>1</w:t>
      </w:r>
      <w:r>
        <w:rPr/>
        <w:t>）预付账款按账龄结构列示：</w:t>
      </w:r>
    </w:p>
    <w:tbl>
      <w:tblPr>
        <w:tblW w:w="0" w:type="auto"/>
        <w:jc w:val="left"/>
        <w:tblInd w:w="110" w:type="dxa"/>
        <w:tblLayout w:type="fixed"/>
        <w:tblCellMar>
          <w:top w:w="0" w:type="dxa"/>
          <w:left w:w="0" w:type="dxa"/>
          <w:bottom w:w="0" w:type="dxa"/>
          <w:right w:w="0" w:type="dxa"/>
        </w:tblCellMar>
        <w:tblLook w:val="01E0"/>
      </w:tblPr>
      <w:tblGrid>
        <w:gridCol w:w="2580"/>
        <w:gridCol w:w="1615"/>
        <w:gridCol w:w="2030"/>
        <w:gridCol w:w="1613"/>
        <w:gridCol w:w="2030"/>
      </w:tblGrid>
      <w:tr>
        <w:trPr>
          <w:trHeight w:val="470" w:hRule="exact"/>
        </w:trPr>
        <w:tc>
          <w:tcPr>
            <w:tcW w:w="2580"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876"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364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64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58" w:hRule="exact"/>
        </w:trPr>
        <w:tc>
          <w:tcPr>
            <w:tcW w:w="2580" w:type="dxa"/>
            <w:vMerge/>
            <w:tcBorders>
              <w:left w:val="nil" w:sz="6" w:space="0" w:color="auto"/>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占总额的比例</w:t>
            </w:r>
            <w:r>
              <w:rPr>
                <w:rFonts w:ascii="Times New Roman" w:hAnsi="Times New Roman" w:cs="Times New Roman" w:eastAsia="Times New Roman" w:hint="default"/>
                <w:sz w:val="21"/>
                <w:szCs w:val="21"/>
              </w:rPr>
              <w:t>(%)</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0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占总额的比例</w:t>
            </w:r>
            <w:r>
              <w:rPr>
                <w:rFonts w:ascii="Times New Roman" w:hAnsi="Times New Roman" w:cs="Times New Roman" w:eastAsia="Times New Roman" w:hint="default"/>
                <w:sz w:val="21"/>
                <w:szCs w:val="21"/>
              </w:rPr>
              <w:t>(%)</w:t>
            </w:r>
          </w:p>
        </w:tc>
      </w:tr>
      <w:tr>
        <w:trPr>
          <w:trHeight w:val="555" w:hRule="exact"/>
        </w:trPr>
        <w:tc>
          <w:tcPr>
            <w:tcW w:w="2580" w:type="dxa"/>
            <w:tcBorders>
              <w:top w:val="single" w:sz="4" w:space="0" w:color="000000"/>
              <w:left w:val="nil" w:sz="6" w:space="0" w:color="auto"/>
              <w:bottom w:val="nil" w:sz="6" w:space="0" w:color="auto"/>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10,503,853.85</w:t>
            </w:r>
          </w:p>
        </w:tc>
        <w:tc>
          <w:tcPr>
            <w:tcW w:w="20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88.97</w:t>
            </w:r>
          </w:p>
        </w:tc>
        <w:tc>
          <w:tcPr>
            <w:tcW w:w="16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15,235,625.65</w:t>
            </w:r>
          </w:p>
        </w:tc>
        <w:tc>
          <w:tcPr>
            <w:tcW w:w="2030"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95.60</w:t>
            </w:r>
          </w:p>
        </w:tc>
      </w:tr>
      <w:tr>
        <w:trPr>
          <w:trHeight w:val="450" w:hRule="exact"/>
        </w:trPr>
        <w:tc>
          <w:tcPr>
            <w:tcW w:w="2580"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21"/>
                <w:szCs w:val="21"/>
              </w:rPr>
            </w:pPr>
            <w:r>
              <w:rPr>
                <w:rFonts w:ascii="Times New Roman"/>
                <w:spacing w:val="-1"/>
                <w:sz w:val="21"/>
              </w:rPr>
              <w:t>733,584.06</w:t>
            </w: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21"/>
                <w:szCs w:val="21"/>
              </w:rPr>
            </w:pPr>
            <w:r>
              <w:rPr>
                <w:rFonts w:ascii="Times New Roman"/>
                <w:sz w:val="21"/>
              </w:rPr>
              <w:t>6.21</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21"/>
                <w:szCs w:val="21"/>
              </w:rPr>
            </w:pPr>
            <w:r>
              <w:rPr>
                <w:rFonts w:ascii="Times New Roman"/>
                <w:spacing w:val="-1"/>
                <w:sz w:val="21"/>
              </w:rPr>
              <w:t>334,774.47</w:t>
            </w:r>
          </w:p>
        </w:tc>
        <w:tc>
          <w:tcPr>
            <w:tcW w:w="2030" w:type="dxa"/>
            <w:tcBorders>
              <w:top w:val="nil" w:sz="6" w:space="0" w:color="auto"/>
              <w:left w:val="single" w:sz="4" w:space="0" w:color="000000"/>
              <w:bottom w:val="nil" w:sz="6" w:space="0" w:color="auto"/>
              <w:right w:val="nil" w:sz="6" w:space="0" w:color="auto"/>
            </w:tcBorders>
          </w:tcPr>
          <w:p>
            <w:pPr>
              <w:pStyle w:val="TableParagraph"/>
              <w:spacing w:line="240" w:lineRule="auto" w:before="103"/>
              <w:ind w:right="2"/>
              <w:jc w:val="center"/>
              <w:rPr>
                <w:rFonts w:ascii="Times New Roman" w:hAnsi="Times New Roman" w:cs="Times New Roman" w:eastAsia="Times New Roman" w:hint="default"/>
                <w:sz w:val="21"/>
                <w:szCs w:val="21"/>
              </w:rPr>
            </w:pPr>
            <w:r>
              <w:rPr>
                <w:rFonts w:ascii="Times New Roman"/>
                <w:sz w:val="21"/>
              </w:rPr>
              <w:t>2.10</w:t>
            </w:r>
          </w:p>
        </w:tc>
      </w:tr>
      <w:tr>
        <w:trPr>
          <w:trHeight w:val="450" w:hRule="exact"/>
        </w:trPr>
        <w:tc>
          <w:tcPr>
            <w:tcW w:w="2580"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21"/>
                <w:szCs w:val="21"/>
              </w:rPr>
            </w:pPr>
            <w:r>
              <w:rPr>
                <w:rFonts w:ascii="Times New Roman"/>
                <w:spacing w:val="-1"/>
                <w:sz w:val="21"/>
              </w:rPr>
              <w:t>266,098.18</w:t>
            </w: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2.25</w:t>
            </w:r>
          </w:p>
        </w:tc>
        <w:tc>
          <w:tcPr>
            <w:tcW w:w="16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21"/>
                <w:szCs w:val="21"/>
              </w:rPr>
            </w:pPr>
            <w:r>
              <w:rPr>
                <w:rFonts w:ascii="Times New Roman"/>
                <w:spacing w:val="-1"/>
                <w:sz w:val="21"/>
              </w:rPr>
              <w:t>86,274.84</w:t>
            </w:r>
          </w:p>
        </w:tc>
        <w:tc>
          <w:tcPr>
            <w:tcW w:w="2030" w:type="dxa"/>
            <w:tcBorders>
              <w:top w:val="nil" w:sz="6" w:space="0" w:color="auto"/>
              <w:left w:val="single" w:sz="4" w:space="0" w:color="000000"/>
              <w:bottom w:val="nil" w:sz="6" w:space="0" w:color="auto"/>
              <w:right w:val="nil" w:sz="6" w:space="0" w:color="auto"/>
            </w:tcBorders>
          </w:tcPr>
          <w:p>
            <w:pPr>
              <w:pStyle w:val="TableParagraph"/>
              <w:spacing w:line="240" w:lineRule="auto" w:before="104"/>
              <w:ind w:right="2"/>
              <w:jc w:val="center"/>
              <w:rPr>
                <w:rFonts w:ascii="Times New Roman" w:hAnsi="Times New Roman" w:cs="Times New Roman" w:eastAsia="Times New Roman" w:hint="default"/>
                <w:sz w:val="21"/>
                <w:szCs w:val="21"/>
              </w:rPr>
            </w:pPr>
            <w:r>
              <w:rPr>
                <w:rFonts w:ascii="Times New Roman"/>
                <w:sz w:val="21"/>
              </w:rPr>
              <w:t>0.54</w:t>
            </w:r>
          </w:p>
        </w:tc>
      </w:tr>
      <w:tr>
        <w:trPr>
          <w:trHeight w:val="357" w:hRule="exact"/>
        </w:trPr>
        <w:tc>
          <w:tcPr>
            <w:tcW w:w="2580" w:type="dxa"/>
            <w:tcBorders>
              <w:top w:val="nil" w:sz="6" w:space="0" w:color="auto"/>
              <w:left w:val="nil" w:sz="6" w:space="0" w:color="auto"/>
              <w:bottom w:val="single" w:sz="4"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1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21"/>
                <w:szCs w:val="21"/>
              </w:rPr>
            </w:pPr>
            <w:r>
              <w:rPr>
                <w:rFonts w:ascii="Times New Roman"/>
                <w:spacing w:val="-1"/>
                <w:sz w:val="21"/>
              </w:rPr>
              <w:t>303,250.56</w:t>
            </w:r>
          </w:p>
        </w:tc>
        <w:tc>
          <w:tcPr>
            <w:tcW w:w="20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21"/>
                <w:szCs w:val="21"/>
              </w:rPr>
            </w:pPr>
            <w:r>
              <w:rPr>
                <w:rFonts w:ascii="Times New Roman"/>
                <w:sz w:val="21"/>
              </w:rPr>
              <w:t>2.57</w:t>
            </w:r>
          </w:p>
        </w:tc>
        <w:tc>
          <w:tcPr>
            <w:tcW w:w="16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21"/>
                <w:szCs w:val="21"/>
              </w:rPr>
            </w:pPr>
            <w:r>
              <w:rPr>
                <w:rFonts w:ascii="Times New Roman"/>
                <w:spacing w:val="-1"/>
                <w:sz w:val="21"/>
              </w:rPr>
              <w:t>279,799.56</w:t>
            </w:r>
          </w:p>
        </w:tc>
        <w:tc>
          <w:tcPr>
            <w:tcW w:w="2030" w:type="dxa"/>
            <w:tcBorders>
              <w:top w:val="nil" w:sz="6" w:space="0" w:color="auto"/>
              <w:left w:val="single" w:sz="4" w:space="0" w:color="000000"/>
              <w:bottom w:val="single" w:sz="4" w:space="0" w:color="000000"/>
              <w:right w:val="nil" w:sz="6" w:space="0" w:color="auto"/>
            </w:tcBorders>
          </w:tcPr>
          <w:p>
            <w:pPr>
              <w:pStyle w:val="TableParagraph"/>
              <w:spacing w:line="240" w:lineRule="auto" w:before="103"/>
              <w:ind w:right="2"/>
              <w:jc w:val="center"/>
              <w:rPr>
                <w:rFonts w:ascii="Times New Roman" w:hAnsi="Times New Roman" w:cs="Times New Roman" w:eastAsia="Times New Roman" w:hint="default"/>
                <w:sz w:val="21"/>
                <w:szCs w:val="21"/>
              </w:rPr>
            </w:pPr>
            <w:r>
              <w:rPr>
                <w:rFonts w:ascii="Times New Roman"/>
                <w:sz w:val="21"/>
              </w:rPr>
              <w:t>1.76</w:t>
            </w:r>
          </w:p>
        </w:tc>
      </w:tr>
      <w:tr>
        <w:trPr>
          <w:trHeight w:val="470" w:hRule="exact"/>
        </w:trPr>
        <w:tc>
          <w:tcPr>
            <w:tcW w:w="2580" w:type="dxa"/>
            <w:tcBorders>
              <w:top w:val="single" w:sz="4" w:space="0" w:color="000000"/>
              <w:left w:val="nil" w:sz="6" w:space="0" w:color="auto"/>
              <w:bottom w:val="single" w:sz="12" w:space="0" w:color="000000"/>
              <w:right w:val="single" w:sz="4" w:space="0" w:color="000000"/>
            </w:tcBorders>
          </w:tcPr>
          <w:p>
            <w:pPr>
              <w:pStyle w:val="TableParagraph"/>
              <w:tabs>
                <w:tab w:pos="1507" w:val="left" w:leader="none"/>
              </w:tabs>
              <w:spacing w:line="240" w:lineRule="auto" w:before="143"/>
              <w:ind w:left="8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11,806,786.65</w:t>
            </w:r>
          </w:p>
        </w:tc>
        <w:tc>
          <w:tcPr>
            <w:tcW w:w="20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15,936,474.52</w:t>
            </w:r>
          </w:p>
        </w:tc>
        <w:tc>
          <w:tcPr>
            <w:tcW w:w="20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6"/>
        <w:rPr>
          <w:rFonts w:ascii="宋体" w:hAnsi="宋体" w:cs="宋体" w:eastAsia="宋体" w:hint="default"/>
          <w:sz w:val="9"/>
          <w:szCs w:val="9"/>
        </w:rPr>
      </w:pPr>
    </w:p>
    <w:p>
      <w:pPr>
        <w:pStyle w:val="BodyText"/>
        <w:spacing w:line="240" w:lineRule="auto" w:before="36"/>
        <w:ind w:left="652" w:right="5418"/>
        <w:jc w:val="left"/>
      </w:pPr>
      <w:r>
        <w:rPr/>
        <w:t>（</w:t>
      </w:r>
      <w:r>
        <w:rPr>
          <w:rFonts w:ascii="Times New Roman" w:hAnsi="Times New Roman" w:cs="Times New Roman" w:eastAsia="Times New Roman" w:hint="default"/>
        </w:rPr>
        <w:t>2</w:t>
      </w:r>
      <w:r>
        <w:rPr/>
        <w:t>）预付账款按币种列示如下：</w:t>
      </w:r>
    </w:p>
    <w:tbl>
      <w:tblPr>
        <w:tblW w:w="0" w:type="auto"/>
        <w:jc w:val="left"/>
        <w:tblInd w:w="110" w:type="dxa"/>
        <w:tblLayout w:type="fixed"/>
        <w:tblCellMar>
          <w:top w:w="0" w:type="dxa"/>
          <w:left w:w="0" w:type="dxa"/>
          <w:bottom w:w="0" w:type="dxa"/>
          <w:right w:w="0" w:type="dxa"/>
        </w:tblCellMar>
        <w:tblLook w:val="01E0"/>
      </w:tblPr>
      <w:tblGrid>
        <w:gridCol w:w="2446"/>
        <w:gridCol w:w="1855"/>
        <w:gridCol w:w="1858"/>
        <w:gridCol w:w="1855"/>
        <w:gridCol w:w="1855"/>
      </w:tblGrid>
      <w:tr>
        <w:trPr>
          <w:trHeight w:val="470" w:hRule="exact"/>
        </w:trPr>
        <w:tc>
          <w:tcPr>
            <w:tcW w:w="2446"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tabs>
                <w:tab w:pos="1439" w:val="left" w:leader="none"/>
              </w:tabs>
              <w:spacing w:line="240" w:lineRule="auto"/>
              <w:ind w:left="80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2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46"/>
              <w:ind w:right="2"/>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61" w:hRule="exact"/>
        </w:trPr>
        <w:tc>
          <w:tcPr>
            <w:tcW w:w="2446" w:type="dxa"/>
            <w:vMerge/>
            <w:tcBorders>
              <w:left w:val="nil" w:sz="6" w:space="0" w:color="auto"/>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607"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564" w:hRule="exact"/>
        </w:trPr>
        <w:tc>
          <w:tcPr>
            <w:tcW w:w="2446" w:type="dxa"/>
            <w:tcBorders>
              <w:top w:val="single" w:sz="4" w:space="0" w:color="000000"/>
              <w:left w:val="nil" w:sz="6" w:space="0" w:color="auto"/>
              <w:bottom w:val="nil" w:sz="6" w:space="0" w:color="auto"/>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18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9,738,742.09</w:t>
            </w:r>
          </w:p>
        </w:tc>
        <w:tc>
          <w:tcPr>
            <w:tcW w:w="1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9,738,742.09</w:t>
            </w:r>
          </w:p>
        </w:tc>
      </w:tr>
      <w:tr>
        <w:trPr>
          <w:trHeight w:val="450"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5"/>
              <w:jc w:val="center"/>
              <w:rPr>
                <w:rFonts w:ascii="Times New Roman" w:hAnsi="Times New Roman" w:cs="Times New Roman" w:eastAsia="Times New Roman" w:hint="default"/>
                <w:sz w:val="21"/>
                <w:szCs w:val="21"/>
              </w:rPr>
            </w:pPr>
            <w:r>
              <w:rPr>
                <w:rFonts w:ascii="Times New Roman"/>
                <w:spacing w:val="-3"/>
                <w:sz w:val="21"/>
              </w:rPr>
              <w:t>HKD</w:t>
            </w:r>
            <w:r>
              <w:rPr>
                <w:rFonts w:ascii="Times New Roman"/>
                <w:sz w:val="21"/>
              </w:rPr>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718,304.27</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21"/>
                <w:szCs w:val="21"/>
              </w:rPr>
            </w:pPr>
            <w:r>
              <w:rPr>
                <w:rFonts w:ascii="Times New Roman"/>
                <w:sz w:val="21"/>
              </w:rPr>
              <w:t>0.8107</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582,329.27</w:t>
            </w:r>
          </w:p>
        </w:tc>
      </w:tr>
      <w:tr>
        <w:trPr>
          <w:trHeight w:val="450"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SGD</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31,818.12</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4.8475</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154,154.38</w:t>
            </w:r>
          </w:p>
        </w:tc>
      </w:tr>
      <w:tr>
        <w:trPr>
          <w:trHeight w:val="439"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MYC</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14,445.00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21"/>
                <w:szCs w:val="21"/>
              </w:rPr>
            </w:pPr>
            <w:r>
              <w:rPr>
                <w:rFonts w:ascii="Times New Roman"/>
                <w:sz w:val="21"/>
              </w:rPr>
              <w:t>1.9819</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2"/>
                <w:sz w:val="21"/>
              </w:rPr>
              <w:t>28,628.11</w:t>
            </w:r>
          </w:p>
        </w:tc>
      </w:tr>
      <w:tr>
        <w:trPr>
          <w:trHeight w:val="461"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21"/>
                <w:szCs w:val="21"/>
              </w:rPr>
            </w:pPr>
            <w:r>
              <w:rPr>
                <w:rFonts w:ascii="Times New Roman"/>
                <w:spacing w:val="-1"/>
                <w:sz w:val="21"/>
              </w:rPr>
              <w:t>10,503,853.85</w:t>
            </w:r>
          </w:p>
        </w:tc>
      </w:tr>
      <w:tr>
        <w:trPr>
          <w:trHeight w:val="439"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RMB</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733,584.06</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733,584.06</w:t>
            </w:r>
          </w:p>
        </w:tc>
      </w:tr>
      <w:tr>
        <w:trPr>
          <w:trHeight w:val="456"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21"/>
                <w:szCs w:val="21"/>
              </w:rPr>
            </w:pPr>
            <w:r>
              <w:rPr>
                <w:rFonts w:ascii="Times New Roman"/>
                <w:spacing w:val="-1"/>
                <w:sz w:val="21"/>
              </w:rPr>
              <w:t>733,584.06</w:t>
            </w:r>
          </w:p>
        </w:tc>
      </w:tr>
      <w:tr>
        <w:trPr>
          <w:trHeight w:val="440"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RMB</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pacing w:val="-1"/>
                <w:sz w:val="21"/>
              </w:rPr>
              <w:t>20,396.90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21"/>
                <w:szCs w:val="21"/>
              </w:rPr>
            </w:pPr>
            <w:r>
              <w:rPr>
                <w:rFonts w:ascii="Times New Roman"/>
                <w:spacing w:val="-1"/>
                <w:sz w:val="21"/>
              </w:rPr>
              <w:t>20,396.90</w:t>
            </w:r>
          </w:p>
        </w:tc>
      </w:tr>
      <w:tr>
        <w:trPr>
          <w:trHeight w:val="429"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5"/>
              <w:jc w:val="center"/>
              <w:rPr>
                <w:rFonts w:ascii="Times New Roman" w:hAnsi="Times New Roman" w:cs="Times New Roman" w:eastAsia="Times New Roman" w:hint="default"/>
                <w:sz w:val="21"/>
                <w:szCs w:val="21"/>
              </w:rPr>
            </w:pPr>
            <w:r>
              <w:rPr>
                <w:rFonts w:ascii="Times New Roman"/>
                <w:spacing w:val="-3"/>
                <w:sz w:val="21"/>
              </w:rPr>
              <w:t>HKD</w:t>
            </w:r>
            <w:r>
              <w:rPr>
                <w:rFonts w:ascii="Times New Roman"/>
                <w:sz w:val="21"/>
              </w:rPr>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21"/>
                <w:szCs w:val="21"/>
              </w:rPr>
            </w:pPr>
            <w:r>
              <w:rPr>
                <w:rFonts w:ascii="Times New Roman"/>
                <w:spacing w:val="-1"/>
                <w:sz w:val="21"/>
              </w:rPr>
              <w:t>303,073.00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21"/>
                <w:szCs w:val="21"/>
              </w:rPr>
            </w:pPr>
            <w:r>
              <w:rPr>
                <w:rFonts w:ascii="Times New Roman"/>
                <w:sz w:val="21"/>
              </w:rPr>
              <w:t>0.8107</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21"/>
                <w:szCs w:val="21"/>
              </w:rPr>
            </w:pPr>
            <w:r>
              <w:rPr>
                <w:rFonts w:ascii="Times New Roman"/>
                <w:spacing w:val="-1"/>
                <w:sz w:val="21"/>
              </w:rPr>
              <w:t>245,701.28</w:t>
            </w:r>
          </w:p>
        </w:tc>
      </w:tr>
      <w:tr>
        <w:trPr>
          <w:trHeight w:val="362" w:hRule="exact"/>
        </w:trPr>
        <w:tc>
          <w:tcPr>
            <w:tcW w:w="2446" w:type="dxa"/>
            <w:tcBorders>
              <w:top w:val="nil" w:sz="6" w:space="0" w:color="auto"/>
              <w:left w:val="nil" w:sz="6" w:space="0" w:color="auto"/>
              <w:bottom w:val="single" w:sz="12" w:space="0" w:color="000000"/>
              <w:right w:val="single" w:sz="4" w:space="0" w:color="000000"/>
            </w:tcBorders>
          </w:tcPr>
          <w:p>
            <w:pPr/>
          </w:p>
        </w:tc>
        <w:tc>
          <w:tcPr>
            <w:tcW w:w="185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8"/>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single" w:sz="12"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266,098.18</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200" w:bottom="1160" w:left="900" w:right="92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446"/>
        <w:gridCol w:w="1855"/>
        <w:gridCol w:w="1858"/>
        <w:gridCol w:w="1855"/>
        <w:gridCol w:w="1855"/>
      </w:tblGrid>
      <w:tr>
        <w:trPr>
          <w:trHeight w:val="478" w:hRule="exact"/>
        </w:trPr>
        <w:tc>
          <w:tcPr>
            <w:tcW w:w="2446" w:type="dxa"/>
            <w:vMerge w:val="restart"/>
            <w:tcBorders>
              <w:top w:val="single" w:sz="17"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tabs>
                <w:tab w:pos="1439" w:val="left" w:leader="none"/>
              </w:tabs>
              <w:spacing w:line="240" w:lineRule="auto"/>
              <w:ind w:left="80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23" w:type="dxa"/>
            <w:gridSpan w:val="4"/>
            <w:tcBorders>
              <w:top w:val="single" w:sz="17" w:space="0" w:color="000000"/>
              <w:left w:val="single" w:sz="4" w:space="0" w:color="000000"/>
              <w:bottom w:val="single" w:sz="4" w:space="0" w:color="000000"/>
              <w:right w:val="nil" w:sz="6" w:space="0" w:color="auto"/>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61" w:hRule="exact"/>
        </w:trPr>
        <w:tc>
          <w:tcPr>
            <w:tcW w:w="2446" w:type="dxa"/>
            <w:vMerge/>
            <w:tcBorders>
              <w:left w:val="nil" w:sz="6" w:space="0" w:color="auto"/>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15"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607"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538" w:hRule="exact"/>
        </w:trPr>
        <w:tc>
          <w:tcPr>
            <w:tcW w:w="2446" w:type="dxa"/>
            <w:vMerge w:val="restart"/>
            <w:tcBorders>
              <w:top w:val="single" w:sz="4" w:space="0" w:color="000000"/>
              <w:left w:val="nil" w:sz="6" w:space="0" w:color="auto"/>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1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18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99" w:right="0"/>
              <w:jc w:val="left"/>
              <w:rPr>
                <w:rFonts w:ascii="Times New Roman" w:hAnsi="Times New Roman" w:cs="Times New Roman" w:eastAsia="Times New Roman" w:hint="default"/>
                <w:sz w:val="21"/>
                <w:szCs w:val="21"/>
              </w:rPr>
            </w:pPr>
            <w:r>
              <w:rPr>
                <w:rFonts w:ascii="Times New Roman"/>
                <w:sz w:val="21"/>
              </w:rPr>
              <w:t>303,250.56</w:t>
            </w:r>
          </w:p>
        </w:tc>
        <w:tc>
          <w:tcPr>
            <w:tcW w:w="1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303,250.56</w:t>
            </w:r>
          </w:p>
        </w:tc>
      </w:tr>
      <w:tr>
        <w:trPr>
          <w:trHeight w:val="350" w:hRule="exact"/>
        </w:trPr>
        <w:tc>
          <w:tcPr>
            <w:tcW w:w="2446" w:type="dxa"/>
            <w:vMerge/>
            <w:tcBorders>
              <w:left w:val="nil" w:sz="6" w:space="0" w:color="auto"/>
              <w:bottom w:val="single" w:sz="4" w:space="0" w:color="000000"/>
              <w:right w:val="single" w:sz="4" w:space="0" w:color="000000"/>
            </w:tcBorders>
          </w:tcPr>
          <w:p>
            <w:pPr/>
          </w:p>
        </w:tc>
        <w:tc>
          <w:tcPr>
            <w:tcW w:w="18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left="71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303,250.56</w:t>
            </w:r>
          </w:p>
        </w:tc>
      </w:tr>
      <w:tr>
        <w:trPr>
          <w:trHeight w:val="461" w:hRule="exact"/>
        </w:trPr>
        <w:tc>
          <w:tcPr>
            <w:tcW w:w="2446" w:type="dxa"/>
            <w:tcBorders>
              <w:top w:val="single" w:sz="4" w:space="0" w:color="000000"/>
              <w:left w:val="nil" w:sz="6" w:space="0" w:color="auto"/>
              <w:bottom w:val="single" w:sz="12" w:space="0" w:color="000000"/>
              <w:right w:val="single" w:sz="4" w:space="0" w:color="000000"/>
            </w:tcBorders>
          </w:tcPr>
          <w:p>
            <w:pPr>
              <w:pStyle w:val="TableParagraph"/>
              <w:tabs>
                <w:tab w:pos="1439" w:val="left" w:leader="none"/>
              </w:tabs>
              <w:spacing w:line="240" w:lineRule="auto" w:before="136"/>
              <w:ind w:left="80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1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11,806,786.65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446"/>
        <w:gridCol w:w="1855"/>
        <w:gridCol w:w="1858"/>
        <w:gridCol w:w="1855"/>
        <w:gridCol w:w="1855"/>
      </w:tblGrid>
      <w:tr>
        <w:trPr>
          <w:trHeight w:val="461" w:hRule="exact"/>
        </w:trPr>
        <w:tc>
          <w:tcPr>
            <w:tcW w:w="2446"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tabs>
                <w:tab w:pos="1439" w:val="left" w:leader="none"/>
              </w:tabs>
              <w:spacing w:line="240" w:lineRule="auto"/>
              <w:ind w:left="80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2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34"/>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49" w:hRule="exact"/>
        </w:trPr>
        <w:tc>
          <w:tcPr>
            <w:tcW w:w="2446" w:type="dxa"/>
            <w:vMerge/>
            <w:tcBorders>
              <w:left w:val="nil" w:sz="6" w:space="0" w:color="auto"/>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5"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left="607"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550" w:hRule="exact"/>
        </w:trPr>
        <w:tc>
          <w:tcPr>
            <w:tcW w:w="2446" w:type="dxa"/>
            <w:tcBorders>
              <w:top w:val="single" w:sz="4" w:space="0" w:color="000000"/>
              <w:left w:val="nil" w:sz="6" w:space="0" w:color="auto"/>
              <w:bottom w:val="nil" w:sz="6" w:space="0" w:color="auto"/>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18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14,361,900.82</w:t>
            </w:r>
          </w:p>
        </w:tc>
        <w:tc>
          <w:tcPr>
            <w:tcW w:w="1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14,361,900.82</w:t>
            </w:r>
          </w:p>
        </w:tc>
      </w:tr>
      <w:tr>
        <w:trPr>
          <w:trHeight w:val="440"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5"/>
              <w:jc w:val="center"/>
              <w:rPr>
                <w:rFonts w:ascii="Times New Roman" w:hAnsi="Times New Roman" w:cs="Times New Roman" w:eastAsia="Times New Roman" w:hint="default"/>
                <w:sz w:val="21"/>
                <w:szCs w:val="21"/>
              </w:rPr>
            </w:pPr>
            <w:r>
              <w:rPr>
                <w:rFonts w:ascii="Times New Roman"/>
                <w:spacing w:val="-3"/>
                <w:sz w:val="21"/>
              </w:rPr>
              <w:t>HKD</w:t>
            </w:r>
            <w:r>
              <w:rPr>
                <w:rFonts w:ascii="Times New Roman"/>
                <w:sz w:val="21"/>
              </w:rPr>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21"/>
                <w:szCs w:val="21"/>
              </w:rPr>
            </w:pPr>
            <w:r>
              <w:rPr>
                <w:rFonts w:ascii="Times New Roman"/>
                <w:spacing w:val="-1"/>
                <w:sz w:val="21"/>
              </w:rPr>
              <w:t>876,949.00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 w:right="0"/>
              <w:jc w:val="center"/>
              <w:rPr>
                <w:rFonts w:ascii="Times New Roman" w:hAnsi="Times New Roman" w:cs="Times New Roman" w:eastAsia="Times New Roman" w:hint="default"/>
                <w:sz w:val="21"/>
                <w:szCs w:val="21"/>
              </w:rPr>
            </w:pPr>
            <w:r>
              <w:rPr>
                <w:rFonts w:ascii="Times New Roman"/>
                <w:sz w:val="21"/>
              </w:rPr>
              <w:t>0.8509</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21"/>
                <w:szCs w:val="21"/>
              </w:rPr>
            </w:pPr>
            <w:r>
              <w:rPr>
                <w:rFonts w:ascii="Times New Roman"/>
                <w:spacing w:val="-1"/>
                <w:sz w:val="21"/>
              </w:rPr>
              <w:t>746,195.73</w:t>
            </w:r>
          </w:p>
        </w:tc>
      </w:tr>
      <w:tr>
        <w:trPr>
          <w:trHeight w:val="439"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1"/>
                <w:szCs w:val="21"/>
              </w:rPr>
            </w:pPr>
            <w:r>
              <w:rPr>
                <w:rFonts w:ascii="Times New Roman"/>
                <w:sz w:val="21"/>
              </w:rPr>
              <w:t>SGD</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21"/>
                <w:szCs w:val="21"/>
              </w:rPr>
            </w:pPr>
            <w:r>
              <w:rPr>
                <w:rFonts w:ascii="Times New Roman"/>
                <w:spacing w:val="-1"/>
                <w:sz w:val="21"/>
              </w:rPr>
              <w:t>21,277.33</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21"/>
                <w:szCs w:val="21"/>
              </w:rPr>
            </w:pPr>
            <w:r>
              <w:rPr>
                <w:rFonts w:ascii="Times New Roman"/>
                <w:sz w:val="21"/>
              </w:rPr>
              <w:t>5.1279</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21"/>
                <w:szCs w:val="21"/>
              </w:rPr>
            </w:pPr>
            <w:r>
              <w:rPr>
                <w:rFonts w:ascii="Times New Roman"/>
                <w:spacing w:val="-1"/>
                <w:sz w:val="21"/>
              </w:rPr>
              <w:t>109,023.64</w:t>
            </w:r>
          </w:p>
        </w:tc>
      </w:tr>
      <w:tr>
        <w:trPr>
          <w:trHeight w:val="430"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1"/>
                <w:szCs w:val="21"/>
              </w:rPr>
            </w:pPr>
            <w:r>
              <w:rPr>
                <w:rFonts w:ascii="Times New Roman"/>
                <w:sz w:val="21"/>
              </w:rPr>
              <w:t>MYC</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21"/>
                <w:szCs w:val="21"/>
              </w:rPr>
            </w:pPr>
            <w:r>
              <w:rPr>
                <w:rFonts w:ascii="Times New Roman"/>
                <w:spacing w:val="-1"/>
                <w:sz w:val="21"/>
              </w:rPr>
              <w:t>8,607.19</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21"/>
                <w:szCs w:val="21"/>
              </w:rPr>
            </w:pPr>
            <w:r>
              <w:rPr>
                <w:rFonts w:ascii="Times New Roman"/>
                <w:sz w:val="21"/>
              </w:rPr>
              <w:t>2.1500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21"/>
                <w:szCs w:val="21"/>
              </w:rPr>
            </w:pPr>
            <w:r>
              <w:rPr>
                <w:rFonts w:ascii="Times New Roman"/>
                <w:spacing w:val="-1"/>
                <w:sz w:val="21"/>
              </w:rPr>
              <w:t>18,505.46</w:t>
            </w:r>
          </w:p>
        </w:tc>
      </w:tr>
      <w:tr>
        <w:trPr>
          <w:trHeight w:val="451"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9"/>
              <w:ind w:right="103"/>
              <w:jc w:val="right"/>
              <w:rPr>
                <w:rFonts w:ascii="Times New Roman" w:hAnsi="Times New Roman" w:cs="Times New Roman" w:eastAsia="Times New Roman" w:hint="default"/>
                <w:sz w:val="21"/>
                <w:szCs w:val="21"/>
              </w:rPr>
            </w:pPr>
            <w:r>
              <w:rPr>
                <w:rFonts w:ascii="Times New Roman"/>
                <w:spacing w:val="-1"/>
                <w:sz w:val="21"/>
              </w:rPr>
              <w:t>15,235,625.65</w:t>
            </w:r>
          </w:p>
        </w:tc>
      </w:tr>
      <w:tr>
        <w:trPr>
          <w:trHeight w:val="439"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1"/>
                <w:szCs w:val="21"/>
              </w:rPr>
            </w:pPr>
            <w:r>
              <w:rPr>
                <w:rFonts w:ascii="Times New Roman"/>
                <w:sz w:val="21"/>
              </w:rPr>
              <w:t>RMB</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21"/>
                <w:szCs w:val="21"/>
              </w:rPr>
            </w:pPr>
            <w:r>
              <w:rPr>
                <w:rFonts w:ascii="Times New Roman"/>
                <w:spacing w:val="-1"/>
                <w:sz w:val="21"/>
              </w:rPr>
              <w:t>76,889.48</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21"/>
                <w:szCs w:val="21"/>
              </w:rPr>
            </w:pPr>
            <w:r>
              <w:rPr>
                <w:rFonts w:ascii="Times New Roman"/>
                <w:spacing w:val="-1"/>
                <w:sz w:val="21"/>
              </w:rPr>
              <w:t>76,889.48</w:t>
            </w:r>
          </w:p>
        </w:tc>
      </w:tr>
      <w:tr>
        <w:trPr>
          <w:trHeight w:val="430"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5"/>
              <w:jc w:val="center"/>
              <w:rPr>
                <w:rFonts w:ascii="Times New Roman" w:hAnsi="Times New Roman" w:cs="Times New Roman" w:eastAsia="Times New Roman" w:hint="default"/>
                <w:sz w:val="21"/>
                <w:szCs w:val="21"/>
              </w:rPr>
            </w:pPr>
            <w:r>
              <w:rPr>
                <w:rFonts w:ascii="Times New Roman"/>
                <w:spacing w:val="-3"/>
                <w:sz w:val="21"/>
              </w:rPr>
              <w:t>HKD</w:t>
            </w:r>
            <w:r>
              <w:rPr>
                <w:rFonts w:ascii="Times New Roman"/>
                <w:sz w:val="21"/>
              </w:rPr>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21"/>
                <w:szCs w:val="21"/>
              </w:rPr>
            </w:pPr>
            <w:r>
              <w:rPr>
                <w:rFonts w:ascii="Times New Roman"/>
                <w:spacing w:val="-1"/>
                <w:sz w:val="21"/>
              </w:rPr>
              <w:t>303,073.00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21"/>
                <w:szCs w:val="21"/>
              </w:rPr>
            </w:pPr>
            <w:r>
              <w:rPr>
                <w:rFonts w:ascii="Times New Roman"/>
                <w:sz w:val="21"/>
              </w:rPr>
              <w:t>0.8509</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21"/>
                <w:szCs w:val="21"/>
              </w:rPr>
            </w:pPr>
            <w:r>
              <w:rPr>
                <w:rFonts w:ascii="Times New Roman"/>
                <w:spacing w:val="-1"/>
                <w:sz w:val="21"/>
              </w:rPr>
              <w:t>257,884.99</w:t>
            </w:r>
          </w:p>
        </w:tc>
      </w:tr>
      <w:tr>
        <w:trPr>
          <w:trHeight w:val="451"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9"/>
              <w:ind w:right="103"/>
              <w:jc w:val="right"/>
              <w:rPr>
                <w:rFonts w:ascii="Times New Roman" w:hAnsi="Times New Roman" w:cs="Times New Roman" w:eastAsia="Times New Roman" w:hint="default"/>
                <w:sz w:val="21"/>
                <w:szCs w:val="21"/>
              </w:rPr>
            </w:pPr>
            <w:r>
              <w:rPr>
                <w:rFonts w:ascii="Times New Roman"/>
                <w:spacing w:val="-1"/>
                <w:sz w:val="21"/>
              </w:rPr>
              <w:t>334,774.47</w:t>
            </w:r>
          </w:p>
        </w:tc>
      </w:tr>
      <w:tr>
        <w:trPr>
          <w:trHeight w:val="429"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1"/>
                <w:szCs w:val="21"/>
              </w:rPr>
            </w:pPr>
            <w:r>
              <w:rPr>
                <w:rFonts w:ascii="Times New Roman"/>
                <w:sz w:val="21"/>
              </w:rPr>
              <w:t>RMB</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21"/>
                <w:szCs w:val="21"/>
              </w:rPr>
            </w:pPr>
            <w:r>
              <w:rPr>
                <w:rFonts w:ascii="Times New Roman"/>
                <w:spacing w:val="-1"/>
                <w:sz w:val="21"/>
              </w:rPr>
              <w:t>86,274.84</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21"/>
                <w:szCs w:val="21"/>
              </w:rPr>
            </w:pPr>
            <w:r>
              <w:rPr>
                <w:rFonts w:ascii="Times New Roman"/>
                <w:spacing w:val="-1"/>
                <w:sz w:val="21"/>
              </w:rPr>
              <w:t>86,274.84</w:t>
            </w:r>
          </w:p>
        </w:tc>
      </w:tr>
      <w:tr>
        <w:trPr>
          <w:trHeight w:val="451" w:hRule="exact"/>
        </w:trPr>
        <w:tc>
          <w:tcPr>
            <w:tcW w:w="2446" w:type="dxa"/>
            <w:tcBorders>
              <w:top w:val="nil" w:sz="6" w:space="0" w:color="auto"/>
              <w:left w:val="nil" w:sz="6" w:space="0" w:color="auto"/>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86,274.84</w:t>
            </w:r>
          </w:p>
        </w:tc>
      </w:tr>
      <w:tr>
        <w:trPr>
          <w:trHeight w:val="430"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RMB</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21"/>
                <w:szCs w:val="21"/>
              </w:rPr>
            </w:pPr>
            <w:r>
              <w:rPr>
                <w:rFonts w:ascii="Times New Roman"/>
                <w:spacing w:val="-1"/>
                <w:sz w:val="21"/>
              </w:rPr>
              <w:t>279,799.56</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21"/>
                <w:szCs w:val="21"/>
              </w:rPr>
            </w:pPr>
            <w:r>
              <w:rPr>
                <w:rFonts w:ascii="Times New Roman"/>
                <w:spacing w:val="-1"/>
                <w:sz w:val="21"/>
              </w:rPr>
              <w:t>279,799.56</w:t>
            </w:r>
          </w:p>
        </w:tc>
      </w:tr>
      <w:tr>
        <w:trPr>
          <w:trHeight w:val="350" w:hRule="exact"/>
        </w:trPr>
        <w:tc>
          <w:tcPr>
            <w:tcW w:w="2446" w:type="dxa"/>
            <w:tcBorders>
              <w:top w:val="nil" w:sz="6" w:space="0" w:color="auto"/>
              <w:left w:val="nil" w:sz="6" w:space="0" w:color="auto"/>
              <w:bottom w:val="single" w:sz="4" w:space="0" w:color="000000"/>
              <w:right w:val="single" w:sz="4" w:space="0" w:color="000000"/>
            </w:tcBorders>
          </w:tcPr>
          <w:p>
            <w:pPr/>
          </w:p>
        </w:tc>
        <w:tc>
          <w:tcPr>
            <w:tcW w:w="18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spacing w:val="-1"/>
                <w:sz w:val="21"/>
              </w:rPr>
              <w:t>279,799.56</w:t>
            </w:r>
          </w:p>
        </w:tc>
      </w:tr>
      <w:tr>
        <w:trPr>
          <w:trHeight w:val="461" w:hRule="exact"/>
        </w:trPr>
        <w:tc>
          <w:tcPr>
            <w:tcW w:w="2446" w:type="dxa"/>
            <w:tcBorders>
              <w:top w:val="single" w:sz="4" w:space="0" w:color="000000"/>
              <w:left w:val="nil" w:sz="6" w:space="0" w:color="auto"/>
              <w:bottom w:val="single" w:sz="12" w:space="0" w:color="000000"/>
              <w:right w:val="single" w:sz="4" w:space="0" w:color="000000"/>
            </w:tcBorders>
          </w:tcPr>
          <w:p>
            <w:pPr>
              <w:pStyle w:val="TableParagraph"/>
              <w:tabs>
                <w:tab w:pos="1439" w:val="left" w:leader="none"/>
              </w:tabs>
              <w:spacing w:line="240" w:lineRule="auto" w:before="134"/>
              <w:ind w:left="80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15,936,474.52</w:t>
            </w:r>
          </w:p>
        </w:tc>
      </w:tr>
    </w:tbl>
    <w:p>
      <w:pPr>
        <w:spacing w:line="240" w:lineRule="auto" w:before="6"/>
        <w:rPr>
          <w:rFonts w:ascii="宋体" w:hAnsi="宋体" w:cs="宋体" w:eastAsia="宋体" w:hint="default"/>
          <w:sz w:val="7"/>
          <w:szCs w:val="7"/>
        </w:rPr>
      </w:pPr>
    </w:p>
    <w:p>
      <w:pPr>
        <w:pStyle w:val="BodyText"/>
        <w:spacing w:line="240" w:lineRule="auto" w:before="36"/>
        <w:ind w:left="652" w:right="0"/>
        <w:jc w:val="left"/>
      </w:pPr>
      <w:r>
        <w:rPr/>
        <w:t>（</w:t>
      </w:r>
      <w:r>
        <w:rPr>
          <w:rFonts w:ascii="Times New Roman" w:hAnsi="Times New Roman" w:cs="Times New Roman" w:eastAsia="Times New Roman" w:hint="default"/>
        </w:rPr>
        <w:t>3</w:t>
      </w:r>
      <w:r>
        <w:rPr/>
        <w:t>）预付账款年末余额中无持公司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p>
    <w:p>
      <w:pPr>
        <w:pStyle w:val="BodyText"/>
        <w:spacing w:line="240" w:lineRule="auto" w:before="151"/>
        <w:ind w:left="652" w:right="5418"/>
        <w:jc w:val="left"/>
      </w:pPr>
      <w:r>
        <w:rPr/>
        <w:t>（</w:t>
      </w:r>
      <w:r>
        <w:rPr>
          <w:rFonts w:ascii="Times New Roman" w:hAnsi="Times New Roman" w:cs="Times New Roman" w:eastAsia="Times New Roman" w:hint="default"/>
        </w:rPr>
        <w:t>4</w:t>
      </w:r>
      <w:r>
        <w:rPr/>
        <w:t>）预付款项金额前五名单位情况：</w:t>
      </w:r>
    </w:p>
    <w:tbl>
      <w:tblPr>
        <w:tblW w:w="0" w:type="auto"/>
        <w:jc w:val="left"/>
        <w:tblInd w:w="124" w:type="dxa"/>
        <w:tblLayout w:type="fixed"/>
        <w:tblCellMar>
          <w:top w:w="0" w:type="dxa"/>
          <w:left w:w="0" w:type="dxa"/>
          <w:bottom w:w="0" w:type="dxa"/>
          <w:right w:w="0" w:type="dxa"/>
        </w:tblCellMar>
        <w:tblLook w:val="01E0"/>
      </w:tblPr>
      <w:tblGrid>
        <w:gridCol w:w="3557"/>
        <w:gridCol w:w="1294"/>
        <w:gridCol w:w="1454"/>
        <w:gridCol w:w="1164"/>
        <w:gridCol w:w="2371"/>
      </w:tblGrid>
      <w:tr>
        <w:trPr>
          <w:trHeight w:val="900" w:hRule="exact"/>
        </w:trPr>
        <w:tc>
          <w:tcPr>
            <w:tcW w:w="35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4"/>
              <w:ind w:left="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94" w:type="dxa"/>
            <w:tcBorders>
              <w:top w:val="single" w:sz="12" w:space="0" w:color="000000"/>
              <w:left w:val="single" w:sz="4" w:space="0" w:color="000000"/>
              <w:bottom w:val="single" w:sz="4" w:space="0" w:color="000000"/>
              <w:right w:val="single" w:sz="4" w:space="0" w:color="000000"/>
            </w:tcBorders>
          </w:tcPr>
          <w:p>
            <w:pPr>
              <w:pStyle w:val="TableParagraph"/>
              <w:spacing w:line="442" w:lineRule="exact" w:before="25"/>
              <w:ind w:left="537" w:right="110" w:hanging="421"/>
              <w:jc w:val="left"/>
              <w:rPr>
                <w:rFonts w:ascii="宋体" w:hAnsi="宋体" w:cs="宋体" w:eastAsia="宋体" w:hint="default"/>
                <w:sz w:val="21"/>
                <w:szCs w:val="21"/>
              </w:rPr>
            </w:pPr>
            <w:r>
              <w:rPr>
                <w:rFonts w:ascii="宋体" w:hAnsi="宋体" w:cs="宋体" w:eastAsia="宋体" w:hint="default"/>
                <w:sz w:val="21"/>
                <w:szCs w:val="21"/>
              </w:rPr>
              <w:t>与本公司关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系</w:t>
            </w:r>
          </w:p>
        </w:tc>
        <w:tc>
          <w:tcPr>
            <w:tcW w:w="14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23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1413" w:hRule="exact"/>
        </w:trPr>
        <w:tc>
          <w:tcPr>
            <w:tcW w:w="3557"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Micros-Fidelio Singapore Pte</w:t>
            </w:r>
            <w:r>
              <w:rPr>
                <w:rFonts w:ascii="Times New Roman"/>
                <w:spacing w:val="-17"/>
                <w:sz w:val="21"/>
              </w:rPr>
              <w:t> </w:t>
            </w:r>
            <w:r>
              <w:rPr>
                <w:rFonts w:ascii="Times New Roman"/>
                <w:sz w:val="21"/>
              </w:rPr>
              <w:t>Ltd</w:t>
            </w:r>
          </w:p>
        </w:tc>
        <w:tc>
          <w:tcPr>
            <w:tcW w:w="1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4"/>
              <w:ind w:right="21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4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7,244,711.87</w:t>
            </w:r>
          </w:p>
        </w:tc>
        <w:tc>
          <w:tcPr>
            <w:tcW w:w="11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371" w:type="dxa"/>
            <w:tcBorders>
              <w:top w:val="single" w:sz="4" w:space="0" w:color="000000"/>
              <w:left w:val="single" w:sz="4" w:space="0" w:color="000000"/>
              <w:bottom w:val="nil" w:sz="6" w:space="0" w:color="auto"/>
              <w:right w:val="nil" w:sz="6" w:space="0" w:color="auto"/>
            </w:tcBorders>
          </w:tcPr>
          <w:p>
            <w:pPr>
              <w:pStyle w:val="TableParagraph"/>
              <w:spacing w:line="374" w:lineRule="auto" w:before="134"/>
              <w:ind w:left="105" w:right="100"/>
              <w:jc w:val="center"/>
              <w:rPr>
                <w:rFonts w:ascii="宋体" w:hAnsi="宋体" w:cs="宋体" w:eastAsia="宋体" w:hint="default"/>
                <w:sz w:val="21"/>
                <w:szCs w:val="21"/>
              </w:rPr>
            </w:pPr>
            <w:r>
              <w:rPr>
                <w:rFonts w:ascii="宋体" w:hAnsi="宋体" w:cs="宋体" w:eastAsia="宋体" w:hint="default"/>
                <w:sz w:val="21"/>
                <w:szCs w:val="21"/>
              </w:rPr>
              <w:t>预付</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年度数码酒店</w:t>
            </w:r>
            <w:r>
              <w:rPr>
                <w:rFonts w:ascii="宋体" w:hAnsi="宋体" w:cs="宋体" w:eastAsia="宋体" w:hint="default"/>
                <w:w w:val="100"/>
                <w:sz w:val="21"/>
                <w:szCs w:val="21"/>
              </w:rPr>
              <w:t> </w:t>
            </w:r>
            <w:r>
              <w:rPr>
                <w:rFonts w:ascii="宋体" w:hAnsi="宋体" w:cs="宋体" w:eastAsia="宋体" w:hint="default"/>
                <w:sz w:val="21"/>
                <w:szCs w:val="21"/>
              </w:rPr>
              <w:t>管理系统专有技术进口</w:t>
            </w:r>
            <w:r>
              <w:rPr>
                <w:rFonts w:ascii="宋体" w:hAnsi="宋体" w:cs="宋体" w:eastAsia="宋体" w:hint="default"/>
                <w:w w:val="100"/>
                <w:sz w:val="21"/>
                <w:szCs w:val="21"/>
              </w:rPr>
              <w:t> </w:t>
            </w:r>
            <w:r>
              <w:rPr>
                <w:rFonts w:ascii="宋体" w:hAnsi="宋体" w:cs="宋体" w:eastAsia="宋体" w:hint="default"/>
                <w:sz w:val="21"/>
                <w:szCs w:val="21"/>
              </w:rPr>
              <w:t>许可与转让费</w:t>
            </w:r>
          </w:p>
        </w:tc>
      </w:tr>
      <w:tr>
        <w:trPr>
          <w:trHeight w:val="460" w:hRule="exact"/>
        </w:trPr>
        <w:tc>
          <w:tcPr>
            <w:tcW w:w="3557"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北京嘉华永盛科技有限公司</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249" w:right="0"/>
              <w:jc w:val="left"/>
              <w:rPr>
                <w:rFonts w:ascii="Times New Roman" w:hAnsi="Times New Roman" w:cs="Times New Roman" w:eastAsia="Times New Roman" w:hint="default"/>
                <w:sz w:val="21"/>
                <w:szCs w:val="21"/>
              </w:rPr>
            </w:pPr>
            <w:r>
              <w:rPr>
                <w:rFonts w:ascii="Times New Roman"/>
                <w:sz w:val="21"/>
              </w:rPr>
              <w:t>385,764.55</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371"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2" w:right="0"/>
              <w:jc w:val="center"/>
              <w:rPr>
                <w:rFonts w:ascii="宋体" w:hAnsi="宋体" w:cs="宋体" w:eastAsia="宋体" w:hint="default"/>
                <w:sz w:val="21"/>
                <w:szCs w:val="21"/>
              </w:rPr>
            </w:pPr>
            <w:r>
              <w:rPr>
                <w:rFonts w:ascii="宋体" w:hAnsi="宋体" w:cs="宋体" w:eastAsia="宋体" w:hint="default"/>
                <w:sz w:val="21"/>
                <w:szCs w:val="21"/>
              </w:rPr>
              <w:t>尚未结算</w:t>
            </w:r>
          </w:p>
        </w:tc>
      </w:tr>
      <w:tr>
        <w:trPr>
          <w:trHeight w:val="450" w:hRule="exact"/>
        </w:trPr>
        <w:tc>
          <w:tcPr>
            <w:tcW w:w="3557"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07" w:right="0"/>
              <w:jc w:val="left"/>
              <w:rPr>
                <w:rFonts w:ascii="宋体" w:hAnsi="宋体" w:cs="宋体" w:eastAsia="宋体" w:hint="default"/>
                <w:sz w:val="21"/>
                <w:szCs w:val="21"/>
              </w:rPr>
            </w:pPr>
            <w:r>
              <w:rPr>
                <w:rFonts w:ascii="宋体" w:hAnsi="宋体" w:cs="宋体" w:eastAsia="宋体" w:hint="default"/>
                <w:sz w:val="21"/>
                <w:szCs w:val="21"/>
              </w:rPr>
              <w:t>北京双成速达科技发展有限公司</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249" w:right="0"/>
              <w:jc w:val="left"/>
              <w:rPr>
                <w:rFonts w:ascii="Times New Roman" w:hAnsi="Times New Roman" w:cs="Times New Roman" w:eastAsia="Times New Roman" w:hint="default"/>
                <w:sz w:val="21"/>
                <w:szCs w:val="21"/>
              </w:rPr>
            </w:pPr>
            <w:r>
              <w:rPr>
                <w:rFonts w:ascii="Times New Roman"/>
                <w:sz w:val="21"/>
              </w:rPr>
              <w:t>250,151.00</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371" w:type="dxa"/>
            <w:tcBorders>
              <w:top w:val="nil" w:sz="6" w:space="0" w:color="auto"/>
              <w:left w:val="single" w:sz="4" w:space="0" w:color="000000"/>
              <w:bottom w:val="nil" w:sz="6" w:space="0" w:color="auto"/>
              <w:right w:val="nil" w:sz="6" w:space="0" w:color="auto"/>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尚未结算</w:t>
            </w:r>
          </w:p>
        </w:tc>
      </w:tr>
      <w:tr>
        <w:trPr>
          <w:trHeight w:val="352" w:hRule="exact"/>
        </w:trPr>
        <w:tc>
          <w:tcPr>
            <w:tcW w:w="3557" w:type="dxa"/>
            <w:tcBorders>
              <w:top w:val="nil" w:sz="6" w:space="0" w:color="auto"/>
              <w:left w:val="nil" w:sz="6" w:space="0" w:color="auto"/>
              <w:bottom w:val="nil" w:sz="6" w:space="0" w:color="auto"/>
              <w:right w:val="single" w:sz="4" w:space="0" w:color="000000"/>
            </w:tcBorders>
          </w:tcPr>
          <w:p>
            <w:pPr>
              <w:pStyle w:val="TableParagraph"/>
              <w:spacing w:line="240" w:lineRule="auto" w:before="103"/>
              <w:ind w:left="107" w:right="0"/>
              <w:jc w:val="left"/>
              <w:rPr>
                <w:rFonts w:ascii="Times New Roman" w:hAnsi="Times New Roman" w:cs="Times New Roman" w:eastAsia="Times New Roman" w:hint="default"/>
                <w:sz w:val="21"/>
                <w:szCs w:val="21"/>
              </w:rPr>
            </w:pPr>
            <w:r>
              <w:rPr>
                <w:rFonts w:ascii="Times New Roman"/>
                <w:sz w:val="21"/>
              </w:rPr>
              <w:t>Aitken, </w:t>
            </w:r>
            <w:r>
              <w:rPr>
                <w:rFonts w:ascii="Times New Roman"/>
                <w:spacing w:val="-5"/>
                <w:sz w:val="21"/>
              </w:rPr>
              <w:t>Vanson </w:t>
            </w:r>
            <w:r>
              <w:rPr>
                <w:rFonts w:ascii="Times New Roman"/>
                <w:sz w:val="21"/>
              </w:rPr>
              <w:t>and </w:t>
            </w:r>
            <w:r>
              <w:rPr>
                <w:rFonts w:ascii="Times New Roman"/>
                <w:spacing w:val="-3"/>
                <w:sz w:val="21"/>
              </w:rPr>
              <w:t>Company,</w:t>
            </w:r>
            <w:r>
              <w:rPr>
                <w:rFonts w:ascii="Times New Roman"/>
                <w:spacing w:val="4"/>
                <w:sz w:val="21"/>
              </w:rPr>
              <w:t> </w:t>
            </w:r>
            <w:r>
              <w:rPr>
                <w:rFonts w:ascii="Times New Roman"/>
                <w:sz w:val="21"/>
              </w:rPr>
              <w:t>Limited</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16"/>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249" w:right="0"/>
              <w:jc w:val="left"/>
              <w:rPr>
                <w:rFonts w:ascii="Times New Roman" w:hAnsi="Times New Roman" w:cs="Times New Roman" w:eastAsia="Times New Roman" w:hint="default"/>
                <w:sz w:val="21"/>
                <w:szCs w:val="21"/>
              </w:rPr>
            </w:pPr>
            <w:r>
              <w:rPr>
                <w:rFonts w:ascii="Times New Roman"/>
                <w:sz w:val="21"/>
              </w:rPr>
              <w:t>245,701.28</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71" w:type="dxa"/>
            <w:tcBorders>
              <w:top w:val="nil" w:sz="6" w:space="0" w:color="auto"/>
              <w:left w:val="single" w:sz="4" w:space="0" w:color="000000"/>
              <w:bottom w:val="nil" w:sz="6" w:space="0" w:color="auto"/>
              <w:right w:val="nil" w:sz="6" w:space="0" w:color="auto"/>
            </w:tcBorders>
          </w:tcPr>
          <w:p>
            <w:pPr>
              <w:pStyle w:val="TableParagraph"/>
              <w:spacing w:line="240" w:lineRule="auto" w:before="44"/>
              <w:ind w:left="2" w:right="0"/>
              <w:jc w:val="center"/>
              <w:rPr>
                <w:rFonts w:ascii="宋体" w:hAnsi="宋体" w:cs="宋体" w:eastAsia="宋体" w:hint="default"/>
                <w:sz w:val="21"/>
                <w:szCs w:val="21"/>
              </w:rPr>
            </w:pPr>
            <w:r>
              <w:rPr>
                <w:rFonts w:ascii="宋体" w:hAnsi="宋体" w:cs="宋体" w:eastAsia="宋体" w:hint="default"/>
                <w:sz w:val="21"/>
                <w:szCs w:val="21"/>
              </w:rPr>
              <w:t>尚未结算</w:t>
            </w:r>
          </w:p>
        </w:tc>
      </w:tr>
    </w:tbl>
    <w:p>
      <w:pPr>
        <w:spacing w:after="0" w:line="240" w:lineRule="auto"/>
        <w:jc w:val="center"/>
        <w:rPr>
          <w:rFonts w:ascii="宋体" w:hAnsi="宋体" w:cs="宋体" w:eastAsia="宋体" w:hint="default"/>
          <w:sz w:val="21"/>
          <w:szCs w:val="21"/>
        </w:rPr>
        <w:sectPr>
          <w:pgSz w:w="11910" w:h="16840"/>
          <w:pgMar w:header="850" w:footer="979" w:top="1200" w:bottom="1160" w:left="900" w:right="920"/>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571"/>
        <w:gridCol w:w="1294"/>
        <w:gridCol w:w="1454"/>
        <w:gridCol w:w="1164"/>
        <w:gridCol w:w="2371"/>
      </w:tblGrid>
      <w:tr>
        <w:trPr>
          <w:trHeight w:val="907" w:hRule="exact"/>
        </w:trPr>
        <w:tc>
          <w:tcPr>
            <w:tcW w:w="3571"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4"/>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94" w:type="dxa"/>
            <w:tcBorders>
              <w:top w:val="single" w:sz="17" w:space="0" w:color="000000"/>
              <w:left w:val="single" w:sz="4" w:space="0" w:color="000000"/>
              <w:bottom w:val="single" w:sz="4" w:space="0" w:color="000000"/>
              <w:right w:val="single" w:sz="4" w:space="0" w:color="000000"/>
            </w:tcBorders>
          </w:tcPr>
          <w:p>
            <w:pPr>
              <w:pStyle w:val="TableParagraph"/>
              <w:spacing w:line="442" w:lineRule="exact" w:before="25"/>
              <w:ind w:left="537" w:right="110" w:hanging="421"/>
              <w:jc w:val="left"/>
              <w:rPr>
                <w:rFonts w:ascii="宋体" w:hAnsi="宋体" w:cs="宋体" w:eastAsia="宋体" w:hint="default"/>
                <w:sz w:val="21"/>
                <w:szCs w:val="21"/>
              </w:rPr>
            </w:pPr>
            <w:r>
              <w:rPr>
                <w:rFonts w:ascii="宋体" w:hAnsi="宋体" w:cs="宋体" w:eastAsia="宋体" w:hint="default"/>
                <w:sz w:val="21"/>
                <w:szCs w:val="21"/>
              </w:rPr>
              <w:t>与本公司关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系</w:t>
            </w:r>
          </w:p>
        </w:tc>
        <w:tc>
          <w:tcPr>
            <w:tcW w:w="145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2371"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61" w:hRule="exact"/>
        </w:trPr>
        <w:tc>
          <w:tcPr>
            <w:tcW w:w="3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广州江南科友科技股份有限公司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9" w:right="0"/>
              <w:jc w:val="left"/>
              <w:rPr>
                <w:rFonts w:ascii="Times New Roman" w:hAnsi="Times New Roman" w:cs="Times New Roman" w:eastAsia="Times New Roman" w:hint="default"/>
                <w:sz w:val="21"/>
                <w:szCs w:val="21"/>
              </w:rPr>
            </w:pPr>
            <w:r>
              <w:rPr>
                <w:rFonts w:ascii="Times New Roman"/>
                <w:sz w:val="21"/>
              </w:rPr>
              <w:t>219,300.00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尚未结算</w:t>
            </w:r>
          </w:p>
        </w:tc>
      </w:tr>
      <w:tr>
        <w:trPr>
          <w:trHeight w:val="470" w:hRule="exact"/>
        </w:trPr>
        <w:tc>
          <w:tcPr>
            <w:tcW w:w="3571"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143"/>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94" w:type="dxa"/>
            <w:tcBorders>
              <w:top w:val="single" w:sz="4" w:space="0" w:color="000000"/>
              <w:left w:val="single" w:sz="4" w:space="0" w:color="000000"/>
              <w:bottom w:val="single" w:sz="12" w:space="0" w:color="000000"/>
              <w:right w:val="single" w:sz="4" w:space="0" w:color="000000"/>
            </w:tcBorders>
          </w:tcPr>
          <w:p>
            <w:pP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0" w:right="0"/>
              <w:jc w:val="left"/>
              <w:rPr>
                <w:rFonts w:ascii="Times New Roman" w:hAnsi="Times New Roman" w:cs="Times New Roman" w:eastAsia="Times New Roman" w:hint="default"/>
                <w:sz w:val="21"/>
                <w:szCs w:val="21"/>
              </w:rPr>
            </w:pPr>
            <w:r>
              <w:rPr>
                <w:rFonts w:ascii="Times New Roman"/>
                <w:sz w:val="21"/>
              </w:rPr>
              <w:t>8,345,628.70</w:t>
            </w:r>
          </w:p>
        </w:tc>
        <w:tc>
          <w:tcPr>
            <w:tcW w:w="1164" w:type="dxa"/>
            <w:tcBorders>
              <w:top w:val="single" w:sz="4" w:space="0" w:color="000000"/>
              <w:left w:val="single" w:sz="4" w:space="0" w:color="000000"/>
              <w:bottom w:val="single" w:sz="12" w:space="0" w:color="000000"/>
              <w:right w:val="single" w:sz="4" w:space="0" w:color="000000"/>
            </w:tcBorders>
          </w:tcPr>
          <w:p>
            <w:pPr/>
          </w:p>
        </w:tc>
        <w:tc>
          <w:tcPr>
            <w:tcW w:w="237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672" w:right="0"/>
        <w:jc w:val="left"/>
      </w:pPr>
      <w:r>
        <w:rPr>
          <w:rFonts w:ascii="Times New Roman" w:hAnsi="Times New Roman" w:cs="Times New Roman" w:eastAsia="Times New Roman" w:hint="default"/>
        </w:rPr>
        <w:t>4</w:t>
      </w:r>
      <w:r>
        <w:rPr/>
        <w:t>．其他应收款</w:t>
      </w:r>
    </w:p>
    <w:p>
      <w:pPr>
        <w:pStyle w:val="BodyText"/>
        <w:spacing w:line="240" w:lineRule="auto" w:before="167"/>
        <w:ind w:left="672" w:right="0"/>
        <w:jc w:val="left"/>
      </w:pPr>
      <w:r>
        <w:rPr/>
        <w:t>（</w:t>
      </w:r>
      <w:r>
        <w:rPr>
          <w:rFonts w:ascii="Times New Roman" w:hAnsi="Times New Roman" w:cs="Times New Roman" w:eastAsia="Times New Roman" w:hint="default"/>
        </w:rPr>
        <w:t>1</w:t>
      </w:r>
      <w:r>
        <w:rPr/>
        <w:t>）其他应收款按种类披露：</w:t>
      </w:r>
    </w:p>
    <w:tbl>
      <w:tblPr>
        <w:tblW w:w="0" w:type="auto"/>
        <w:jc w:val="left"/>
        <w:tblInd w:w="130" w:type="dxa"/>
        <w:tblLayout w:type="fixed"/>
        <w:tblCellMar>
          <w:top w:w="0" w:type="dxa"/>
          <w:left w:w="0" w:type="dxa"/>
          <w:bottom w:w="0" w:type="dxa"/>
          <w:right w:w="0" w:type="dxa"/>
        </w:tblCellMar>
        <w:tblLook w:val="01E0"/>
      </w:tblPr>
      <w:tblGrid>
        <w:gridCol w:w="4502"/>
        <w:gridCol w:w="1570"/>
        <w:gridCol w:w="1250"/>
        <w:gridCol w:w="1483"/>
        <w:gridCol w:w="1063"/>
      </w:tblGrid>
      <w:tr>
        <w:trPr>
          <w:trHeight w:val="480" w:hRule="exact"/>
        </w:trPr>
        <w:tc>
          <w:tcPr>
            <w:tcW w:w="450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tabs>
                <w:tab w:pos="652"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536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70" w:hRule="exact"/>
        </w:trPr>
        <w:tc>
          <w:tcPr>
            <w:tcW w:w="4502" w:type="dxa"/>
            <w:vMerge/>
            <w:tcBorders>
              <w:left w:val="nil" w:sz="6" w:space="0" w:color="auto"/>
              <w:right w:val="single" w:sz="4" w:space="0" w:color="000000"/>
            </w:tcBorders>
          </w:tcPr>
          <w:p>
            <w:pPr/>
          </w:p>
        </w:tc>
        <w:tc>
          <w:tcPr>
            <w:tcW w:w="2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54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84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0" w:hRule="exact"/>
        </w:trPr>
        <w:tc>
          <w:tcPr>
            <w:tcW w:w="4502" w:type="dxa"/>
            <w:vMerge/>
            <w:tcBorders>
              <w:left w:val="nil" w:sz="6" w:space="0" w:color="auto"/>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tabs>
                <w:tab w:pos="885" w:val="left" w:leader="none"/>
              </w:tabs>
              <w:spacing w:line="240" w:lineRule="auto" w:before="153"/>
              <w:ind w:left="46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tabs>
                <w:tab w:pos="842" w:val="left" w:leader="none"/>
              </w:tabs>
              <w:spacing w:line="240" w:lineRule="auto" w:before="153"/>
              <w:ind w:left="42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1017" w:hRule="exact"/>
        </w:trPr>
        <w:tc>
          <w:tcPr>
            <w:tcW w:w="4502" w:type="dxa"/>
            <w:tcBorders>
              <w:top w:val="single" w:sz="4" w:space="0" w:color="000000"/>
              <w:left w:val="nil" w:sz="6" w:space="0" w:color="auto"/>
              <w:bottom w:val="nil" w:sz="6" w:space="0" w:color="auto"/>
              <w:right w:val="single" w:sz="4" w:space="0" w:color="000000"/>
            </w:tcBorders>
          </w:tcPr>
          <w:p>
            <w:pPr>
              <w:pStyle w:val="TableParagraph"/>
              <w:spacing w:line="381" w:lineRule="auto" w:before="153"/>
              <w:ind w:left="122" w:right="9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、单项金额重大并单项计提坏账准备的其他应</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收款</w:t>
            </w:r>
          </w:p>
        </w:tc>
        <w:tc>
          <w:tcPr>
            <w:tcW w:w="1570"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148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nil" w:sz="6" w:space="0" w:color="auto"/>
            </w:tcBorders>
          </w:tcPr>
          <w:p>
            <w:pPr/>
          </w:p>
        </w:tc>
      </w:tr>
      <w:tr>
        <w:trPr>
          <w:trHeight w:val="470" w:hRule="exact"/>
        </w:trPr>
        <w:tc>
          <w:tcPr>
            <w:tcW w:w="4502"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、按组合计提坏账准备的其他应收款</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spacing w:val="-1"/>
                <w:sz w:val="21"/>
              </w:rPr>
              <w:t>21,140,807.59</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 w:right="0"/>
              <w:jc w:val="center"/>
              <w:rPr>
                <w:rFonts w:ascii="Times New Roman" w:hAnsi="Times New Roman" w:cs="Times New Roman" w:eastAsia="Times New Roman" w:hint="default"/>
                <w:sz w:val="21"/>
                <w:szCs w:val="21"/>
              </w:rPr>
            </w:pPr>
            <w:r>
              <w:rPr>
                <w:rFonts w:ascii="Times New Roman"/>
                <w:sz w:val="21"/>
              </w:rPr>
              <w:t>93.32</w:t>
            </w:r>
          </w:p>
        </w:tc>
        <w:tc>
          <w:tcPr>
            <w:tcW w:w="14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spacing w:val="-1"/>
                <w:sz w:val="21"/>
              </w:rPr>
              <w:t>1,692,255.87</w:t>
            </w:r>
          </w:p>
        </w:tc>
        <w:tc>
          <w:tcPr>
            <w:tcW w:w="1063"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8.00</w:t>
            </w:r>
          </w:p>
        </w:tc>
      </w:tr>
      <w:tr>
        <w:trPr>
          <w:trHeight w:val="821" w:hRule="exact"/>
        </w:trPr>
        <w:tc>
          <w:tcPr>
            <w:tcW w:w="4502" w:type="dxa"/>
            <w:tcBorders>
              <w:top w:val="nil" w:sz="6" w:space="0" w:color="auto"/>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、单项金额不重大但单项计提坏账准备的其他</w:t>
            </w:r>
          </w:p>
          <w:p>
            <w:pPr>
              <w:pStyle w:val="TableParagraph"/>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应收款</w:t>
            </w:r>
          </w:p>
        </w:tc>
        <w:tc>
          <w:tcPr>
            <w:tcW w:w="15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1,513,549.08</w:t>
            </w:r>
          </w:p>
        </w:tc>
        <w:tc>
          <w:tcPr>
            <w:tcW w:w="12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Times New Roman" w:hAnsi="Times New Roman" w:cs="Times New Roman" w:eastAsia="Times New Roman" w:hint="default"/>
                <w:sz w:val="21"/>
                <w:szCs w:val="21"/>
              </w:rPr>
            </w:pPr>
            <w:r>
              <w:rPr>
                <w:rFonts w:ascii="Times New Roman"/>
                <w:sz w:val="21"/>
              </w:rPr>
              <w:t>6.68</w:t>
            </w:r>
          </w:p>
        </w:tc>
        <w:tc>
          <w:tcPr>
            <w:tcW w:w="14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1,513,549.08</w:t>
            </w:r>
          </w:p>
        </w:tc>
        <w:tc>
          <w:tcPr>
            <w:tcW w:w="1063" w:type="dxa"/>
            <w:tcBorders>
              <w:top w:val="nil" w:sz="6" w:space="0" w:color="auto"/>
              <w:left w:val="single" w:sz="4" w:space="0" w:color="000000"/>
              <w:bottom w:val="single" w:sz="4" w:space="0" w:color="000000"/>
              <w:right w:val="nil" w:sz="6" w:space="0" w:color="auto"/>
            </w:tcBorders>
          </w:tcPr>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sz w:val="21"/>
              </w:rPr>
              <w:t>100.00</w:t>
            </w:r>
          </w:p>
        </w:tc>
      </w:tr>
      <w:tr>
        <w:trPr>
          <w:trHeight w:val="482" w:hRule="exact"/>
        </w:trPr>
        <w:tc>
          <w:tcPr>
            <w:tcW w:w="4502"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22,654,356.67</w:t>
            </w:r>
          </w:p>
        </w:tc>
        <w:tc>
          <w:tcPr>
            <w:tcW w:w="1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4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3,205,804.95</w:t>
            </w:r>
          </w:p>
        </w:tc>
        <w:tc>
          <w:tcPr>
            <w:tcW w:w="10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14.15</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30" w:type="dxa"/>
        <w:tblLayout w:type="fixed"/>
        <w:tblCellMar>
          <w:top w:w="0" w:type="dxa"/>
          <w:left w:w="0" w:type="dxa"/>
          <w:bottom w:w="0" w:type="dxa"/>
          <w:right w:w="0" w:type="dxa"/>
        </w:tblCellMar>
        <w:tblLook w:val="01E0"/>
      </w:tblPr>
      <w:tblGrid>
        <w:gridCol w:w="4507"/>
        <w:gridCol w:w="1570"/>
        <w:gridCol w:w="1241"/>
        <w:gridCol w:w="1454"/>
        <w:gridCol w:w="1097"/>
      </w:tblGrid>
      <w:tr>
        <w:trPr>
          <w:trHeight w:val="480" w:hRule="exact"/>
        </w:trPr>
        <w:tc>
          <w:tcPr>
            <w:tcW w:w="450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tabs>
                <w:tab w:pos="652"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5362"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55"/>
              <w:ind w:left="3"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0" w:hRule="exact"/>
        </w:trPr>
        <w:tc>
          <w:tcPr>
            <w:tcW w:w="4507" w:type="dxa"/>
            <w:vMerge/>
            <w:tcBorders>
              <w:left w:val="nil" w:sz="6" w:space="0" w:color="auto"/>
              <w:right w:val="single" w:sz="4" w:space="0" w:color="000000"/>
            </w:tcBorders>
          </w:tcPr>
          <w:p>
            <w:pPr/>
          </w:p>
        </w:tc>
        <w:tc>
          <w:tcPr>
            <w:tcW w:w="2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55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0" w:hRule="exact"/>
        </w:trPr>
        <w:tc>
          <w:tcPr>
            <w:tcW w:w="4507" w:type="dxa"/>
            <w:vMerge/>
            <w:tcBorders>
              <w:left w:val="nil" w:sz="6" w:space="0" w:color="auto"/>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tabs>
                <w:tab w:pos="887" w:val="left" w:leader="none"/>
              </w:tabs>
              <w:spacing w:line="240" w:lineRule="auto" w:before="153"/>
              <w:ind w:left="465"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tabs>
                <w:tab w:pos="830" w:val="left" w:leader="none"/>
              </w:tabs>
              <w:spacing w:line="240" w:lineRule="auto" w:before="153"/>
              <w:ind w:left="407"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1019" w:hRule="exact"/>
        </w:trPr>
        <w:tc>
          <w:tcPr>
            <w:tcW w:w="4507" w:type="dxa"/>
            <w:tcBorders>
              <w:top w:val="single" w:sz="4" w:space="0" w:color="000000"/>
              <w:left w:val="nil" w:sz="6" w:space="0" w:color="auto"/>
              <w:bottom w:val="nil" w:sz="6" w:space="0" w:color="auto"/>
              <w:right w:val="single" w:sz="4" w:space="0" w:color="000000"/>
            </w:tcBorders>
          </w:tcPr>
          <w:p>
            <w:pPr>
              <w:pStyle w:val="TableParagraph"/>
              <w:spacing w:line="381" w:lineRule="auto" w:before="153"/>
              <w:ind w:left="122" w:right="96"/>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、单项金额重大并单项计提坏账准备的其他应</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收款</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52" w:right="0"/>
              <w:jc w:val="left"/>
              <w:rPr>
                <w:rFonts w:ascii="Times New Roman" w:hAnsi="Times New Roman" w:cs="Times New Roman" w:eastAsia="Times New Roman" w:hint="default"/>
                <w:sz w:val="21"/>
                <w:szCs w:val="21"/>
              </w:rPr>
            </w:pPr>
            <w:r>
              <w:rPr>
                <w:rFonts w:ascii="Times New Roman"/>
                <w:sz w:val="21"/>
              </w:rPr>
              <w:t>18,320,195.90</w:t>
            </w: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26" w:right="0"/>
              <w:jc w:val="left"/>
              <w:rPr>
                <w:rFonts w:ascii="Times New Roman" w:hAnsi="Times New Roman" w:cs="Times New Roman" w:eastAsia="Times New Roman" w:hint="default"/>
                <w:sz w:val="21"/>
                <w:szCs w:val="21"/>
              </w:rPr>
            </w:pPr>
            <w:r>
              <w:rPr>
                <w:rFonts w:ascii="Times New Roman"/>
                <w:sz w:val="21"/>
              </w:rPr>
              <w:t>100.00</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42" w:right="0"/>
              <w:jc w:val="left"/>
              <w:rPr>
                <w:rFonts w:ascii="Times New Roman" w:hAnsi="Times New Roman" w:cs="Times New Roman" w:eastAsia="Times New Roman" w:hint="default"/>
                <w:sz w:val="21"/>
                <w:szCs w:val="21"/>
              </w:rPr>
            </w:pPr>
            <w:r>
              <w:rPr>
                <w:rFonts w:ascii="Times New Roman"/>
                <w:sz w:val="21"/>
              </w:rPr>
              <w:t>1,360,962.63</w:t>
            </w:r>
          </w:p>
        </w:tc>
        <w:tc>
          <w:tcPr>
            <w:tcW w:w="109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7.43</w:t>
            </w:r>
          </w:p>
        </w:tc>
      </w:tr>
      <w:tr>
        <w:trPr>
          <w:trHeight w:val="465" w:hRule="exact"/>
        </w:trPr>
        <w:tc>
          <w:tcPr>
            <w:tcW w:w="4507"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、按组合计提坏账准备的其他应收款</w:t>
            </w:r>
          </w:p>
        </w:tc>
        <w:tc>
          <w:tcPr>
            <w:tcW w:w="1570" w:type="dxa"/>
            <w:vMerge/>
            <w:tcBorders>
              <w:left w:val="single" w:sz="4" w:space="0" w:color="000000"/>
              <w:right w:val="single" w:sz="4" w:space="0" w:color="000000"/>
            </w:tcBorders>
          </w:tcPr>
          <w:p>
            <w:pPr/>
          </w:p>
        </w:tc>
        <w:tc>
          <w:tcPr>
            <w:tcW w:w="1241" w:type="dxa"/>
            <w:vMerge/>
            <w:tcBorders>
              <w:left w:val="single" w:sz="4" w:space="0" w:color="000000"/>
              <w:right w:val="single" w:sz="4" w:space="0" w:color="000000"/>
            </w:tcBorders>
          </w:tcPr>
          <w:p>
            <w:pPr/>
          </w:p>
        </w:tc>
        <w:tc>
          <w:tcPr>
            <w:tcW w:w="1454" w:type="dxa"/>
            <w:vMerge/>
            <w:tcBorders>
              <w:left w:val="single" w:sz="4" w:space="0" w:color="000000"/>
              <w:right w:val="single" w:sz="4" w:space="0" w:color="000000"/>
            </w:tcBorders>
          </w:tcPr>
          <w:p>
            <w:pPr/>
          </w:p>
        </w:tc>
        <w:tc>
          <w:tcPr>
            <w:tcW w:w="1097" w:type="dxa"/>
            <w:vMerge/>
            <w:tcBorders>
              <w:left w:val="single" w:sz="4" w:space="0" w:color="000000"/>
              <w:right w:val="nil" w:sz="6" w:space="0" w:color="auto"/>
            </w:tcBorders>
          </w:tcPr>
          <w:p>
            <w:pPr/>
          </w:p>
        </w:tc>
      </w:tr>
      <w:tr>
        <w:trPr>
          <w:trHeight w:val="827" w:hRule="exact"/>
        </w:trPr>
        <w:tc>
          <w:tcPr>
            <w:tcW w:w="4507" w:type="dxa"/>
            <w:tcBorders>
              <w:top w:val="nil" w:sz="6" w:space="0" w:color="auto"/>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、单项金额不重大但单项计提坏账准备的其他</w:t>
            </w:r>
          </w:p>
          <w:p>
            <w:pPr>
              <w:pStyle w:val="TableParagraph"/>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应收款</w:t>
            </w:r>
          </w:p>
        </w:tc>
        <w:tc>
          <w:tcPr>
            <w:tcW w:w="1570" w:type="dxa"/>
            <w:vMerge/>
            <w:tcBorders>
              <w:left w:val="single" w:sz="4" w:space="0" w:color="000000"/>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nil" w:sz="6" w:space="0" w:color="auto"/>
            </w:tcBorders>
          </w:tcPr>
          <w:p>
            <w:pPr/>
          </w:p>
        </w:tc>
      </w:tr>
      <w:tr>
        <w:trPr>
          <w:trHeight w:val="480" w:hRule="exact"/>
        </w:trPr>
        <w:tc>
          <w:tcPr>
            <w:tcW w:w="4507"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52" w:right="0"/>
              <w:jc w:val="left"/>
              <w:rPr>
                <w:rFonts w:ascii="Times New Roman" w:hAnsi="Times New Roman" w:cs="Times New Roman" w:eastAsia="Times New Roman" w:hint="default"/>
                <w:sz w:val="21"/>
                <w:szCs w:val="21"/>
              </w:rPr>
            </w:pPr>
            <w:r>
              <w:rPr>
                <w:rFonts w:ascii="Times New Roman"/>
                <w:sz w:val="21"/>
              </w:rPr>
              <w:t>18,320,195.90</w:t>
            </w:r>
          </w:p>
        </w:tc>
        <w:tc>
          <w:tcPr>
            <w:tcW w:w="12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2" w:right="0"/>
              <w:jc w:val="left"/>
              <w:rPr>
                <w:rFonts w:ascii="Times New Roman" w:hAnsi="Times New Roman" w:cs="Times New Roman" w:eastAsia="Times New Roman" w:hint="default"/>
                <w:sz w:val="21"/>
                <w:szCs w:val="21"/>
              </w:rPr>
            </w:pPr>
            <w:r>
              <w:rPr>
                <w:rFonts w:ascii="Times New Roman"/>
                <w:sz w:val="21"/>
              </w:rPr>
              <w:t>1,360,962.63</w:t>
            </w:r>
          </w:p>
        </w:tc>
        <w:tc>
          <w:tcPr>
            <w:tcW w:w="10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7.43</w:t>
            </w:r>
          </w:p>
        </w:tc>
      </w:tr>
    </w:tbl>
    <w:p>
      <w:pPr>
        <w:spacing w:line="240" w:lineRule="auto" w:before="8"/>
        <w:rPr>
          <w:rFonts w:ascii="宋体" w:hAnsi="宋体" w:cs="宋体" w:eastAsia="宋体" w:hint="default"/>
          <w:sz w:val="10"/>
          <w:szCs w:val="10"/>
        </w:rPr>
      </w:pPr>
    </w:p>
    <w:p>
      <w:pPr>
        <w:pStyle w:val="BodyText"/>
        <w:spacing w:line="420" w:lineRule="auto" w:before="36"/>
        <w:ind w:left="672" w:right="4559"/>
        <w:jc w:val="left"/>
      </w:pPr>
      <w:r>
        <w:rPr/>
        <w:pict>
          <v:shape style="position:absolute;margin-left:51pt;margin-top:41.063667pt;width:494.4pt;height:50.55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26"/>
                    <w:gridCol w:w="4006"/>
                    <w:gridCol w:w="2923"/>
                  </w:tblGrid>
                  <w:tr>
                    <w:trPr>
                      <w:trHeight w:val="499" w:hRule="exact"/>
                    </w:trPr>
                    <w:tc>
                      <w:tcPr>
                        <w:tcW w:w="292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636" w:val="left" w:leader="none"/>
                          </w:tabs>
                          <w:spacing w:line="240" w:lineRule="auto" w:before="160"/>
                          <w:ind w:left="4"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6929"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75"/>
                          <w:ind w:right="2"/>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92" w:hRule="exact"/>
                    </w:trPr>
                    <w:tc>
                      <w:tcPr>
                        <w:tcW w:w="2926" w:type="dxa"/>
                        <w:vMerge/>
                        <w:tcBorders>
                          <w:left w:val="nil" w:sz="6" w:space="0" w:color="auto"/>
                          <w:bottom w:val="single" w:sz="4" w:space="0" w:color="000000"/>
                          <w:right w:val="single" w:sz="4" w:space="0" w:color="000000"/>
                        </w:tcBorders>
                      </w:tcPr>
                      <w:p>
                        <w:pP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bl>
                <w:p>
                  <w:pPr/>
                </w:p>
              </w:txbxContent>
            </v:textbox>
            <w10:wrap type="none"/>
          </v:shape>
        </w:pict>
      </w:r>
      <w:r>
        <w:rPr/>
        <w:t>其他应收款种类的说明：</w:t>
      </w:r>
      <w:r>
        <w:rPr>
          <w:w w:val="100"/>
        </w:rPr>
        <w:t> </w:t>
      </w:r>
      <w:r>
        <w:rPr>
          <w:spacing w:val="-2"/>
        </w:rPr>
        <w:t>组合中，按账龄分析法计提坏账准备的其他应收款：</w:t>
      </w:r>
    </w:p>
    <w:p>
      <w:pPr>
        <w:spacing w:after="0" w:line="420" w:lineRule="auto"/>
        <w:jc w:val="left"/>
        <w:sectPr>
          <w:pgSz w:w="11910" w:h="16840"/>
          <w:pgMar w:header="850" w:footer="979" w:top="1200" w:bottom="1160" w:left="880" w:right="880"/>
        </w:sectPr>
      </w:pPr>
    </w:p>
    <w:p>
      <w:pPr>
        <w:spacing w:line="240" w:lineRule="auto" w:before="5"/>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940"/>
        <w:gridCol w:w="2203"/>
        <w:gridCol w:w="1802"/>
        <w:gridCol w:w="2923"/>
      </w:tblGrid>
      <w:tr>
        <w:trPr>
          <w:trHeight w:val="502" w:hRule="exact"/>
        </w:trPr>
        <w:tc>
          <w:tcPr>
            <w:tcW w:w="2940" w:type="dxa"/>
            <w:tcBorders>
              <w:top w:val="single" w:sz="10" w:space="0" w:color="000000"/>
              <w:left w:val="nil" w:sz="6" w:space="0" w:color="auto"/>
              <w:bottom w:val="single" w:sz="4" w:space="0" w:color="000000"/>
              <w:right w:val="single" w:sz="4" w:space="0" w:color="000000"/>
            </w:tcBorders>
          </w:tcPr>
          <w:p>
            <w:pPr/>
          </w:p>
        </w:tc>
        <w:tc>
          <w:tcPr>
            <w:tcW w:w="2203" w:type="dxa"/>
            <w:tcBorders>
              <w:top w:val="single" w:sz="10"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923" w:type="dxa"/>
            <w:tcBorders>
              <w:top w:val="single" w:sz="10" w:space="0" w:color="000000"/>
              <w:left w:val="single" w:sz="4" w:space="0" w:color="000000"/>
              <w:bottom w:val="single" w:sz="4" w:space="0" w:color="000000"/>
              <w:right w:val="nil" w:sz="6" w:space="0" w:color="auto"/>
            </w:tcBorders>
          </w:tcPr>
          <w:p>
            <w:pPr/>
          </w:p>
        </w:tc>
      </w:tr>
      <w:tr>
        <w:trPr>
          <w:trHeight w:val="599" w:hRule="exact"/>
        </w:trPr>
        <w:tc>
          <w:tcPr>
            <w:tcW w:w="2940" w:type="dxa"/>
            <w:tcBorders>
              <w:top w:val="single" w:sz="4" w:space="0" w:color="000000"/>
              <w:left w:val="nil" w:sz="6" w:space="0" w:color="auto"/>
              <w:bottom w:val="nil" w:sz="6" w:space="0" w:color="auto"/>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16,502,944.89</w:t>
            </w:r>
          </w:p>
        </w:tc>
        <w:tc>
          <w:tcPr>
            <w:tcW w:w="1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72.85</w:t>
            </w:r>
          </w:p>
        </w:tc>
        <w:tc>
          <w:tcPr>
            <w:tcW w:w="2923"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825,147.26</w:t>
            </w:r>
          </w:p>
        </w:tc>
      </w:tr>
      <w:tr>
        <w:trPr>
          <w:trHeight w:val="480" w:hRule="exact"/>
        </w:trPr>
        <w:tc>
          <w:tcPr>
            <w:tcW w:w="2940"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2,170,804.91</w:t>
            </w: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 w:right="0"/>
              <w:jc w:val="center"/>
              <w:rPr>
                <w:rFonts w:ascii="Times New Roman" w:hAnsi="Times New Roman" w:cs="Times New Roman" w:eastAsia="Times New Roman" w:hint="default"/>
                <w:sz w:val="21"/>
                <w:szCs w:val="21"/>
              </w:rPr>
            </w:pPr>
            <w:r>
              <w:rPr>
                <w:rFonts w:ascii="Times New Roman"/>
                <w:sz w:val="21"/>
              </w:rPr>
              <w:t>9.58</w:t>
            </w:r>
          </w:p>
        </w:tc>
        <w:tc>
          <w:tcPr>
            <w:tcW w:w="2923" w:type="dxa"/>
            <w:tcBorders>
              <w:top w:val="nil" w:sz="6" w:space="0" w:color="auto"/>
              <w:left w:val="single" w:sz="4" w:space="0" w:color="000000"/>
              <w:bottom w:val="nil" w:sz="6" w:space="0" w:color="auto"/>
              <w:right w:val="nil" w:sz="6" w:space="0" w:color="auto"/>
            </w:tcBorders>
          </w:tcPr>
          <w:p>
            <w:pPr>
              <w:pStyle w:val="TableParagraph"/>
              <w:spacing w:line="240" w:lineRule="auto" w:before="119"/>
              <w:ind w:right="105"/>
              <w:jc w:val="right"/>
              <w:rPr>
                <w:rFonts w:ascii="Times New Roman" w:hAnsi="Times New Roman" w:cs="Times New Roman" w:eastAsia="Times New Roman" w:hint="default"/>
                <w:sz w:val="21"/>
                <w:szCs w:val="21"/>
              </w:rPr>
            </w:pPr>
            <w:r>
              <w:rPr>
                <w:rFonts w:ascii="Times New Roman"/>
                <w:spacing w:val="-1"/>
                <w:sz w:val="21"/>
              </w:rPr>
              <w:t>217,080.49</w:t>
            </w:r>
          </w:p>
        </w:tc>
      </w:tr>
      <w:tr>
        <w:trPr>
          <w:trHeight w:val="480" w:hRule="exact"/>
        </w:trPr>
        <w:tc>
          <w:tcPr>
            <w:tcW w:w="2940"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2"/>
                <w:sz w:val="21"/>
              </w:rPr>
              <w:t>900,892.11</w:t>
            </w: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 w:right="0"/>
              <w:jc w:val="center"/>
              <w:rPr>
                <w:rFonts w:ascii="Times New Roman" w:hAnsi="Times New Roman" w:cs="Times New Roman" w:eastAsia="Times New Roman" w:hint="default"/>
                <w:sz w:val="21"/>
                <w:szCs w:val="21"/>
              </w:rPr>
            </w:pPr>
            <w:r>
              <w:rPr>
                <w:rFonts w:ascii="Times New Roman"/>
                <w:sz w:val="21"/>
              </w:rPr>
              <w:t>3.98</w:t>
            </w:r>
          </w:p>
        </w:tc>
        <w:tc>
          <w:tcPr>
            <w:tcW w:w="2923" w:type="dxa"/>
            <w:tcBorders>
              <w:top w:val="nil" w:sz="6" w:space="0" w:color="auto"/>
              <w:left w:val="single" w:sz="4" w:space="0" w:color="000000"/>
              <w:bottom w:val="nil" w:sz="6" w:space="0" w:color="auto"/>
              <w:right w:val="nil" w:sz="6" w:space="0" w:color="auto"/>
            </w:tcBorders>
          </w:tcPr>
          <w:p>
            <w:pPr>
              <w:pStyle w:val="TableParagraph"/>
              <w:spacing w:line="240" w:lineRule="auto" w:before="119"/>
              <w:ind w:right="105"/>
              <w:jc w:val="right"/>
              <w:rPr>
                <w:rFonts w:ascii="Times New Roman" w:hAnsi="Times New Roman" w:cs="Times New Roman" w:eastAsia="Times New Roman" w:hint="default"/>
                <w:sz w:val="21"/>
                <w:szCs w:val="21"/>
              </w:rPr>
            </w:pPr>
            <w:r>
              <w:rPr>
                <w:rFonts w:ascii="Times New Roman"/>
                <w:spacing w:val="-1"/>
                <w:sz w:val="21"/>
              </w:rPr>
              <w:t>180,178.42</w:t>
            </w:r>
          </w:p>
        </w:tc>
      </w:tr>
      <w:tr>
        <w:trPr>
          <w:trHeight w:val="370" w:hRule="exact"/>
        </w:trPr>
        <w:tc>
          <w:tcPr>
            <w:tcW w:w="2940" w:type="dxa"/>
            <w:tcBorders>
              <w:top w:val="nil" w:sz="6" w:space="0" w:color="auto"/>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1,566,165.68</w:t>
            </w:r>
          </w:p>
        </w:tc>
        <w:tc>
          <w:tcPr>
            <w:tcW w:w="1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left="2" w:right="0"/>
              <w:jc w:val="center"/>
              <w:rPr>
                <w:rFonts w:ascii="Times New Roman" w:hAnsi="Times New Roman" w:cs="Times New Roman" w:eastAsia="Times New Roman" w:hint="default"/>
                <w:sz w:val="21"/>
                <w:szCs w:val="21"/>
              </w:rPr>
            </w:pPr>
            <w:r>
              <w:rPr>
                <w:rFonts w:ascii="Times New Roman"/>
                <w:sz w:val="21"/>
              </w:rPr>
              <w:t>6.91</w:t>
            </w:r>
          </w:p>
        </w:tc>
        <w:tc>
          <w:tcPr>
            <w:tcW w:w="2923" w:type="dxa"/>
            <w:tcBorders>
              <w:top w:val="nil" w:sz="6" w:space="0" w:color="auto"/>
              <w:left w:val="single" w:sz="4" w:space="0" w:color="000000"/>
              <w:bottom w:val="single" w:sz="4" w:space="0" w:color="000000"/>
              <w:right w:val="nil" w:sz="6" w:space="0" w:color="auto"/>
            </w:tcBorders>
          </w:tcPr>
          <w:p>
            <w:pPr>
              <w:pStyle w:val="TableParagraph"/>
              <w:spacing w:line="240" w:lineRule="auto" w:before="119"/>
              <w:ind w:right="105"/>
              <w:jc w:val="right"/>
              <w:rPr>
                <w:rFonts w:ascii="Times New Roman" w:hAnsi="Times New Roman" w:cs="Times New Roman" w:eastAsia="Times New Roman" w:hint="default"/>
                <w:sz w:val="21"/>
                <w:szCs w:val="21"/>
              </w:rPr>
            </w:pPr>
            <w:r>
              <w:rPr>
                <w:rFonts w:ascii="Times New Roman"/>
                <w:spacing w:val="-1"/>
                <w:sz w:val="21"/>
              </w:rPr>
              <w:t>469,849.70</w:t>
            </w:r>
          </w:p>
        </w:tc>
      </w:tr>
      <w:tr>
        <w:trPr>
          <w:trHeight w:val="502" w:hRule="exact"/>
        </w:trPr>
        <w:tc>
          <w:tcPr>
            <w:tcW w:w="2940"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21,140,807.59</w:t>
            </w:r>
          </w:p>
        </w:tc>
        <w:tc>
          <w:tcPr>
            <w:tcW w:w="18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93.32</w:t>
            </w:r>
          </w:p>
        </w:tc>
        <w:tc>
          <w:tcPr>
            <w:tcW w:w="29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1,692,255.87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2940"/>
        <w:gridCol w:w="2203"/>
        <w:gridCol w:w="1802"/>
        <w:gridCol w:w="2923"/>
      </w:tblGrid>
      <w:tr>
        <w:trPr>
          <w:trHeight w:val="502" w:hRule="exact"/>
        </w:trPr>
        <w:tc>
          <w:tcPr>
            <w:tcW w:w="2940"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652" w:val="left" w:leader="none"/>
              </w:tabs>
              <w:spacing w:line="240" w:lineRule="auto" w:before="148"/>
              <w:ind w:left="21"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6929"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75"/>
              <w:ind w:right="4"/>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7" w:hRule="exact"/>
        </w:trPr>
        <w:tc>
          <w:tcPr>
            <w:tcW w:w="2940" w:type="dxa"/>
            <w:vMerge/>
            <w:tcBorders>
              <w:left w:val="nil" w:sz="6" w:space="0" w:color="auto"/>
              <w:right w:val="single" w:sz="6" w:space="0" w:color="000000"/>
            </w:tcBorders>
          </w:tcPr>
          <w:p>
            <w:pPr/>
          </w:p>
        </w:tc>
        <w:tc>
          <w:tcPr>
            <w:tcW w:w="40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923"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4" w:hRule="exact"/>
        </w:trPr>
        <w:tc>
          <w:tcPr>
            <w:tcW w:w="2940" w:type="dxa"/>
            <w:vMerge/>
            <w:tcBorders>
              <w:left w:val="nil" w:sz="6" w:space="0" w:color="auto"/>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923" w:type="dxa"/>
            <w:vMerge/>
            <w:tcBorders>
              <w:left w:val="single" w:sz="6" w:space="0" w:color="000000"/>
              <w:bottom w:val="single" w:sz="6" w:space="0" w:color="000000"/>
              <w:right w:val="nil" w:sz="6" w:space="0" w:color="auto"/>
            </w:tcBorders>
          </w:tcPr>
          <w:p>
            <w:pPr/>
          </w:p>
        </w:tc>
      </w:tr>
      <w:tr>
        <w:trPr>
          <w:trHeight w:val="602" w:hRule="exact"/>
        </w:trPr>
        <w:tc>
          <w:tcPr>
            <w:tcW w:w="2940" w:type="dxa"/>
            <w:tcBorders>
              <w:top w:val="single" w:sz="6" w:space="0" w:color="000000"/>
              <w:left w:val="nil" w:sz="6" w:space="0" w:color="auto"/>
              <w:bottom w:val="nil" w:sz="6" w:space="0" w:color="auto"/>
              <w:right w:val="single" w:sz="6"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0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15,263,562.41</w:t>
            </w:r>
          </w:p>
        </w:tc>
        <w:tc>
          <w:tcPr>
            <w:tcW w:w="18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83.32</w:t>
            </w:r>
          </w:p>
        </w:tc>
        <w:tc>
          <w:tcPr>
            <w:tcW w:w="2923" w:type="dxa"/>
            <w:tcBorders>
              <w:top w:val="single" w:sz="6" w:space="0" w:color="000000"/>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763,178.12</w:t>
            </w:r>
          </w:p>
        </w:tc>
      </w:tr>
      <w:tr>
        <w:trPr>
          <w:trHeight w:val="480" w:hRule="exact"/>
        </w:trPr>
        <w:tc>
          <w:tcPr>
            <w:tcW w:w="2940"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right="96"/>
              <w:jc w:val="right"/>
              <w:rPr>
                <w:rFonts w:ascii="Times New Roman" w:hAnsi="Times New Roman" w:cs="Times New Roman" w:eastAsia="Times New Roman" w:hint="default"/>
                <w:sz w:val="21"/>
                <w:szCs w:val="21"/>
              </w:rPr>
            </w:pPr>
            <w:r>
              <w:rPr>
                <w:rFonts w:ascii="Times New Roman"/>
                <w:spacing w:val="-1"/>
                <w:sz w:val="21"/>
              </w:rPr>
              <w:t>1,224,129.64</w:t>
            </w:r>
          </w:p>
        </w:tc>
        <w:tc>
          <w:tcPr>
            <w:tcW w:w="18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left="2" w:right="0"/>
              <w:jc w:val="center"/>
              <w:rPr>
                <w:rFonts w:ascii="Times New Roman" w:hAnsi="Times New Roman" w:cs="Times New Roman" w:eastAsia="Times New Roman" w:hint="default"/>
                <w:sz w:val="21"/>
                <w:szCs w:val="21"/>
              </w:rPr>
            </w:pPr>
            <w:r>
              <w:rPr>
                <w:rFonts w:ascii="Times New Roman"/>
                <w:sz w:val="21"/>
              </w:rPr>
              <w:t>6.68</w:t>
            </w:r>
          </w:p>
        </w:tc>
        <w:tc>
          <w:tcPr>
            <w:tcW w:w="2923" w:type="dxa"/>
            <w:tcBorders>
              <w:top w:val="nil" w:sz="6" w:space="0" w:color="auto"/>
              <w:left w:val="single" w:sz="6" w:space="0" w:color="000000"/>
              <w:bottom w:val="nil" w:sz="6" w:space="0" w:color="auto"/>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spacing w:val="-1"/>
                <w:sz w:val="21"/>
              </w:rPr>
              <w:t>122,412.96</w:t>
            </w:r>
          </w:p>
        </w:tc>
      </w:tr>
      <w:tr>
        <w:trPr>
          <w:trHeight w:val="480" w:hRule="exact"/>
        </w:trPr>
        <w:tc>
          <w:tcPr>
            <w:tcW w:w="2940"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right="96"/>
              <w:jc w:val="right"/>
              <w:rPr>
                <w:rFonts w:ascii="Times New Roman" w:hAnsi="Times New Roman" w:cs="Times New Roman" w:eastAsia="Times New Roman" w:hint="default"/>
                <w:sz w:val="21"/>
                <w:szCs w:val="21"/>
              </w:rPr>
            </w:pPr>
            <w:r>
              <w:rPr>
                <w:rFonts w:ascii="Times New Roman"/>
                <w:spacing w:val="-1"/>
                <w:sz w:val="21"/>
              </w:rPr>
              <w:t>743,796.13</w:t>
            </w:r>
          </w:p>
        </w:tc>
        <w:tc>
          <w:tcPr>
            <w:tcW w:w="18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left="2" w:right="0"/>
              <w:jc w:val="center"/>
              <w:rPr>
                <w:rFonts w:ascii="Times New Roman" w:hAnsi="Times New Roman" w:cs="Times New Roman" w:eastAsia="Times New Roman" w:hint="default"/>
                <w:sz w:val="21"/>
                <w:szCs w:val="21"/>
              </w:rPr>
            </w:pPr>
            <w:r>
              <w:rPr>
                <w:rFonts w:ascii="Times New Roman"/>
                <w:sz w:val="21"/>
              </w:rPr>
              <w:t>4.06</w:t>
            </w:r>
          </w:p>
        </w:tc>
        <w:tc>
          <w:tcPr>
            <w:tcW w:w="2923" w:type="dxa"/>
            <w:tcBorders>
              <w:top w:val="nil" w:sz="6" w:space="0" w:color="auto"/>
              <w:left w:val="single" w:sz="6" w:space="0" w:color="000000"/>
              <w:bottom w:val="nil" w:sz="6" w:space="0" w:color="auto"/>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spacing w:val="-1"/>
                <w:sz w:val="21"/>
              </w:rPr>
              <w:t>148,759.23</w:t>
            </w:r>
          </w:p>
        </w:tc>
      </w:tr>
      <w:tr>
        <w:trPr>
          <w:trHeight w:val="373" w:hRule="exact"/>
        </w:trPr>
        <w:tc>
          <w:tcPr>
            <w:tcW w:w="2940" w:type="dxa"/>
            <w:tcBorders>
              <w:top w:val="nil" w:sz="6" w:space="0" w:color="auto"/>
              <w:left w:val="nil" w:sz="6" w:space="0" w:color="auto"/>
              <w:bottom w:val="single" w:sz="6" w:space="0" w:color="000000"/>
              <w:right w:val="single" w:sz="6"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0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9"/>
              <w:ind w:right="96"/>
              <w:jc w:val="right"/>
              <w:rPr>
                <w:rFonts w:ascii="Times New Roman" w:hAnsi="Times New Roman" w:cs="Times New Roman" w:eastAsia="Times New Roman" w:hint="default"/>
                <w:sz w:val="21"/>
                <w:szCs w:val="21"/>
              </w:rPr>
            </w:pPr>
            <w:r>
              <w:rPr>
                <w:rFonts w:ascii="Times New Roman"/>
                <w:spacing w:val="-1"/>
                <w:sz w:val="21"/>
              </w:rPr>
              <w:t>1,088,707.72</w:t>
            </w:r>
          </w:p>
        </w:tc>
        <w:tc>
          <w:tcPr>
            <w:tcW w:w="180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9"/>
              <w:ind w:left="2" w:right="0"/>
              <w:jc w:val="center"/>
              <w:rPr>
                <w:rFonts w:ascii="Times New Roman" w:hAnsi="Times New Roman" w:cs="Times New Roman" w:eastAsia="Times New Roman" w:hint="default"/>
                <w:sz w:val="21"/>
                <w:szCs w:val="21"/>
              </w:rPr>
            </w:pPr>
            <w:r>
              <w:rPr>
                <w:rFonts w:ascii="Times New Roman"/>
                <w:sz w:val="21"/>
              </w:rPr>
              <w:t>5.94</w:t>
            </w:r>
          </w:p>
        </w:tc>
        <w:tc>
          <w:tcPr>
            <w:tcW w:w="2923" w:type="dxa"/>
            <w:tcBorders>
              <w:top w:val="nil" w:sz="6" w:space="0" w:color="auto"/>
              <w:left w:val="single" w:sz="6" w:space="0" w:color="000000"/>
              <w:bottom w:val="single" w:sz="6" w:space="0" w:color="000000"/>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spacing w:val="-1"/>
                <w:sz w:val="21"/>
              </w:rPr>
              <w:t>326,612.32</w:t>
            </w:r>
          </w:p>
        </w:tc>
      </w:tr>
      <w:tr>
        <w:trPr>
          <w:trHeight w:val="504" w:hRule="exact"/>
        </w:trPr>
        <w:tc>
          <w:tcPr>
            <w:tcW w:w="2940" w:type="dxa"/>
            <w:tcBorders>
              <w:top w:val="single" w:sz="6" w:space="0" w:color="000000"/>
              <w:left w:val="nil" w:sz="6" w:space="0" w:color="auto"/>
              <w:bottom w:val="single" w:sz="12" w:space="0" w:color="000000"/>
              <w:right w:val="single" w:sz="6" w:space="0" w:color="000000"/>
            </w:tcBorders>
          </w:tcPr>
          <w:p>
            <w:pPr>
              <w:pStyle w:val="TableParagraph"/>
              <w:tabs>
                <w:tab w:pos="652" w:val="left" w:leader="none"/>
              </w:tabs>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18,320,195.90</w:t>
            </w:r>
          </w:p>
        </w:tc>
        <w:tc>
          <w:tcPr>
            <w:tcW w:w="1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29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1,360,962.63</w:t>
            </w:r>
          </w:p>
        </w:tc>
      </w:tr>
    </w:tbl>
    <w:p>
      <w:pPr>
        <w:spacing w:line="240" w:lineRule="auto" w:before="8"/>
        <w:rPr>
          <w:rFonts w:ascii="宋体" w:hAnsi="宋体" w:cs="宋体" w:eastAsia="宋体" w:hint="default"/>
          <w:sz w:val="10"/>
          <w:szCs w:val="10"/>
        </w:rPr>
      </w:pPr>
    </w:p>
    <w:p>
      <w:pPr>
        <w:pStyle w:val="BodyText"/>
        <w:spacing w:line="240" w:lineRule="auto" w:before="36"/>
        <w:ind w:left="547" w:right="0"/>
        <w:jc w:val="left"/>
      </w:pPr>
      <w:r>
        <w:rPr/>
        <w:t>期末单项金额虽不重大但单项计提坏账准备的其他应收款：</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322"/>
        <w:gridCol w:w="1546"/>
        <w:gridCol w:w="1543"/>
        <w:gridCol w:w="1238"/>
        <w:gridCol w:w="2220"/>
      </w:tblGrid>
      <w:tr>
        <w:trPr>
          <w:trHeight w:val="499" w:hRule="exact"/>
        </w:trPr>
        <w:tc>
          <w:tcPr>
            <w:tcW w:w="33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4"/>
              <w:ind w:left="931"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5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4"/>
              <w:ind w:left="3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4"/>
              <w:ind w:left="34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4"/>
              <w:ind w:left="196"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22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4"/>
              <w:ind w:right="684"/>
              <w:jc w:val="right"/>
              <w:rPr>
                <w:rFonts w:ascii="宋体" w:hAnsi="宋体" w:cs="宋体" w:eastAsia="宋体" w:hint="default"/>
                <w:sz w:val="21"/>
                <w:szCs w:val="21"/>
              </w:rPr>
            </w:pPr>
            <w:r>
              <w:rPr>
                <w:rFonts w:ascii="宋体" w:hAnsi="宋体" w:cs="宋体" w:eastAsia="宋体" w:hint="default"/>
                <w:spacing w:val="-1"/>
                <w:sz w:val="21"/>
                <w:szCs w:val="21"/>
              </w:rPr>
              <w:t>计提理由</w:t>
            </w:r>
          </w:p>
        </w:tc>
      </w:tr>
      <w:tr>
        <w:trPr>
          <w:trHeight w:val="602" w:hRule="exact"/>
        </w:trPr>
        <w:tc>
          <w:tcPr>
            <w:tcW w:w="3322" w:type="dxa"/>
            <w:tcBorders>
              <w:top w:val="single" w:sz="4" w:space="0" w:color="000000"/>
              <w:left w:val="nil" w:sz="6" w:space="0" w:color="auto"/>
              <w:bottom w:val="nil" w:sz="6" w:space="0" w:color="auto"/>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吴小山</w:t>
            </w:r>
          </w:p>
        </w:tc>
        <w:tc>
          <w:tcPr>
            <w:tcW w:w="15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88,000.00</w:t>
            </w:r>
          </w:p>
        </w:tc>
        <w:tc>
          <w:tcPr>
            <w:tcW w:w="1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88,000.00</w:t>
            </w:r>
          </w:p>
        </w:tc>
        <w:tc>
          <w:tcPr>
            <w:tcW w:w="12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21"/>
                <w:szCs w:val="21"/>
              </w:rPr>
            </w:pPr>
            <w:r>
              <w:rPr>
                <w:rFonts w:ascii="Times New Roman"/>
                <w:sz w:val="21"/>
              </w:rPr>
              <w:t>100.00%</w:t>
            </w:r>
          </w:p>
        </w:tc>
        <w:tc>
          <w:tcPr>
            <w:tcW w:w="2220" w:type="dxa"/>
            <w:tcBorders>
              <w:top w:val="single" w:sz="4" w:space="0" w:color="000000"/>
              <w:left w:val="single" w:sz="4" w:space="0" w:color="000000"/>
              <w:bottom w:val="nil" w:sz="6" w:space="0" w:color="auto"/>
              <w:right w:val="nil" w:sz="6" w:space="0" w:color="auto"/>
            </w:tcBorders>
          </w:tcPr>
          <w:p>
            <w:pPr>
              <w:pStyle w:val="TableParagraph"/>
              <w:spacing w:line="240" w:lineRule="auto" w:before="177"/>
              <w:ind w:left="525" w:right="0"/>
              <w:jc w:val="left"/>
              <w:rPr>
                <w:rFonts w:ascii="宋体" w:hAnsi="宋体" w:cs="宋体" w:eastAsia="宋体" w:hint="default"/>
                <w:sz w:val="21"/>
                <w:szCs w:val="21"/>
              </w:rPr>
            </w:pPr>
            <w:r>
              <w:rPr>
                <w:rFonts w:ascii="宋体" w:hAnsi="宋体" w:cs="宋体" w:eastAsia="宋体" w:hint="default"/>
                <w:sz w:val="21"/>
                <w:szCs w:val="21"/>
              </w:rPr>
              <w:t>无法收回</w:t>
            </w:r>
          </w:p>
        </w:tc>
      </w:tr>
      <w:tr>
        <w:trPr>
          <w:trHeight w:val="480" w:hRule="exact"/>
        </w:trPr>
        <w:tc>
          <w:tcPr>
            <w:tcW w:w="3322"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上海秦昊商务咨询有限公司</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z w:val="21"/>
              </w:rPr>
              <w:t>100.00</w:t>
            </w:r>
          </w:p>
        </w:tc>
        <w:tc>
          <w:tcPr>
            <w:tcW w:w="1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6"/>
              <w:jc w:val="right"/>
              <w:rPr>
                <w:rFonts w:ascii="Times New Roman" w:hAnsi="Times New Roman" w:cs="Times New Roman" w:eastAsia="Times New Roman" w:hint="default"/>
                <w:sz w:val="21"/>
                <w:szCs w:val="21"/>
              </w:rPr>
            </w:pPr>
            <w:r>
              <w:rPr>
                <w:rFonts w:ascii="Times New Roman"/>
                <w:sz w:val="21"/>
              </w:rPr>
              <w:t>100.00</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39" w:right="0"/>
              <w:jc w:val="left"/>
              <w:rPr>
                <w:rFonts w:ascii="Times New Roman" w:hAnsi="Times New Roman" w:cs="Times New Roman" w:eastAsia="Times New Roman" w:hint="default"/>
                <w:sz w:val="21"/>
                <w:szCs w:val="21"/>
              </w:rPr>
            </w:pPr>
            <w:r>
              <w:rPr>
                <w:rFonts w:ascii="Times New Roman"/>
                <w:sz w:val="21"/>
              </w:rPr>
              <w:t>100.00%</w:t>
            </w:r>
          </w:p>
        </w:tc>
        <w:tc>
          <w:tcPr>
            <w:tcW w:w="2220"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684"/>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r>
      <w:tr>
        <w:trPr>
          <w:trHeight w:val="480" w:hRule="exact"/>
        </w:trPr>
        <w:tc>
          <w:tcPr>
            <w:tcW w:w="3322"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林洁</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pacing w:val="-1"/>
                <w:sz w:val="21"/>
              </w:rPr>
              <w:t>3,000.00</w:t>
            </w:r>
          </w:p>
        </w:tc>
        <w:tc>
          <w:tcPr>
            <w:tcW w:w="1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3,000.00</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39" w:right="0"/>
              <w:jc w:val="left"/>
              <w:rPr>
                <w:rFonts w:ascii="Times New Roman" w:hAnsi="Times New Roman" w:cs="Times New Roman" w:eastAsia="Times New Roman" w:hint="default"/>
                <w:sz w:val="21"/>
                <w:szCs w:val="21"/>
              </w:rPr>
            </w:pPr>
            <w:r>
              <w:rPr>
                <w:rFonts w:ascii="Times New Roman"/>
                <w:sz w:val="21"/>
              </w:rPr>
              <w:t>100.00%</w:t>
            </w:r>
          </w:p>
        </w:tc>
        <w:tc>
          <w:tcPr>
            <w:tcW w:w="2220"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684"/>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r>
      <w:tr>
        <w:trPr>
          <w:trHeight w:val="480" w:hRule="exact"/>
        </w:trPr>
        <w:tc>
          <w:tcPr>
            <w:tcW w:w="3322"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王杰</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pacing w:val="-1"/>
                <w:sz w:val="21"/>
              </w:rPr>
              <w:t>9,000.00</w:t>
            </w:r>
          </w:p>
        </w:tc>
        <w:tc>
          <w:tcPr>
            <w:tcW w:w="1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9,000.00</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39" w:right="0"/>
              <w:jc w:val="left"/>
              <w:rPr>
                <w:rFonts w:ascii="Times New Roman" w:hAnsi="Times New Roman" w:cs="Times New Roman" w:eastAsia="Times New Roman" w:hint="default"/>
                <w:sz w:val="21"/>
                <w:szCs w:val="21"/>
              </w:rPr>
            </w:pPr>
            <w:r>
              <w:rPr>
                <w:rFonts w:ascii="Times New Roman"/>
                <w:sz w:val="21"/>
              </w:rPr>
              <w:t>100.00%</w:t>
            </w:r>
          </w:p>
        </w:tc>
        <w:tc>
          <w:tcPr>
            <w:tcW w:w="2220"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684"/>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r>
      <w:tr>
        <w:trPr>
          <w:trHeight w:val="480" w:hRule="exact"/>
        </w:trPr>
        <w:tc>
          <w:tcPr>
            <w:tcW w:w="3322"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林江红</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pacing w:val="-1"/>
                <w:sz w:val="21"/>
              </w:rPr>
              <w:t>12,000.00</w:t>
            </w:r>
          </w:p>
        </w:tc>
        <w:tc>
          <w:tcPr>
            <w:tcW w:w="1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12,000.00</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39" w:right="0"/>
              <w:jc w:val="left"/>
              <w:rPr>
                <w:rFonts w:ascii="Times New Roman" w:hAnsi="Times New Roman" w:cs="Times New Roman" w:eastAsia="Times New Roman" w:hint="default"/>
                <w:sz w:val="21"/>
                <w:szCs w:val="21"/>
              </w:rPr>
            </w:pPr>
            <w:r>
              <w:rPr>
                <w:rFonts w:ascii="Times New Roman"/>
                <w:sz w:val="21"/>
              </w:rPr>
              <w:t>100.00%</w:t>
            </w:r>
          </w:p>
        </w:tc>
        <w:tc>
          <w:tcPr>
            <w:tcW w:w="2220"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684"/>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r>
      <w:tr>
        <w:trPr>
          <w:trHeight w:val="480" w:hRule="exact"/>
        </w:trPr>
        <w:tc>
          <w:tcPr>
            <w:tcW w:w="3322"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周济时</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pacing w:val="-1"/>
                <w:sz w:val="21"/>
              </w:rPr>
              <w:t>16,000.00</w:t>
            </w:r>
          </w:p>
        </w:tc>
        <w:tc>
          <w:tcPr>
            <w:tcW w:w="1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16,000.00</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39" w:right="0"/>
              <w:jc w:val="left"/>
              <w:rPr>
                <w:rFonts w:ascii="Times New Roman" w:hAnsi="Times New Roman" w:cs="Times New Roman" w:eastAsia="Times New Roman" w:hint="default"/>
                <w:sz w:val="21"/>
                <w:szCs w:val="21"/>
              </w:rPr>
            </w:pPr>
            <w:r>
              <w:rPr>
                <w:rFonts w:ascii="Times New Roman"/>
                <w:sz w:val="21"/>
              </w:rPr>
              <w:t>100.00%</w:t>
            </w:r>
          </w:p>
        </w:tc>
        <w:tc>
          <w:tcPr>
            <w:tcW w:w="2220"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684"/>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r>
      <w:tr>
        <w:trPr>
          <w:trHeight w:val="480" w:hRule="exact"/>
        </w:trPr>
        <w:tc>
          <w:tcPr>
            <w:tcW w:w="3322"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上海顶然电子有限公司</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pacing w:val="-1"/>
                <w:sz w:val="21"/>
              </w:rPr>
              <w:t>30,000.00</w:t>
            </w:r>
          </w:p>
        </w:tc>
        <w:tc>
          <w:tcPr>
            <w:tcW w:w="1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30,000.00</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39" w:right="0"/>
              <w:jc w:val="left"/>
              <w:rPr>
                <w:rFonts w:ascii="Times New Roman" w:hAnsi="Times New Roman" w:cs="Times New Roman" w:eastAsia="Times New Roman" w:hint="default"/>
                <w:sz w:val="21"/>
                <w:szCs w:val="21"/>
              </w:rPr>
            </w:pPr>
            <w:r>
              <w:rPr>
                <w:rFonts w:ascii="Times New Roman"/>
                <w:sz w:val="21"/>
              </w:rPr>
              <w:t>100.00%</w:t>
            </w:r>
          </w:p>
        </w:tc>
        <w:tc>
          <w:tcPr>
            <w:tcW w:w="2220"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684"/>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r>
      <w:tr>
        <w:trPr>
          <w:trHeight w:val="480" w:hRule="exact"/>
        </w:trPr>
        <w:tc>
          <w:tcPr>
            <w:tcW w:w="3322"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童颜</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pacing w:val="-1"/>
                <w:sz w:val="21"/>
              </w:rPr>
              <w:t>54,690.66</w:t>
            </w:r>
          </w:p>
        </w:tc>
        <w:tc>
          <w:tcPr>
            <w:tcW w:w="1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54,690.66</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39" w:right="0"/>
              <w:jc w:val="left"/>
              <w:rPr>
                <w:rFonts w:ascii="Times New Roman" w:hAnsi="Times New Roman" w:cs="Times New Roman" w:eastAsia="Times New Roman" w:hint="default"/>
                <w:sz w:val="21"/>
                <w:szCs w:val="21"/>
              </w:rPr>
            </w:pPr>
            <w:r>
              <w:rPr>
                <w:rFonts w:ascii="Times New Roman"/>
                <w:sz w:val="21"/>
              </w:rPr>
              <w:t>100.00%</w:t>
            </w:r>
          </w:p>
        </w:tc>
        <w:tc>
          <w:tcPr>
            <w:tcW w:w="2220"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684"/>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r>
      <w:tr>
        <w:trPr>
          <w:trHeight w:val="480" w:hRule="exact"/>
        </w:trPr>
        <w:tc>
          <w:tcPr>
            <w:tcW w:w="3322"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陈斯南</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pacing w:val="-1"/>
                <w:sz w:val="21"/>
              </w:rPr>
              <w:t>260,000.00</w:t>
            </w:r>
          </w:p>
        </w:tc>
        <w:tc>
          <w:tcPr>
            <w:tcW w:w="1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260,000.00</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39" w:right="0"/>
              <w:jc w:val="left"/>
              <w:rPr>
                <w:rFonts w:ascii="Times New Roman" w:hAnsi="Times New Roman" w:cs="Times New Roman" w:eastAsia="Times New Roman" w:hint="default"/>
                <w:sz w:val="21"/>
                <w:szCs w:val="21"/>
              </w:rPr>
            </w:pPr>
            <w:r>
              <w:rPr>
                <w:rFonts w:ascii="Times New Roman"/>
                <w:sz w:val="21"/>
              </w:rPr>
              <w:t>100.00%</w:t>
            </w:r>
          </w:p>
        </w:tc>
        <w:tc>
          <w:tcPr>
            <w:tcW w:w="2220"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684"/>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r>
      <w:tr>
        <w:trPr>
          <w:trHeight w:val="480" w:hRule="exact"/>
        </w:trPr>
        <w:tc>
          <w:tcPr>
            <w:tcW w:w="3322"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王丽莉</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pacing w:val="-1"/>
                <w:sz w:val="21"/>
              </w:rPr>
              <w:t>1,025,206.62</w:t>
            </w:r>
          </w:p>
        </w:tc>
        <w:tc>
          <w:tcPr>
            <w:tcW w:w="1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1,025,206.62</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39" w:right="0"/>
              <w:jc w:val="left"/>
              <w:rPr>
                <w:rFonts w:ascii="Times New Roman" w:hAnsi="Times New Roman" w:cs="Times New Roman" w:eastAsia="Times New Roman" w:hint="default"/>
                <w:sz w:val="21"/>
                <w:szCs w:val="21"/>
              </w:rPr>
            </w:pPr>
            <w:r>
              <w:rPr>
                <w:rFonts w:ascii="Times New Roman"/>
                <w:sz w:val="21"/>
              </w:rPr>
              <w:t>100.00%</w:t>
            </w:r>
          </w:p>
        </w:tc>
        <w:tc>
          <w:tcPr>
            <w:tcW w:w="2220"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684"/>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r>
      <w:tr>
        <w:trPr>
          <w:trHeight w:val="370" w:hRule="exact"/>
        </w:trPr>
        <w:tc>
          <w:tcPr>
            <w:tcW w:w="3322" w:type="dxa"/>
            <w:tcBorders>
              <w:top w:val="nil" w:sz="6" w:space="0" w:color="auto"/>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胡玥珑</w:t>
            </w:r>
          </w:p>
        </w:tc>
        <w:tc>
          <w:tcPr>
            <w:tcW w:w="15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pacing w:val="-1"/>
                <w:sz w:val="21"/>
              </w:rPr>
              <w:t>15,551.80</w:t>
            </w:r>
          </w:p>
        </w:tc>
        <w:tc>
          <w:tcPr>
            <w:tcW w:w="1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15,551.80</w:t>
            </w:r>
          </w:p>
        </w:tc>
        <w:tc>
          <w:tcPr>
            <w:tcW w:w="12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left="239" w:right="0"/>
              <w:jc w:val="left"/>
              <w:rPr>
                <w:rFonts w:ascii="Times New Roman" w:hAnsi="Times New Roman" w:cs="Times New Roman" w:eastAsia="Times New Roman" w:hint="default"/>
                <w:sz w:val="21"/>
                <w:szCs w:val="21"/>
              </w:rPr>
            </w:pPr>
            <w:r>
              <w:rPr>
                <w:rFonts w:ascii="Times New Roman"/>
                <w:sz w:val="21"/>
              </w:rPr>
              <w:t>100.00%</w:t>
            </w:r>
          </w:p>
        </w:tc>
        <w:tc>
          <w:tcPr>
            <w:tcW w:w="2220" w:type="dxa"/>
            <w:tcBorders>
              <w:top w:val="nil" w:sz="6" w:space="0" w:color="auto"/>
              <w:left w:val="single" w:sz="4" w:space="0" w:color="000000"/>
              <w:bottom w:val="single" w:sz="4" w:space="0" w:color="000000"/>
              <w:right w:val="nil" w:sz="6" w:space="0" w:color="auto"/>
            </w:tcBorders>
          </w:tcPr>
          <w:p>
            <w:pPr>
              <w:pStyle w:val="TableParagraph"/>
              <w:spacing w:line="240" w:lineRule="auto" w:before="60"/>
              <w:ind w:right="684"/>
              <w:jc w:val="right"/>
              <w:rPr>
                <w:rFonts w:ascii="宋体" w:hAnsi="宋体" w:cs="宋体" w:eastAsia="宋体" w:hint="default"/>
                <w:sz w:val="21"/>
                <w:szCs w:val="21"/>
              </w:rPr>
            </w:pPr>
            <w:r>
              <w:rPr>
                <w:rFonts w:ascii="宋体" w:hAnsi="宋体" w:cs="宋体" w:eastAsia="宋体" w:hint="default"/>
                <w:spacing w:val="-1"/>
                <w:sz w:val="21"/>
                <w:szCs w:val="21"/>
              </w:rPr>
              <w:t>无法收回</w:t>
            </w:r>
          </w:p>
        </w:tc>
      </w:tr>
      <w:tr>
        <w:trPr>
          <w:trHeight w:val="499" w:hRule="exact"/>
        </w:trPr>
        <w:tc>
          <w:tcPr>
            <w:tcW w:w="3322"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1,513,549.08</w:t>
            </w:r>
          </w:p>
        </w:tc>
        <w:tc>
          <w:tcPr>
            <w:tcW w:w="15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1,513,549.08</w:t>
            </w:r>
          </w:p>
        </w:tc>
        <w:tc>
          <w:tcPr>
            <w:tcW w:w="1238" w:type="dxa"/>
            <w:tcBorders>
              <w:top w:val="single" w:sz="4" w:space="0" w:color="000000"/>
              <w:left w:val="single" w:sz="4" w:space="0" w:color="000000"/>
              <w:bottom w:val="single" w:sz="12" w:space="0" w:color="000000"/>
              <w:right w:val="single" w:sz="4" w:space="0" w:color="000000"/>
            </w:tcBorders>
          </w:tcPr>
          <w:p>
            <w:pPr/>
          </w:p>
        </w:tc>
        <w:tc>
          <w:tcPr>
            <w:tcW w:w="2220"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50" w:footer="979" w:top="1200" w:bottom="1160" w:left="900" w:right="920"/>
        </w:sectPr>
      </w:pPr>
    </w:p>
    <w:p>
      <w:pPr>
        <w:spacing w:line="240" w:lineRule="auto" w:before="10"/>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pStyle w:val="BodyText"/>
        <w:spacing w:line="240" w:lineRule="auto" w:before="36"/>
        <w:ind w:left="672" w:right="0"/>
        <w:jc w:val="left"/>
      </w:pPr>
      <w:r>
        <w:rPr/>
        <w:t>（</w:t>
      </w:r>
      <w:r>
        <w:rPr>
          <w:rFonts w:ascii="Times New Roman" w:hAnsi="Times New Roman" w:cs="Times New Roman" w:eastAsia="Times New Roman" w:hint="default"/>
        </w:rPr>
        <w:t>2</w:t>
      </w:r>
      <w:r>
        <w:rPr/>
        <w:t>）其他应收款按币种列示如下：</w:t>
      </w:r>
    </w:p>
    <w:tbl>
      <w:tblPr>
        <w:tblW w:w="0" w:type="auto"/>
        <w:jc w:val="left"/>
        <w:tblInd w:w="130" w:type="dxa"/>
        <w:tblLayout w:type="fixed"/>
        <w:tblCellMar>
          <w:top w:w="0" w:type="dxa"/>
          <w:left w:w="0" w:type="dxa"/>
          <w:bottom w:w="0" w:type="dxa"/>
          <w:right w:w="0" w:type="dxa"/>
        </w:tblCellMar>
        <w:tblLook w:val="01E0"/>
      </w:tblPr>
      <w:tblGrid>
        <w:gridCol w:w="3043"/>
        <w:gridCol w:w="1706"/>
        <w:gridCol w:w="1706"/>
        <w:gridCol w:w="1706"/>
        <w:gridCol w:w="1706"/>
      </w:tblGrid>
      <w:tr>
        <w:trPr>
          <w:trHeight w:val="504" w:hRule="exact"/>
        </w:trPr>
        <w:tc>
          <w:tcPr>
            <w:tcW w:w="3043"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657" w:val="left" w:leader="none"/>
              </w:tabs>
              <w:spacing w:line="240" w:lineRule="auto" w:before="170"/>
              <w:ind w:left="2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826"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74"/>
              <w:ind w:right="4"/>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511" w:hRule="exact"/>
        </w:trPr>
        <w:tc>
          <w:tcPr>
            <w:tcW w:w="3043" w:type="dxa"/>
            <w:vMerge/>
            <w:tcBorders>
              <w:left w:val="nil" w:sz="6" w:space="0" w:color="auto"/>
              <w:bottom w:val="single" w:sz="8" w:space="0" w:color="000000"/>
              <w:right w:val="single" w:sz="8" w:space="0" w:color="000000"/>
            </w:tcBorders>
          </w:tcPr>
          <w:p>
            <w:pPr/>
          </w:p>
        </w:tc>
        <w:tc>
          <w:tcPr>
            <w:tcW w:w="1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7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604" w:hRule="exact"/>
        </w:trPr>
        <w:tc>
          <w:tcPr>
            <w:tcW w:w="3043" w:type="dxa"/>
            <w:tcBorders>
              <w:top w:val="single" w:sz="8" w:space="0" w:color="000000"/>
              <w:left w:val="nil" w:sz="6" w:space="0" w:color="auto"/>
              <w:bottom w:val="nil" w:sz="6" w:space="0" w:color="auto"/>
              <w:right w:val="single" w:sz="8"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0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09"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17,812,979.95</w:t>
            </w:r>
          </w:p>
        </w:tc>
        <w:tc>
          <w:tcPr>
            <w:tcW w:w="170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1.0000</w:t>
            </w:r>
          </w:p>
        </w:tc>
        <w:tc>
          <w:tcPr>
            <w:tcW w:w="1706" w:type="dxa"/>
            <w:tcBorders>
              <w:top w:val="single" w:sz="8" w:space="0" w:color="000000"/>
              <w:left w:val="single" w:sz="8"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17,812,979.95</w:t>
            </w:r>
          </w:p>
        </w:tc>
      </w:tr>
      <w:tr>
        <w:trPr>
          <w:trHeight w:val="480" w:hRule="exact"/>
        </w:trPr>
        <w:tc>
          <w:tcPr>
            <w:tcW w:w="3043" w:type="dxa"/>
            <w:tcBorders>
              <w:top w:val="nil" w:sz="6" w:space="0" w:color="auto"/>
              <w:left w:val="nil" w:sz="6" w:space="0" w:color="auto"/>
              <w:bottom w:val="nil" w:sz="6" w:space="0" w:color="auto"/>
              <w:right w:val="single" w:sz="8"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19"/>
              <w:ind w:left="609"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19"/>
              <w:ind w:right="93"/>
              <w:jc w:val="right"/>
              <w:rPr>
                <w:rFonts w:ascii="Times New Roman" w:hAnsi="Times New Roman" w:cs="Times New Roman" w:eastAsia="Times New Roman" w:hint="default"/>
                <w:sz w:val="21"/>
                <w:szCs w:val="21"/>
              </w:rPr>
            </w:pPr>
            <w:r>
              <w:rPr>
                <w:rFonts w:ascii="Times New Roman"/>
                <w:spacing w:val="-1"/>
                <w:sz w:val="21"/>
              </w:rPr>
              <w:t>2,372,872.93</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19"/>
              <w:ind w:left="7" w:right="0"/>
              <w:jc w:val="center"/>
              <w:rPr>
                <w:rFonts w:ascii="Times New Roman" w:hAnsi="Times New Roman" w:cs="Times New Roman" w:eastAsia="Times New Roman" w:hint="default"/>
                <w:sz w:val="21"/>
                <w:szCs w:val="21"/>
              </w:rPr>
            </w:pPr>
            <w:r>
              <w:rPr>
                <w:rFonts w:ascii="Times New Roman"/>
                <w:sz w:val="21"/>
              </w:rPr>
              <w:t>1.0000</w:t>
            </w:r>
          </w:p>
        </w:tc>
        <w:tc>
          <w:tcPr>
            <w:tcW w:w="1706" w:type="dxa"/>
            <w:tcBorders>
              <w:top w:val="nil" w:sz="6" w:space="0" w:color="auto"/>
              <w:left w:val="single" w:sz="8" w:space="0" w:color="000000"/>
              <w:bottom w:val="nil" w:sz="6" w:space="0" w:color="auto"/>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spacing w:val="-1"/>
                <w:sz w:val="21"/>
              </w:rPr>
              <w:t>2,372,872.93</w:t>
            </w:r>
          </w:p>
        </w:tc>
      </w:tr>
      <w:tr>
        <w:trPr>
          <w:trHeight w:val="480" w:hRule="exact"/>
        </w:trPr>
        <w:tc>
          <w:tcPr>
            <w:tcW w:w="3043" w:type="dxa"/>
            <w:tcBorders>
              <w:top w:val="nil" w:sz="6" w:space="0" w:color="auto"/>
              <w:left w:val="nil" w:sz="6" w:space="0" w:color="auto"/>
              <w:bottom w:val="nil" w:sz="6" w:space="0" w:color="auto"/>
              <w:right w:val="single" w:sz="8"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19"/>
              <w:ind w:left="609"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19"/>
              <w:ind w:right="95"/>
              <w:jc w:val="right"/>
              <w:rPr>
                <w:rFonts w:ascii="Times New Roman" w:hAnsi="Times New Roman" w:cs="Times New Roman" w:eastAsia="Times New Roman" w:hint="default"/>
                <w:sz w:val="21"/>
                <w:szCs w:val="21"/>
              </w:rPr>
            </w:pPr>
            <w:r>
              <w:rPr>
                <w:rFonts w:ascii="Times New Roman"/>
                <w:spacing w:val="-2"/>
                <w:sz w:val="21"/>
              </w:rPr>
              <w:t>902,338.11</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19"/>
              <w:ind w:left="7" w:right="0"/>
              <w:jc w:val="center"/>
              <w:rPr>
                <w:rFonts w:ascii="Times New Roman" w:hAnsi="Times New Roman" w:cs="Times New Roman" w:eastAsia="Times New Roman" w:hint="default"/>
                <w:sz w:val="21"/>
                <w:szCs w:val="21"/>
              </w:rPr>
            </w:pPr>
            <w:r>
              <w:rPr>
                <w:rFonts w:ascii="Times New Roman"/>
                <w:sz w:val="21"/>
              </w:rPr>
              <w:t>1.0000</w:t>
            </w:r>
          </w:p>
        </w:tc>
        <w:tc>
          <w:tcPr>
            <w:tcW w:w="1706" w:type="dxa"/>
            <w:tcBorders>
              <w:top w:val="nil" w:sz="6" w:space="0" w:color="auto"/>
              <w:left w:val="single" w:sz="8" w:space="0" w:color="000000"/>
              <w:bottom w:val="nil" w:sz="6" w:space="0" w:color="auto"/>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spacing w:val="-2"/>
                <w:sz w:val="21"/>
              </w:rPr>
              <w:t>902,338.11</w:t>
            </w:r>
          </w:p>
        </w:tc>
      </w:tr>
      <w:tr>
        <w:trPr>
          <w:trHeight w:val="375" w:hRule="exact"/>
        </w:trPr>
        <w:tc>
          <w:tcPr>
            <w:tcW w:w="3043" w:type="dxa"/>
            <w:tcBorders>
              <w:top w:val="nil" w:sz="6" w:space="0" w:color="auto"/>
              <w:left w:val="nil" w:sz="6" w:space="0" w:color="auto"/>
              <w:bottom w:val="single" w:sz="8" w:space="0" w:color="000000"/>
              <w:right w:val="single" w:sz="8"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170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9"/>
              <w:ind w:left="609"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9"/>
              <w:ind w:right="93"/>
              <w:jc w:val="right"/>
              <w:rPr>
                <w:rFonts w:ascii="Times New Roman" w:hAnsi="Times New Roman" w:cs="Times New Roman" w:eastAsia="Times New Roman" w:hint="default"/>
                <w:sz w:val="21"/>
                <w:szCs w:val="21"/>
              </w:rPr>
            </w:pPr>
            <w:r>
              <w:rPr>
                <w:rFonts w:ascii="Times New Roman"/>
                <w:spacing w:val="-1"/>
                <w:sz w:val="21"/>
              </w:rPr>
              <w:t>1,566,165.68</w:t>
            </w:r>
          </w:p>
        </w:tc>
        <w:tc>
          <w:tcPr>
            <w:tcW w:w="170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9"/>
              <w:ind w:left="7" w:right="0"/>
              <w:jc w:val="center"/>
              <w:rPr>
                <w:rFonts w:ascii="Times New Roman" w:hAnsi="Times New Roman" w:cs="Times New Roman" w:eastAsia="Times New Roman" w:hint="default"/>
                <w:sz w:val="21"/>
                <w:szCs w:val="21"/>
              </w:rPr>
            </w:pPr>
            <w:r>
              <w:rPr>
                <w:rFonts w:ascii="Times New Roman"/>
                <w:sz w:val="21"/>
              </w:rPr>
              <w:t>1.0000</w:t>
            </w:r>
          </w:p>
        </w:tc>
        <w:tc>
          <w:tcPr>
            <w:tcW w:w="1706" w:type="dxa"/>
            <w:tcBorders>
              <w:top w:val="nil" w:sz="6" w:space="0" w:color="auto"/>
              <w:left w:val="single" w:sz="8" w:space="0" w:color="000000"/>
              <w:bottom w:val="single" w:sz="8" w:space="0" w:color="000000"/>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spacing w:val="-1"/>
                <w:sz w:val="21"/>
              </w:rPr>
              <w:t>1,566,165.68</w:t>
            </w:r>
          </w:p>
        </w:tc>
      </w:tr>
      <w:tr>
        <w:trPr>
          <w:trHeight w:val="506" w:hRule="exact"/>
        </w:trPr>
        <w:tc>
          <w:tcPr>
            <w:tcW w:w="3043" w:type="dxa"/>
            <w:tcBorders>
              <w:top w:val="single" w:sz="8" w:space="0" w:color="000000"/>
              <w:left w:val="nil" w:sz="6" w:space="0" w:color="auto"/>
              <w:bottom w:val="single" w:sz="12" w:space="0" w:color="000000"/>
              <w:right w:val="single" w:sz="8" w:space="0" w:color="000000"/>
            </w:tcBorders>
          </w:tcPr>
          <w:p>
            <w:pPr>
              <w:pStyle w:val="TableParagraph"/>
              <w:tabs>
                <w:tab w:pos="657" w:val="left" w:leader="none"/>
              </w:tabs>
              <w:spacing w:line="240" w:lineRule="auto" w:before="177"/>
              <w:ind w:left="2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63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22,654,356.67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30" w:type="dxa"/>
        <w:tblLayout w:type="fixed"/>
        <w:tblCellMar>
          <w:top w:w="0" w:type="dxa"/>
          <w:left w:w="0" w:type="dxa"/>
          <w:bottom w:w="0" w:type="dxa"/>
          <w:right w:w="0" w:type="dxa"/>
        </w:tblCellMar>
        <w:tblLook w:val="01E0"/>
      </w:tblPr>
      <w:tblGrid>
        <w:gridCol w:w="3043"/>
        <w:gridCol w:w="1706"/>
        <w:gridCol w:w="1706"/>
        <w:gridCol w:w="1706"/>
        <w:gridCol w:w="1706"/>
      </w:tblGrid>
      <w:tr>
        <w:trPr>
          <w:trHeight w:val="506" w:hRule="exact"/>
        </w:trPr>
        <w:tc>
          <w:tcPr>
            <w:tcW w:w="3043"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657" w:val="left" w:leader="none"/>
              </w:tabs>
              <w:spacing w:line="240" w:lineRule="auto" w:before="170"/>
              <w:ind w:left="2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826"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77"/>
              <w:ind w:right="5"/>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09" w:hRule="exact"/>
        </w:trPr>
        <w:tc>
          <w:tcPr>
            <w:tcW w:w="3043" w:type="dxa"/>
            <w:vMerge/>
            <w:tcBorders>
              <w:left w:val="nil" w:sz="6" w:space="0" w:color="auto"/>
              <w:bottom w:val="single" w:sz="8" w:space="0" w:color="000000"/>
              <w:right w:val="single" w:sz="8" w:space="0" w:color="000000"/>
            </w:tcBorders>
          </w:tcPr>
          <w:p>
            <w:pPr/>
          </w:p>
        </w:tc>
        <w:tc>
          <w:tcPr>
            <w:tcW w:w="1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7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604" w:hRule="exact"/>
        </w:trPr>
        <w:tc>
          <w:tcPr>
            <w:tcW w:w="3043" w:type="dxa"/>
            <w:tcBorders>
              <w:top w:val="single" w:sz="8" w:space="0" w:color="000000"/>
              <w:left w:val="nil" w:sz="6" w:space="0" w:color="auto"/>
              <w:bottom w:val="nil" w:sz="6" w:space="0" w:color="auto"/>
              <w:right w:val="single" w:sz="8"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0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09"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15,263,562.41</w:t>
            </w:r>
          </w:p>
        </w:tc>
        <w:tc>
          <w:tcPr>
            <w:tcW w:w="170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1.0000</w:t>
            </w:r>
          </w:p>
        </w:tc>
        <w:tc>
          <w:tcPr>
            <w:tcW w:w="1706" w:type="dxa"/>
            <w:tcBorders>
              <w:top w:val="single" w:sz="8" w:space="0" w:color="000000"/>
              <w:left w:val="single" w:sz="8"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15,263,562.41</w:t>
            </w:r>
          </w:p>
        </w:tc>
      </w:tr>
      <w:tr>
        <w:trPr>
          <w:trHeight w:val="480" w:hRule="exact"/>
        </w:trPr>
        <w:tc>
          <w:tcPr>
            <w:tcW w:w="3043" w:type="dxa"/>
            <w:tcBorders>
              <w:top w:val="nil" w:sz="6" w:space="0" w:color="auto"/>
              <w:left w:val="nil" w:sz="6" w:space="0" w:color="auto"/>
              <w:bottom w:val="nil" w:sz="6" w:space="0" w:color="auto"/>
              <w:right w:val="single" w:sz="8"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18"/>
              <w:ind w:left="609"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18"/>
              <w:ind w:right="93"/>
              <w:jc w:val="right"/>
              <w:rPr>
                <w:rFonts w:ascii="Times New Roman" w:hAnsi="Times New Roman" w:cs="Times New Roman" w:eastAsia="Times New Roman" w:hint="default"/>
                <w:sz w:val="21"/>
                <w:szCs w:val="21"/>
              </w:rPr>
            </w:pPr>
            <w:r>
              <w:rPr>
                <w:rFonts w:ascii="Times New Roman"/>
                <w:spacing w:val="-1"/>
                <w:sz w:val="21"/>
              </w:rPr>
              <w:t>1,224,129.64</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18"/>
              <w:ind w:left="7" w:right="0"/>
              <w:jc w:val="center"/>
              <w:rPr>
                <w:rFonts w:ascii="Times New Roman" w:hAnsi="Times New Roman" w:cs="Times New Roman" w:eastAsia="Times New Roman" w:hint="default"/>
                <w:sz w:val="21"/>
                <w:szCs w:val="21"/>
              </w:rPr>
            </w:pPr>
            <w:r>
              <w:rPr>
                <w:rFonts w:ascii="Times New Roman"/>
                <w:sz w:val="21"/>
              </w:rPr>
              <w:t>1.0000</w:t>
            </w:r>
          </w:p>
        </w:tc>
        <w:tc>
          <w:tcPr>
            <w:tcW w:w="1706" w:type="dxa"/>
            <w:tcBorders>
              <w:top w:val="nil" w:sz="6" w:space="0" w:color="auto"/>
              <w:left w:val="single" w:sz="8" w:space="0" w:color="000000"/>
              <w:bottom w:val="nil" w:sz="6" w:space="0" w:color="auto"/>
              <w:right w:val="nil" w:sz="6" w:space="0" w:color="auto"/>
            </w:tcBorders>
          </w:tcPr>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spacing w:val="-1"/>
                <w:sz w:val="21"/>
              </w:rPr>
              <w:t>1,224,129.64</w:t>
            </w:r>
          </w:p>
        </w:tc>
      </w:tr>
      <w:tr>
        <w:trPr>
          <w:trHeight w:val="480" w:hRule="exact"/>
        </w:trPr>
        <w:tc>
          <w:tcPr>
            <w:tcW w:w="3043" w:type="dxa"/>
            <w:tcBorders>
              <w:top w:val="nil" w:sz="6" w:space="0" w:color="auto"/>
              <w:left w:val="nil" w:sz="6" w:space="0" w:color="auto"/>
              <w:bottom w:val="nil" w:sz="6" w:space="0" w:color="auto"/>
              <w:right w:val="single" w:sz="8"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19"/>
              <w:ind w:left="609"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19"/>
              <w:ind w:right="93"/>
              <w:jc w:val="right"/>
              <w:rPr>
                <w:rFonts w:ascii="Times New Roman" w:hAnsi="Times New Roman" w:cs="Times New Roman" w:eastAsia="Times New Roman" w:hint="default"/>
                <w:sz w:val="21"/>
                <w:szCs w:val="21"/>
              </w:rPr>
            </w:pPr>
            <w:r>
              <w:rPr>
                <w:rFonts w:ascii="Times New Roman"/>
                <w:spacing w:val="-1"/>
                <w:sz w:val="21"/>
              </w:rPr>
              <w:t>743,796.13</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19"/>
              <w:ind w:left="7" w:right="0"/>
              <w:jc w:val="center"/>
              <w:rPr>
                <w:rFonts w:ascii="Times New Roman" w:hAnsi="Times New Roman" w:cs="Times New Roman" w:eastAsia="Times New Roman" w:hint="default"/>
                <w:sz w:val="21"/>
                <w:szCs w:val="21"/>
              </w:rPr>
            </w:pPr>
            <w:r>
              <w:rPr>
                <w:rFonts w:ascii="Times New Roman"/>
                <w:sz w:val="21"/>
              </w:rPr>
              <w:t>1.0000</w:t>
            </w:r>
          </w:p>
        </w:tc>
        <w:tc>
          <w:tcPr>
            <w:tcW w:w="1706" w:type="dxa"/>
            <w:tcBorders>
              <w:top w:val="nil" w:sz="6" w:space="0" w:color="auto"/>
              <w:left w:val="single" w:sz="8" w:space="0" w:color="000000"/>
              <w:bottom w:val="nil" w:sz="6" w:space="0" w:color="auto"/>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spacing w:val="-1"/>
                <w:sz w:val="21"/>
              </w:rPr>
              <w:t>743,796.13</w:t>
            </w:r>
          </w:p>
        </w:tc>
      </w:tr>
      <w:tr>
        <w:trPr>
          <w:trHeight w:val="375" w:hRule="exact"/>
        </w:trPr>
        <w:tc>
          <w:tcPr>
            <w:tcW w:w="3043" w:type="dxa"/>
            <w:tcBorders>
              <w:top w:val="nil" w:sz="6" w:space="0" w:color="auto"/>
              <w:left w:val="nil" w:sz="6" w:space="0" w:color="auto"/>
              <w:bottom w:val="single" w:sz="8" w:space="0" w:color="000000"/>
              <w:right w:val="single" w:sz="8"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170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9"/>
              <w:ind w:left="609"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9"/>
              <w:ind w:right="93"/>
              <w:jc w:val="right"/>
              <w:rPr>
                <w:rFonts w:ascii="Times New Roman" w:hAnsi="Times New Roman" w:cs="Times New Roman" w:eastAsia="Times New Roman" w:hint="default"/>
                <w:sz w:val="21"/>
                <w:szCs w:val="21"/>
              </w:rPr>
            </w:pPr>
            <w:r>
              <w:rPr>
                <w:rFonts w:ascii="Times New Roman"/>
                <w:spacing w:val="-1"/>
                <w:sz w:val="21"/>
              </w:rPr>
              <w:t>1,088,707.72</w:t>
            </w:r>
          </w:p>
        </w:tc>
        <w:tc>
          <w:tcPr>
            <w:tcW w:w="170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9"/>
              <w:ind w:left="7" w:right="0"/>
              <w:jc w:val="center"/>
              <w:rPr>
                <w:rFonts w:ascii="Times New Roman" w:hAnsi="Times New Roman" w:cs="Times New Roman" w:eastAsia="Times New Roman" w:hint="default"/>
                <w:sz w:val="21"/>
                <w:szCs w:val="21"/>
              </w:rPr>
            </w:pPr>
            <w:r>
              <w:rPr>
                <w:rFonts w:ascii="Times New Roman"/>
                <w:sz w:val="21"/>
              </w:rPr>
              <w:t>1.0000</w:t>
            </w:r>
          </w:p>
        </w:tc>
        <w:tc>
          <w:tcPr>
            <w:tcW w:w="1706" w:type="dxa"/>
            <w:tcBorders>
              <w:top w:val="nil" w:sz="6" w:space="0" w:color="auto"/>
              <w:left w:val="single" w:sz="8" w:space="0" w:color="000000"/>
              <w:bottom w:val="single" w:sz="8" w:space="0" w:color="000000"/>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spacing w:val="-1"/>
                <w:sz w:val="21"/>
              </w:rPr>
              <w:t>1,088,707.72</w:t>
            </w:r>
          </w:p>
        </w:tc>
      </w:tr>
      <w:tr>
        <w:trPr>
          <w:trHeight w:val="506" w:hRule="exact"/>
        </w:trPr>
        <w:tc>
          <w:tcPr>
            <w:tcW w:w="3043" w:type="dxa"/>
            <w:tcBorders>
              <w:top w:val="single" w:sz="8" w:space="0" w:color="000000"/>
              <w:left w:val="nil" w:sz="6" w:space="0" w:color="auto"/>
              <w:bottom w:val="single" w:sz="12" w:space="0" w:color="000000"/>
              <w:right w:val="single" w:sz="8" w:space="0" w:color="000000"/>
            </w:tcBorders>
          </w:tcPr>
          <w:p>
            <w:pPr>
              <w:pStyle w:val="TableParagraph"/>
              <w:tabs>
                <w:tab w:pos="657" w:val="left" w:leader="none"/>
              </w:tabs>
              <w:spacing w:line="240" w:lineRule="auto" w:before="177"/>
              <w:ind w:left="2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63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18,320,195.90</w:t>
            </w:r>
          </w:p>
        </w:tc>
      </w:tr>
    </w:tbl>
    <w:p>
      <w:pPr>
        <w:spacing w:line="240" w:lineRule="auto" w:before="8"/>
        <w:rPr>
          <w:rFonts w:ascii="宋体" w:hAnsi="宋体" w:cs="宋体" w:eastAsia="宋体" w:hint="default"/>
          <w:sz w:val="10"/>
          <w:szCs w:val="10"/>
        </w:rPr>
      </w:pPr>
    </w:p>
    <w:p>
      <w:pPr>
        <w:pStyle w:val="BodyText"/>
        <w:spacing w:line="240" w:lineRule="auto" w:before="36"/>
        <w:ind w:left="672" w:right="0"/>
        <w:jc w:val="left"/>
      </w:pPr>
      <w:r>
        <w:rPr/>
        <w:t>（</w:t>
      </w:r>
      <w:r>
        <w:rPr>
          <w:rFonts w:ascii="Times New Roman" w:hAnsi="Times New Roman" w:cs="Times New Roman" w:eastAsia="Times New Roman" w:hint="default"/>
        </w:rPr>
        <w:t>3</w:t>
      </w:r>
      <w:r>
        <w:rPr/>
        <w:t>）本报告期实际核销的其他应收款情况</w:t>
      </w:r>
    </w:p>
    <w:tbl>
      <w:tblPr>
        <w:tblW w:w="0" w:type="auto"/>
        <w:jc w:val="left"/>
        <w:tblInd w:w="116" w:type="dxa"/>
        <w:tblLayout w:type="fixed"/>
        <w:tblCellMar>
          <w:top w:w="0" w:type="dxa"/>
          <w:left w:w="0" w:type="dxa"/>
          <w:bottom w:w="0" w:type="dxa"/>
          <w:right w:w="0" w:type="dxa"/>
        </w:tblCellMar>
        <w:tblLook w:val="01E0"/>
      </w:tblPr>
      <w:tblGrid>
        <w:gridCol w:w="1510"/>
        <w:gridCol w:w="2388"/>
        <w:gridCol w:w="1495"/>
        <w:gridCol w:w="1495"/>
        <w:gridCol w:w="2981"/>
      </w:tblGrid>
      <w:tr>
        <w:trPr>
          <w:trHeight w:val="502" w:hRule="exact"/>
        </w:trPr>
        <w:tc>
          <w:tcPr>
            <w:tcW w:w="1510" w:type="dxa"/>
            <w:tcBorders>
              <w:top w:val="single" w:sz="12" w:space="0" w:color="000000"/>
              <w:left w:val="nil" w:sz="6" w:space="0" w:color="auto"/>
              <w:bottom w:val="single" w:sz="4" w:space="0" w:color="000000"/>
              <w:right w:val="single" w:sz="2" w:space="0" w:color="000000"/>
            </w:tcBorders>
          </w:tcPr>
          <w:p>
            <w:pPr>
              <w:pStyle w:val="TableParagraph"/>
              <w:spacing w:line="240" w:lineRule="auto" w:before="177"/>
              <w:ind w:right="321"/>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2388"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其他应收款性质</w:t>
            </w:r>
          </w:p>
        </w:tc>
        <w:tc>
          <w:tcPr>
            <w:tcW w:w="1495"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77"/>
              <w:ind w:left="32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495"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2981" w:type="dxa"/>
            <w:tcBorders>
              <w:top w:val="single" w:sz="12" w:space="0" w:color="000000"/>
              <w:left w:val="single" w:sz="2" w:space="0" w:color="000000"/>
              <w:bottom w:val="single" w:sz="4" w:space="0" w:color="000000"/>
              <w:right w:val="nil" w:sz="6" w:space="0" w:color="auto"/>
            </w:tcBorders>
          </w:tcPr>
          <w:p>
            <w:pPr>
              <w:pStyle w:val="TableParagraph"/>
              <w:spacing w:line="240" w:lineRule="auto" w:before="177"/>
              <w:ind w:left="4" w:right="0"/>
              <w:jc w:val="center"/>
              <w:rPr>
                <w:rFonts w:ascii="宋体" w:hAnsi="宋体" w:cs="宋体" w:eastAsia="宋体" w:hint="default"/>
                <w:sz w:val="21"/>
                <w:szCs w:val="21"/>
              </w:rPr>
            </w:pPr>
            <w:r>
              <w:rPr>
                <w:rFonts w:ascii="宋体" w:hAnsi="宋体" w:cs="宋体" w:eastAsia="宋体" w:hint="default"/>
                <w:sz w:val="21"/>
                <w:szCs w:val="21"/>
              </w:rPr>
              <w:t>是否因关联交易产生</w:t>
            </w:r>
          </w:p>
        </w:tc>
      </w:tr>
      <w:tr>
        <w:trPr>
          <w:trHeight w:val="490" w:hRule="exact"/>
        </w:trPr>
        <w:tc>
          <w:tcPr>
            <w:tcW w:w="1510" w:type="dxa"/>
            <w:tcBorders>
              <w:top w:val="single" w:sz="4" w:space="0" w:color="000000"/>
              <w:left w:val="nil" w:sz="6" w:space="0" w:color="auto"/>
              <w:bottom w:val="single" w:sz="4" w:space="0" w:color="000000"/>
              <w:right w:val="single" w:sz="2"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宋学利</w:t>
            </w:r>
          </w:p>
        </w:tc>
        <w:tc>
          <w:tcPr>
            <w:tcW w:w="2388" w:type="dxa"/>
            <w:tcBorders>
              <w:top w:val="single" w:sz="4" w:space="0" w:color="000000"/>
              <w:left w:val="single" w:sz="2" w:space="0" w:color="000000"/>
              <w:bottom w:val="single" w:sz="4" w:space="0" w:color="000000"/>
              <w:right w:val="single" w:sz="2"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差旅费</w:t>
            </w:r>
          </w:p>
        </w:tc>
        <w:tc>
          <w:tcPr>
            <w:tcW w:w="1495" w:type="dxa"/>
            <w:tcBorders>
              <w:top w:val="single" w:sz="4" w:space="0" w:color="000000"/>
              <w:left w:val="single" w:sz="2" w:space="0" w:color="000000"/>
              <w:bottom w:val="single" w:sz="4" w:space="0" w:color="000000"/>
              <w:right w:val="single" w:sz="2"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326.20</w:t>
            </w:r>
          </w:p>
        </w:tc>
        <w:tc>
          <w:tcPr>
            <w:tcW w:w="1495" w:type="dxa"/>
            <w:tcBorders>
              <w:top w:val="single" w:sz="4" w:space="0" w:color="000000"/>
              <w:left w:val="single" w:sz="2" w:space="0" w:color="000000"/>
              <w:bottom w:val="single" w:sz="4" w:space="0" w:color="000000"/>
              <w:right w:val="single" w:sz="2"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2981" w:type="dxa"/>
            <w:tcBorders>
              <w:top w:val="single" w:sz="4" w:space="0" w:color="000000"/>
              <w:left w:val="single" w:sz="2" w:space="0" w:color="000000"/>
              <w:bottom w:val="single" w:sz="4" w:space="0" w:color="000000"/>
              <w:right w:val="nil" w:sz="6" w:space="0" w:color="auto"/>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02" w:hRule="exact"/>
        </w:trPr>
        <w:tc>
          <w:tcPr>
            <w:tcW w:w="1510" w:type="dxa"/>
            <w:tcBorders>
              <w:top w:val="single" w:sz="4" w:space="0" w:color="000000"/>
              <w:left w:val="nil" w:sz="6" w:space="0" w:color="auto"/>
              <w:bottom w:val="single" w:sz="12" w:space="0" w:color="000000"/>
              <w:right w:val="single" w:sz="2" w:space="0" w:color="000000"/>
            </w:tcBorders>
          </w:tcPr>
          <w:p>
            <w:pPr>
              <w:pStyle w:val="TableParagraph"/>
              <w:tabs>
                <w:tab w:pos="631" w:val="left" w:leader="none"/>
              </w:tabs>
              <w:spacing w:line="240" w:lineRule="auto" w:before="174"/>
              <w:ind w:right="32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388" w:type="dxa"/>
            <w:tcBorders>
              <w:top w:val="single" w:sz="4" w:space="0" w:color="000000"/>
              <w:left w:val="single" w:sz="2" w:space="0" w:color="000000"/>
              <w:bottom w:val="single" w:sz="12" w:space="0" w:color="000000"/>
              <w:right w:val="single" w:sz="2" w:space="0" w:color="000000"/>
            </w:tcBorders>
          </w:tcPr>
          <w:p>
            <w:pPr/>
          </w:p>
        </w:tc>
        <w:tc>
          <w:tcPr>
            <w:tcW w:w="1495"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326.20</w:t>
            </w:r>
          </w:p>
        </w:tc>
        <w:tc>
          <w:tcPr>
            <w:tcW w:w="1495" w:type="dxa"/>
            <w:tcBorders>
              <w:top w:val="single" w:sz="4" w:space="0" w:color="000000"/>
              <w:left w:val="single" w:sz="2" w:space="0" w:color="000000"/>
              <w:bottom w:val="single" w:sz="12" w:space="0" w:color="000000"/>
              <w:right w:val="single" w:sz="2" w:space="0" w:color="000000"/>
            </w:tcBorders>
          </w:tcPr>
          <w:p>
            <w:pPr/>
          </w:p>
        </w:tc>
        <w:tc>
          <w:tcPr>
            <w:tcW w:w="2981" w:type="dxa"/>
            <w:tcBorders>
              <w:top w:val="single" w:sz="4" w:space="0" w:color="000000"/>
              <w:left w:val="single" w:sz="2"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11"/>
          <w:szCs w:val="11"/>
        </w:rPr>
      </w:pPr>
    </w:p>
    <w:p>
      <w:pPr>
        <w:pStyle w:val="BodyText"/>
        <w:spacing w:line="240" w:lineRule="auto" w:before="36"/>
        <w:ind w:left="672" w:right="0"/>
        <w:jc w:val="left"/>
      </w:pPr>
      <w:r>
        <w:rPr/>
        <w:t>（</w:t>
      </w:r>
      <w:r>
        <w:rPr>
          <w:rFonts w:ascii="Times New Roman" w:hAnsi="Times New Roman" w:cs="Times New Roman" w:eastAsia="Times New Roman" w:hint="default"/>
        </w:rPr>
        <w:t>4</w:t>
      </w:r>
      <w:r>
        <w:rPr/>
        <w:t>）其他应收款中无持公司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）以上表决权股份的股东单位欠款。</w:t>
      </w:r>
    </w:p>
    <w:p>
      <w:pPr>
        <w:pStyle w:val="BodyText"/>
        <w:spacing w:line="240" w:lineRule="auto" w:before="189"/>
        <w:ind w:left="673" w:right="0"/>
        <w:jc w:val="left"/>
      </w:pPr>
      <w:r>
        <w:rPr/>
        <w:t>（</w:t>
      </w:r>
      <w:r>
        <w:rPr>
          <w:rFonts w:ascii="Times New Roman" w:hAnsi="Times New Roman" w:cs="Times New Roman" w:eastAsia="Times New Roman" w:hint="default"/>
        </w:rPr>
        <w:t>5</w:t>
      </w:r>
      <w:r>
        <w:rPr/>
        <w:t>）其他应收款前五名单位金额情况</w:t>
      </w:r>
    </w:p>
    <w:tbl>
      <w:tblPr>
        <w:tblW w:w="0" w:type="auto"/>
        <w:jc w:val="left"/>
        <w:tblInd w:w="144" w:type="dxa"/>
        <w:tblLayout w:type="fixed"/>
        <w:tblCellMar>
          <w:top w:w="0" w:type="dxa"/>
          <w:left w:w="0" w:type="dxa"/>
          <w:bottom w:w="0" w:type="dxa"/>
          <w:right w:w="0" w:type="dxa"/>
        </w:tblCellMar>
        <w:tblLook w:val="01E0"/>
      </w:tblPr>
      <w:tblGrid>
        <w:gridCol w:w="3559"/>
        <w:gridCol w:w="1721"/>
        <w:gridCol w:w="1584"/>
        <w:gridCol w:w="1193"/>
        <w:gridCol w:w="1798"/>
      </w:tblGrid>
      <w:tr>
        <w:trPr>
          <w:trHeight w:val="941" w:hRule="exact"/>
        </w:trPr>
        <w:tc>
          <w:tcPr>
            <w:tcW w:w="355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798" w:type="dxa"/>
            <w:tcBorders>
              <w:top w:val="single" w:sz="12" w:space="0" w:color="000000"/>
              <w:left w:val="single" w:sz="6" w:space="0" w:color="000000"/>
              <w:bottom w:val="single" w:sz="6" w:space="0" w:color="000000"/>
              <w:right w:val="nil" w:sz="6" w:space="0" w:color="auto"/>
            </w:tcBorders>
          </w:tcPr>
          <w:p>
            <w:pPr>
              <w:pStyle w:val="TableParagraph"/>
              <w:spacing w:line="460" w:lineRule="exact" w:before="30"/>
              <w:ind w:left="317" w:right="157"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572" w:hRule="exact"/>
        </w:trPr>
        <w:tc>
          <w:tcPr>
            <w:tcW w:w="3559" w:type="dxa"/>
            <w:tcBorders>
              <w:top w:val="single" w:sz="6" w:space="0" w:color="000000"/>
              <w:left w:val="nil" w:sz="6" w:space="0" w:color="auto"/>
              <w:bottom w:val="nil" w:sz="6" w:space="0" w:color="auto"/>
              <w:right w:val="single" w:sz="6" w:space="0" w:color="000000"/>
            </w:tcBorders>
          </w:tcPr>
          <w:p>
            <w:pPr>
              <w:pStyle w:val="TableParagraph"/>
              <w:spacing w:line="240" w:lineRule="auto" w:before="155"/>
              <w:ind w:left="107" w:right="0"/>
              <w:jc w:val="left"/>
              <w:rPr>
                <w:rFonts w:ascii="宋体" w:hAnsi="宋体" w:cs="宋体" w:eastAsia="宋体" w:hint="default"/>
                <w:sz w:val="21"/>
                <w:szCs w:val="21"/>
              </w:rPr>
            </w:pPr>
            <w:r>
              <w:rPr>
                <w:rFonts w:ascii="宋体" w:hAnsi="宋体" w:cs="宋体" w:eastAsia="宋体" w:hint="default"/>
                <w:sz w:val="21"/>
                <w:szCs w:val="21"/>
              </w:rPr>
              <w:t>杭州市滨江区国家税务局</w:t>
            </w:r>
          </w:p>
        </w:tc>
        <w:tc>
          <w:tcPr>
            <w:tcW w:w="172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3,185,737.22</w:t>
            </w:r>
          </w:p>
        </w:tc>
        <w:tc>
          <w:tcPr>
            <w:tcW w:w="119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年以内</w:t>
            </w:r>
          </w:p>
        </w:tc>
        <w:tc>
          <w:tcPr>
            <w:tcW w:w="1798" w:type="dxa"/>
            <w:tcBorders>
              <w:top w:val="single" w:sz="6" w:space="0" w:color="000000"/>
              <w:left w:val="single" w:sz="6"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57" w:right="0"/>
              <w:jc w:val="left"/>
              <w:rPr>
                <w:rFonts w:ascii="Times New Roman" w:hAnsi="Times New Roman" w:cs="Times New Roman" w:eastAsia="Times New Roman" w:hint="default"/>
                <w:sz w:val="21"/>
                <w:szCs w:val="21"/>
              </w:rPr>
            </w:pPr>
            <w:r>
              <w:rPr>
                <w:rFonts w:ascii="Times New Roman"/>
                <w:sz w:val="21"/>
              </w:rPr>
              <w:t>14.06</w:t>
            </w:r>
          </w:p>
        </w:tc>
      </w:tr>
      <w:tr>
        <w:trPr>
          <w:trHeight w:val="460" w:hRule="exact"/>
        </w:trPr>
        <w:tc>
          <w:tcPr>
            <w:tcW w:w="3559" w:type="dxa"/>
            <w:tcBorders>
              <w:top w:val="nil" w:sz="6" w:space="0" w:color="auto"/>
              <w:left w:val="nil" w:sz="6" w:space="0" w:color="auto"/>
              <w:bottom w:val="nil" w:sz="6" w:space="0" w:color="auto"/>
              <w:right w:val="single" w:sz="6" w:space="0" w:color="000000"/>
            </w:tcBorders>
          </w:tcPr>
          <w:p>
            <w:pPr>
              <w:pStyle w:val="TableParagraph"/>
              <w:spacing w:line="240" w:lineRule="auto" w:before="49"/>
              <w:ind w:left="107" w:right="0"/>
              <w:jc w:val="left"/>
              <w:rPr>
                <w:rFonts w:ascii="宋体" w:hAnsi="宋体" w:cs="宋体" w:eastAsia="宋体" w:hint="default"/>
                <w:sz w:val="21"/>
                <w:szCs w:val="21"/>
              </w:rPr>
            </w:pPr>
            <w:r>
              <w:rPr>
                <w:rFonts w:ascii="宋体" w:hAnsi="宋体" w:cs="宋体" w:eastAsia="宋体" w:hint="default"/>
                <w:sz w:val="21"/>
                <w:szCs w:val="21"/>
              </w:rPr>
              <w:t>北海市国家税务局海城区分局</w:t>
            </w:r>
          </w:p>
        </w:tc>
        <w:tc>
          <w:tcPr>
            <w:tcW w:w="1721"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left="235" w:right="0"/>
              <w:jc w:val="left"/>
              <w:rPr>
                <w:rFonts w:ascii="Times New Roman" w:hAnsi="Times New Roman" w:cs="Times New Roman" w:eastAsia="Times New Roman" w:hint="default"/>
                <w:sz w:val="21"/>
                <w:szCs w:val="21"/>
              </w:rPr>
            </w:pPr>
            <w:r>
              <w:rPr>
                <w:rFonts w:ascii="Times New Roman"/>
                <w:sz w:val="21"/>
              </w:rPr>
              <w:t>2,533,958.73</w:t>
            </w:r>
          </w:p>
        </w:tc>
        <w:tc>
          <w:tcPr>
            <w:tcW w:w="1193"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年以内</w:t>
            </w:r>
          </w:p>
        </w:tc>
        <w:tc>
          <w:tcPr>
            <w:tcW w:w="1798" w:type="dxa"/>
            <w:tcBorders>
              <w:top w:val="nil" w:sz="6" w:space="0" w:color="auto"/>
              <w:left w:val="single" w:sz="6" w:space="0" w:color="000000"/>
              <w:bottom w:val="nil" w:sz="6" w:space="0" w:color="auto"/>
              <w:right w:val="nil" w:sz="6" w:space="0" w:color="auto"/>
            </w:tcBorders>
          </w:tcPr>
          <w:p>
            <w:pPr>
              <w:pStyle w:val="TableParagraph"/>
              <w:spacing w:line="240" w:lineRule="auto" w:before="108"/>
              <w:ind w:left="660" w:right="0"/>
              <w:jc w:val="left"/>
              <w:rPr>
                <w:rFonts w:ascii="Times New Roman" w:hAnsi="Times New Roman" w:cs="Times New Roman" w:eastAsia="Times New Roman" w:hint="default"/>
                <w:sz w:val="21"/>
                <w:szCs w:val="21"/>
              </w:rPr>
            </w:pPr>
            <w:r>
              <w:rPr>
                <w:rFonts w:ascii="Times New Roman"/>
                <w:sz w:val="21"/>
              </w:rPr>
              <w:t>11.19</w:t>
            </w:r>
          </w:p>
        </w:tc>
      </w:tr>
      <w:tr>
        <w:trPr>
          <w:trHeight w:val="910" w:hRule="exact"/>
        </w:trPr>
        <w:tc>
          <w:tcPr>
            <w:tcW w:w="3559" w:type="dxa"/>
            <w:tcBorders>
              <w:top w:val="nil" w:sz="6" w:space="0" w:color="auto"/>
              <w:left w:val="nil" w:sz="6" w:space="0" w:color="auto"/>
              <w:bottom w:val="nil" w:sz="6" w:space="0" w:color="auto"/>
              <w:right w:val="single" w:sz="6" w:space="0" w:color="000000"/>
            </w:tcBorders>
          </w:tcPr>
          <w:p>
            <w:pPr>
              <w:pStyle w:val="TableParagraph"/>
              <w:spacing w:line="403" w:lineRule="auto" w:before="50"/>
              <w:ind w:left="107" w:right="86"/>
              <w:jc w:val="left"/>
              <w:rPr>
                <w:rFonts w:ascii="宋体" w:hAnsi="宋体" w:cs="宋体" w:eastAsia="宋体" w:hint="default"/>
                <w:sz w:val="21"/>
                <w:szCs w:val="21"/>
              </w:rPr>
            </w:pPr>
            <w:r>
              <w:rPr>
                <w:rFonts w:ascii="宋体" w:hAnsi="宋体" w:cs="宋体" w:eastAsia="宋体" w:hint="default"/>
                <w:spacing w:val="11"/>
                <w:sz w:val="21"/>
                <w:szCs w:val="21"/>
              </w:rPr>
              <w:t>北京市海淀区国家税务局第六税务</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所</w:t>
            </w:r>
          </w:p>
        </w:tc>
        <w:tc>
          <w:tcPr>
            <w:tcW w:w="172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69" w:right="0"/>
              <w:jc w:val="left"/>
              <w:rPr>
                <w:rFonts w:ascii="Times New Roman" w:hAnsi="Times New Roman" w:cs="Times New Roman" w:eastAsia="Times New Roman" w:hint="default"/>
                <w:sz w:val="21"/>
                <w:szCs w:val="21"/>
              </w:rPr>
            </w:pPr>
            <w:r>
              <w:rPr>
                <w:rFonts w:ascii="Times New Roman"/>
                <w:sz w:val="21"/>
              </w:rPr>
              <w:t>2,508,103.25</w:t>
            </w:r>
          </w:p>
        </w:tc>
        <w:tc>
          <w:tcPr>
            <w:tcW w:w="119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4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年以内</w:t>
            </w:r>
          </w:p>
        </w:tc>
        <w:tc>
          <w:tcPr>
            <w:tcW w:w="1798" w:type="dxa"/>
            <w:tcBorders>
              <w:top w:val="nil" w:sz="6" w:space="0" w:color="auto"/>
              <w:left w:val="single" w:sz="6"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659" w:right="0"/>
              <w:jc w:val="left"/>
              <w:rPr>
                <w:rFonts w:ascii="Times New Roman" w:hAnsi="Times New Roman" w:cs="Times New Roman" w:eastAsia="Times New Roman" w:hint="default"/>
                <w:sz w:val="21"/>
                <w:szCs w:val="21"/>
              </w:rPr>
            </w:pPr>
            <w:r>
              <w:rPr>
                <w:rFonts w:ascii="Times New Roman"/>
                <w:sz w:val="21"/>
              </w:rPr>
              <w:t>11.07</w:t>
            </w:r>
          </w:p>
        </w:tc>
      </w:tr>
      <w:tr>
        <w:trPr>
          <w:trHeight w:val="367" w:hRule="exact"/>
        </w:trPr>
        <w:tc>
          <w:tcPr>
            <w:tcW w:w="3559"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07" w:right="0"/>
              <w:jc w:val="left"/>
              <w:rPr>
                <w:rFonts w:ascii="宋体" w:hAnsi="宋体" w:cs="宋体" w:eastAsia="宋体" w:hint="default"/>
                <w:sz w:val="21"/>
                <w:szCs w:val="21"/>
              </w:rPr>
            </w:pPr>
            <w:r>
              <w:rPr>
                <w:rFonts w:ascii="宋体" w:hAnsi="宋体" w:cs="宋体" w:eastAsia="宋体" w:hint="default"/>
                <w:sz w:val="21"/>
                <w:szCs w:val="21"/>
              </w:rPr>
              <w:t>王丽莉</w:t>
            </w:r>
          </w:p>
        </w:tc>
        <w:tc>
          <w:tcPr>
            <w:tcW w:w="1721"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子公司股东</w:t>
            </w:r>
          </w:p>
        </w:tc>
        <w:tc>
          <w:tcPr>
            <w:tcW w:w="1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18"/>
              <w:ind w:left="235" w:right="0"/>
              <w:jc w:val="left"/>
              <w:rPr>
                <w:rFonts w:ascii="Times New Roman" w:hAnsi="Times New Roman" w:cs="Times New Roman" w:eastAsia="Times New Roman" w:hint="default"/>
                <w:sz w:val="21"/>
                <w:szCs w:val="21"/>
              </w:rPr>
            </w:pPr>
            <w:r>
              <w:rPr>
                <w:rFonts w:ascii="Times New Roman"/>
                <w:sz w:val="21"/>
              </w:rPr>
              <w:t>1,061,817.96</w:t>
            </w:r>
          </w:p>
        </w:tc>
        <w:tc>
          <w:tcPr>
            <w:tcW w:w="1193"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年以内</w:t>
            </w:r>
          </w:p>
        </w:tc>
        <w:tc>
          <w:tcPr>
            <w:tcW w:w="1798" w:type="dxa"/>
            <w:tcBorders>
              <w:top w:val="nil" w:sz="6" w:space="0" w:color="auto"/>
              <w:left w:val="single" w:sz="6" w:space="0" w:color="000000"/>
              <w:bottom w:val="nil" w:sz="6" w:space="0" w:color="auto"/>
              <w:right w:val="nil" w:sz="6" w:space="0" w:color="auto"/>
            </w:tcBorders>
          </w:tcPr>
          <w:p>
            <w:pPr>
              <w:pStyle w:val="TableParagraph"/>
              <w:spacing w:line="240" w:lineRule="auto" w:before="118"/>
              <w:ind w:left="710" w:right="0"/>
              <w:jc w:val="left"/>
              <w:rPr>
                <w:rFonts w:ascii="Times New Roman" w:hAnsi="Times New Roman" w:cs="Times New Roman" w:eastAsia="Times New Roman" w:hint="default"/>
                <w:sz w:val="21"/>
                <w:szCs w:val="21"/>
              </w:rPr>
            </w:pPr>
            <w:r>
              <w:rPr>
                <w:rFonts w:ascii="Times New Roman"/>
                <w:sz w:val="21"/>
              </w:rPr>
              <w:t>4.69</w:t>
            </w:r>
          </w:p>
        </w:tc>
      </w:tr>
    </w:tbl>
    <w:p>
      <w:pPr>
        <w:spacing w:after="0" w:line="240" w:lineRule="auto"/>
        <w:jc w:val="left"/>
        <w:rPr>
          <w:rFonts w:ascii="Times New Roman" w:hAnsi="Times New Roman" w:cs="Times New Roman" w:eastAsia="Times New Roman" w:hint="default"/>
          <w:sz w:val="21"/>
          <w:szCs w:val="21"/>
        </w:rPr>
        <w:sectPr>
          <w:pgSz w:w="11910" w:h="16840"/>
          <w:pgMar w:header="850" w:footer="979" w:top="1200" w:bottom="1160" w:left="880" w:right="880"/>
        </w:sectPr>
      </w:pP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574"/>
        <w:gridCol w:w="1721"/>
        <w:gridCol w:w="1584"/>
        <w:gridCol w:w="1193"/>
        <w:gridCol w:w="1798"/>
      </w:tblGrid>
      <w:tr>
        <w:trPr>
          <w:trHeight w:val="475" w:hRule="exact"/>
        </w:trPr>
        <w:tc>
          <w:tcPr>
            <w:tcW w:w="35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南京市国家税务局鼓楼分局</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3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1,016,719.63</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年以内</w:t>
            </w:r>
          </w:p>
        </w:tc>
        <w:tc>
          <w:tcPr>
            <w:tcW w:w="17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0" w:right="0"/>
              <w:jc w:val="left"/>
              <w:rPr>
                <w:rFonts w:ascii="Times New Roman" w:hAnsi="Times New Roman" w:cs="Times New Roman" w:eastAsia="Times New Roman" w:hint="default"/>
                <w:sz w:val="21"/>
                <w:szCs w:val="21"/>
              </w:rPr>
            </w:pPr>
            <w:r>
              <w:rPr>
                <w:rFonts w:ascii="Times New Roman"/>
                <w:sz w:val="21"/>
              </w:rPr>
              <w:t>4.49</w:t>
            </w:r>
          </w:p>
        </w:tc>
      </w:tr>
      <w:tr>
        <w:trPr>
          <w:trHeight w:val="482" w:hRule="exact"/>
        </w:trPr>
        <w:tc>
          <w:tcPr>
            <w:tcW w:w="3574" w:type="dxa"/>
            <w:tcBorders>
              <w:top w:val="single" w:sz="6" w:space="0" w:color="000000"/>
              <w:left w:val="nil" w:sz="6" w:space="0" w:color="auto"/>
              <w:bottom w:val="single" w:sz="12" w:space="0" w:color="000000"/>
              <w:right w:val="single" w:sz="6" w:space="0" w:color="000000"/>
            </w:tcBorders>
          </w:tcPr>
          <w:p>
            <w:pPr>
              <w:pStyle w:val="TableParagraph"/>
              <w:tabs>
                <w:tab w:pos="652" w:val="left" w:leader="none"/>
              </w:tabs>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21" w:type="dxa"/>
            <w:tcBorders>
              <w:top w:val="single" w:sz="6" w:space="0" w:color="000000"/>
              <w:left w:val="single" w:sz="6" w:space="0" w:color="000000"/>
              <w:bottom w:val="single" w:sz="12" w:space="0" w:color="000000"/>
              <w:right w:val="single" w:sz="6" w:space="0" w:color="000000"/>
            </w:tcBorders>
          </w:tcPr>
          <w:p>
            <w:pPr/>
          </w:p>
        </w:tc>
        <w:tc>
          <w:tcPr>
            <w:tcW w:w="15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63" w:right="0"/>
              <w:jc w:val="left"/>
              <w:rPr>
                <w:rFonts w:ascii="Times New Roman" w:hAnsi="Times New Roman" w:cs="Times New Roman" w:eastAsia="Times New Roman" w:hint="default"/>
                <w:sz w:val="21"/>
                <w:szCs w:val="21"/>
              </w:rPr>
            </w:pPr>
            <w:r>
              <w:rPr>
                <w:rFonts w:ascii="Times New Roman"/>
                <w:sz w:val="21"/>
              </w:rPr>
              <w:t>10,306,336.79</w:t>
            </w:r>
          </w:p>
        </w:tc>
        <w:tc>
          <w:tcPr>
            <w:tcW w:w="1193" w:type="dxa"/>
            <w:tcBorders>
              <w:top w:val="single" w:sz="6" w:space="0" w:color="000000"/>
              <w:left w:val="single" w:sz="6" w:space="0" w:color="000000"/>
              <w:bottom w:val="single" w:sz="12" w:space="0" w:color="000000"/>
              <w:right w:val="single" w:sz="6" w:space="0" w:color="000000"/>
            </w:tcBorders>
          </w:tcPr>
          <w:p>
            <w:pPr/>
          </w:p>
        </w:tc>
        <w:tc>
          <w:tcPr>
            <w:tcW w:w="17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57" w:right="0"/>
              <w:jc w:val="left"/>
              <w:rPr>
                <w:rFonts w:ascii="Times New Roman" w:hAnsi="Times New Roman" w:cs="Times New Roman" w:eastAsia="Times New Roman" w:hint="default"/>
                <w:sz w:val="21"/>
                <w:szCs w:val="21"/>
              </w:rPr>
            </w:pPr>
            <w:r>
              <w:rPr>
                <w:rFonts w:ascii="Times New Roman"/>
                <w:sz w:val="21"/>
              </w:rPr>
              <w:t>45.50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672" w:right="0"/>
        <w:jc w:val="left"/>
      </w:pPr>
      <w:r>
        <w:rPr>
          <w:rFonts w:ascii="Times New Roman" w:hAnsi="Times New Roman" w:cs="Times New Roman" w:eastAsia="Times New Roman" w:hint="default"/>
        </w:rPr>
        <w:t>5</w:t>
      </w:r>
      <w:r>
        <w:rPr/>
        <w:t>．存货</w:t>
      </w:r>
    </w:p>
    <w:p>
      <w:pPr>
        <w:pStyle w:val="BodyText"/>
        <w:spacing w:line="240" w:lineRule="auto" w:before="167"/>
        <w:ind w:left="672" w:right="0"/>
        <w:jc w:val="left"/>
      </w:pPr>
      <w:r>
        <w:rPr/>
        <w:t>（</w:t>
      </w:r>
      <w:r>
        <w:rPr>
          <w:rFonts w:ascii="Times New Roman" w:hAnsi="Times New Roman" w:cs="Times New Roman" w:eastAsia="Times New Roman" w:hint="default"/>
        </w:rPr>
        <w:t>1</w:t>
      </w:r>
      <w:r>
        <w:rPr/>
        <w:t>）存货分类：</w:t>
      </w:r>
    </w:p>
    <w:tbl>
      <w:tblPr>
        <w:tblW w:w="0" w:type="auto"/>
        <w:jc w:val="left"/>
        <w:tblInd w:w="207" w:type="dxa"/>
        <w:tblLayout w:type="fixed"/>
        <w:tblCellMar>
          <w:top w:w="0" w:type="dxa"/>
          <w:left w:w="0" w:type="dxa"/>
          <w:bottom w:w="0" w:type="dxa"/>
          <w:right w:w="0" w:type="dxa"/>
        </w:tblCellMar>
        <w:tblLook w:val="01E0"/>
      </w:tblPr>
      <w:tblGrid>
        <w:gridCol w:w="2105"/>
        <w:gridCol w:w="1339"/>
        <w:gridCol w:w="1169"/>
        <w:gridCol w:w="1339"/>
        <w:gridCol w:w="1351"/>
        <w:gridCol w:w="1061"/>
        <w:gridCol w:w="1351"/>
      </w:tblGrid>
      <w:tr>
        <w:trPr>
          <w:trHeight w:val="480" w:hRule="exact"/>
        </w:trPr>
        <w:tc>
          <w:tcPr>
            <w:tcW w:w="2105"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tabs>
                <w:tab w:pos="1269" w:val="left" w:leader="none"/>
              </w:tabs>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84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76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5"/>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0" w:hRule="exact"/>
        </w:trPr>
        <w:tc>
          <w:tcPr>
            <w:tcW w:w="2105" w:type="dxa"/>
            <w:vMerge/>
            <w:tcBorders>
              <w:left w:val="nil" w:sz="6" w:space="0" w:color="auto"/>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7"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6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72" w:hRule="exact"/>
        </w:trPr>
        <w:tc>
          <w:tcPr>
            <w:tcW w:w="2105"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25,330,502.08</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365,224.37</w:t>
            </w:r>
          </w:p>
        </w:tc>
        <w:tc>
          <w:tcPr>
            <w:tcW w:w="13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2" w:right="0"/>
              <w:jc w:val="center"/>
              <w:rPr>
                <w:rFonts w:ascii="Times New Roman" w:hAnsi="Times New Roman" w:cs="Times New Roman" w:eastAsia="Times New Roman" w:hint="default"/>
                <w:sz w:val="21"/>
                <w:szCs w:val="21"/>
              </w:rPr>
            </w:pPr>
            <w:r>
              <w:rPr>
                <w:rFonts w:ascii="Times New Roman"/>
                <w:sz w:val="21"/>
              </w:rPr>
              <w:t>24,965,277.71</w:t>
            </w:r>
          </w:p>
        </w:tc>
        <w:tc>
          <w:tcPr>
            <w:tcW w:w="13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8" w:right="0"/>
              <w:jc w:val="center"/>
              <w:rPr>
                <w:rFonts w:ascii="Times New Roman" w:hAnsi="Times New Roman" w:cs="Times New Roman" w:eastAsia="Times New Roman" w:hint="default"/>
                <w:sz w:val="21"/>
                <w:szCs w:val="21"/>
              </w:rPr>
            </w:pPr>
            <w:r>
              <w:rPr>
                <w:rFonts w:ascii="Times New Roman"/>
                <w:sz w:val="21"/>
              </w:rPr>
              <w:t>19,640,389.76</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 w:right="0"/>
              <w:jc w:val="left"/>
              <w:rPr>
                <w:rFonts w:ascii="Times New Roman" w:hAnsi="Times New Roman" w:cs="Times New Roman" w:eastAsia="Times New Roman" w:hint="default"/>
                <w:sz w:val="21"/>
                <w:szCs w:val="21"/>
              </w:rPr>
            </w:pPr>
            <w:r>
              <w:rPr>
                <w:rFonts w:ascii="Times New Roman"/>
                <w:sz w:val="21"/>
              </w:rPr>
              <w:t>317,633.59</w:t>
            </w:r>
          </w:p>
        </w:tc>
        <w:tc>
          <w:tcPr>
            <w:tcW w:w="1351"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4" w:right="0"/>
              <w:jc w:val="center"/>
              <w:rPr>
                <w:rFonts w:ascii="Times New Roman" w:hAnsi="Times New Roman" w:cs="Times New Roman" w:eastAsia="Times New Roman" w:hint="default"/>
                <w:sz w:val="21"/>
                <w:szCs w:val="21"/>
              </w:rPr>
            </w:pPr>
            <w:r>
              <w:rPr>
                <w:rFonts w:ascii="Times New Roman"/>
                <w:sz w:val="21"/>
              </w:rPr>
              <w:t>19,322,756.17</w:t>
            </w:r>
          </w:p>
        </w:tc>
      </w:tr>
      <w:tr>
        <w:trPr>
          <w:trHeight w:val="823" w:hRule="exact"/>
        </w:trPr>
        <w:tc>
          <w:tcPr>
            <w:tcW w:w="2105" w:type="dxa"/>
            <w:tcBorders>
              <w:top w:val="nil" w:sz="6" w:space="0" w:color="auto"/>
              <w:left w:val="nil" w:sz="6" w:space="0" w:color="auto"/>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21"/>
                <w:szCs w:val="21"/>
              </w:rPr>
            </w:pPr>
            <w:r>
              <w:rPr>
                <w:rFonts w:ascii="宋体" w:hAnsi="宋体" w:cs="宋体" w:eastAsia="宋体" w:hint="default"/>
                <w:spacing w:val="12"/>
                <w:sz w:val="21"/>
                <w:szCs w:val="21"/>
              </w:rPr>
              <w:t>在建系统集成项目成</w:t>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3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12,213,389.94</w:t>
            </w:r>
          </w:p>
        </w:tc>
        <w:tc>
          <w:tcPr>
            <w:tcW w:w="1169" w:type="dxa"/>
            <w:vMerge/>
            <w:tcBorders>
              <w:left w:val="single" w:sz="4" w:space="0" w:color="000000"/>
              <w:bottom w:val="single" w:sz="4" w:space="0" w:color="000000"/>
              <w:right w:val="single" w:sz="4" w:space="0" w:color="000000"/>
            </w:tcBorders>
          </w:tcPr>
          <w:p>
            <w:pPr/>
          </w:p>
        </w:tc>
        <w:tc>
          <w:tcPr>
            <w:tcW w:w="13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72" w:right="0"/>
              <w:jc w:val="center"/>
              <w:rPr>
                <w:rFonts w:ascii="Times New Roman" w:hAnsi="Times New Roman" w:cs="Times New Roman" w:eastAsia="Times New Roman" w:hint="default"/>
                <w:sz w:val="21"/>
                <w:szCs w:val="21"/>
              </w:rPr>
            </w:pPr>
            <w:r>
              <w:rPr>
                <w:rFonts w:ascii="Times New Roman"/>
                <w:sz w:val="21"/>
              </w:rPr>
              <w:t>12,213,389.94</w:t>
            </w:r>
          </w:p>
        </w:tc>
        <w:tc>
          <w:tcPr>
            <w:tcW w:w="13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left="88" w:right="0"/>
              <w:jc w:val="center"/>
              <w:rPr>
                <w:rFonts w:ascii="Times New Roman" w:hAnsi="Times New Roman" w:cs="Times New Roman" w:eastAsia="Times New Roman" w:hint="default"/>
                <w:sz w:val="21"/>
                <w:szCs w:val="21"/>
              </w:rPr>
            </w:pPr>
            <w:r>
              <w:rPr>
                <w:rFonts w:ascii="Times New Roman"/>
                <w:sz w:val="21"/>
              </w:rPr>
              <w:t>35,679,513.31</w:t>
            </w:r>
          </w:p>
        </w:tc>
        <w:tc>
          <w:tcPr>
            <w:tcW w:w="1061" w:type="dxa"/>
            <w:vMerge/>
            <w:tcBorders>
              <w:left w:val="single" w:sz="4" w:space="0" w:color="000000"/>
              <w:bottom w:val="single" w:sz="4" w:space="0" w:color="000000"/>
              <w:right w:val="single" w:sz="4" w:space="0" w:color="000000"/>
            </w:tcBorders>
          </w:tcPr>
          <w:p>
            <w:pPr/>
          </w:p>
        </w:tc>
        <w:tc>
          <w:tcPr>
            <w:tcW w:w="1351" w:type="dxa"/>
            <w:tcBorders>
              <w:top w:val="nil" w:sz="6" w:space="0" w:color="auto"/>
              <w:left w:val="single" w:sz="4" w:space="0" w:color="000000"/>
              <w:bottom w:val="single" w:sz="4" w:space="0" w:color="000000"/>
              <w:right w:val="nil" w:sz="6" w:space="0" w:color="auto"/>
            </w:tcBorders>
          </w:tcPr>
          <w:p>
            <w:pPr>
              <w:pStyle w:val="TableParagraph"/>
              <w:spacing w:line="240" w:lineRule="auto" w:before="110"/>
              <w:ind w:left="84" w:right="0"/>
              <w:jc w:val="center"/>
              <w:rPr>
                <w:rFonts w:ascii="Times New Roman" w:hAnsi="Times New Roman" w:cs="Times New Roman" w:eastAsia="Times New Roman" w:hint="default"/>
                <w:sz w:val="21"/>
                <w:szCs w:val="21"/>
              </w:rPr>
            </w:pPr>
            <w:r>
              <w:rPr>
                <w:rFonts w:ascii="Times New Roman"/>
                <w:sz w:val="21"/>
              </w:rPr>
              <w:t>35,679,513.31</w:t>
            </w:r>
          </w:p>
        </w:tc>
      </w:tr>
      <w:tr>
        <w:trPr>
          <w:trHeight w:val="487" w:hRule="exact"/>
        </w:trPr>
        <w:tc>
          <w:tcPr>
            <w:tcW w:w="2105" w:type="dxa"/>
            <w:tcBorders>
              <w:top w:val="single" w:sz="4" w:space="0" w:color="000000"/>
              <w:left w:val="nil" w:sz="6" w:space="0" w:color="auto"/>
              <w:bottom w:val="single" w:sz="12" w:space="0" w:color="000000"/>
              <w:right w:val="single" w:sz="4" w:space="0" w:color="000000"/>
            </w:tcBorders>
          </w:tcPr>
          <w:p>
            <w:pPr>
              <w:pStyle w:val="TableParagraph"/>
              <w:tabs>
                <w:tab w:pos="1269" w:val="left" w:leader="none"/>
              </w:tabs>
              <w:spacing w:line="240" w:lineRule="auto" w:before="160"/>
              <w:ind w:left="63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37,543,892.02</w:t>
            </w:r>
          </w:p>
        </w:tc>
        <w:tc>
          <w:tcPr>
            <w:tcW w:w="11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365,224.37</w:t>
            </w:r>
          </w:p>
        </w:tc>
        <w:tc>
          <w:tcPr>
            <w:tcW w:w="13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2" w:right="0"/>
              <w:jc w:val="center"/>
              <w:rPr>
                <w:rFonts w:ascii="Times New Roman" w:hAnsi="Times New Roman" w:cs="Times New Roman" w:eastAsia="Times New Roman" w:hint="default"/>
                <w:sz w:val="21"/>
                <w:szCs w:val="21"/>
              </w:rPr>
            </w:pPr>
            <w:r>
              <w:rPr>
                <w:rFonts w:ascii="Times New Roman"/>
                <w:sz w:val="21"/>
              </w:rPr>
              <w:t>37,178,667.65</w:t>
            </w:r>
          </w:p>
        </w:tc>
        <w:tc>
          <w:tcPr>
            <w:tcW w:w="13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88" w:right="0"/>
              <w:jc w:val="center"/>
              <w:rPr>
                <w:rFonts w:ascii="Times New Roman" w:hAnsi="Times New Roman" w:cs="Times New Roman" w:eastAsia="Times New Roman" w:hint="default"/>
                <w:sz w:val="21"/>
                <w:szCs w:val="21"/>
              </w:rPr>
            </w:pPr>
            <w:r>
              <w:rPr>
                <w:rFonts w:ascii="Times New Roman"/>
                <w:sz w:val="21"/>
              </w:rPr>
              <w:t>55,319,903.07</w:t>
            </w:r>
          </w:p>
        </w:tc>
        <w:tc>
          <w:tcPr>
            <w:tcW w:w="10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81" w:right="0"/>
              <w:jc w:val="left"/>
              <w:rPr>
                <w:rFonts w:ascii="Times New Roman" w:hAnsi="Times New Roman" w:cs="Times New Roman" w:eastAsia="Times New Roman" w:hint="default"/>
                <w:sz w:val="21"/>
                <w:szCs w:val="21"/>
              </w:rPr>
            </w:pPr>
            <w:r>
              <w:rPr>
                <w:rFonts w:ascii="Times New Roman"/>
                <w:sz w:val="21"/>
              </w:rPr>
              <w:t>317,633.59</w:t>
            </w:r>
          </w:p>
        </w:tc>
        <w:tc>
          <w:tcPr>
            <w:tcW w:w="135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84" w:right="0"/>
              <w:jc w:val="center"/>
              <w:rPr>
                <w:rFonts w:ascii="Times New Roman" w:hAnsi="Times New Roman" w:cs="Times New Roman" w:eastAsia="Times New Roman" w:hint="default"/>
                <w:sz w:val="21"/>
                <w:szCs w:val="21"/>
              </w:rPr>
            </w:pPr>
            <w:r>
              <w:rPr>
                <w:rFonts w:ascii="Times New Roman"/>
                <w:sz w:val="21"/>
              </w:rPr>
              <w:t>55,002,269.48</w:t>
            </w:r>
          </w:p>
        </w:tc>
      </w:tr>
    </w:tbl>
    <w:p>
      <w:pPr>
        <w:spacing w:line="240" w:lineRule="auto" w:before="3"/>
        <w:rPr>
          <w:rFonts w:ascii="宋体" w:hAnsi="宋体" w:cs="宋体" w:eastAsia="宋体" w:hint="default"/>
          <w:sz w:val="10"/>
          <w:szCs w:val="10"/>
        </w:rPr>
      </w:pPr>
    </w:p>
    <w:p>
      <w:pPr>
        <w:pStyle w:val="BodyText"/>
        <w:spacing w:line="240" w:lineRule="auto" w:before="36"/>
        <w:ind w:left="792" w:right="0"/>
        <w:jc w:val="left"/>
      </w:pPr>
      <w:r>
        <w:rPr/>
        <w:t>（</w:t>
      </w:r>
      <w:r>
        <w:rPr>
          <w:rFonts w:ascii="Times New Roman" w:hAnsi="Times New Roman" w:cs="Times New Roman" w:eastAsia="Times New Roman" w:hint="default"/>
        </w:rPr>
        <w:t>2</w:t>
      </w:r>
      <w:r>
        <w:rPr/>
        <w:t>）存货跌价准备：</w:t>
      </w:r>
    </w:p>
    <w:tbl>
      <w:tblPr>
        <w:tblW w:w="0" w:type="auto"/>
        <w:jc w:val="left"/>
        <w:tblInd w:w="116" w:type="dxa"/>
        <w:tblLayout w:type="fixed"/>
        <w:tblCellMar>
          <w:top w:w="0" w:type="dxa"/>
          <w:left w:w="0" w:type="dxa"/>
          <w:bottom w:w="0" w:type="dxa"/>
          <w:right w:w="0" w:type="dxa"/>
        </w:tblCellMar>
        <w:tblLook w:val="01E0"/>
      </w:tblPr>
      <w:tblGrid>
        <w:gridCol w:w="1368"/>
        <w:gridCol w:w="1322"/>
        <w:gridCol w:w="1601"/>
        <w:gridCol w:w="1793"/>
        <w:gridCol w:w="1793"/>
        <w:gridCol w:w="1992"/>
      </w:tblGrid>
      <w:tr>
        <w:trPr>
          <w:trHeight w:val="482" w:hRule="exact"/>
        </w:trPr>
        <w:tc>
          <w:tcPr>
            <w:tcW w:w="1368"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322"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601"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本年计提额</w:t>
            </w:r>
          </w:p>
        </w:tc>
        <w:tc>
          <w:tcPr>
            <w:tcW w:w="358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本年减少额</w:t>
            </w:r>
          </w:p>
        </w:tc>
        <w:tc>
          <w:tcPr>
            <w:tcW w:w="1992" w:type="dxa"/>
            <w:vMerge w:val="restart"/>
            <w:tcBorders>
              <w:top w:val="single" w:sz="12"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570"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468" w:hRule="exact"/>
        </w:trPr>
        <w:tc>
          <w:tcPr>
            <w:tcW w:w="1368" w:type="dxa"/>
            <w:vMerge/>
            <w:tcBorders>
              <w:left w:val="nil" w:sz="6" w:space="0" w:color="auto"/>
              <w:bottom w:val="single" w:sz="4" w:space="0" w:color="000000"/>
              <w:right w:val="single" w:sz="4" w:space="0" w:color="000000"/>
            </w:tcBorders>
          </w:tcPr>
          <w:p>
            <w:pPr/>
          </w:p>
        </w:tc>
        <w:tc>
          <w:tcPr>
            <w:tcW w:w="1322" w:type="dxa"/>
            <w:vMerge/>
            <w:tcBorders>
              <w:left w:val="single" w:sz="4" w:space="0" w:color="000000"/>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992" w:type="dxa"/>
            <w:vMerge/>
            <w:tcBorders>
              <w:left w:val="single" w:sz="4" w:space="0" w:color="000000"/>
              <w:bottom w:val="single" w:sz="4" w:space="0" w:color="000000"/>
              <w:right w:val="nil" w:sz="6" w:space="0" w:color="auto"/>
            </w:tcBorders>
          </w:tcPr>
          <w:p>
            <w:pPr/>
          </w:p>
        </w:tc>
      </w:tr>
      <w:tr>
        <w:trPr>
          <w:trHeight w:val="470"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317,633.59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47,590.78</w:t>
            </w:r>
          </w:p>
        </w:tc>
        <w:tc>
          <w:tcPr>
            <w:tcW w:w="1793"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365,224.37</w:t>
            </w:r>
          </w:p>
        </w:tc>
      </w:tr>
      <w:tr>
        <w:trPr>
          <w:trHeight w:val="482" w:hRule="exact"/>
        </w:trPr>
        <w:tc>
          <w:tcPr>
            <w:tcW w:w="1368" w:type="dxa"/>
            <w:tcBorders>
              <w:top w:val="single" w:sz="4" w:space="0" w:color="000000"/>
              <w:left w:val="nil" w:sz="6" w:space="0" w:color="auto"/>
              <w:bottom w:val="single" w:sz="12" w:space="0" w:color="000000"/>
              <w:right w:val="single" w:sz="4" w:space="0" w:color="000000"/>
            </w:tcBorders>
          </w:tcPr>
          <w:p>
            <w:pPr>
              <w:pStyle w:val="TableParagraph"/>
              <w:tabs>
                <w:tab w:pos="902" w:val="left" w:leader="none"/>
              </w:tabs>
              <w:spacing w:line="240" w:lineRule="auto" w:before="153"/>
              <w:ind w:left="27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317,633.59</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47,590.78</w:t>
            </w:r>
          </w:p>
        </w:tc>
        <w:tc>
          <w:tcPr>
            <w:tcW w:w="1793" w:type="dxa"/>
            <w:tcBorders>
              <w:top w:val="single" w:sz="4" w:space="0" w:color="000000"/>
              <w:left w:val="single" w:sz="4" w:space="0" w:color="000000"/>
              <w:bottom w:val="single" w:sz="12" w:space="0" w:color="000000"/>
              <w:right w:val="single" w:sz="4" w:space="0" w:color="000000"/>
            </w:tcBorders>
          </w:tcPr>
          <w:p>
            <w:pPr/>
          </w:p>
        </w:tc>
        <w:tc>
          <w:tcPr>
            <w:tcW w:w="1793" w:type="dxa"/>
            <w:tcBorders>
              <w:top w:val="single" w:sz="4" w:space="0" w:color="000000"/>
              <w:left w:val="single" w:sz="4" w:space="0" w:color="000000"/>
              <w:bottom w:val="single" w:sz="12" w:space="0" w:color="000000"/>
              <w:right w:val="single" w:sz="4" w:space="0" w:color="000000"/>
            </w:tcBorders>
          </w:tcPr>
          <w:p>
            <w:pPr/>
          </w:p>
        </w:tc>
        <w:tc>
          <w:tcPr>
            <w:tcW w:w="19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365,224.37</w:t>
            </w:r>
          </w:p>
        </w:tc>
      </w:tr>
    </w:tbl>
    <w:p>
      <w:pPr>
        <w:spacing w:line="240" w:lineRule="auto" w:before="1"/>
        <w:rPr>
          <w:rFonts w:ascii="宋体" w:hAnsi="宋体" w:cs="宋体" w:eastAsia="宋体" w:hint="default"/>
          <w:sz w:val="10"/>
          <w:szCs w:val="10"/>
        </w:rPr>
      </w:pPr>
    </w:p>
    <w:p>
      <w:pPr>
        <w:pStyle w:val="BodyText"/>
        <w:spacing w:line="240" w:lineRule="auto" w:before="36"/>
        <w:ind w:left="672" w:right="0"/>
        <w:jc w:val="left"/>
      </w:pPr>
      <w:r>
        <w:rPr/>
        <w:t>（</w:t>
      </w:r>
      <w:r>
        <w:rPr>
          <w:rFonts w:ascii="Times New Roman" w:hAnsi="Times New Roman" w:cs="Times New Roman" w:eastAsia="Times New Roman" w:hint="default"/>
        </w:rPr>
        <w:t>3</w:t>
      </w:r>
      <w:r>
        <w:rPr/>
        <w:t>）</w:t>
      </w:r>
      <w:r>
        <w:rPr>
          <w:color w:val="303030"/>
        </w:rPr>
        <w:t>存货跌价准备情况</w:t>
      </w:r>
      <w:r>
        <w:rPr/>
      </w:r>
    </w:p>
    <w:tbl>
      <w:tblPr>
        <w:tblW w:w="0" w:type="auto"/>
        <w:jc w:val="left"/>
        <w:tblInd w:w="192" w:type="dxa"/>
        <w:tblLayout w:type="fixed"/>
        <w:tblCellMar>
          <w:top w:w="0" w:type="dxa"/>
          <w:left w:w="0" w:type="dxa"/>
          <w:bottom w:w="0" w:type="dxa"/>
          <w:right w:w="0" w:type="dxa"/>
        </w:tblCellMar>
        <w:tblLook w:val="01E0"/>
      </w:tblPr>
      <w:tblGrid>
        <w:gridCol w:w="1838"/>
        <w:gridCol w:w="2383"/>
        <w:gridCol w:w="2386"/>
        <w:gridCol w:w="3108"/>
      </w:tblGrid>
      <w:tr>
        <w:trPr>
          <w:trHeight w:val="941" w:hRule="exact"/>
        </w:trPr>
        <w:tc>
          <w:tcPr>
            <w:tcW w:w="18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tabs>
                <w:tab w:pos="1137" w:val="left" w:leader="none"/>
              </w:tabs>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计提存货跌价准备的依据</w:t>
            </w:r>
          </w:p>
        </w:tc>
        <w:tc>
          <w:tcPr>
            <w:tcW w:w="2386" w:type="dxa"/>
            <w:tcBorders>
              <w:top w:val="single" w:sz="12" w:space="0" w:color="000000"/>
              <w:left w:val="single" w:sz="4" w:space="0" w:color="000000"/>
              <w:bottom w:val="single" w:sz="4" w:space="0" w:color="000000"/>
              <w:right w:val="single" w:sz="4" w:space="0" w:color="000000"/>
            </w:tcBorders>
          </w:tcPr>
          <w:p>
            <w:pPr>
              <w:pStyle w:val="TableParagraph"/>
              <w:spacing w:line="458" w:lineRule="exact" w:before="34"/>
              <w:ind w:left="979" w:right="26" w:hanging="946"/>
              <w:jc w:val="left"/>
              <w:rPr>
                <w:rFonts w:ascii="宋体" w:hAnsi="宋体" w:cs="宋体" w:eastAsia="宋体" w:hint="default"/>
                <w:sz w:val="21"/>
                <w:szCs w:val="21"/>
              </w:rPr>
            </w:pPr>
            <w:r>
              <w:rPr>
                <w:rFonts w:ascii="宋体" w:hAnsi="宋体" w:cs="宋体" w:eastAsia="宋体" w:hint="default"/>
                <w:spacing w:val="-2"/>
                <w:sz w:val="21"/>
                <w:szCs w:val="21"/>
              </w:rPr>
              <w:t>本期转销存货跌价准备的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原因</w:t>
            </w:r>
          </w:p>
        </w:tc>
        <w:tc>
          <w:tcPr>
            <w:tcW w:w="3108" w:type="dxa"/>
            <w:tcBorders>
              <w:top w:val="single" w:sz="12" w:space="0" w:color="000000"/>
              <w:left w:val="single" w:sz="4" w:space="0" w:color="000000"/>
              <w:bottom w:val="single" w:sz="4" w:space="0" w:color="000000"/>
              <w:right w:val="nil" w:sz="6" w:space="0" w:color="auto"/>
            </w:tcBorders>
          </w:tcPr>
          <w:p>
            <w:pPr>
              <w:pStyle w:val="TableParagraph"/>
              <w:spacing w:line="458" w:lineRule="exact" w:before="34"/>
              <w:ind w:left="972" w:right="79" w:hanging="89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本期转销金额占该项存货年末余</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480" w:hRule="exact"/>
        </w:trPr>
        <w:tc>
          <w:tcPr>
            <w:tcW w:w="18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left="4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3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成本高于可变现净值</w:t>
            </w:r>
          </w:p>
        </w:tc>
        <w:tc>
          <w:tcPr>
            <w:tcW w:w="2386" w:type="dxa"/>
            <w:tcBorders>
              <w:top w:val="single" w:sz="4" w:space="0" w:color="000000"/>
              <w:left w:val="single" w:sz="4" w:space="0" w:color="000000"/>
              <w:bottom w:val="single" w:sz="12" w:space="0" w:color="000000"/>
              <w:right w:val="single" w:sz="4" w:space="0" w:color="000000"/>
            </w:tcBorders>
          </w:tcPr>
          <w:p>
            <w:pPr/>
          </w:p>
        </w:tc>
        <w:tc>
          <w:tcPr>
            <w:tcW w:w="31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
        <w:rPr>
          <w:rFonts w:ascii="宋体" w:hAnsi="宋体" w:cs="宋体" w:eastAsia="宋体" w:hint="default"/>
          <w:sz w:val="10"/>
          <w:szCs w:val="10"/>
        </w:rPr>
      </w:pPr>
    </w:p>
    <w:p>
      <w:pPr>
        <w:pStyle w:val="BodyText"/>
        <w:spacing w:line="240" w:lineRule="auto" w:before="36"/>
        <w:ind w:left="672" w:right="0"/>
        <w:jc w:val="left"/>
      </w:pPr>
      <w:r>
        <w:rPr/>
        <w:t>注：存货</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日比</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日减少了</w:t>
      </w:r>
      <w:r>
        <w:rPr>
          <w:rFonts w:ascii="Times New Roman" w:hAnsi="Times New Roman" w:cs="Times New Roman" w:eastAsia="Times New Roman" w:hint="default"/>
        </w:rPr>
        <w:t>32.13</w:t>
      </w:r>
      <w:r>
        <w:rPr/>
        <w:t>％，主要系在建系统集成项目成本减少所致。</w:t>
      </w:r>
    </w:p>
    <w:p>
      <w:pPr>
        <w:pStyle w:val="BodyText"/>
        <w:spacing w:line="240" w:lineRule="auto" w:before="191"/>
        <w:ind w:left="673" w:right="0"/>
        <w:jc w:val="left"/>
      </w:pPr>
      <w:r>
        <w:rPr>
          <w:rFonts w:ascii="Times New Roman" w:hAnsi="Times New Roman" w:cs="Times New Roman" w:eastAsia="Times New Roman" w:hint="default"/>
        </w:rPr>
        <w:t>6</w:t>
      </w:r>
      <w:r>
        <w:rPr/>
        <w:t>．一年内到期的非流动资产：</w:t>
      </w:r>
    </w:p>
    <w:tbl>
      <w:tblPr>
        <w:tblW w:w="0" w:type="auto"/>
        <w:jc w:val="left"/>
        <w:tblInd w:w="130" w:type="dxa"/>
        <w:tblLayout w:type="fixed"/>
        <w:tblCellMar>
          <w:top w:w="0" w:type="dxa"/>
          <w:left w:w="0" w:type="dxa"/>
          <w:bottom w:w="0" w:type="dxa"/>
          <w:right w:w="0" w:type="dxa"/>
        </w:tblCellMar>
        <w:tblLook w:val="01E0"/>
      </w:tblPr>
      <w:tblGrid>
        <w:gridCol w:w="3727"/>
        <w:gridCol w:w="1874"/>
        <w:gridCol w:w="2189"/>
        <w:gridCol w:w="2078"/>
      </w:tblGrid>
      <w:tr>
        <w:trPr>
          <w:trHeight w:val="502" w:hRule="exact"/>
        </w:trPr>
        <w:tc>
          <w:tcPr>
            <w:tcW w:w="3727" w:type="dxa"/>
            <w:tcBorders>
              <w:top w:val="single" w:sz="12" w:space="0" w:color="000000"/>
              <w:left w:val="nil" w:sz="6" w:space="0" w:color="auto"/>
              <w:bottom w:val="single" w:sz="4" w:space="0" w:color="000000"/>
              <w:right w:val="single" w:sz="4" w:space="0" w:color="000000"/>
            </w:tcBorders>
          </w:tcPr>
          <w:p>
            <w:pPr>
              <w:pStyle w:val="TableParagraph"/>
              <w:tabs>
                <w:tab w:pos="651" w:val="left" w:leader="none"/>
              </w:tabs>
              <w:spacing w:line="240" w:lineRule="auto" w:before="177"/>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7"/>
              <w:ind w:left="514"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1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7"/>
              <w:ind w:left="670"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0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599" w:hRule="exact"/>
        </w:trPr>
        <w:tc>
          <w:tcPr>
            <w:tcW w:w="3727" w:type="dxa"/>
            <w:tcBorders>
              <w:top w:val="single" w:sz="4" w:space="0" w:color="000000"/>
              <w:left w:val="nil" w:sz="6" w:space="0" w:color="auto"/>
              <w:bottom w:val="nil" w:sz="6" w:space="0" w:color="auto"/>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北海石基信息技术有限公司</w:t>
            </w:r>
          </w:p>
        </w:tc>
        <w:tc>
          <w:tcPr>
            <w:tcW w:w="1874" w:type="dxa"/>
            <w:vMerge w:val="restart"/>
            <w:tcBorders>
              <w:top w:val="single" w:sz="4" w:space="0" w:color="000000"/>
              <w:left w:val="single" w:sz="4" w:space="0" w:color="000000"/>
              <w:right w:val="single" w:sz="4" w:space="0" w:color="000000"/>
            </w:tcBorders>
          </w:tcPr>
          <w:p>
            <w:pPr/>
          </w:p>
        </w:tc>
        <w:tc>
          <w:tcPr>
            <w:tcW w:w="21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21,461.16</w:t>
            </w:r>
          </w:p>
        </w:tc>
        <w:tc>
          <w:tcPr>
            <w:tcW w:w="2078" w:type="dxa"/>
            <w:tcBorders>
              <w:top w:val="single" w:sz="4" w:space="0" w:color="000000"/>
              <w:left w:val="single" w:sz="4" w:space="0" w:color="000000"/>
              <w:bottom w:val="nil" w:sz="6" w:space="0" w:color="auto"/>
              <w:right w:val="nil" w:sz="6" w:space="0" w:color="auto"/>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sz w:val="21"/>
                <w:szCs w:val="21"/>
              </w:rPr>
              <w:t>办公楼装修费</w:t>
            </w:r>
          </w:p>
        </w:tc>
      </w:tr>
      <w:tr>
        <w:trPr>
          <w:trHeight w:val="480" w:hRule="exact"/>
        </w:trPr>
        <w:tc>
          <w:tcPr>
            <w:tcW w:w="3727"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南京银石计算机系统有限公司</w:t>
            </w:r>
          </w:p>
        </w:tc>
        <w:tc>
          <w:tcPr>
            <w:tcW w:w="1874" w:type="dxa"/>
            <w:vMerge/>
            <w:tcBorders>
              <w:left w:val="single" w:sz="4" w:space="0" w:color="000000"/>
              <w:right w:val="single" w:sz="4" w:space="0" w:color="000000"/>
            </w:tcBorders>
          </w:tcPr>
          <w:p>
            <w:pPr/>
          </w:p>
        </w:tc>
        <w:tc>
          <w:tcPr>
            <w:tcW w:w="2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43,291.67</w:t>
            </w:r>
          </w:p>
        </w:tc>
        <w:tc>
          <w:tcPr>
            <w:tcW w:w="2078"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2"/>
              <w:jc w:val="center"/>
              <w:rPr>
                <w:rFonts w:ascii="宋体" w:hAnsi="宋体" w:cs="宋体" w:eastAsia="宋体" w:hint="default"/>
                <w:sz w:val="21"/>
                <w:szCs w:val="21"/>
              </w:rPr>
            </w:pPr>
            <w:r>
              <w:rPr>
                <w:rFonts w:ascii="宋体" w:hAnsi="宋体" w:cs="宋体" w:eastAsia="宋体" w:hint="default"/>
                <w:sz w:val="21"/>
                <w:szCs w:val="21"/>
              </w:rPr>
              <w:t>房租</w:t>
            </w:r>
          </w:p>
        </w:tc>
      </w:tr>
      <w:tr>
        <w:trPr>
          <w:trHeight w:val="370" w:hRule="exact"/>
        </w:trPr>
        <w:tc>
          <w:tcPr>
            <w:tcW w:w="3727" w:type="dxa"/>
            <w:tcBorders>
              <w:top w:val="nil" w:sz="6" w:space="0" w:color="auto"/>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南京银石电脑系统工程有限公司</w:t>
            </w:r>
          </w:p>
        </w:tc>
        <w:tc>
          <w:tcPr>
            <w:tcW w:w="1874" w:type="dxa"/>
            <w:vMerge/>
            <w:tcBorders>
              <w:left w:val="single" w:sz="4" w:space="0" w:color="000000"/>
              <w:bottom w:val="single" w:sz="4" w:space="0" w:color="000000"/>
              <w:right w:val="single" w:sz="4" w:space="0" w:color="000000"/>
            </w:tcBorders>
          </w:tcPr>
          <w:p>
            <w:pPr/>
          </w:p>
        </w:tc>
        <w:tc>
          <w:tcPr>
            <w:tcW w:w="21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6,583.34</w:t>
            </w:r>
          </w:p>
        </w:tc>
        <w:tc>
          <w:tcPr>
            <w:tcW w:w="2078" w:type="dxa"/>
            <w:tcBorders>
              <w:top w:val="nil" w:sz="6" w:space="0" w:color="auto"/>
              <w:left w:val="single" w:sz="4" w:space="0" w:color="000000"/>
              <w:bottom w:val="single" w:sz="4" w:space="0" w:color="000000"/>
              <w:right w:val="nil" w:sz="6" w:space="0" w:color="auto"/>
            </w:tcBorders>
          </w:tcPr>
          <w:p>
            <w:pPr>
              <w:pStyle w:val="TableParagraph"/>
              <w:spacing w:line="240" w:lineRule="auto" w:before="60"/>
              <w:ind w:right="2"/>
              <w:jc w:val="center"/>
              <w:rPr>
                <w:rFonts w:ascii="宋体" w:hAnsi="宋体" w:cs="宋体" w:eastAsia="宋体" w:hint="default"/>
                <w:sz w:val="21"/>
                <w:szCs w:val="21"/>
              </w:rPr>
            </w:pPr>
            <w:r>
              <w:rPr>
                <w:rFonts w:ascii="宋体" w:hAnsi="宋体" w:cs="宋体" w:eastAsia="宋体" w:hint="default"/>
                <w:sz w:val="21"/>
                <w:szCs w:val="21"/>
              </w:rPr>
              <w:t>房租</w:t>
            </w:r>
          </w:p>
        </w:tc>
      </w:tr>
      <w:tr>
        <w:trPr>
          <w:trHeight w:val="499" w:hRule="exact"/>
        </w:trPr>
        <w:tc>
          <w:tcPr>
            <w:tcW w:w="3727"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74" w:type="dxa"/>
            <w:tcBorders>
              <w:top w:val="single" w:sz="4" w:space="0" w:color="000000"/>
              <w:left w:val="single" w:sz="4" w:space="0" w:color="000000"/>
              <w:bottom w:val="single" w:sz="12" w:space="0" w:color="000000"/>
              <w:right w:val="single" w:sz="4" w:space="0" w:color="000000"/>
            </w:tcBorders>
          </w:tcPr>
          <w:p>
            <w:pPr/>
          </w:p>
        </w:tc>
        <w:tc>
          <w:tcPr>
            <w:tcW w:w="2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71,336.17</w:t>
            </w:r>
          </w:p>
        </w:tc>
        <w:tc>
          <w:tcPr>
            <w:tcW w:w="207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11"/>
          <w:szCs w:val="11"/>
        </w:rPr>
      </w:pPr>
    </w:p>
    <w:p>
      <w:pPr>
        <w:pStyle w:val="BodyText"/>
        <w:spacing w:line="240" w:lineRule="auto" w:before="36"/>
        <w:ind w:left="672" w:right="0"/>
        <w:jc w:val="left"/>
      </w:pPr>
      <w:r>
        <w:rPr/>
        <w:t>注：一年内到期的非流动资产本期已全部摊销完毕。</w:t>
      </w:r>
    </w:p>
    <w:p>
      <w:pPr>
        <w:spacing w:after="0" w:line="240" w:lineRule="auto"/>
        <w:jc w:val="left"/>
        <w:sectPr>
          <w:pgSz w:w="11910" w:h="16840"/>
          <w:pgMar w:header="850" w:footer="979" w:top="1200" w:bottom="1160" w:left="880" w:right="880"/>
        </w:sectPr>
      </w:pPr>
    </w:p>
    <w:p>
      <w:pPr>
        <w:spacing w:line="240" w:lineRule="auto" w:before="10"/>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pStyle w:val="BodyText"/>
        <w:spacing w:line="240" w:lineRule="auto" w:before="36"/>
        <w:ind w:left="672" w:right="0"/>
        <w:jc w:val="left"/>
      </w:pPr>
      <w:r>
        <w:rPr>
          <w:rFonts w:ascii="Times New Roman" w:hAnsi="Times New Roman" w:cs="Times New Roman" w:eastAsia="Times New Roman" w:hint="default"/>
        </w:rPr>
        <w:t>7</w:t>
      </w:r>
      <w:r>
        <w:rPr/>
        <w:t>．其他流动资产：</w:t>
      </w:r>
    </w:p>
    <w:tbl>
      <w:tblPr>
        <w:tblW w:w="0" w:type="auto"/>
        <w:jc w:val="left"/>
        <w:tblInd w:w="116" w:type="dxa"/>
        <w:tblLayout w:type="fixed"/>
        <w:tblCellMar>
          <w:top w:w="0" w:type="dxa"/>
          <w:left w:w="0" w:type="dxa"/>
          <w:bottom w:w="0" w:type="dxa"/>
          <w:right w:w="0" w:type="dxa"/>
        </w:tblCellMar>
        <w:tblLook w:val="01E0"/>
      </w:tblPr>
      <w:tblGrid>
        <w:gridCol w:w="3830"/>
        <w:gridCol w:w="2052"/>
        <w:gridCol w:w="3060"/>
      </w:tblGrid>
      <w:tr>
        <w:trPr>
          <w:trHeight w:val="499" w:hRule="exact"/>
        </w:trPr>
        <w:tc>
          <w:tcPr>
            <w:tcW w:w="38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4"/>
              <w:ind w:right="1689"/>
              <w:jc w:val="right"/>
              <w:rPr>
                <w:rFonts w:ascii="宋体" w:hAnsi="宋体" w:cs="宋体" w:eastAsia="宋体" w:hint="default"/>
                <w:sz w:val="21"/>
                <w:szCs w:val="21"/>
              </w:rPr>
            </w:pPr>
            <w:r>
              <w:rPr>
                <w:rFonts w:ascii="宋体" w:hAnsi="宋体" w:cs="宋体" w:eastAsia="宋体" w:hint="default"/>
                <w:sz w:val="21"/>
                <w:szCs w:val="21"/>
              </w:rPr>
              <w:t>项目</w:t>
            </w:r>
          </w:p>
        </w:tc>
        <w:tc>
          <w:tcPr>
            <w:tcW w:w="20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4"/>
              <w:ind w:left="602"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30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2" w:hRule="exact"/>
        </w:trPr>
        <w:tc>
          <w:tcPr>
            <w:tcW w:w="3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．理财产品</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628" w:right="0"/>
              <w:jc w:val="left"/>
              <w:rPr>
                <w:rFonts w:ascii="Times New Roman" w:hAnsi="Times New Roman" w:cs="Times New Roman" w:eastAsia="Times New Roman" w:hint="default"/>
                <w:sz w:val="21"/>
                <w:szCs w:val="21"/>
              </w:rPr>
            </w:pPr>
            <w:r>
              <w:rPr>
                <w:rFonts w:ascii="Times New Roman"/>
                <w:sz w:val="21"/>
              </w:rPr>
              <w:t>227,200,000.00</w:t>
            </w: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38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4"/>
              <w:ind w:right="1691"/>
              <w:jc w:val="right"/>
              <w:rPr>
                <w:rFonts w:ascii="宋体" w:hAnsi="宋体" w:cs="宋体" w:eastAsia="宋体" w:hint="default"/>
                <w:sz w:val="21"/>
                <w:szCs w:val="21"/>
              </w:rPr>
            </w:pPr>
            <w:r>
              <w:rPr>
                <w:rFonts w:ascii="宋体" w:hAnsi="宋体" w:cs="宋体" w:eastAsia="宋体" w:hint="default"/>
                <w:sz w:val="21"/>
                <w:szCs w:val="21"/>
              </w:rPr>
              <w:t>合计</w:t>
            </w:r>
          </w:p>
        </w:tc>
        <w:tc>
          <w:tcPr>
            <w:tcW w:w="20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28" w:right="0"/>
              <w:jc w:val="left"/>
              <w:rPr>
                <w:rFonts w:ascii="Times New Roman" w:hAnsi="Times New Roman" w:cs="Times New Roman" w:eastAsia="Times New Roman" w:hint="default"/>
                <w:sz w:val="21"/>
                <w:szCs w:val="21"/>
              </w:rPr>
            </w:pPr>
            <w:r>
              <w:rPr>
                <w:rFonts w:ascii="Times New Roman"/>
                <w:sz w:val="21"/>
              </w:rPr>
              <w:t>227,200,000.00</w:t>
            </w:r>
          </w:p>
        </w:tc>
        <w:tc>
          <w:tcPr>
            <w:tcW w:w="306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11"/>
          <w:szCs w:val="11"/>
        </w:rPr>
      </w:pPr>
    </w:p>
    <w:p>
      <w:pPr>
        <w:pStyle w:val="BodyText"/>
        <w:spacing w:line="240" w:lineRule="auto" w:before="36"/>
        <w:ind w:left="672" w:right="0"/>
        <w:jc w:val="left"/>
      </w:pPr>
      <w:r>
        <w:rPr/>
        <w:t>注：其他流动资产年末余额为公司购买的银行短期保本型理财产品。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left="672" w:right="0"/>
        <w:jc w:val="left"/>
      </w:pPr>
      <w:r>
        <w:rPr>
          <w:rFonts w:ascii="Times New Roman" w:hAnsi="Times New Roman" w:cs="Times New Roman" w:eastAsia="Times New Roman" w:hint="default"/>
        </w:rPr>
        <w:t>8</w:t>
      </w:r>
      <w:r>
        <w:rPr/>
        <w:t>．可供出售金融资产：</w:t>
      </w:r>
    </w:p>
    <w:tbl>
      <w:tblPr>
        <w:tblW w:w="0" w:type="auto"/>
        <w:jc w:val="left"/>
        <w:tblInd w:w="116" w:type="dxa"/>
        <w:tblLayout w:type="fixed"/>
        <w:tblCellMar>
          <w:top w:w="0" w:type="dxa"/>
          <w:left w:w="0" w:type="dxa"/>
          <w:bottom w:w="0" w:type="dxa"/>
          <w:right w:w="0" w:type="dxa"/>
        </w:tblCellMar>
        <w:tblLook w:val="01E0"/>
      </w:tblPr>
      <w:tblGrid>
        <w:gridCol w:w="3310"/>
        <w:gridCol w:w="3372"/>
        <w:gridCol w:w="3187"/>
      </w:tblGrid>
      <w:tr>
        <w:trPr>
          <w:trHeight w:val="502" w:hRule="exact"/>
        </w:trPr>
        <w:tc>
          <w:tcPr>
            <w:tcW w:w="3310"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177"/>
              <w:ind w:right="121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3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7"/>
              <w:ind w:left="1051" w:right="0"/>
              <w:jc w:val="left"/>
              <w:rPr>
                <w:rFonts w:ascii="宋体" w:hAnsi="宋体" w:cs="宋体" w:eastAsia="宋体" w:hint="default"/>
                <w:sz w:val="21"/>
                <w:szCs w:val="21"/>
              </w:rPr>
            </w:pPr>
            <w:r>
              <w:rPr>
                <w:rFonts w:ascii="宋体" w:hAnsi="宋体" w:cs="宋体" w:eastAsia="宋体" w:hint="default"/>
                <w:sz w:val="21"/>
                <w:szCs w:val="21"/>
              </w:rPr>
              <w:t>年末公允价值</w:t>
            </w:r>
          </w:p>
        </w:tc>
        <w:tc>
          <w:tcPr>
            <w:tcW w:w="31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7"/>
              <w:ind w:left="957"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r>
        <w:trPr>
          <w:trHeight w:val="49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72" w:type="dxa"/>
            <w:tcBorders>
              <w:top w:val="single" w:sz="4" w:space="0" w:color="000000"/>
              <w:left w:val="single" w:sz="4" w:space="0" w:color="000000"/>
              <w:bottom w:val="single" w:sz="4" w:space="0" w:color="000000"/>
              <w:right w:val="single" w:sz="4" w:space="0" w:color="000000"/>
            </w:tcBorders>
          </w:tcPr>
          <w:p>
            <w:pP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323,342.00</w:t>
            </w:r>
          </w:p>
        </w:tc>
      </w:tr>
      <w:tr>
        <w:trPr>
          <w:trHeight w:val="502" w:hRule="exact"/>
        </w:trPr>
        <w:tc>
          <w:tcPr>
            <w:tcW w:w="3310"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174"/>
              <w:ind w:right="12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372" w:type="dxa"/>
            <w:tcBorders>
              <w:top w:val="single" w:sz="4" w:space="0" w:color="000000"/>
              <w:left w:val="single" w:sz="4" w:space="0" w:color="000000"/>
              <w:bottom w:val="single" w:sz="12" w:space="0" w:color="000000"/>
              <w:right w:val="single" w:sz="4" w:space="0" w:color="000000"/>
            </w:tcBorders>
          </w:tcPr>
          <w:p>
            <w:pPr/>
          </w:p>
        </w:tc>
        <w:tc>
          <w:tcPr>
            <w:tcW w:w="31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323,342.00</w:t>
            </w:r>
          </w:p>
        </w:tc>
      </w:tr>
    </w:tbl>
    <w:p>
      <w:pPr>
        <w:spacing w:line="240" w:lineRule="auto" w:before="9"/>
        <w:rPr>
          <w:rFonts w:ascii="宋体" w:hAnsi="宋体" w:cs="宋体" w:eastAsia="宋体" w:hint="default"/>
          <w:sz w:val="11"/>
          <w:szCs w:val="11"/>
        </w:rPr>
      </w:pPr>
    </w:p>
    <w:p>
      <w:pPr>
        <w:pStyle w:val="BodyText"/>
        <w:spacing w:line="396" w:lineRule="auto" w:before="36"/>
        <w:ind w:left="252" w:right="0" w:firstLine="419"/>
        <w:jc w:val="left"/>
      </w:pPr>
      <w:r>
        <w:rPr/>
        <w:t>注：年初可供出售金融资产系公司控股子公司</w:t>
      </w:r>
      <w:r>
        <w:rPr>
          <w:rFonts w:ascii="Times New Roman" w:hAnsi="Times New Roman" w:cs="Times New Roman" w:eastAsia="Times New Roman" w:hint="default"/>
        </w:rPr>
        <w:t>Infrasys International Ltd</w:t>
      </w:r>
      <w:r>
        <w:rPr/>
        <w:t>购入的</w:t>
      </w:r>
      <w:r>
        <w:rPr>
          <w:rFonts w:ascii="Times New Roman" w:hAnsi="Times New Roman" w:cs="Times New Roman" w:eastAsia="Times New Roman" w:hint="default"/>
        </w:rPr>
        <w:t>Mission Hills Golf</w:t>
      </w:r>
      <w:r>
        <w:rPr>
          <w:rFonts w:ascii="Times New Roman" w:hAnsi="Times New Roman" w:cs="Times New Roman" w:eastAsia="Times New Roman" w:hint="default"/>
          <w:spacing w:val="-24"/>
        </w:rPr>
        <w:t> </w:t>
      </w:r>
      <w:r>
        <w:rPr>
          <w:rFonts w:ascii="Times New Roman" w:hAnsi="Times New Roman" w:cs="Times New Roman" w:eastAsia="Times New Roman" w:hint="default"/>
        </w:rPr>
        <w:t>Club</w:t>
      </w:r>
      <w:r>
        <w:rPr/>
        <w:t>高</w:t>
      </w:r>
      <w:r>
        <w:rPr>
          <w:w w:val="100"/>
        </w:rPr>
        <w:t> </w:t>
      </w:r>
      <w:r>
        <w:rPr/>
        <w:t>尔夫会籍，本期已出售。</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ind w:left="673" w:right="0"/>
        <w:jc w:val="left"/>
      </w:pPr>
      <w:r>
        <w:rPr>
          <w:rFonts w:ascii="Times New Roman" w:hAnsi="Times New Roman" w:cs="Times New Roman" w:eastAsia="Times New Roman" w:hint="default"/>
        </w:rPr>
        <w:t>9</w:t>
      </w:r>
      <w:r>
        <w:rPr/>
        <w:t>．持有至到期投资：</w:t>
      </w:r>
    </w:p>
    <w:tbl>
      <w:tblPr>
        <w:tblW w:w="0" w:type="auto"/>
        <w:jc w:val="left"/>
        <w:tblInd w:w="116" w:type="dxa"/>
        <w:tblLayout w:type="fixed"/>
        <w:tblCellMar>
          <w:top w:w="0" w:type="dxa"/>
          <w:left w:w="0" w:type="dxa"/>
          <w:bottom w:w="0" w:type="dxa"/>
          <w:right w:w="0" w:type="dxa"/>
        </w:tblCellMar>
        <w:tblLook w:val="01E0"/>
      </w:tblPr>
      <w:tblGrid>
        <w:gridCol w:w="3310"/>
        <w:gridCol w:w="3372"/>
        <w:gridCol w:w="3187"/>
      </w:tblGrid>
      <w:tr>
        <w:trPr>
          <w:trHeight w:val="499" w:hRule="exact"/>
        </w:trPr>
        <w:tc>
          <w:tcPr>
            <w:tcW w:w="3310"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174"/>
              <w:ind w:right="121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3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1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4"/>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凭证式国债</w:t>
            </w:r>
          </w:p>
        </w:tc>
        <w:tc>
          <w:tcPr>
            <w:tcW w:w="3372" w:type="dxa"/>
            <w:tcBorders>
              <w:top w:val="single" w:sz="4" w:space="0" w:color="000000"/>
              <w:left w:val="single" w:sz="4" w:space="0" w:color="000000"/>
              <w:bottom w:val="single" w:sz="4" w:space="0" w:color="000000"/>
              <w:right w:val="single" w:sz="4" w:space="0" w:color="000000"/>
            </w:tcBorders>
          </w:tcPr>
          <w:p>
            <w:pP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2,015,744.44</w:t>
            </w:r>
          </w:p>
        </w:tc>
      </w:tr>
      <w:tr>
        <w:trPr>
          <w:trHeight w:val="502" w:hRule="exact"/>
        </w:trPr>
        <w:tc>
          <w:tcPr>
            <w:tcW w:w="3310"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174"/>
              <w:ind w:right="12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372" w:type="dxa"/>
            <w:tcBorders>
              <w:top w:val="single" w:sz="4" w:space="0" w:color="000000"/>
              <w:left w:val="single" w:sz="4" w:space="0" w:color="000000"/>
              <w:bottom w:val="single" w:sz="12" w:space="0" w:color="000000"/>
              <w:right w:val="single" w:sz="4" w:space="0" w:color="000000"/>
            </w:tcBorders>
          </w:tcPr>
          <w:p>
            <w:pPr/>
          </w:p>
        </w:tc>
        <w:tc>
          <w:tcPr>
            <w:tcW w:w="31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2,015,744.44</w:t>
            </w:r>
          </w:p>
        </w:tc>
      </w:tr>
    </w:tbl>
    <w:p>
      <w:pPr>
        <w:spacing w:line="240" w:lineRule="auto" w:before="9"/>
        <w:rPr>
          <w:rFonts w:ascii="宋体" w:hAnsi="宋体" w:cs="宋体" w:eastAsia="宋体" w:hint="default"/>
          <w:sz w:val="11"/>
          <w:szCs w:val="11"/>
        </w:rPr>
      </w:pPr>
    </w:p>
    <w:p>
      <w:pPr>
        <w:pStyle w:val="BodyText"/>
        <w:spacing w:line="240" w:lineRule="auto" w:before="36"/>
        <w:ind w:left="672" w:right="0"/>
        <w:jc w:val="left"/>
      </w:pPr>
      <w:r>
        <w:rPr/>
        <w:t>注：公司控股子公司杭州西软科技有限公司年初持有的凭证式国债本期已全部出售。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left="677" w:right="0"/>
        <w:jc w:val="left"/>
      </w:pPr>
      <w:r>
        <w:rPr>
          <w:rFonts w:ascii="Times New Roman" w:hAnsi="Times New Roman" w:cs="Times New Roman" w:eastAsia="Times New Roman" w:hint="default"/>
        </w:rPr>
        <w:t>10</w:t>
      </w:r>
      <w:r>
        <w:rPr/>
        <w:t>．长期股权投资：</w:t>
      </w:r>
    </w:p>
    <w:tbl>
      <w:tblPr>
        <w:tblW w:w="0" w:type="auto"/>
        <w:jc w:val="left"/>
        <w:tblInd w:w="130" w:type="dxa"/>
        <w:tblLayout w:type="fixed"/>
        <w:tblCellMar>
          <w:top w:w="0" w:type="dxa"/>
          <w:left w:w="0" w:type="dxa"/>
          <w:bottom w:w="0" w:type="dxa"/>
          <w:right w:w="0" w:type="dxa"/>
        </w:tblCellMar>
        <w:tblLook w:val="01E0"/>
      </w:tblPr>
      <w:tblGrid>
        <w:gridCol w:w="1934"/>
        <w:gridCol w:w="1428"/>
        <w:gridCol w:w="1430"/>
        <w:gridCol w:w="1428"/>
        <w:gridCol w:w="1428"/>
        <w:gridCol w:w="1111"/>
        <w:gridCol w:w="1109"/>
      </w:tblGrid>
      <w:tr>
        <w:trPr>
          <w:trHeight w:val="869" w:hRule="exact"/>
        </w:trPr>
        <w:tc>
          <w:tcPr>
            <w:tcW w:w="193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42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143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2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2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111" w:type="dxa"/>
            <w:tcBorders>
              <w:top w:val="single" w:sz="12" w:space="0" w:color="000000"/>
              <w:left w:val="single" w:sz="8" w:space="0" w:color="000000"/>
              <w:bottom w:val="single" w:sz="8" w:space="0" w:color="000000"/>
              <w:right w:val="single" w:sz="8" w:space="0" w:color="000000"/>
            </w:tcBorders>
          </w:tcPr>
          <w:p>
            <w:pPr>
              <w:pStyle w:val="TableParagraph"/>
              <w:spacing w:line="237" w:lineRule="auto" w:before="44"/>
              <w:ind w:left="184" w:right="18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1109" w:type="dxa"/>
            <w:tcBorders>
              <w:top w:val="single" w:sz="12" w:space="0" w:color="000000"/>
              <w:left w:val="single" w:sz="8" w:space="0" w:color="000000"/>
              <w:bottom w:val="single" w:sz="8" w:space="0" w:color="000000"/>
              <w:right w:val="nil" w:sz="6" w:space="0" w:color="auto"/>
            </w:tcBorders>
          </w:tcPr>
          <w:p>
            <w:pPr>
              <w:pStyle w:val="TableParagraph"/>
              <w:spacing w:line="237" w:lineRule="auto" w:before="44"/>
              <w:ind w:left="141" w:right="148"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w:t>
            </w:r>
            <w:r>
              <w:rPr>
                <w:rFonts w:ascii="Times New Roman" w:hAnsi="Times New Roman" w:cs="Times New Roman" w:eastAsia="Times New Roman" w:hint="default"/>
                <w:sz w:val="18"/>
                <w:szCs w:val="18"/>
              </w:rPr>
              <w:t>(%)</w:t>
            </w:r>
          </w:p>
        </w:tc>
      </w:tr>
      <w:tr>
        <w:trPr>
          <w:trHeight w:val="620" w:hRule="exact"/>
        </w:trPr>
        <w:tc>
          <w:tcPr>
            <w:tcW w:w="1934" w:type="dxa"/>
            <w:tcBorders>
              <w:top w:val="single" w:sz="8" w:space="0" w:color="000000"/>
              <w:left w:val="nil" w:sz="6" w:space="0" w:color="auto"/>
              <w:bottom w:val="nil" w:sz="6" w:space="0" w:color="auto"/>
              <w:right w:val="single" w:sz="8" w:space="0" w:color="000000"/>
            </w:tcBorders>
          </w:tcPr>
          <w:p>
            <w:pPr>
              <w:pStyle w:val="TableParagraph"/>
              <w:spacing w:line="232" w:lineRule="exact" w:before="69"/>
              <w:ind w:left="122" w:right="89"/>
              <w:jc w:val="left"/>
              <w:rPr>
                <w:rFonts w:ascii="宋体" w:hAnsi="宋体" w:cs="宋体" w:eastAsia="宋体" w:hint="default"/>
                <w:sz w:val="18"/>
                <w:szCs w:val="18"/>
              </w:rPr>
            </w:pPr>
            <w:r>
              <w:rPr>
                <w:rFonts w:ascii="宋体" w:hAnsi="宋体" w:cs="宋体" w:eastAsia="宋体" w:hint="default"/>
                <w:spacing w:val="9"/>
                <w:sz w:val="18"/>
                <w:szCs w:val="18"/>
              </w:rPr>
              <w:t>一、权益法核算的长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期股权投资</w:t>
            </w:r>
          </w:p>
        </w:tc>
        <w:tc>
          <w:tcPr>
            <w:tcW w:w="142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15,750,000.00</w:t>
            </w:r>
          </w:p>
        </w:tc>
        <w:tc>
          <w:tcPr>
            <w:tcW w:w="1430" w:type="dxa"/>
            <w:tcBorders>
              <w:top w:val="single" w:sz="8" w:space="0" w:color="000000"/>
              <w:left w:val="single" w:sz="8" w:space="0" w:color="000000"/>
              <w:bottom w:val="nil" w:sz="6" w:space="0" w:color="auto"/>
              <w:right w:val="single" w:sz="8" w:space="0" w:color="000000"/>
            </w:tcBorders>
          </w:tcPr>
          <w:p>
            <w:pPr/>
          </w:p>
        </w:tc>
        <w:tc>
          <w:tcPr>
            <w:tcW w:w="1428" w:type="dxa"/>
            <w:tcBorders>
              <w:top w:val="single" w:sz="8" w:space="0" w:color="000000"/>
              <w:left w:val="single" w:sz="8" w:space="0" w:color="000000"/>
              <w:bottom w:val="nil" w:sz="6" w:space="0" w:color="auto"/>
              <w:right w:val="single" w:sz="8" w:space="0" w:color="000000"/>
            </w:tcBorders>
          </w:tcPr>
          <w:p>
            <w:pPr/>
          </w:p>
        </w:tc>
        <w:tc>
          <w:tcPr>
            <w:tcW w:w="142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15,750,000.00</w:t>
            </w:r>
          </w:p>
        </w:tc>
        <w:tc>
          <w:tcPr>
            <w:tcW w:w="111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15%</w:t>
            </w:r>
          </w:p>
        </w:tc>
        <w:tc>
          <w:tcPr>
            <w:tcW w:w="1109" w:type="dxa"/>
            <w:vMerge w:val="restart"/>
            <w:tcBorders>
              <w:top w:val="single" w:sz="8"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w:t>
            </w:r>
          </w:p>
        </w:tc>
      </w:tr>
      <w:tr>
        <w:trPr>
          <w:trHeight w:val="611" w:hRule="exact"/>
        </w:trPr>
        <w:tc>
          <w:tcPr>
            <w:tcW w:w="1934" w:type="dxa"/>
            <w:tcBorders>
              <w:top w:val="nil" w:sz="6" w:space="0" w:color="auto"/>
              <w:left w:val="nil" w:sz="6" w:space="0" w:color="auto"/>
              <w:bottom w:val="nil" w:sz="6" w:space="0" w:color="auto"/>
              <w:right w:val="single" w:sz="8" w:space="0" w:color="000000"/>
            </w:tcBorders>
          </w:tcPr>
          <w:p>
            <w:pPr>
              <w:pStyle w:val="TableParagraph"/>
              <w:spacing w:line="232" w:lineRule="exact" w:before="67"/>
              <w:ind w:left="122" w:right="89"/>
              <w:jc w:val="left"/>
              <w:rPr>
                <w:rFonts w:ascii="宋体" w:hAnsi="宋体" w:cs="宋体" w:eastAsia="宋体" w:hint="default"/>
                <w:sz w:val="18"/>
                <w:szCs w:val="18"/>
              </w:rPr>
            </w:pPr>
            <w:r>
              <w:rPr>
                <w:rFonts w:ascii="宋体" w:hAnsi="宋体" w:cs="宋体" w:eastAsia="宋体" w:hint="default"/>
                <w:spacing w:val="9"/>
                <w:sz w:val="18"/>
                <w:szCs w:val="18"/>
              </w:rPr>
              <w:t>二、成本法核算的长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期股权投资</w:t>
            </w:r>
          </w:p>
        </w:tc>
        <w:tc>
          <w:tcPr>
            <w:tcW w:w="1428" w:type="dxa"/>
            <w:vMerge/>
            <w:tcBorders>
              <w:left w:val="single" w:sz="8" w:space="0" w:color="000000"/>
              <w:right w:val="single" w:sz="8" w:space="0" w:color="000000"/>
            </w:tcBorders>
          </w:tcPr>
          <w:p>
            <w:pPr/>
          </w:p>
        </w:tc>
        <w:tc>
          <w:tcPr>
            <w:tcW w:w="1430" w:type="dxa"/>
            <w:tcBorders>
              <w:top w:val="nil" w:sz="6" w:space="0" w:color="auto"/>
              <w:left w:val="single" w:sz="8" w:space="0" w:color="000000"/>
              <w:bottom w:val="nil" w:sz="6" w:space="0" w:color="auto"/>
              <w:right w:val="single" w:sz="8" w:space="0" w:color="000000"/>
            </w:tcBorders>
          </w:tcPr>
          <w:p>
            <w:pPr/>
          </w:p>
        </w:tc>
        <w:tc>
          <w:tcPr>
            <w:tcW w:w="1428" w:type="dxa"/>
            <w:tcBorders>
              <w:top w:val="nil" w:sz="6" w:space="0" w:color="auto"/>
              <w:left w:val="single" w:sz="8" w:space="0" w:color="000000"/>
              <w:bottom w:val="nil" w:sz="6" w:space="0" w:color="auto"/>
              <w:right w:val="single" w:sz="8" w:space="0" w:color="000000"/>
            </w:tcBorders>
          </w:tcPr>
          <w:p>
            <w:pPr/>
          </w:p>
        </w:tc>
        <w:tc>
          <w:tcPr>
            <w:tcW w:w="1428" w:type="dxa"/>
            <w:vMerge/>
            <w:tcBorders>
              <w:left w:val="single" w:sz="8" w:space="0" w:color="000000"/>
              <w:right w:val="single" w:sz="8" w:space="0" w:color="000000"/>
            </w:tcBorders>
          </w:tcPr>
          <w:p>
            <w:pPr/>
          </w:p>
        </w:tc>
        <w:tc>
          <w:tcPr>
            <w:tcW w:w="1111" w:type="dxa"/>
            <w:vMerge/>
            <w:tcBorders>
              <w:left w:val="single" w:sz="8" w:space="0" w:color="000000"/>
              <w:right w:val="single" w:sz="8" w:space="0" w:color="000000"/>
            </w:tcBorders>
          </w:tcPr>
          <w:p>
            <w:pPr/>
          </w:p>
        </w:tc>
        <w:tc>
          <w:tcPr>
            <w:tcW w:w="1109" w:type="dxa"/>
            <w:vMerge/>
            <w:tcBorders>
              <w:left w:val="single" w:sz="8" w:space="0" w:color="000000"/>
              <w:right w:val="nil" w:sz="6" w:space="0" w:color="auto"/>
            </w:tcBorders>
          </w:tcPr>
          <w:p>
            <w:pPr/>
          </w:p>
        </w:tc>
      </w:tr>
      <w:tr>
        <w:trPr>
          <w:trHeight w:val="607" w:hRule="exact"/>
        </w:trPr>
        <w:tc>
          <w:tcPr>
            <w:tcW w:w="1934" w:type="dxa"/>
            <w:tcBorders>
              <w:top w:val="nil" w:sz="6" w:space="0" w:color="auto"/>
              <w:left w:val="nil" w:sz="6" w:space="0" w:color="auto"/>
              <w:bottom w:val="nil" w:sz="6" w:space="0" w:color="auto"/>
              <w:right w:val="single" w:sz="8" w:space="0" w:color="000000"/>
            </w:tcBorders>
          </w:tcPr>
          <w:p>
            <w:pPr>
              <w:pStyle w:val="TableParagraph"/>
              <w:spacing w:line="232" w:lineRule="exact" w:before="68"/>
              <w:ind w:left="122" w:right="89"/>
              <w:jc w:val="left"/>
              <w:rPr>
                <w:rFonts w:ascii="宋体" w:hAnsi="宋体" w:cs="宋体" w:eastAsia="宋体" w:hint="default"/>
                <w:sz w:val="18"/>
                <w:szCs w:val="18"/>
              </w:rPr>
            </w:pPr>
            <w:r>
              <w:rPr>
                <w:rFonts w:ascii="宋体" w:hAnsi="宋体" w:cs="宋体" w:eastAsia="宋体" w:hint="default"/>
                <w:spacing w:val="9"/>
                <w:sz w:val="18"/>
                <w:szCs w:val="18"/>
              </w:rPr>
              <w:t>南京信融科技有限公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1428" w:type="dxa"/>
            <w:vMerge/>
            <w:tcBorders>
              <w:left w:val="single" w:sz="8" w:space="0" w:color="000000"/>
              <w:right w:val="single" w:sz="8" w:space="0" w:color="000000"/>
            </w:tcBorders>
          </w:tcPr>
          <w:p>
            <w:pPr/>
          </w:p>
        </w:tc>
        <w:tc>
          <w:tcPr>
            <w:tcW w:w="1430" w:type="dxa"/>
            <w:tcBorders>
              <w:top w:val="nil" w:sz="6" w:space="0" w:color="auto"/>
              <w:left w:val="single" w:sz="8" w:space="0" w:color="000000"/>
              <w:bottom w:val="nil" w:sz="6" w:space="0" w:color="auto"/>
              <w:right w:val="single" w:sz="8" w:space="0" w:color="000000"/>
            </w:tcBorders>
          </w:tcPr>
          <w:p>
            <w:pPr>
              <w:pStyle w:val="TableParagraph"/>
              <w:spacing w:line="240" w:lineRule="auto" w:before="69"/>
              <w:ind w:right="93"/>
              <w:jc w:val="right"/>
              <w:rPr>
                <w:rFonts w:ascii="Times New Roman" w:hAnsi="Times New Roman" w:cs="Times New Roman" w:eastAsia="Times New Roman" w:hint="default"/>
                <w:sz w:val="18"/>
                <w:szCs w:val="18"/>
              </w:rPr>
            </w:pPr>
            <w:r>
              <w:rPr>
                <w:rFonts w:ascii="Times New Roman"/>
                <w:sz w:val="18"/>
              </w:rPr>
              <w:t>200,000.00</w:t>
            </w:r>
          </w:p>
        </w:tc>
        <w:tc>
          <w:tcPr>
            <w:tcW w:w="1428" w:type="dxa"/>
            <w:tcBorders>
              <w:top w:val="nil" w:sz="6" w:space="0" w:color="auto"/>
              <w:left w:val="single" w:sz="8" w:space="0" w:color="000000"/>
              <w:bottom w:val="nil" w:sz="6" w:space="0" w:color="auto"/>
              <w:right w:val="single" w:sz="8" w:space="0" w:color="000000"/>
            </w:tcBorders>
          </w:tcPr>
          <w:p>
            <w:pPr>
              <w:pStyle w:val="TableParagraph"/>
              <w:spacing w:line="240" w:lineRule="auto" w:before="69"/>
              <w:ind w:right="94"/>
              <w:jc w:val="right"/>
              <w:rPr>
                <w:rFonts w:ascii="Times New Roman" w:hAnsi="Times New Roman" w:cs="Times New Roman" w:eastAsia="Times New Roman" w:hint="default"/>
                <w:sz w:val="18"/>
                <w:szCs w:val="18"/>
              </w:rPr>
            </w:pPr>
            <w:r>
              <w:rPr>
                <w:rFonts w:ascii="Times New Roman"/>
                <w:spacing w:val="-1"/>
                <w:sz w:val="18"/>
              </w:rPr>
              <w:t>-200,000.00</w:t>
            </w:r>
            <w:r>
              <w:rPr>
                <w:rFonts w:ascii="Times New Roman"/>
                <w:sz w:val="18"/>
              </w:rPr>
            </w:r>
          </w:p>
        </w:tc>
        <w:tc>
          <w:tcPr>
            <w:tcW w:w="1428" w:type="dxa"/>
            <w:vMerge/>
            <w:tcBorders>
              <w:left w:val="single" w:sz="8" w:space="0" w:color="000000"/>
              <w:right w:val="single" w:sz="8" w:space="0" w:color="000000"/>
            </w:tcBorders>
          </w:tcPr>
          <w:p>
            <w:pPr/>
          </w:p>
        </w:tc>
        <w:tc>
          <w:tcPr>
            <w:tcW w:w="1111" w:type="dxa"/>
            <w:vMerge/>
            <w:tcBorders>
              <w:left w:val="single" w:sz="8" w:space="0" w:color="000000"/>
              <w:right w:val="single" w:sz="8" w:space="0" w:color="000000"/>
            </w:tcBorders>
          </w:tcPr>
          <w:p>
            <w:pPr/>
          </w:p>
        </w:tc>
        <w:tc>
          <w:tcPr>
            <w:tcW w:w="1109" w:type="dxa"/>
            <w:vMerge/>
            <w:tcBorders>
              <w:left w:val="single" w:sz="8" w:space="0" w:color="000000"/>
              <w:right w:val="nil" w:sz="6" w:space="0" w:color="auto"/>
            </w:tcBorders>
          </w:tcPr>
          <w:p>
            <w:pPr/>
          </w:p>
        </w:tc>
      </w:tr>
      <w:tr>
        <w:trPr>
          <w:trHeight w:val="614" w:hRule="exact"/>
        </w:trPr>
        <w:tc>
          <w:tcPr>
            <w:tcW w:w="1934" w:type="dxa"/>
            <w:tcBorders>
              <w:top w:val="nil" w:sz="6" w:space="0" w:color="auto"/>
              <w:left w:val="nil" w:sz="6" w:space="0" w:color="auto"/>
              <w:bottom w:val="nil" w:sz="6" w:space="0" w:color="auto"/>
              <w:right w:val="single" w:sz="8" w:space="0" w:color="000000"/>
            </w:tcBorders>
          </w:tcPr>
          <w:p>
            <w:pPr>
              <w:pStyle w:val="TableParagraph"/>
              <w:spacing w:line="232" w:lineRule="exact" w:before="71"/>
              <w:ind w:left="122" w:right="89"/>
              <w:jc w:val="left"/>
              <w:rPr>
                <w:rFonts w:ascii="宋体" w:hAnsi="宋体" w:cs="宋体" w:eastAsia="宋体" w:hint="default"/>
                <w:sz w:val="18"/>
                <w:szCs w:val="18"/>
              </w:rPr>
            </w:pPr>
            <w:r>
              <w:rPr>
                <w:rFonts w:ascii="宋体" w:hAnsi="宋体" w:cs="宋体" w:eastAsia="宋体" w:hint="default"/>
                <w:spacing w:val="9"/>
                <w:sz w:val="18"/>
                <w:szCs w:val="18"/>
              </w:rPr>
              <w:t>江苏商通智能卡管理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系统有限公司</w:t>
            </w:r>
          </w:p>
        </w:tc>
        <w:tc>
          <w:tcPr>
            <w:tcW w:w="1428" w:type="dxa"/>
            <w:vMerge/>
            <w:tcBorders>
              <w:left w:val="single" w:sz="8" w:space="0" w:color="000000"/>
              <w:right w:val="single" w:sz="8" w:space="0" w:color="000000"/>
            </w:tcBorders>
          </w:tcPr>
          <w:p>
            <w:pPr/>
          </w:p>
        </w:tc>
        <w:tc>
          <w:tcPr>
            <w:tcW w:w="1430" w:type="dxa"/>
            <w:tcBorders>
              <w:top w:val="nil" w:sz="6" w:space="0" w:color="auto"/>
              <w:left w:val="single" w:sz="8" w:space="0" w:color="000000"/>
              <w:bottom w:val="nil" w:sz="6" w:space="0" w:color="auto"/>
              <w:right w:val="single" w:sz="8" w:space="0" w:color="000000"/>
            </w:tcBorders>
          </w:tcPr>
          <w:p>
            <w:pPr>
              <w:pStyle w:val="TableParagraph"/>
              <w:spacing w:line="240" w:lineRule="auto" w:before="71"/>
              <w:ind w:right="93"/>
              <w:jc w:val="right"/>
              <w:rPr>
                <w:rFonts w:ascii="Times New Roman" w:hAnsi="Times New Roman" w:cs="Times New Roman" w:eastAsia="Times New Roman" w:hint="default"/>
                <w:sz w:val="18"/>
                <w:szCs w:val="18"/>
              </w:rPr>
            </w:pPr>
            <w:r>
              <w:rPr>
                <w:rFonts w:ascii="Times New Roman"/>
                <w:sz w:val="18"/>
              </w:rPr>
              <w:t>500,000.00</w:t>
            </w:r>
          </w:p>
        </w:tc>
        <w:tc>
          <w:tcPr>
            <w:tcW w:w="1428" w:type="dxa"/>
            <w:tcBorders>
              <w:top w:val="nil" w:sz="6" w:space="0" w:color="auto"/>
              <w:left w:val="single" w:sz="8" w:space="0" w:color="000000"/>
              <w:bottom w:val="nil" w:sz="6" w:space="0" w:color="auto"/>
              <w:right w:val="single" w:sz="8" w:space="0" w:color="000000"/>
            </w:tcBorders>
          </w:tcPr>
          <w:p>
            <w:pPr>
              <w:pStyle w:val="TableParagraph"/>
              <w:spacing w:line="240" w:lineRule="auto" w:before="71"/>
              <w:ind w:right="94"/>
              <w:jc w:val="right"/>
              <w:rPr>
                <w:rFonts w:ascii="Times New Roman" w:hAnsi="Times New Roman" w:cs="Times New Roman" w:eastAsia="Times New Roman" w:hint="default"/>
                <w:sz w:val="18"/>
                <w:szCs w:val="18"/>
              </w:rPr>
            </w:pPr>
            <w:r>
              <w:rPr>
                <w:rFonts w:ascii="Times New Roman"/>
                <w:spacing w:val="-1"/>
                <w:sz w:val="18"/>
              </w:rPr>
              <w:t>-500,000.00</w:t>
            </w:r>
            <w:r>
              <w:rPr>
                <w:rFonts w:ascii="Times New Roman"/>
                <w:sz w:val="18"/>
              </w:rPr>
            </w:r>
          </w:p>
        </w:tc>
        <w:tc>
          <w:tcPr>
            <w:tcW w:w="1428" w:type="dxa"/>
            <w:vMerge/>
            <w:tcBorders>
              <w:left w:val="single" w:sz="8" w:space="0" w:color="000000"/>
              <w:right w:val="single" w:sz="8" w:space="0" w:color="000000"/>
            </w:tcBorders>
          </w:tcPr>
          <w:p>
            <w:pPr/>
          </w:p>
        </w:tc>
        <w:tc>
          <w:tcPr>
            <w:tcW w:w="1111" w:type="dxa"/>
            <w:vMerge/>
            <w:tcBorders>
              <w:left w:val="single" w:sz="8" w:space="0" w:color="000000"/>
              <w:right w:val="single" w:sz="8" w:space="0" w:color="000000"/>
            </w:tcBorders>
          </w:tcPr>
          <w:p>
            <w:pPr/>
          </w:p>
        </w:tc>
        <w:tc>
          <w:tcPr>
            <w:tcW w:w="1109" w:type="dxa"/>
            <w:vMerge/>
            <w:tcBorders>
              <w:left w:val="single" w:sz="8" w:space="0" w:color="000000"/>
              <w:right w:val="nil" w:sz="6" w:space="0" w:color="auto"/>
            </w:tcBorders>
          </w:tcPr>
          <w:p>
            <w:pPr/>
          </w:p>
        </w:tc>
      </w:tr>
      <w:tr>
        <w:trPr>
          <w:trHeight w:val="622" w:hRule="exact"/>
        </w:trPr>
        <w:tc>
          <w:tcPr>
            <w:tcW w:w="1934" w:type="dxa"/>
            <w:tcBorders>
              <w:top w:val="nil" w:sz="6" w:space="0" w:color="auto"/>
              <w:left w:val="nil" w:sz="6" w:space="0" w:color="auto"/>
              <w:bottom w:val="single" w:sz="8" w:space="0" w:color="000000"/>
              <w:right w:val="single" w:sz="8" w:space="0" w:color="000000"/>
            </w:tcBorders>
          </w:tcPr>
          <w:p>
            <w:pPr>
              <w:pStyle w:val="TableParagraph"/>
              <w:spacing w:line="232" w:lineRule="exact" w:before="68"/>
              <w:ind w:left="122" w:right="89"/>
              <w:jc w:val="left"/>
              <w:rPr>
                <w:rFonts w:ascii="宋体" w:hAnsi="宋体" w:cs="宋体" w:eastAsia="宋体" w:hint="default"/>
                <w:sz w:val="18"/>
                <w:szCs w:val="18"/>
              </w:rPr>
            </w:pPr>
            <w:r>
              <w:rPr>
                <w:rFonts w:ascii="宋体" w:hAnsi="宋体" w:cs="宋体" w:eastAsia="宋体" w:hint="default"/>
                <w:spacing w:val="9"/>
                <w:sz w:val="18"/>
                <w:szCs w:val="18"/>
              </w:rPr>
              <w:t>上海迅付信息科技有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428" w:type="dxa"/>
            <w:vMerge/>
            <w:tcBorders>
              <w:left w:val="single" w:sz="8" w:space="0" w:color="000000"/>
              <w:bottom w:val="single" w:sz="8" w:space="0" w:color="000000"/>
              <w:right w:val="single" w:sz="8" w:space="0" w:color="000000"/>
            </w:tcBorders>
          </w:tcPr>
          <w:p>
            <w:pPr/>
          </w:p>
        </w:tc>
        <w:tc>
          <w:tcPr>
            <w:tcW w:w="143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15,750,000.00</w:t>
            </w:r>
            <w:r>
              <w:rPr>
                <w:rFonts w:ascii="Times New Roman"/>
                <w:sz w:val="18"/>
              </w:rPr>
            </w:r>
          </w:p>
        </w:tc>
        <w:tc>
          <w:tcPr>
            <w:tcW w:w="1428" w:type="dxa"/>
            <w:tcBorders>
              <w:top w:val="nil" w:sz="6" w:space="0" w:color="auto"/>
              <w:left w:val="single" w:sz="8" w:space="0" w:color="000000"/>
              <w:bottom w:val="single" w:sz="8" w:space="0" w:color="000000"/>
              <w:right w:val="single" w:sz="8" w:space="0" w:color="000000"/>
            </w:tcBorders>
          </w:tcPr>
          <w:p>
            <w:pPr/>
          </w:p>
        </w:tc>
        <w:tc>
          <w:tcPr>
            <w:tcW w:w="1428" w:type="dxa"/>
            <w:vMerge/>
            <w:tcBorders>
              <w:left w:val="single" w:sz="8" w:space="0" w:color="000000"/>
              <w:bottom w:val="single" w:sz="8" w:space="0" w:color="000000"/>
              <w:right w:val="single" w:sz="8" w:space="0" w:color="000000"/>
            </w:tcBorders>
          </w:tcPr>
          <w:p>
            <w:pPr/>
          </w:p>
        </w:tc>
        <w:tc>
          <w:tcPr>
            <w:tcW w:w="1111" w:type="dxa"/>
            <w:vMerge/>
            <w:tcBorders>
              <w:left w:val="single" w:sz="8" w:space="0" w:color="000000"/>
              <w:bottom w:val="single" w:sz="8" w:space="0" w:color="000000"/>
              <w:right w:val="single" w:sz="8" w:space="0" w:color="000000"/>
            </w:tcBorders>
          </w:tcPr>
          <w:p>
            <w:pPr/>
          </w:p>
        </w:tc>
        <w:tc>
          <w:tcPr>
            <w:tcW w:w="1109" w:type="dxa"/>
            <w:vMerge/>
            <w:tcBorders>
              <w:left w:val="single" w:sz="8" w:space="0" w:color="000000"/>
              <w:bottom w:val="single" w:sz="8" w:space="0" w:color="000000"/>
              <w:right w:val="nil" w:sz="6" w:space="0" w:color="auto"/>
            </w:tcBorders>
          </w:tcPr>
          <w:p>
            <w:pPr/>
          </w:p>
        </w:tc>
      </w:tr>
      <w:tr>
        <w:trPr>
          <w:trHeight w:val="403" w:hRule="exact"/>
        </w:trPr>
        <w:tc>
          <w:tcPr>
            <w:tcW w:w="1934" w:type="dxa"/>
            <w:tcBorders>
              <w:top w:val="single" w:sz="8" w:space="0" w:color="000000"/>
              <w:left w:val="nil" w:sz="6" w:space="0" w:color="auto"/>
              <w:bottom w:val="single" w:sz="12" w:space="0" w:color="000000"/>
              <w:right w:val="single" w:sz="8" w:space="0" w:color="000000"/>
            </w:tcBorders>
          </w:tcPr>
          <w:p>
            <w:pPr>
              <w:pStyle w:val="TableParagraph"/>
              <w:tabs>
                <w:tab w:pos="568" w:val="left" w:leader="none"/>
              </w:tabs>
              <w:spacing w:line="240" w:lineRule="auto" w:before="44"/>
              <w:ind w:left="2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2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left="5" w:right="0"/>
              <w:jc w:val="center"/>
              <w:rPr>
                <w:rFonts w:ascii="Times New Roman" w:hAnsi="Times New Roman" w:cs="Times New Roman" w:eastAsia="Times New Roman" w:hint="default"/>
                <w:sz w:val="18"/>
                <w:szCs w:val="18"/>
              </w:rPr>
            </w:pPr>
            <w:r>
              <w:rPr>
                <w:rFonts w:ascii="Times New Roman"/>
                <w:sz w:val="18"/>
              </w:rPr>
              <w:t>15,750,000.00</w:t>
            </w:r>
          </w:p>
        </w:tc>
        <w:tc>
          <w:tcPr>
            <w:tcW w:w="143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left="189" w:right="0"/>
              <w:jc w:val="left"/>
              <w:rPr>
                <w:rFonts w:ascii="Times New Roman" w:hAnsi="Times New Roman" w:cs="Times New Roman" w:eastAsia="Times New Roman" w:hint="default"/>
                <w:sz w:val="18"/>
                <w:szCs w:val="18"/>
              </w:rPr>
            </w:pPr>
            <w:r>
              <w:rPr>
                <w:rFonts w:ascii="Times New Roman"/>
                <w:sz w:val="18"/>
              </w:rPr>
              <w:t>16,450,000.00</w:t>
            </w:r>
          </w:p>
        </w:tc>
        <w:tc>
          <w:tcPr>
            <w:tcW w:w="142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left="268" w:right="0"/>
              <w:jc w:val="left"/>
              <w:rPr>
                <w:rFonts w:ascii="Times New Roman" w:hAnsi="Times New Roman" w:cs="Times New Roman" w:eastAsia="Times New Roman" w:hint="default"/>
                <w:sz w:val="18"/>
                <w:szCs w:val="18"/>
              </w:rPr>
            </w:pPr>
            <w:r>
              <w:rPr>
                <w:rFonts w:ascii="Times New Roman"/>
                <w:sz w:val="18"/>
              </w:rPr>
              <w:t>-700,000.00</w:t>
            </w:r>
          </w:p>
        </w:tc>
        <w:tc>
          <w:tcPr>
            <w:tcW w:w="142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left="6" w:right="0"/>
              <w:jc w:val="center"/>
              <w:rPr>
                <w:rFonts w:ascii="Times New Roman" w:hAnsi="Times New Roman" w:cs="Times New Roman" w:eastAsia="Times New Roman" w:hint="default"/>
                <w:sz w:val="18"/>
                <w:szCs w:val="18"/>
              </w:rPr>
            </w:pPr>
            <w:r>
              <w:rPr>
                <w:rFonts w:ascii="Times New Roman"/>
                <w:sz w:val="18"/>
              </w:rPr>
              <w:t>15,750,000.00</w:t>
            </w:r>
          </w:p>
        </w:tc>
        <w:tc>
          <w:tcPr>
            <w:tcW w:w="1111" w:type="dxa"/>
            <w:tcBorders>
              <w:top w:val="single" w:sz="8" w:space="0" w:color="000000"/>
              <w:left w:val="single" w:sz="8" w:space="0" w:color="000000"/>
              <w:bottom w:val="single" w:sz="12" w:space="0" w:color="000000"/>
              <w:right w:val="single" w:sz="8" w:space="0" w:color="000000"/>
            </w:tcBorders>
          </w:tcPr>
          <w:p>
            <w:pPr/>
          </w:p>
        </w:tc>
        <w:tc>
          <w:tcPr>
            <w:tcW w:w="1109" w:type="dxa"/>
            <w:tcBorders>
              <w:top w:val="single" w:sz="8" w:space="0" w:color="000000"/>
              <w:left w:val="single" w:sz="8" w:space="0" w:color="000000"/>
              <w:bottom w:val="single" w:sz="12" w:space="0" w:color="000000"/>
              <w:right w:val="nil" w:sz="6" w:space="0" w:color="auto"/>
            </w:tcBorders>
          </w:tcPr>
          <w:p>
            <w:pPr/>
          </w:p>
        </w:tc>
      </w:tr>
    </w:tbl>
    <w:p>
      <w:pPr>
        <w:spacing w:after="0"/>
        <w:sectPr>
          <w:pgSz w:w="11910" w:h="16840"/>
          <w:pgMar w:header="850" w:footer="979" w:top="1200" w:bottom="1160" w:left="880" w:right="880"/>
        </w:sectPr>
      </w:pPr>
    </w:p>
    <w:p>
      <w:pPr>
        <w:spacing w:line="240" w:lineRule="auto" w:before="5"/>
        <w:rPr>
          <w:rFonts w:ascii="宋体" w:hAnsi="宋体" w:cs="宋体" w:eastAsia="宋体" w:hint="default"/>
          <w:sz w:val="12"/>
          <w:szCs w:val="12"/>
        </w:rPr>
      </w:pPr>
    </w:p>
    <w:p>
      <w:pPr>
        <w:pStyle w:val="BodyText"/>
        <w:spacing w:line="362" w:lineRule="auto" w:before="36"/>
        <w:ind w:left="232" w:right="212" w:firstLine="424"/>
        <w:jc w:val="both"/>
      </w:pP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月，公司子公司南京银石计算机系统有限公司与许娜签订《股权转让协议》，以</w:t>
      </w:r>
      <w:r>
        <w:rPr>
          <w:rFonts w:ascii="Times New Roman" w:hAnsi="Times New Roman" w:cs="Times New Roman" w:eastAsia="Times New Roman" w:hint="default"/>
          <w:spacing w:val="-2"/>
        </w:rPr>
        <w:t>20</w:t>
      </w:r>
      <w:r>
        <w:rPr>
          <w:spacing w:val="-2"/>
        </w:rPr>
        <w:t>万元</w:t>
      </w:r>
      <w:r>
        <w:rPr>
          <w:spacing w:val="-3"/>
          <w:w w:val="100"/>
        </w:rPr>
        <w:t> </w:t>
      </w:r>
      <w:r>
        <w:rPr/>
        <w:t>将其持有南京信融科技有限公司</w:t>
      </w:r>
      <w:r>
        <w:rPr>
          <w:rFonts w:ascii="Times New Roman" w:hAnsi="Times New Roman" w:cs="Times New Roman" w:eastAsia="Times New Roman" w:hint="default"/>
        </w:rPr>
        <w:t>20%</w:t>
      </w:r>
      <w:r>
        <w:rPr/>
        <w:t>股权转让给许娜。</w:t>
      </w:r>
    </w:p>
    <w:p>
      <w:pPr>
        <w:pStyle w:val="BodyText"/>
        <w:spacing w:line="362" w:lineRule="auto" w:before="32"/>
        <w:ind w:left="233" w:right="285" w:firstLine="424"/>
        <w:jc w:val="both"/>
      </w:pPr>
      <w:r>
        <w:rPr>
          <w:spacing w:val="-2"/>
        </w:rPr>
        <w:t>注</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月，公司子公司南京银石计算机系统有限公司与许娜签订《股权转让协议》，以</w:t>
      </w:r>
      <w:r>
        <w:rPr>
          <w:rFonts w:ascii="Times New Roman" w:hAnsi="Times New Roman" w:cs="Times New Roman" w:eastAsia="Times New Roman" w:hint="default"/>
          <w:spacing w:val="-2"/>
        </w:rPr>
        <w:t>0</w:t>
      </w:r>
      <w:r>
        <w:rPr>
          <w:spacing w:val="-2"/>
        </w:rPr>
        <w:t>元将</w:t>
      </w:r>
      <w:r>
        <w:rPr>
          <w:w w:val="100"/>
        </w:rPr>
        <w:t> </w:t>
      </w:r>
      <w:r>
        <w:rPr/>
        <w:t>其持有江苏商通智能卡管理系统有限公司</w:t>
      </w:r>
      <w:r>
        <w:rPr>
          <w:rFonts w:ascii="Times New Roman" w:hAnsi="Times New Roman" w:cs="Times New Roman" w:eastAsia="Times New Roman" w:hint="default"/>
        </w:rPr>
        <w:t>10%</w:t>
      </w:r>
      <w:r>
        <w:rPr/>
        <w:t>股权转让给许娜。</w:t>
      </w:r>
    </w:p>
    <w:p>
      <w:pPr>
        <w:pStyle w:val="BodyText"/>
        <w:spacing w:line="364" w:lineRule="auto" w:before="30"/>
        <w:ind w:left="233" w:right="206" w:firstLine="424"/>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月，公司及其子公司北海石基信息技术有限公司与上海环讯电子商务有限公司签订“讯付</w:t>
      </w:r>
      <w:r>
        <w:rPr>
          <w:w w:val="100"/>
        </w:rPr>
        <w:t> </w:t>
      </w:r>
      <w:r>
        <w:rPr>
          <w:spacing w:val="-2"/>
        </w:rPr>
        <w:t>信息科技有限公司股权转让三方协议”，公司将持有上海环讯电子商务有限公司</w:t>
      </w:r>
      <w:r>
        <w:rPr>
          <w:rFonts w:ascii="Times New Roman" w:hAnsi="Times New Roman" w:cs="Times New Roman" w:eastAsia="Times New Roman" w:hint="default"/>
          <w:spacing w:val="-2"/>
        </w:rPr>
        <w:t>15%</w:t>
      </w:r>
      <w:r>
        <w:rPr>
          <w:spacing w:val="-2"/>
        </w:rPr>
        <w:t>的股权等价转让给全</w:t>
      </w:r>
      <w:r>
        <w:rPr>
          <w:spacing w:val="-18"/>
        </w:rPr>
        <w:t> </w:t>
      </w:r>
      <w:r>
        <w:rPr>
          <w:spacing w:val="-18"/>
        </w:rPr>
      </w:r>
      <w:r>
        <w:rPr/>
        <w:t>资子公司北海石基公司。</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ind w:left="653" w:right="5418"/>
        <w:jc w:val="left"/>
      </w:pPr>
      <w:r>
        <w:rPr>
          <w:rFonts w:ascii="Times New Roman" w:hAnsi="Times New Roman" w:cs="Times New Roman" w:eastAsia="Times New Roman" w:hint="default"/>
        </w:rPr>
        <w:t>11</w:t>
      </w:r>
      <w:r>
        <w:rPr/>
        <w:t>．投资性房地产</w:t>
      </w:r>
    </w:p>
    <w:tbl>
      <w:tblPr>
        <w:tblW w:w="0" w:type="auto"/>
        <w:jc w:val="left"/>
        <w:tblInd w:w="110" w:type="dxa"/>
        <w:tblLayout w:type="fixed"/>
        <w:tblCellMar>
          <w:top w:w="0" w:type="dxa"/>
          <w:left w:w="0" w:type="dxa"/>
          <w:bottom w:w="0" w:type="dxa"/>
          <w:right w:w="0" w:type="dxa"/>
        </w:tblCellMar>
        <w:tblLook w:val="01E0"/>
      </w:tblPr>
      <w:tblGrid>
        <w:gridCol w:w="4404"/>
        <w:gridCol w:w="1570"/>
        <w:gridCol w:w="1397"/>
        <w:gridCol w:w="929"/>
        <w:gridCol w:w="1570"/>
      </w:tblGrid>
      <w:tr>
        <w:trPr>
          <w:trHeight w:val="900" w:hRule="exact"/>
        </w:trPr>
        <w:tc>
          <w:tcPr>
            <w:tcW w:w="44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tabs>
                <w:tab w:pos="561"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929" w:type="dxa"/>
            <w:tcBorders>
              <w:top w:val="single" w:sz="12" w:space="0" w:color="000000"/>
              <w:left w:val="single" w:sz="4" w:space="0" w:color="000000"/>
              <w:bottom w:val="single" w:sz="4" w:space="0" w:color="000000"/>
              <w:right w:val="single" w:sz="4" w:space="0" w:color="000000"/>
            </w:tcBorders>
          </w:tcPr>
          <w:p>
            <w:pPr>
              <w:pStyle w:val="TableParagraph"/>
              <w:spacing w:line="442" w:lineRule="exact" w:before="32"/>
              <w:ind w:left="278" w:right="187" w:hanging="89"/>
              <w:jc w:val="left"/>
              <w:rPr>
                <w:rFonts w:ascii="宋体" w:hAnsi="宋体" w:cs="宋体" w:eastAsia="宋体" w:hint="default"/>
                <w:sz w:val="18"/>
                <w:szCs w:val="18"/>
              </w:rPr>
            </w:pPr>
            <w:r>
              <w:rPr>
                <w:rFonts w:ascii="宋体" w:hAnsi="宋体" w:cs="宋体" w:eastAsia="宋体" w:hint="default"/>
                <w:sz w:val="18"/>
                <w:szCs w:val="18"/>
              </w:rPr>
              <w:t>本年减 少额</w:t>
            </w:r>
          </w:p>
        </w:tc>
        <w:tc>
          <w:tcPr>
            <w:tcW w:w="15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557" w:hRule="exact"/>
        </w:trPr>
        <w:tc>
          <w:tcPr>
            <w:tcW w:w="4404" w:type="dxa"/>
            <w:tcBorders>
              <w:top w:val="single" w:sz="4"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5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21,673,670.32</w:t>
            </w:r>
          </w:p>
        </w:tc>
        <w:tc>
          <w:tcPr>
            <w:tcW w:w="1397" w:type="dxa"/>
            <w:tcBorders>
              <w:top w:val="single" w:sz="4" w:space="0" w:color="000000"/>
              <w:left w:val="single" w:sz="4" w:space="0" w:color="000000"/>
              <w:bottom w:val="nil" w:sz="6" w:space="0" w:color="auto"/>
              <w:right w:val="single" w:sz="4" w:space="0" w:color="000000"/>
            </w:tcBorders>
          </w:tcPr>
          <w:p>
            <w:pPr/>
          </w:p>
        </w:tc>
        <w:tc>
          <w:tcPr>
            <w:tcW w:w="929" w:type="dxa"/>
            <w:vMerge w:val="restart"/>
            <w:tcBorders>
              <w:top w:val="single" w:sz="4" w:space="0" w:color="000000"/>
              <w:left w:val="single" w:sz="4" w:space="0" w:color="000000"/>
              <w:right w:val="single" w:sz="4" w:space="0" w:color="000000"/>
            </w:tcBorders>
          </w:tcPr>
          <w:p>
            <w:pPr/>
          </w:p>
        </w:tc>
        <w:tc>
          <w:tcPr>
            <w:tcW w:w="1570"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21,673,670.32</w:t>
            </w:r>
          </w:p>
        </w:tc>
      </w:tr>
      <w:tr>
        <w:trPr>
          <w:trHeight w:val="440" w:hRule="exact"/>
        </w:trPr>
        <w:tc>
          <w:tcPr>
            <w:tcW w:w="4404"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97"/>
              <w:jc w:val="right"/>
              <w:rPr>
                <w:rFonts w:ascii="Times New Roman" w:hAnsi="Times New Roman" w:cs="Times New Roman" w:eastAsia="Times New Roman" w:hint="default"/>
                <w:sz w:val="18"/>
                <w:szCs w:val="18"/>
              </w:rPr>
            </w:pPr>
            <w:r>
              <w:rPr>
                <w:rFonts w:ascii="Times New Roman"/>
                <w:spacing w:val="-1"/>
                <w:sz w:val="18"/>
              </w:rPr>
              <w:t>21,673,670.32</w:t>
            </w:r>
          </w:p>
        </w:tc>
        <w:tc>
          <w:tcPr>
            <w:tcW w:w="1397" w:type="dxa"/>
            <w:tcBorders>
              <w:top w:val="nil" w:sz="6" w:space="0" w:color="auto"/>
              <w:left w:val="single" w:sz="4" w:space="0" w:color="000000"/>
              <w:bottom w:val="nil" w:sz="6" w:space="0" w:color="auto"/>
              <w:right w:val="single" w:sz="4" w:space="0" w:color="000000"/>
            </w:tcBorders>
          </w:tcPr>
          <w:p>
            <w:pPr/>
          </w:p>
        </w:tc>
        <w:tc>
          <w:tcPr>
            <w:tcW w:w="929" w:type="dxa"/>
            <w:vMerge/>
            <w:tcBorders>
              <w:left w:val="single" w:sz="4" w:space="0" w:color="000000"/>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spacing w:val="-1"/>
                <w:sz w:val="18"/>
              </w:rPr>
              <w:t>21,673,670.32</w:t>
            </w:r>
          </w:p>
        </w:tc>
      </w:tr>
      <w:tr>
        <w:trPr>
          <w:trHeight w:val="439" w:hRule="exact"/>
        </w:trPr>
        <w:tc>
          <w:tcPr>
            <w:tcW w:w="4404"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二、累计折旧和累计摊销合计</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6"/>
              <w:jc w:val="right"/>
              <w:rPr>
                <w:rFonts w:ascii="Times New Roman" w:hAnsi="Times New Roman" w:cs="Times New Roman" w:eastAsia="Times New Roman" w:hint="default"/>
                <w:sz w:val="18"/>
                <w:szCs w:val="18"/>
              </w:rPr>
            </w:pPr>
            <w:r>
              <w:rPr>
                <w:rFonts w:ascii="Times New Roman"/>
                <w:spacing w:val="-1"/>
                <w:sz w:val="18"/>
              </w:rPr>
              <w:t>2,787,214.03</w:t>
            </w:r>
            <w:r>
              <w:rPr>
                <w:rFonts w:ascii="Times New Roman"/>
                <w:sz w:val="18"/>
              </w:rPr>
            </w:r>
          </w:p>
        </w:tc>
        <w:tc>
          <w:tcPr>
            <w:tcW w:w="13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588,285.36</w:t>
            </w:r>
          </w:p>
        </w:tc>
        <w:tc>
          <w:tcPr>
            <w:tcW w:w="929" w:type="dxa"/>
            <w:vMerge/>
            <w:tcBorders>
              <w:left w:val="single" w:sz="4" w:space="0" w:color="000000"/>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pacing w:val="-1"/>
                <w:sz w:val="18"/>
              </w:rPr>
              <w:t>3,375,499.39</w:t>
            </w:r>
            <w:r>
              <w:rPr>
                <w:rFonts w:ascii="Times New Roman"/>
                <w:sz w:val="18"/>
              </w:rPr>
            </w:r>
          </w:p>
        </w:tc>
      </w:tr>
      <w:tr>
        <w:trPr>
          <w:trHeight w:val="440" w:hRule="exact"/>
        </w:trPr>
        <w:tc>
          <w:tcPr>
            <w:tcW w:w="4404"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6"/>
              <w:jc w:val="right"/>
              <w:rPr>
                <w:rFonts w:ascii="Times New Roman" w:hAnsi="Times New Roman" w:cs="Times New Roman" w:eastAsia="Times New Roman" w:hint="default"/>
                <w:sz w:val="18"/>
                <w:szCs w:val="18"/>
              </w:rPr>
            </w:pPr>
            <w:r>
              <w:rPr>
                <w:rFonts w:ascii="Times New Roman"/>
                <w:spacing w:val="-1"/>
                <w:sz w:val="18"/>
              </w:rPr>
              <w:t>2,787,214.03</w:t>
            </w:r>
            <w:r>
              <w:rPr>
                <w:rFonts w:ascii="Times New Roman"/>
                <w:sz w:val="18"/>
              </w:rPr>
            </w:r>
          </w:p>
        </w:tc>
        <w:tc>
          <w:tcPr>
            <w:tcW w:w="13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588,285.36</w:t>
            </w:r>
          </w:p>
        </w:tc>
        <w:tc>
          <w:tcPr>
            <w:tcW w:w="929" w:type="dxa"/>
            <w:vMerge/>
            <w:tcBorders>
              <w:left w:val="single" w:sz="4" w:space="0" w:color="000000"/>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pacing w:val="-1"/>
                <w:sz w:val="18"/>
              </w:rPr>
              <w:t>3,375,499.39</w:t>
            </w:r>
            <w:r>
              <w:rPr>
                <w:rFonts w:ascii="Times New Roman"/>
                <w:sz w:val="18"/>
              </w:rPr>
            </w:r>
          </w:p>
        </w:tc>
      </w:tr>
      <w:tr>
        <w:trPr>
          <w:trHeight w:val="440" w:hRule="exact"/>
        </w:trPr>
        <w:tc>
          <w:tcPr>
            <w:tcW w:w="4404"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三、投资性房地产账面净值合计</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97"/>
              <w:jc w:val="right"/>
              <w:rPr>
                <w:rFonts w:ascii="Times New Roman" w:hAnsi="Times New Roman" w:cs="Times New Roman" w:eastAsia="Times New Roman" w:hint="default"/>
                <w:sz w:val="18"/>
                <w:szCs w:val="18"/>
              </w:rPr>
            </w:pPr>
            <w:r>
              <w:rPr>
                <w:rFonts w:ascii="Times New Roman"/>
                <w:spacing w:val="-1"/>
                <w:sz w:val="18"/>
              </w:rPr>
              <w:t>18,886,456.29</w:t>
            </w:r>
          </w:p>
        </w:tc>
        <w:tc>
          <w:tcPr>
            <w:tcW w:w="1397" w:type="dxa"/>
            <w:tcBorders>
              <w:top w:val="nil" w:sz="6" w:space="0" w:color="auto"/>
              <w:left w:val="single" w:sz="4" w:space="0" w:color="000000"/>
              <w:bottom w:val="nil" w:sz="6" w:space="0" w:color="auto"/>
              <w:right w:val="single" w:sz="4" w:space="0" w:color="000000"/>
            </w:tcBorders>
          </w:tcPr>
          <w:p>
            <w:pPr/>
          </w:p>
        </w:tc>
        <w:tc>
          <w:tcPr>
            <w:tcW w:w="929" w:type="dxa"/>
            <w:vMerge/>
            <w:tcBorders>
              <w:left w:val="single" w:sz="4" w:space="0" w:color="000000"/>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spacing w:val="-1"/>
                <w:sz w:val="18"/>
              </w:rPr>
              <w:t>18,298,170.93</w:t>
            </w:r>
            <w:r>
              <w:rPr>
                <w:rFonts w:ascii="Times New Roman"/>
                <w:sz w:val="18"/>
              </w:rPr>
            </w:r>
          </w:p>
        </w:tc>
      </w:tr>
      <w:tr>
        <w:trPr>
          <w:trHeight w:val="439" w:hRule="exact"/>
        </w:trPr>
        <w:tc>
          <w:tcPr>
            <w:tcW w:w="4404"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7"/>
              <w:jc w:val="right"/>
              <w:rPr>
                <w:rFonts w:ascii="Times New Roman" w:hAnsi="Times New Roman" w:cs="Times New Roman" w:eastAsia="Times New Roman" w:hint="default"/>
                <w:sz w:val="18"/>
                <w:szCs w:val="18"/>
              </w:rPr>
            </w:pPr>
            <w:r>
              <w:rPr>
                <w:rFonts w:ascii="Times New Roman"/>
                <w:spacing w:val="-1"/>
                <w:sz w:val="18"/>
              </w:rPr>
              <w:t>18,886,456.29</w:t>
            </w:r>
          </w:p>
        </w:tc>
        <w:tc>
          <w:tcPr>
            <w:tcW w:w="1397" w:type="dxa"/>
            <w:tcBorders>
              <w:top w:val="nil" w:sz="6" w:space="0" w:color="auto"/>
              <w:left w:val="single" w:sz="4" w:space="0" w:color="000000"/>
              <w:bottom w:val="nil" w:sz="6" w:space="0" w:color="auto"/>
              <w:right w:val="single" w:sz="4" w:space="0" w:color="000000"/>
            </w:tcBorders>
          </w:tcPr>
          <w:p>
            <w:pPr/>
          </w:p>
        </w:tc>
        <w:tc>
          <w:tcPr>
            <w:tcW w:w="929" w:type="dxa"/>
            <w:vMerge/>
            <w:tcBorders>
              <w:left w:val="single" w:sz="4" w:space="0" w:color="000000"/>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3"/>
              <w:jc w:val="right"/>
              <w:rPr>
                <w:rFonts w:ascii="Times New Roman" w:hAnsi="Times New Roman" w:cs="Times New Roman" w:eastAsia="Times New Roman" w:hint="default"/>
                <w:sz w:val="18"/>
                <w:szCs w:val="18"/>
              </w:rPr>
            </w:pPr>
            <w:r>
              <w:rPr>
                <w:rFonts w:ascii="Times New Roman"/>
                <w:spacing w:val="-1"/>
                <w:sz w:val="18"/>
              </w:rPr>
              <w:t>18,298,170.93</w:t>
            </w:r>
            <w:r>
              <w:rPr>
                <w:rFonts w:ascii="Times New Roman"/>
                <w:sz w:val="18"/>
              </w:rPr>
            </w:r>
          </w:p>
        </w:tc>
      </w:tr>
      <w:tr>
        <w:trPr>
          <w:trHeight w:val="431" w:hRule="exact"/>
        </w:trPr>
        <w:tc>
          <w:tcPr>
            <w:tcW w:w="4404"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四、投资性房地产减值准备累计金额合计</w:t>
            </w:r>
          </w:p>
        </w:tc>
        <w:tc>
          <w:tcPr>
            <w:tcW w:w="1570" w:type="dxa"/>
            <w:tcBorders>
              <w:top w:val="nil" w:sz="6" w:space="0" w:color="auto"/>
              <w:left w:val="single" w:sz="4" w:space="0" w:color="000000"/>
              <w:bottom w:val="nil" w:sz="6" w:space="0" w:color="auto"/>
              <w:right w:val="single" w:sz="4" w:space="0" w:color="000000"/>
            </w:tcBorders>
          </w:tcPr>
          <w:p>
            <w:pPr/>
          </w:p>
        </w:tc>
        <w:tc>
          <w:tcPr>
            <w:tcW w:w="1397" w:type="dxa"/>
            <w:tcBorders>
              <w:top w:val="nil" w:sz="6" w:space="0" w:color="auto"/>
              <w:left w:val="single" w:sz="4" w:space="0" w:color="000000"/>
              <w:bottom w:val="nil" w:sz="6" w:space="0" w:color="auto"/>
              <w:right w:val="single" w:sz="4" w:space="0" w:color="000000"/>
            </w:tcBorders>
          </w:tcPr>
          <w:p>
            <w:pPr/>
          </w:p>
        </w:tc>
        <w:tc>
          <w:tcPr>
            <w:tcW w:w="929" w:type="dxa"/>
            <w:vMerge/>
            <w:tcBorders>
              <w:left w:val="single" w:sz="4" w:space="0" w:color="000000"/>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
        </w:tc>
      </w:tr>
      <w:tr>
        <w:trPr>
          <w:trHeight w:val="440" w:hRule="exact"/>
        </w:trPr>
        <w:tc>
          <w:tcPr>
            <w:tcW w:w="440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70" w:type="dxa"/>
            <w:tcBorders>
              <w:top w:val="nil" w:sz="6" w:space="0" w:color="auto"/>
              <w:left w:val="single" w:sz="4" w:space="0" w:color="000000"/>
              <w:bottom w:val="nil" w:sz="6" w:space="0" w:color="auto"/>
              <w:right w:val="single" w:sz="4" w:space="0" w:color="000000"/>
            </w:tcBorders>
          </w:tcPr>
          <w:p>
            <w:pPr/>
          </w:p>
        </w:tc>
        <w:tc>
          <w:tcPr>
            <w:tcW w:w="1397" w:type="dxa"/>
            <w:tcBorders>
              <w:top w:val="nil" w:sz="6" w:space="0" w:color="auto"/>
              <w:left w:val="single" w:sz="4" w:space="0" w:color="000000"/>
              <w:bottom w:val="nil" w:sz="6" w:space="0" w:color="auto"/>
              <w:right w:val="single" w:sz="4" w:space="0" w:color="000000"/>
            </w:tcBorders>
          </w:tcPr>
          <w:p>
            <w:pPr/>
          </w:p>
        </w:tc>
        <w:tc>
          <w:tcPr>
            <w:tcW w:w="929" w:type="dxa"/>
            <w:vMerge/>
            <w:tcBorders>
              <w:left w:val="single" w:sz="4" w:space="0" w:color="000000"/>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
        </w:tc>
      </w:tr>
      <w:tr>
        <w:trPr>
          <w:trHeight w:val="449" w:hRule="exact"/>
        </w:trPr>
        <w:tc>
          <w:tcPr>
            <w:tcW w:w="4404"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五、投资性房地产账面价值合计</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18,886,456.29</w:t>
            </w:r>
          </w:p>
        </w:tc>
        <w:tc>
          <w:tcPr>
            <w:tcW w:w="1397" w:type="dxa"/>
            <w:tcBorders>
              <w:top w:val="nil" w:sz="6" w:space="0" w:color="auto"/>
              <w:left w:val="single" w:sz="4" w:space="0" w:color="000000"/>
              <w:bottom w:val="nil" w:sz="6" w:space="0" w:color="auto"/>
              <w:right w:val="single" w:sz="4" w:space="0" w:color="000000"/>
            </w:tcBorders>
          </w:tcPr>
          <w:p>
            <w:pPr/>
          </w:p>
        </w:tc>
        <w:tc>
          <w:tcPr>
            <w:tcW w:w="929" w:type="dxa"/>
            <w:vMerge/>
            <w:tcBorders>
              <w:left w:val="single" w:sz="4" w:space="0" w:color="000000"/>
              <w:right w:val="single" w:sz="4" w:space="0" w:color="000000"/>
            </w:tcBorders>
          </w:tcPr>
          <w:p>
            <w:pPr/>
          </w:p>
        </w:tc>
        <w:tc>
          <w:tcPr>
            <w:tcW w:w="1570"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103"/>
              <w:jc w:val="right"/>
              <w:rPr>
                <w:rFonts w:ascii="Times New Roman" w:hAnsi="Times New Roman" w:cs="Times New Roman" w:eastAsia="Times New Roman" w:hint="default"/>
                <w:sz w:val="18"/>
                <w:szCs w:val="18"/>
              </w:rPr>
            </w:pPr>
            <w:r>
              <w:rPr>
                <w:rFonts w:ascii="Times New Roman"/>
                <w:spacing w:val="-1"/>
                <w:sz w:val="18"/>
              </w:rPr>
              <w:t>18,298,170.93</w:t>
            </w:r>
            <w:r>
              <w:rPr>
                <w:rFonts w:ascii="Times New Roman"/>
                <w:sz w:val="18"/>
              </w:rPr>
            </w:r>
          </w:p>
        </w:tc>
      </w:tr>
      <w:tr>
        <w:trPr>
          <w:trHeight w:val="344" w:hRule="exact"/>
        </w:trPr>
        <w:tc>
          <w:tcPr>
            <w:tcW w:w="4404" w:type="dxa"/>
            <w:tcBorders>
              <w:top w:val="nil" w:sz="6" w:space="0" w:color="auto"/>
              <w:left w:val="nil" w:sz="6" w:space="0" w:color="auto"/>
              <w:bottom w:val="single" w:sz="12"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6"/>
              <w:ind w:right="97"/>
              <w:jc w:val="right"/>
              <w:rPr>
                <w:rFonts w:ascii="Times New Roman" w:hAnsi="Times New Roman" w:cs="Times New Roman" w:eastAsia="Times New Roman" w:hint="default"/>
                <w:sz w:val="18"/>
                <w:szCs w:val="18"/>
              </w:rPr>
            </w:pPr>
            <w:r>
              <w:rPr>
                <w:rFonts w:ascii="Times New Roman"/>
                <w:spacing w:val="-1"/>
                <w:sz w:val="18"/>
              </w:rPr>
              <w:t>18,886,456.29</w:t>
            </w:r>
          </w:p>
        </w:tc>
        <w:tc>
          <w:tcPr>
            <w:tcW w:w="1397" w:type="dxa"/>
            <w:tcBorders>
              <w:top w:val="nil" w:sz="6" w:space="0" w:color="auto"/>
              <w:left w:val="single" w:sz="4" w:space="0" w:color="000000"/>
              <w:bottom w:val="single" w:sz="12" w:space="0" w:color="000000"/>
              <w:right w:val="single" w:sz="4" w:space="0" w:color="000000"/>
            </w:tcBorders>
          </w:tcPr>
          <w:p>
            <w:pPr/>
          </w:p>
        </w:tc>
        <w:tc>
          <w:tcPr>
            <w:tcW w:w="929" w:type="dxa"/>
            <w:vMerge/>
            <w:tcBorders>
              <w:left w:val="single" w:sz="4" w:space="0" w:color="000000"/>
              <w:bottom w:val="single" w:sz="12" w:space="0" w:color="000000"/>
              <w:right w:val="single" w:sz="4" w:space="0" w:color="000000"/>
            </w:tcBorders>
          </w:tcPr>
          <w:p>
            <w:pPr/>
          </w:p>
        </w:tc>
        <w:tc>
          <w:tcPr>
            <w:tcW w:w="1570" w:type="dxa"/>
            <w:tcBorders>
              <w:top w:val="nil" w:sz="6" w:space="0" w:color="auto"/>
              <w:left w:val="single" w:sz="4" w:space="0" w:color="000000"/>
              <w:bottom w:val="single" w:sz="12" w:space="0" w:color="000000"/>
              <w:right w:val="nil" w:sz="6" w:space="0" w:color="auto"/>
            </w:tcBorders>
          </w:tcPr>
          <w:p>
            <w:pPr>
              <w:pStyle w:val="TableParagraph"/>
              <w:spacing w:line="240" w:lineRule="auto" w:before="116"/>
              <w:ind w:right="103"/>
              <w:jc w:val="right"/>
              <w:rPr>
                <w:rFonts w:ascii="Times New Roman" w:hAnsi="Times New Roman" w:cs="Times New Roman" w:eastAsia="Times New Roman" w:hint="default"/>
                <w:sz w:val="18"/>
                <w:szCs w:val="18"/>
              </w:rPr>
            </w:pPr>
            <w:r>
              <w:rPr>
                <w:rFonts w:ascii="Times New Roman"/>
                <w:spacing w:val="-1"/>
                <w:sz w:val="18"/>
              </w:rPr>
              <w:t>18,298,170.93</w:t>
            </w:r>
            <w:r>
              <w:rPr>
                <w:rFonts w:ascii="Times New Roman"/>
                <w:sz w:val="18"/>
              </w:rPr>
            </w:r>
          </w:p>
        </w:tc>
      </w:tr>
    </w:tbl>
    <w:p>
      <w:pPr>
        <w:spacing w:line="240" w:lineRule="auto" w:before="0"/>
        <w:rPr>
          <w:rFonts w:ascii="宋体" w:hAnsi="宋体" w:cs="宋体" w:eastAsia="宋体" w:hint="default"/>
          <w:sz w:val="10"/>
          <w:szCs w:val="10"/>
        </w:rPr>
      </w:pPr>
    </w:p>
    <w:p>
      <w:pPr>
        <w:pStyle w:val="BodyText"/>
        <w:spacing w:line="381" w:lineRule="auto" w:before="36"/>
        <w:ind w:left="232" w:right="0" w:firstLine="424"/>
        <w:jc w:val="left"/>
      </w:pPr>
      <w:r>
        <w:rPr>
          <w:spacing w:val="-2"/>
        </w:rPr>
        <w:t>注</w:t>
      </w:r>
      <w:r>
        <w:rPr>
          <w:rFonts w:ascii="Times New Roman" w:hAnsi="Times New Roman" w:cs="Times New Roman" w:eastAsia="Times New Roman" w:hint="default"/>
          <w:spacing w:val="-2"/>
        </w:rPr>
        <w:t>1</w:t>
      </w:r>
      <w:r>
        <w:rPr>
          <w:spacing w:val="-2"/>
        </w:rPr>
        <w:t>、投资性房地产系公司全资子公司上海石基信息技术有限公司将座落在上海市浦东新区的中融恒</w:t>
      </w:r>
      <w:r>
        <w:rPr>
          <w:w w:val="100"/>
        </w:rPr>
        <w:t> </w:t>
      </w:r>
      <w:r>
        <w:rPr/>
        <w:t>瑞国际大厦西楼</w:t>
      </w:r>
      <w:r>
        <w:rPr>
          <w:rFonts w:ascii="Times New Roman" w:hAnsi="Times New Roman" w:cs="Times New Roman" w:eastAsia="Times New Roman" w:hint="default"/>
        </w:rPr>
        <w:t>1201</w:t>
      </w:r>
      <w:r>
        <w:rPr/>
        <w:t>、</w:t>
      </w:r>
      <w:r>
        <w:rPr>
          <w:rFonts w:ascii="Times New Roman" w:hAnsi="Times New Roman" w:cs="Times New Roman" w:eastAsia="Times New Roman" w:hint="default"/>
        </w:rPr>
        <w:t>1202</w:t>
      </w:r>
      <w:r>
        <w:rPr/>
        <w:t>和</w:t>
      </w:r>
      <w:r>
        <w:rPr>
          <w:rFonts w:ascii="Times New Roman" w:hAnsi="Times New Roman" w:cs="Times New Roman" w:eastAsia="Times New Roman" w:hint="default"/>
        </w:rPr>
        <w:t>1203</w:t>
      </w:r>
      <w:r>
        <w:rPr/>
        <w:t>室用于对外出租。</w:t>
      </w:r>
    </w:p>
    <w:p>
      <w:pPr>
        <w:pStyle w:val="BodyText"/>
        <w:spacing w:line="240" w:lineRule="auto" w:before="30"/>
        <w:ind w:left="652" w:right="0"/>
        <w:jc w:val="left"/>
      </w:pPr>
      <w:r>
        <w:rPr/>
        <w:t>注</w:t>
      </w:r>
      <w:r>
        <w:rPr>
          <w:rFonts w:ascii="Times New Roman" w:hAnsi="Times New Roman" w:cs="Times New Roman" w:eastAsia="Times New Roman" w:hint="default"/>
        </w:rPr>
        <w:t>2</w:t>
      </w:r>
      <w:r>
        <w:rPr/>
        <w:t>、报告期末投资性房地产未减值，故未计提投资性房地产减值准备。</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240" w:lineRule="auto"/>
        <w:ind w:left="653" w:right="5418"/>
        <w:jc w:val="left"/>
      </w:pPr>
      <w:r>
        <w:rPr>
          <w:rFonts w:ascii="Times New Roman" w:hAnsi="Times New Roman" w:cs="Times New Roman" w:eastAsia="Times New Roman" w:hint="default"/>
        </w:rPr>
        <w:t>12</w:t>
      </w:r>
      <w:r>
        <w:rPr/>
        <w:t>．固定资产</w:t>
      </w:r>
    </w:p>
    <w:p>
      <w:pPr>
        <w:pStyle w:val="BodyText"/>
        <w:spacing w:line="240" w:lineRule="auto" w:before="167"/>
        <w:ind w:left="653" w:right="5418"/>
        <w:jc w:val="left"/>
      </w:pPr>
      <w:r>
        <w:rPr/>
        <w:t>（</w:t>
      </w:r>
      <w:r>
        <w:rPr>
          <w:rFonts w:ascii="Times New Roman" w:hAnsi="Times New Roman" w:cs="Times New Roman" w:eastAsia="Times New Roman" w:hint="default"/>
        </w:rPr>
        <w:t>1</w:t>
      </w:r>
      <w:r>
        <w:rPr/>
        <w:t>）固定资产明细：</w:t>
      </w:r>
    </w:p>
    <w:tbl>
      <w:tblPr>
        <w:tblW w:w="0" w:type="auto"/>
        <w:jc w:val="left"/>
        <w:tblInd w:w="110" w:type="dxa"/>
        <w:tblLayout w:type="fixed"/>
        <w:tblCellMar>
          <w:top w:w="0" w:type="dxa"/>
          <w:left w:w="0" w:type="dxa"/>
          <w:bottom w:w="0" w:type="dxa"/>
          <w:right w:w="0" w:type="dxa"/>
        </w:tblCellMar>
        <w:tblLook w:val="01E0"/>
      </w:tblPr>
      <w:tblGrid>
        <w:gridCol w:w="2470"/>
        <w:gridCol w:w="1706"/>
        <w:gridCol w:w="2664"/>
        <w:gridCol w:w="1500"/>
        <w:gridCol w:w="1529"/>
      </w:tblGrid>
      <w:tr>
        <w:trPr>
          <w:trHeight w:val="480" w:hRule="exact"/>
        </w:trPr>
        <w:tc>
          <w:tcPr>
            <w:tcW w:w="2470" w:type="dxa"/>
            <w:tcBorders>
              <w:top w:val="single" w:sz="12" w:space="0" w:color="000000"/>
              <w:left w:val="nil" w:sz="6" w:space="0" w:color="auto"/>
              <w:bottom w:val="single" w:sz="4" w:space="0" w:color="000000"/>
              <w:right w:val="single" w:sz="4" w:space="0" w:color="000000"/>
            </w:tcBorders>
          </w:tcPr>
          <w:p>
            <w:pPr>
              <w:pStyle w:val="TableParagraph"/>
              <w:tabs>
                <w:tab w:pos="1451" w:val="left" w:leader="none"/>
              </w:tabs>
              <w:spacing w:line="240" w:lineRule="auto" w:before="155"/>
              <w:ind w:left="82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5"/>
              <w:ind w:left="429"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6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5"/>
              <w:ind w:left="803"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5"/>
              <w:ind w:left="271"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5"/>
              <w:ind w:left="338"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568" w:hRule="exact"/>
        </w:trPr>
        <w:tc>
          <w:tcPr>
            <w:tcW w:w="2470"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7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156,414,102.84</w:t>
            </w:r>
          </w:p>
        </w:tc>
        <w:tc>
          <w:tcPr>
            <w:tcW w:w="26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10,522,102.48</w:t>
            </w:r>
          </w:p>
        </w:tc>
        <w:tc>
          <w:tcPr>
            <w:tcW w:w="1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698,263.68</w:t>
            </w:r>
          </w:p>
        </w:tc>
        <w:tc>
          <w:tcPr>
            <w:tcW w:w="1529"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166,237,941.64</w:t>
            </w:r>
          </w:p>
        </w:tc>
      </w:tr>
      <w:tr>
        <w:trPr>
          <w:trHeight w:val="461"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130,442,279.93</w:t>
            </w:r>
          </w:p>
        </w:tc>
        <w:tc>
          <w:tcPr>
            <w:tcW w:w="26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6,454,065.14</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57,733.43</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136,838,611.64</w:t>
            </w:r>
          </w:p>
        </w:tc>
      </w:tr>
      <w:tr>
        <w:trPr>
          <w:trHeight w:val="373" w:hRule="exact"/>
        </w:trPr>
        <w:tc>
          <w:tcPr>
            <w:tcW w:w="2470"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left="75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0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17,056,177.94</w:t>
            </w:r>
          </w:p>
        </w:tc>
        <w:tc>
          <w:tcPr>
            <w:tcW w:w="266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980,487.08</w:t>
            </w:r>
          </w:p>
        </w:tc>
        <w:tc>
          <w:tcPr>
            <w:tcW w:w="1500" w:type="dxa"/>
            <w:tcBorders>
              <w:top w:val="nil" w:sz="6" w:space="0" w:color="auto"/>
              <w:left w:val="single" w:sz="4" w:space="0" w:color="000000"/>
              <w:bottom w:val="single" w:sz="12" w:space="0" w:color="000000"/>
              <w:right w:val="single" w:sz="4" w:space="0" w:color="000000"/>
            </w:tcBorders>
          </w:tcPr>
          <w:p>
            <w:pPr/>
          </w:p>
        </w:tc>
        <w:tc>
          <w:tcPr>
            <w:tcW w:w="1529" w:type="dxa"/>
            <w:tcBorders>
              <w:top w:val="nil" w:sz="6" w:space="0" w:color="auto"/>
              <w:left w:val="single" w:sz="4" w:space="0" w:color="000000"/>
              <w:bottom w:val="single" w:sz="12" w:space="0" w:color="000000"/>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18,036,665.02</w:t>
            </w:r>
          </w:p>
        </w:tc>
      </w:tr>
    </w:tbl>
    <w:p>
      <w:pPr>
        <w:spacing w:after="0" w:line="240" w:lineRule="auto"/>
        <w:jc w:val="right"/>
        <w:rPr>
          <w:rFonts w:ascii="Times New Roman" w:hAnsi="Times New Roman" w:cs="Times New Roman" w:eastAsia="Times New Roman" w:hint="default"/>
          <w:sz w:val="21"/>
          <w:szCs w:val="21"/>
        </w:rPr>
        <w:sectPr>
          <w:footerReference w:type="default" r:id="rId55"/>
          <w:pgSz w:w="11910" w:h="16840"/>
          <w:pgMar w:footer="979" w:header="850" w:top="1200" w:bottom="1160" w:left="900" w:right="920"/>
          <w:pgNumType w:start="120"/>
        </w:sectPr>
      </w:pPr>
    </w:p>
    <w:tbl>
      <w:tblPr>
        <w:tblW w:w="0" w:type="auto"/>
        <w:jc w:val="left"/>
        <w:tblInd w:w="110" w:type="dxa"/>
        <w:tblLayout w:type="fixed"/>
        <w:tblCellMar>
          <w:top w:w="0" w:type="dxa"/>
          <w:left w:w="0" w:type="dxa"/>
          <w:bottom w:w="0" w:type="dxa"/>
          <w:right w:w="0" w:type="dxa"/>
        </w:tblCellMar>
        <w:tblLook w:val="01E0"/>
      </w:tblPr>
      <w:tblGrid>
        <w:gridCol w:w="2470"/>
        <w:gridCol w:w="1706"/>
        <w:gridCol w:w="1346"/>
        <w:gridCol w:w="1318"/>
        <w:gridCol w:w="1500"/>
        <w:gridCol w:w="1529"/>
      </w:tblGrid>
      <w:tr>
        <w:trPr>
          <w:trHeight w:val="487" w:hRule="exact"/>
        </w:trPr>
        <w:tc>
          <w:tcPr>
            <w:tcW w:w="2470" w:type="dxa"/>
            <w:tcBorders>
              <w:top w:val="single" w:sz="17" w:space="0" w:color="000000"/>
              <w:left w:val="nil" w:sz="6" w:space="0" w:color="auto"/>
              <w:bottom w:val="single" w:sz="4" w:space="0" w:color="000000"/>
              <w:right w:val="single" w:sz="4" w:space="0" w:color="000000"/>
            </w:tcBorders>
          </w:tcPr>
          <w:p>
            <w:pPr>
              <w:pStyle w:val="TableParagraph"/>
              <w:tabs>
                <w:tab w:pos="1451" w:val="left" w:leader="none"/>
              </w:tabs>
              <w:spacing w:line="240" w:lineRule="auto" w:before="153"/>
              <w:ind w:left="82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53"/>
              <w:ind w:left="429"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664"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53"/>
              <w:ind w:left="804"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5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53"/>
              <w:ind w:left="271"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29"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53"/>
              <w:ind w:left="338"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568" w:hRule="exact"/>
        </w:trPr>
        <w:tc>
          <w:tcPr>
            <w:tcW w:w="2470"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75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7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6,349,699.97</w:t>
            </w:r>
          </w:p>
        </w:tc>
        <w:tc>
          <w:tcPr>
            <w:tcW w:w="1346" w:type="dxa"/>
            <w:tcBorders>
              <w:top w:val="single" w:sz="4" w:space="0" w:color="000000"/>
              <w:left w:val="single" w:sz="4" w:space="0" w:color="000000"/>
              <w:bottom w:val="nil" w:sz="6" w:space="0" w:color="auto"/>
              <w:right w:val="nil" w:sz="6" w:space="0" w:color="auto"/>
            </w:tcBorders>
          </w:tcPr>
          <w:p>
            <w:pPr/>
          </w:p>
        </w:tc>
        <w:tc>
          <w:tcPr>
            <w:tcW w:w="1318" w:type="dxa"/>
            <w:tcBorders>
              <w:top w:val="single" w:sz="4" w:space="0" w:color="000000"/>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2,809,727.56</w:t>
            </w:r>
          </w:p>
        </w:tc>
        <w:tc>
          <w:tcPr>
            <w:tcW w:w="150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43" w:right="0"/>
              <w:jc w:val="left"/>
              <w:rPr>
                <w:rFonts w:ascii="Times New Roman" w:hAnsi="Times New Roman" w:cs="Times New Roman" w:eastAsia="Times New Roman" w:hint="default"/>
                <w:sz w:val="21"/>
                <w:szCs w:val="21"/>
              </w:rPr>
            </w:pPr>
            <w:r>
              <w:rPr>
                <w:rFonts w:ascii="Times New Roman"/>
                <w:sz w:val="21"/>
              </w:rPr>
              <w:t>640,530.25</w:t>
            </w:r>
          </w:p>
        </w:tc>
        <w:tc>
          <w:tcPr>
            <w:tcW w:w="1529"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8,518,897.28</w:t>
            </w:r>
          </w:p>
        </w:tc>
      </w:tr>
      <w:tr>
        <w:trPr>
          <w:trHeight w:val="363" w:hRule="exact"/>
        </w:trPr>
        <w:tc>
          <w:tcPr>
            <w:tcW w:w="2470" w:type="dxa"/>
            <w:tcBorders>
              <w:top w:val="nil" w:sz="6" w:space="0" w:color="auto"/>
              <w:left w:val="nil" w:sz="6" w:space="0" w:color="auto"/>
              <w:bottom w:val="single" w:sz="4" w:space="0" w:color="000000"/>
              <w:right w:val="single" w:sz="4" w:space="0" w:color="000000"/>
            </w:tcBorders>
          </w:tcPr>
          <w:p>
            <w:pPr>
              <w:pStyle w:val="TableParagraph"/>
              <w:spacing w:line="240" w:lineRule="auto" w:before="50"/>
              <w:ind w:left="75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2,565,945.00</w:t>
            </w:r>
          </w:p>
        </w:tc>
        <w:tc>
          <w:tcPr>
            <w:tcW w:w="1346" w:type="dxa"/>
            <w:tcBorders>
              <w:top w:val="nil" w:sz="6" w:space="0" w:color="auto"/>
              <w:left w:val="single" w:sz="4" w:space="0" w:color="000000"/>
              <w:bottom w:val="single" w:sz="4" w:space="0" w:color="000000"/>
              <w:right w:val="nil" w:sz="6" w:space="0" w:color="auto"/>
            </w:tcBorders>
          </w:tcPr>
          <w:p>
            <w:pPr/>
          </w:p>
        </w:tc>
        <w:tc>
          <w:tcPr>
            <w:tcW w:w="1318" w:type="dxa"/>
            <w:tcBorders>
              <w:top w:val="nil" w:sz="6" w:space="0" w:color="auto"/>
              <w:left w:val="nil" w:sz="6" w:space="0" w:color="auto"/>
              <w:bottom w:val="single" w:sz="4" w:space="0" w:color="000000"/>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277,822.70</w:t>
            </w:r>
          </w:p>
        </w:tc>
        <w:tc>
          <w:tcPr>
            <w:tcW w:w="1500" w:type="dxa"/>
            <w:vMerge/>
            <w:tcBorders>
              <w:left w:val="single" w:sz="4" w:space="0" w:color="000000"/>
              <w:bottom w:val="single" w:sz="4" w:space="0" w:color="000000"/>
              <w:right w:val="single" w:sz="4" w:space="0" w:color="000000"/>
            </w:tcBorders>
          </w:tcPr>
          <w:p>
            <w:pPr/>
          </w:p>
        </w:tc>
        <w:tc>
          <w:tcPr>
            <w:tcW w:w="1529" w:type="dxa"/>
            <w:tcBorders>
              <w:top w:val="nil" w:sz="6" w:space="0" w:color="auto"/>
              <w:left w:val="single" w:sz="4" w:space="0" w:color="000000"/>
              <w:bottom w:val="single" w:sz="4" w:space="0" w:color="000000"/>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2,843,767.70</w:t>
            </w:r>
          </w:p>
        </w:tc>
      </w:tr>
      <w:tr>
        <w:trPr>
          <w:trHeight w:val="468" w:hRule="exact"/>
        </w:trPr>
        <w:tc>
          <w:tcPr>
            <w:tcW w:w="2470" w:type="dxa"/>
            <w:tcBorders>
              <w:top w:val="single" w:sz="4" w:space="0" w:color="000000"/>
              <w:left w:val="nil" w:sz="6" w:space="0" w:color="auto"/>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宋体" w:hAnsi="宋体" w:cs="宋体" w:eastAsia="宋体" w:hint="default"/>
                <w:sz w:val="21"/>
                <w:szCs w:val="21"/>
              </w:rPr>
            </w:pPr>
            <w:r>
              <w:rPr>
                <w:rFonts w:ascii="宋体" w:hAnsi="宋体" w:cs="宋体" w:eastAsia="宋体" w:hint="default"/>
                <w:spacing w:val="-1"/>
                <w:sz w:val="21"/>
                <w:szCs w:val="21"/>
              </w:rPr>
              <w:t>本期新增</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6"/>
              <w:jc w:val="right"/>
              <w:rPr>
                <w:rFonts w:ascii="宋体" w:hAnsi="宋体" w:cs="宋体" w:eastAsia="宋体" w:hint="default"/>
                <w:sz w:val="21"/>
                <w:szCs w:val="21"/>
              </w:rPr>
            </w:pPr>
            <w:r>
              <w:rPr>
                <w:rFonts w:ascii="宋体" w:hAnsi="宋体" w:cs="宋体" w:eastAsia="宋体" w:hint="default"/>
                <w:spacing w:val="-1"/>
                <w:sz w:val="21"/>
                <w:szCs w:val="21"/>
              </w:rPr>
              <w:t>本期计提</w:t>
            </w:r>
          </w:p>
        </w:tc>
        <w:tc>
          <w:tcPr>
            <w:tcW w:w="150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2470" w:type="dxa"/>
            <w:tcBorders>
              <w:top w:val="single" w:sz="4" w:space="0" w:color="000000"/>
              <w:left w:val="nil" w:sz="6" w:space="0" w:color="auto"/>
              <w:bottom w:val="nil" w:sz="6" w:space="0" w:color="auto"/>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7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25,746,262.66</w:t>
            </w:r>
          </w:p>
        </w:tc>
        <w:tc>
          <w:tcPr>
            <w:tcW w:w="13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171,908.82</w:t>
            </w:r>
          </w:p>
        </w:tc>
        <w:tc>
          <w:tcPr>
            <w:tcW w:w="13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8,474,649.38</w:t>
            </w:r>
          </w:p>
        </w:tc>
        <w:tc>
          <w:tcPr>
            <w:tcW w:w="1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656,416.40</w:t>
            </w:r>
          </w:p>
        </w:tc>
        <w:tc>
          <w:tcPr>
            <w:tcW w:w="1529"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33,736,404.46</w:t>
            </w:r>
          </w:p>
        </w:tc>
      </w:tr>
      <w:tr>
        <w:trPr>
          <w:trHeight w:val="460"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2"/>
                <w:sz w:val="21"/>
              </w:rPr>
              <w:t>11,501,732.21</w:t>
            </w:r>
          </w:p>
        </w:tc>
        <w:tc>
          <w:tcPr>
            <w:tcW w:w="1346"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2"/>
                <w:sz w:val="21"/>
              </w:rPr>
              <w:t>4,915,711.85</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54,471.34</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16,362,972.72</w:t>
            </w:r>
          </w:p>
        </w:tc>
      </w:tr>
      <w:tr>
        <w:trPr>
          <w:trHeight w:val="461"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75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10,471,096.37</w:t>
            </w:r>
          </w:p>
        </w:tc>
        <w:tc>
          <w:tcPr>
            <w:tcW w:w="1346"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1,843,304.58</w:t>
            </w:r>
          </w:p>
        </w:tc>
        <w:tc>
          <w:tcPr>
            <w:tcW w:w="1500"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12,314,400.95</w:t>
            </w:r>
          </w:p>
        </w:tc>
      </w:tr>
      <w:tr>
        <w:trPr>
          <w:trHeight w:val="460"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75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2,639,702.31</w:t>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171,908.82</w:t>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1,519,743.40</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601,945.06</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3,729,409.47</w:t>
            </w:r>
          </w:p>
        </w:tc>
      </w:tr>
      <w:tr>
        <w:trPr>
          <w:trHeight w:val="362" w:hRule="exact"/>
        </w:trPr>
        <w:tc>
          <w:tcPr>
            <w:tcW w:w="2470" w:type="dxa"/>
            <w:tcBorders>
              <w:top w:val="nil" w:sz="6" w:space="0" w:color="auto"/>
              <w:left w:val="nil" w:sz="6" w:space="0" w:color="auto"/>
              <w:bottom w:val="single" w:sz="4" w:space="0" w:color="000000"/>
              <w:right w:val="single" w:sz="4" w:space="0" w:color="000000"/>
            </w:tcBorders>
          </w:tcPr>
          <w:p>
            <w:pPr>
              <w:pStyle w:val="TableParagraph"/>
              <w:spacing w:line="240" w:lineRule="auto" w:before="49"/>
              <w:ind w:left="75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1,133,731.77</w:t>
            </w:r>
          </w:p>
        </w:tc>
        <w:tc>
          <w:tcPr>
            <w:tcW w:w="1346" w:type="dxa"/>
            <w:tcBorders>
              <w:top w:val="nil" w:sz="6" w:space="0" w:color="auto"/>
              <w:left w:val="single" w:sz="4" w:space="0" w:color="000000"/>
              <w:bottom w:val="single" w:sz="4" w:space="0" w:color="000000"/>
              <w:right w:val="single" w:sz="4" w:space="0" w:color="000000"/>
            </w:tcBorders>
          </w:tcPr>
          <w:p>
            <w:pPr/>
          </w:p>
        </w:tc>
        <w:tc>
          <w:tcPr>
            <w:tcW w:w="13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195,889.55</w:t>
            </w:r>
          </w:p>
        </w:tc>
        <w:tc>
          <w:tcPr>
            <w:tcW w:w="1500" w:type="dxa"/>
            <w:tcBorders>
              <w:top w:val="nil" w:sz="6" w:space="0" w:color="auto"/>
              <w:left w:val="single" w:sz="4" w:space="0" w:color="000000"/>
              <w:bottom w:val="single" w:sz="4" w:space="0" w:color="000000"/>
              <w:right w:val="single" w:sz="4" w:space="0" w:color="000000"/>
            </w:tcBorders>
          </w:tcPr>
          <w:p>
            <w:pPr/>
          </w:p>
        </w:tc>
        <w:tc>
          <w:tcPr>
            <w:tcW w:w="1529" w:type="dxa"/>
            <w:tcBorders>
              <w:top w:val="nil" w:sz="6" w:space="0" w:color="auto"/>
              <w:left w:val="single" w:sz="4" w:space="0" w:color="000000"/>
              <w:bottom w:val="single" w:sz="4"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1,329,621.32</w:t>
            </w:r>
          </w:p>
        </w:tc>
      </w:tr>
      <w:tr>
        <w:trPr>
          <w:trHeight w:val="1017" w:hRule="exact"/>
        </w:trPr>
        <w:tc>
          <w:tcPr>
            <w:tcW w:w="2470" w:type="dxa"/>
            <w:tcBorders>
              <w:top w:val="single" w:sz="4" w:space="0" w:color="000000"/>
              <w:left w:val="nil" w:sz="6" w:space="0" w:color="auto"/>
              <w:bottom w:val="nil" w:sz="6" w:space="0" w:color="auto"/>
              <w:right w:val="single" w:sz="4" w:space="0" w:color="000000"/>
            </w:tcBorders>
          </w:tcPr>
          <w:p>
            <w:pPr>
              <w:pStyle w:val="TableParagraph"/>
              <w:spacing w:line="403" w:lineRule="auto" w:before="153"/>
              <w:ind w:left="122" w:right="98"/>
              <w:jc w:val="left"/>
              <w:rPr>
                <w:rFonts w:ascii="宋体" w:hAnsi="宋体" w:cs="宋体" w:eastAsia="宋体" w:hint="default"/>
                <w:sz w:val="21"/>
                <w:szCs w:val="21"/>
              </w:rPr>
            </w:pPr>
            <w:r>
              <w:rPr>
                <w:rFonts w:ascii="宋体" w:hAnsi="宋体" w:cs="宋体" w:eastAsia="宋体" w:hint="default"/>
                <w:spacing w:val="-8"/>
                <w:sz w:val="21"/>
                <w:szCs w:val="21"/>
              </w:rPr>
              <w:t>三、固定资产账面净值合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计</w:t>
            </w:r>
          </w:p>
        </w:tc>
        <w:tc>
          <w:tcPr>
            <w:tcW w:w="170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130,667,840.18</w:t>
            </w:r>
          </w:p>
        </w:tc>
        <w:tc>
          <w:tcPr>
            <w:tcW w:w="2664" w:type="dxa"/>
            <w:gridSpan w:val="2"/>
            <w:vMerge w:val="restart"/>
            <w:tcBorders>
              <w:top w:val="single" w:sz="4" w:space="0" w:color="000000"/>
              <w:left w:val="single" w:sz="4" w:space="0" w:color="000000"/>
              <w:right w:val="single" w:sz="4" w:space="0" w:color="000000"/>
            </w:tcBorders>
          </w:tcPr>
          <w:p>
            <w:pPr/>
          </w:p>
        </w:tc>
        <w:tc>
          <w:tcPr>
            <w:tcW w:w="1500" w:type="dxa"/>
            <w:vMerge w:val="restart"/>
            <w:tcBorders>
              <w:top w:val="single" w:sz="4" w:space="0" w:color="000000"/>
              <w:left w:val="single" w:sz="4" w:space="0" w:color="000000"/>
              <w:right w:val="single" w:sz="4" w:space="0" w:color="000000"/>
            </w:tcBorders>
          </w:tcPr>
          <w:p>
            <w:pPr/>
          </w:p>
        </w:tc>
        <w:tc>
          <w:tcPr>
            <w:tcW w:w="1529"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132,501,537.18</w:t>
            </w:r>
          </w:p>
        </w:tc>
      </w:tr>
      <w:tr>
        <w:trPr>
          <w:trHeight w:val="470"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96"/>
              <w:jc w:val="right"/>
              <w:rPr>
                <w:rFonts w:ascii="Times New Roman" w:hAnsi="Times New Roman" w:cs="Times New Roman" w:eastAsia="Times New Roman" w:hint="default"/>
                <w:sz w:val="21"/>
                <w:szCs w:val="21"/>
              </w:rPr>
            </w:pPr>
            <w:r>
              <w:rPr>
                <w:rFonts w:ascii="Times New Roman"/>
                <w:spacing w:val="-1"/>
                <w:sz w:val="21"/>
              </w:rPr>
              <w:t>118,940,547.72</w:t>
            </w:r>
          </w:p>
        </w:tc>
        <w:tc>
          <w:tcPr>
            <w:tcW w:w="2664" w:type="dxa"/>
            <w:gridSpan w:val="2"/>
            <w:vMerge/>
            <w:tcBorders>
              <w:left w:val="single" w:sz="4" w:space="0" w:color="000000"/>
              <w:right w:val="single" w:sz="4" w:space="0" w:color="000000"/>
            </w:tcBorders>
          </w:tcPr>
          <w:p>
            <w:pPr/>
          </w:p>
        </w:tc>
        <w:tc>
          <w:tcPr>
            <w:tcW w:w="1500" w:type="dxa"/>
            <w:vMerge/>
            <w:tcBorders>
              <w:left w:val="single" w:sz="4" w:space="0" w:color="000000"/>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spacing w:val="-1"/>
                <w:sz w:val="21"/>
              </w:rPr>
              <w:t>120,475,638.92</w:t>
            </w:r>
          </w:p>
        </w:tc>
      </w:tr>
      <w:tr>
        <w:trPr>
          <w:trHeight w:val="461"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75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6,585,081.57</w:t>
            </w:r>
          </w:p>
        </w:tc>
        <w:tc>
          <w:tcPr>
            <w:tcW w:w="2664" w:type="dxa"/>
            <w:gridSpan w:val="2"/>
            <w:vMerge/>
            <w:tcBorders>
              <w:left w:val="single" w:sz="4" w:space="0" w:color="000000"/>
              <w:right w:val="single" w:sz="4" w:space="0" w:color="000000"/>
            </w:tcBorders>
          </w:tcPr>
          <w:p>
            <w:pPr/>
          </w:p>
        </w:tc>
        <w:tc>
          <w:tcPr>
            <w:tcW w:w="1500" w:type="dxa"/>
            <w:vMerge/>
            <w:tcBorders>
              <w:left w:val="single" w:sz="4" w:space="0" w:color="000000"/>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5,722,264.07</w:t>
            </w:r>
          </w:p>
        </w:tc>
      </w:tr>
      <w:tr>
        <w:trPr>
          <w:trHeight w:val="460"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75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3,709,997.66</w:t>
            </w:r>
          </w:p>
        </w:tc>
        <w:tc>
          <w:tcPr>
            <w:tcW w:w="2664" w:type="dxa"/>
            <w:gridSpan w:val="2"/>
            <w:vMerge/>
            <w:tcBorders>
              <w:left w:val="single" w:sz="4" w:space="0" w:color="000000"/>
              <w:right w:val="single" w:sz="4" w:space="0" w:color="000000"/>
            </w:tcBorders>
          </w:tcPr>
          <w:p>
            <w:pPr/>
          </w:p>
        </w:tc>
        <w:tc>
          <w:tcPr>
            <w:tcW w:w="1500" w:type="dxa"/>
            <w:vMerge/>
            <w:tcBorders>
              <w:left w:val="single" w:sz="4" w:space="0" w:color="000000"/>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4,789,487.81</w:t>
            </w:r>
          </w:p>
        </w:tc>
      </w:tr>
      <w:tr>
        <w:trPr>
          <w:trHeight w:val="460"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75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1,432,213.23</w:t>
            </w:r>
          </w:p>
        </w:tc>
        <w:tc>
          <w:tcPr>
            <w:tcW w:w="2664" w:type="dxa"/>
            <w:gridSpan w:val="2"/>
            <w:vMerge/>
            <w:tcBorders>
              <w:left w:val="single" w:sz="4" w:space="0" w:color="000000"/>
              <w:right w:val="single" w:sz="4" w:space="0" w:color="000000"/>
            </w:tcBorders>
          </w:tcPr>
          <w:p>
            <w:pPr/>
          </w:p>
        </w:tc>
        <w:tc>
          <w:tcPr>
            <w:tcW w:w="1500" w:type="dxa"/>
            <w:vMerge/>
            <w:tcBorders>
              <w:left w:val="single" w:sz="4" w:space="0" w:color="000000"/>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1,514,146.38</w:t>
            </w:r>
          </w:p>
        </w:tc>
      </w:tr>
      <w:tr>
        <w:trPr>
          <w:trHeight w:val="910"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403" w:lineRule="auto" w:before="50"/>
              <w:ind w:left="122" w:right="98"/>
              <w:jc w:val="left"/>
              <w:rPr>
                <w:rFonts w:ascii="宋体" w:hAnsi="宋体" w:cs="宋体" w:eastAsia="宋体" w:hint="default"/>
                <w:sz w:val="21"/>
                <w:szCs w:val="21"/>
              </w:rPr>
            </w:pPr>
            <w:r>
              <w:rPr>
                <w:rFonts w:ascii="宋体" w:hAnsi="宋体" w:cs="宋体" w:eastAsia="宋体" w:hint="default"/>
                <w:spacing w:val="-8"/>
                <w:sz w:val="21"/>
                <w:szCs w:val="21"/>
              </w:rPr>
              <w:t>四、固定资产账面减值准</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备累计金额合计</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1,271,148.60</w:t>
            </w:r>
          </w:p>
        </w:tc>
        <w:tc>
          <w:tcPr>
            <w:tcW w:w="2664" w:type="dxa"/>
            <w:gridSpan w:val="2"/>
            <w:vMerge/>
            <w:tcBorders>
              <w:left w:val="single" w:sz="4" w:space="0" w:color="000000"/>
              <w:right w:val="single" w:sz="4" w:space="0" w:color="000000"/>
            </w:tcBorders>
          </w:tcPr>
          <w:p>
            <w:pPr/>
          </w:p>
        </w:tc>
        <w:tc>
          <w:tcPr>
            <w:tcW w:w="1500" w:type="dxa"/>
            <w:vMerge/>
            <w:tcBorders>
              <w:left w:val="single" w:sz="4" w:space="0" w:color="000000"/>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1,271,148.60</w:t>
            </w:r>
          </w:p>
        </w:tc>
      </w:tr>
      <w:tr>
        <w:trPr>
          <w:trHeight w:val="470"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spacing w:val="-1"/>
                <w:sz w:val="21"/>
              </w:rPr>
              <w:t>59,460.72</w:t>
            </w:r>
          </w:p>
        </w:tc>
        <w:tc>
          <w:tcPr>
            <w:tcW w:w="2664" w:type="dxa"/>
            <w:gridSpan w:val="2"/>
            <w:vMerge/>
            <w:tcBorders>
              <w:left w:val="single" w:sz="4" w:space="0" w:color="000000"/>
              <w:right w:val="single" w:sz="4" w:space="0" w:color="000000"/>
            </w:tcBorders>
          </w:tcPr>
          <w:p>
            <w:pPr/>
          </w:p>
        </w:tc>
        <w:tc>
          <w:tcPr>
            <w:tcW w:w="1500" w:type="dxa"/>
            <w:vMerge/>
            <w:tcBorders>
              <w:left w:val="single" w:sz="4" w:space="0" w:color="000000"/>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spacing w:val="-1"/>
                <w:sz w:val="21"/>
              </w:rPr>
              <w:t>59,460.72</w:t>
            </w:r>
          </w:p>
        </w:tc>
      </w:tr>
      <w:tr>
        <w:trPr>
          <w:trHeight w:val="461"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75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662,686.49</w:t>
            </w:r>
          </w:p>
        </w:tc>
        <w:tc>
          <w:tcPr>
            <w:tcW w:w="2664" w:type="dxa"/>
            <w:gridSpan w:val="2"/>
            <w:vMerge/>
            <w:tcBorders>
              <w:left w:val="single" w:sz="4" w:space="0" w:color="000000"/>
              <w:right w:val="single" w:sz="4" w:space="0" w:color="000000"/>
            </w:tcBorders>
          </w:tcPr>
          <w:p>
            <w:pPr/>
          </w:p>
        </w:tc>
        <w:tc>
          <w:tcPr>
            <w:tcW w:w="1500" w:type="dxa"/>
            <w:vMerge/>
            <w:tcBorders>
              <w:left w:val="single" w:sz="4" w:space="0" w:color="000000"/>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662,686.49</w:t>
            </w:r>
          </w:p>
        </w:tc>
      </w:tr>
      <w:tr>
        <w:trPr>
          <w:trHeight w:val="460"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75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109,581.01</w:t>
            </w:r>
          </w:p>
        </w:tc>
        <w:tc>
          <w:tcPr>
            <w:tcW w:w="2664" w:type="dxa"/>
            <w:gridSpan w:val="2"/>
            <w:vMerge/>
            <w:tcBorders>
              <w:left w:val="single" w:sz="4" w:space="0" w:color="000000"/>
              <w:right w:val="single" w:sz="4" w:space="0" w:color="000000"/>
            </w:tcBorders>
          </w:tcPr>
          <w:p>
            <w:pPr/>
          </w:p>
        </w:tc>
        <w:tc>
          <w:tcPr>
            <w:tcW w:w="1500" w:type="dxa"/>
            <w:vMerge/>
            <w:tcBorders>
              <w:left w:val="single" w:sz="4" w:space="0" w:color="000000"/>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109,581.01</w:t>
            </w:r>
          </w:p>
        </w:tc>
      </w:tr>
      <w:tr>
        <w:trPr>
          <w:trHeight w:val="460"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75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439,420.38</w:t>
            </w:r>
          </w:p>
        </w:tc>
        <w:tc>
          <w:tcPr>
            <w:tcW w:w="2664" w:type="dxa"/>
            <w:gridSpan w:val="2"/>
            <w:vMerge/>
            <w:tcBorders>
              <w:left w:val="single" w:sz="4" w:space="0" w:color="000000"/>
              <w:right w:val="single" w:sz="4" w:space="0" w:color="000000"/>
            </w:tcBorders>
          </w:tcPr>
          <w:p>
            <w:pPr/>
          </w:p>
        </w:tc>
        <w:tc>
          <w:tcPr>
            <w:tcW w:w="1500" w:type="dxa"/>
            <w:vMerge/>
            <w:tcBorders>
              <w:left w:val="single" w:sz="4" w:space="0" w:color="000000"/>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439,420.38</w:t>
            </w:r>
          </w:p>
        </w:tc>
      </w:tr>
      <w:tr>
        <w:trPr>
          <w:trHeight w:val="910"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403" w:lineRule="auto" w:before="50"/>
              <w:ind w:left="122" w:right="98"/>
              <w:jc w:val="left"/>
              <w:rPr>
                <w:rFonts w:ascii="宋体" w:hAnsi="宋体" w:cs="宋体" w:eastAsia="宋体" w:hint="default"/>
                <w:sz w:val="21"/>
                <w:szCs w:val="21"/>
              </w:rPr>
            </w:pPr>
            <w:r>
              <w:rPr>
                <w:rFonts w:ascii="宋体" w:hAnsi="宋体" w:cs="宋体" w:eastAsia="宋体" w:hint="default"/>
                <w:spacing w:val="-8"/>
                <w:sz w:val="21"/>
                <w:szCs w:val="21"/>
              </w:rPr>
              <w:t>五、固定资产账面价值合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计</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129,396,691.58</w:t>
            </w:r>
          </w:p>
        </w:tc>
        <w:tc>
          <w:tcPr>
            <w:tcW w:w="2664" w:type="dxa"/>
            <w:gridSpan w:val="2"/>
            <w:vMerge/>
            <w:tcBorders>
              <w:left w:val="single" w:sz="4" w:space="0" w:color="000000"/>
              <w:right w:val="single" w:sz="4" w:space="0" w:color="000000"/>
            </w:tcBorders>
          </w:tcPr>
          <w:p>
            <w:pPr/>
          </w:p>
        </w:tc>
        <w:tc>
          <w:tcPr>
            <w:tcW w:w="1500" w:type="dxa"/>
            <w:vMerge/>
            <w:tcBorders>
              <w:left w:val="single" w:sz="4" w:space="0" w:color="000000"/>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131,230,388.58</w:t>
            </w:r>
          </w:p>
        </w:tc>
      </w:tr>
      <w:tr>
        <w:trPr>
          <w:trHeight w:val="470"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96"/>
              <w:jc w:val="right"/>
              <w:rPr>
                <w:rFonts w:ascii="Times New Roman" w:hAnsi="Times New Roman" w:cs="Times New Roman" w:eastAsia="Times New Roman" w:hint="default"/>
                <w:sz w:val="21"/>
                <w:szCs w:val="21"/>
              </w:rPr>
            </w:pPr>
            <w:r>
              <w:rPr>
                <w:rFonts w:ascii="Times New Roman"/>
                <w:spacing w:val="-1"/>
                <w:sz w:val="21"/>
              </w:rPr>
              <w:t>118,881,087.00</w:t>
            </w:r>
          </w:p>
        </w:tc>
        <w:tc>
          <w:tcPr>
            <w:tcW w:w="2664" w:type="dxa"/>
            <w:gridSpan w:val="2"/>
            <w:vMerge/>
            <w:tcBorders>
              <w:left w:val="single" w:sz="4" w:space="0" w:color="000000"/>
              <w:right w:val="single" w:sz="4" w:space="0" w:color="000000"/>
            </w:tcBorders>
          </w:tcPr>
          <w:p>
            <w:pPr/>
          </w:p>
        </w:tc>
        <w:tc>
          <w:tcPr>
            <w:tcW w:w="1500" w:type="dxa"/>
            <w:vMerge/>
            <w:tcBorders>
              <w:left w:val="single" w:sz="4" w:space="0" w:color="000000"/>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spacing w:val="-1"/>
                <w:sz w:val="21"/>
              </w:rPr>
              <w:t>120,416,178.20</w:t>
            </w:r>
          </w:p>
        </w:tc>
      </w:tr>
      <w:tr>
        <w:trPr>
          <w:trHeight w:val="461"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753"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5,922,395.08</w:t>
            </w:r>
          </w:p>
        </w:tc>
        <w:tc>
          <w:tcPr>
            <w:tcW w:w="2664" w:type="dxa"/>
            <w:gridSpan w:val="2"/>
            <w:vMerge/>
            <w:tcBorders>
              <w:left w:val="single" w:sz="4" w:space="0" w:color="000000"/>
              <w:right w:val="single" w:sz="4" w:space="0" w:color="000000"/>
            </w:tcBorders>
          </w:tcPr>
          <w:p>
            <w:pPr/>
          </w:p>
        </w:tc>
        <w:tc>
          <w:tcPr>
            <w:tcW w:w="1500" w:type="dxa"/>
            <w:vMerge/>
            <w:tcBorders>
              <w:left w:val="single" w:sz="4" w:space="0" w:color="000000"/>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5,059,577.58</w:t>
            </w:r>
          </w:p>
        </w:tc>
      </w:tr>
      <w:tr>
        <w:trPr>
          <w:trHeight w:val="460" w:hRule="exact"/>
        </w:trPr>
        <w:tc>
          <w:tcPr>
            <w:tcW w:w="24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75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3,600,416.65</w:t>
            </w:r>
          </w:p>
        </w:tc>
        <w:tc>
          <w:tcPr>
            <w:tcW w:w="2664" w:type="dxa"/>
            <w:gridSpan w:val="2"/>
            <w:vMerge/>
            <w:tcBorders>
              <w:left w:val="single" w:sz="4" w:space="0" w:color="000000"/>
              <w:right w:val="single" w:sz="4" w:space="0" w:color="000000"/>
            </w:tcBorders>
          </w:tcPr>
          <w:p>
            <w:pPr/>
          </w:p>
        </w:tc>
        <w:tc>
          <w:tcPr>
            <w:tcW w:w="1500" w:type="dxa"/>
            <w:vMerge/>
            <w:tcBorders>
              <w:left w:val="single" w:sz="4" w:space="0" w:color="000000"/>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4,679,906.80</w:t>
            </w:r>
          </w:p>
        </w:tc>
      </w:tr>
      <w:tr>
        <w:trPr>
          <w:trHeight w:val="374" w:hRule="exact"/>
        </w:trPr>
        <w:tc>
          <w:tcPr>
            <w:tcW w:w="2470" w:type="dxa"/>
            <w:tcBorders>
              <w:top w:val="nil" w:sz="6" w:space="0" w:color="auto"/>
              <w:left w:val="nil" w:sz="6" w:space="0" w:color="auto"/>
              <w:bottom w:val="single" w:sz="12" w:space="0" w:color="000000"/>
              <w:right w:val="single" w:sz="4" w:space="0" w:color="000000"/>
            </w:tcBorders>
          </w:tcPr>
          <w:p>
            <w:pPr>
              <w:pStyle w:val="TableParagraph"/>
              <w:spacing w:line="240" w:lineRule="auto" w:before="49"/>
              <w:ind w:left="75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0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992,792.85</w:t>
            </w:r>
          </w:p>
        </w:tc>
        <w:tc>
          <w:tcPr>
            <w:tcW w:w="2664" w:type="dxa"/>
            <w:gridSpan w:val="2"/>
            <w:vMerge/>
            <w:tcBorders>
              <w:left w:val="single" w:sz="4" w:space="0" w:color="000000"/>
              <w:bottom w:val="single" w:sz="12" w:space="0" w:color="000000"/>
              <w:right w:val="single" w:sz="4" w:space="0" w:color="000000"/>
            </w:tcBorders>
          </w:tcPr>
          <w:p>
            <w:pPr/>
          </w:p>
        </w:tc>
        <w:tc>
          <w:tcPr>
            <w:tcW w:w="1500" w:type="dxa"/>
            <w:vMerge/>
            <w:tcBorders>
              <w:left w:val="single" w:sz="4" w:space="0" w:color="000000"/>
              <w:bottom w:val="single" w:sz="12" w:space="0" w:color="000000"/>
              <w:right w:val="single" w:sz="4" w:space="0" w:color="000000"/>
            </w:tcBorders>
          </w:tcPr>
          <w:p>
            <w:pPr/>
          </w:p>
        </w:tc>
        <w:tc>
          <w:tcPr>
            <w:tcW w:w="1529" w:type="dxa"/>
            <w:tcBorders>
              <w:top w:val="nil" w:sz="6" w:space="0" w:color="auto"/>
              <w:left w:val="single" w:sz="4" w:space="0" w:color="000000"/>
              <w:bottom w:val="single" w:sz="12"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1,074,726.00</w:t>
            </w:r>
          </w:p>
        </w:tc>
      </w:tr>
    </w:tbl>
    <w:p>
      <w:pPr>
        <w:spacing w:line="240" w:lineRule="auto" w:before="12"/>
        <w:rPr>
          <w:rFonts w:ascii="宋体" w:hAnsi="宋体" w:cs="宋体" w:eastAsia="宋体" w:hint="default"/>
          <w:sz w:val="8"/>
          <w:szCs w:val="8"/>
        </w:rPr>
      </w:pPr>
    </w:p>
    <w:p>
      <w:pPr>
        <w:pStyle w:val="BodyText"/>
        <w:spacing w:line="240" w:lineRule="auto" w:before="36"/>
        <w:ind w:left="232" w:right="0"/>
        <w:jc w:val="left"/>
      </w:pPr>
      <w:r>
        <w:rPr/>
        <w:t>注：本期由在建工程转入固定资产原价为</w:t>
      </w:r>
      <w:r>
        <w:rPr>
          <w:spacing w:val="-55"/>
        </w:rPr>
        <w:t> </w:t>
      </w:r>
      <w:r>
        <w:rPr>
          <w:rFonts w:ascii="Times New Roman" w:hAnsi="Times New Roman" w:cs="Times New Roman" w:eastAsia="Times New Roman" w:hint="default"/>
        </w:rPr>
        <w:t>6,151,974.13</w:t>
      </w:r>
      <w:r>
        <w:rPr>
          <w:rFonts w:ascii="Times New Roman" w:hAnsi="Times New Roman" w:cs="Times New Roman" w:eastAsia="Times New Roman" w:hint="default"/>
          <w:spacing w:val="-2"/>
        </w:rPr>
        <w:t> </w:t>
      </w:r>
      <w:r>
        <w:rPr>
          <w:spacing w:val="-3"/>
        </w:rPr>
        <w:t>元。</w:t>
      </w:r>
      <w:r>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BodyText"/>
        <w:spacing w:line="240" w:lineRule="auto"/>
        <w:ind w:left="652" w:right="5418"/>
        <w:jc w:val="left"/>
      </w:pPr>
      <w:r>
        <w:rPr>
          <w:rFonts w:ascii="Times New Roman" w:hAnsi="Times New Roman" w:cs="Times New Roman" w:eastAsia="Times New Roman" w:hint="default"/>
        </w:rPr>
        <w:t>13</w:t>
      </w:r>
      <w:r>
        <w:rPr/>
        <w:t>．在建工程</w:t>
      </w:r>
    </w:p>
    <w:p>
      <w:pPr>
        <w:spacing w:after="0" w:line="240" w:lineRule="auto"/>
        <w:jc w:val="left"/>
        <w:sectPr>
          <w:pgSz w:w="11910" w:h="16840"/>
          <w:pgMar w:header="850" w:footer="979" w:top="1260" w:bottom="1160" w:left="900" w:right="920"/>
        </w:sectPr>
      </w:pPr>
    </w:p>
    <w:p>
      <w:pPr>
        <w:spacing w:line="240" w:lineRule="auto" w:before="10"/>
        <w:rPr>
          <w:rFonts w:ascii="宋体" w:hAnsi="宋体" w:cs="宋体" w:eastAsia="宋体" w:hint="default"/>
          <w:sz w:val="3"/>
          <w:szCs w:val="3"/>
        </w:rPr>
      </w:pPr>
    </w:p>
    <w:tbl>
      <w:tblPr>
        <w:tblW w:w="0" w:type="auto"/>
        <w:jc w:val="left"/>
        <w:tblInd w:w="165" w:type="dxa"/>
        <w:tblLayout w:type="fixed"/>
        <w:tblCellMar>
          <w:top w:w="0" w:type="dxa"/>
          <w:left w:w="0" w:type="dxa"/>
          <w:bottom w:w="0" w:type="dxa"/>
          <w:right w:w="0" w:type="dxa"/>
        </w:tblCellMar>
        <w:tblLook w:val="01E0"/>
      </w:tblPr>
      <w:tblGrid>
        <w:gridCol w:w="2158"/>
        <w:gridCol w:w="1411"/>
        <w:gridCol w:w="1080"/>
        <w:gridCol w:w="1416"/>
        <w:gridCol w:w="1284"/>
        <w:gridCol w:w="1082"/>
        <w:gridCol w:w="1284"/>
      </w:tblGrid>
      <w:tr>
        <w:trPr>
          <w:trHeight w:val="490" w:hRule="exact"/>
        </w:trPr>
        <w:tc>
          <w:tcPr>
            <w:tcW w:w="2158" w:type="dxa"/>
            <w:vMerge w:val="restart"/>
            <w:tcBorders>
              <w:top w:val="single" w:sz="17"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tabs>
                <w:tab w:pos="1295" w:val="left" w:leader="none"/>
              </w:tabs>
              <w:spacing w:line="240" w:lineRule="auto"/>
              <w:ind w:left="66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907" w:type="dxa"/>
            <w:gridSpan w:val="3"/>
            <w:tcBorders>
              <w:top w:val="single" w:sz="17"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650" w:type="dxa"/>
            <w:gridSpan w:val="3"/>
            <w:tcBorders>
              <w:top w:val="single" w:sz="17" w:space="0" w:color="000000"/>
              <w:left w:val="single" w:sz="6" w:space="0" w:color="000000"/>
              <w:bottom w:val="single" w:sz="6" w:space="0" w:color="000000"/>
              <w:right w:val="nil" w:sz="6" w:space="0" w:color="auto"/>
            </w:tcBorders>
          </w:tcPr>
          <w:p>
            <w:pPr>
              <w:pStyle w:val="TableParagraph"/>
              <w:spacing w:line="240" w:lineRule="auto" w:before="153"/>
              <w:ind w:right="5"/>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5" w:hRule="exact"/>
        </w:trPr>
        <w:tc>
          <w:tcPr>
            <w:tcW w:w="2158" w:type="dxa"/>
            <w:vMerge/>
            <w:tcBorders>
              <w:left w:val="nil" w:sz="6" w:space="0" w:color="auto"/>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1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80"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1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left="213"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934" w:hRule="exact"/>
        </w:trPr>
        <w:tc>
          <w:tcPr>
            <w:tcW w:w="2158" w:type="dxa"/>
            <w:tcBorders>
              <w:top w:val="single" w:sz="6" w:space="0" w:color="000000"/>
              <w:left w:val="nil" w:sz="6" w:space="0" w:color="auto"/>
              <w:bottom w:val="single" w:sz="4" w:space="0" w:color="000000"/>
              <w:right w:val="single" w:sz="6" w:space="0" w:color="000000"/>
            </w:tcBorders>
          </w:tcPr>
          <w:p>
            <w:pPr>
              <w:pStyle w:val="TableParagraph"/>
              <w:spacing w:line="460" w:lineRule="exact" w:before="30"/>
              <w:ind w:left="45" w:right="420"/>
              <w:jc w:val="left"/>
              <w:rPr>
                <w:rFonts w:ascii="宋体" w:hAnsi="宋体" w:cs="宋体" w:eastAsia="宋体" w:hint="default"/>
                <w:sz w:val="21"/>
                <w:szCs w:val="21"/>
              </w:rPr>
            </w:pPr>
            <w:r>
              <w:rPr>
                <w:rFonts w:ascii="宋体" w:hAnsi="宋体" w:cs="宋体" w:eastAsia="宋体" w:hint="default"/>
                <w:spacing w:val="-2"/>
                <w:sz w:val="21"/>
                <w:szCs w:val="21"/>
              </w:rPr>
              <w:t>北海石基客户技术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支持与服务中心</w:t>
            </w:r>
          </w:p>
        </w:tc>
        <w:tc>
          <w:tcPr>
            <w:tcW w:w="1411" w:type="dxa"/>
            <w:tcBorders>
              <w:top w:val="single" w:sz="6" w:space="0" w:color="000000"/>
              <w:left w:val="single" w:sz="6" w:space="0" w:color="000000"/>
              <w:bottom w:val="single" w:sz="4" w:space="0" w:color="000000"/>
              <w:right w:val="single" w:sz="6" w:space="0" w:color="000000"/>
            </w:tcBorders>
          </w:tcPr>
          <w:p>
            <w:pPr/>
          </w:p>
        </w:tc>
        <w:tc>
          <w:tcPr>
            <w:tcW w:w="1080" w:type="dxa"/>
            <w:tcBorders>
              <w:top w:val="single" w:sz="6" w:space="0" w:color="000000"/>
              <w:left w:val="single" w:sz="6" w:space="0" w:color="000000"/>
              <w:bottom w:val="single" w:sz="4" w:space="0" w:color="000000"/>
              <w:right w:val="single" w:sz="6" w:space="0" w:color="000000"/>
            </w:tcBorders>
          </w:tcPr>
          <w:p>
            <w:pPr/>
          </w:p>
        </w:tc>
        <w:tc>
          <w:tcPr>
            <w:tcW w:w="1416" w:type="dxa"/>
            <w:tcBorders>
              <w:top w:val="single" w:sz="6" w:space="0" w:color="000000"/>
              <w:left w:val="single" w:sz="6" w:space="0" w:color="000000"/>
              <w:bottom w:val="single" w:sz="4" w:space="0" w:color="000000"/>
              <w:right w:val="single" w:sz="6" w:space="0" w:color="000000"/>
            </w:tcBorders>
          </w:tcPr>
          <w:p>
            <w:pPr/>
          </w:p>
        </w:tc>
        <w:tc>
          <w:tcPr>
            <w:tcW w:w="128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5,348,974.13</w:t>
            </w:r>
          </w:p>
        </w:tc>
        <w:tc>
          <w:tcPr>
            <w:tcW w:w="1082" w:type="dxa"/>
            <w:tcBorders>
              <w:top w:val="single" w:sz="6" w:space="0" w:color="000000"/>
              <w:left w:val="single" w:sz="6" w:space="0" w:color="000000"/>
              <w:bottom w:val="single" w:sz="4" w:space="0" w:color="000000"/>
              <w:right w:val="single" w:sz="6" w:space="0" w:color="000000"/>
            </w:tcBorders>
          </w:tcPr>
          <w:p>
            <w:pPr/>
          </w:p>
        </w:tc>
        <w:tc>
          <w:tcPr>
            <w:tcW w:w="1284" w:type="dxa"/>
            <w:tcBorders>
              <w:top w:val="single" w:sz="6" w:space="0" w:color="000000"/>
              <w:left w:val="single" w:sz="6"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4" w:right="0"/>
              <w:jc w:val="left"/>
              <w:rPr>
                <w:rFonts w:ascii="Times New Roman" w:hAnsi="Times New Roman" w:cs="Times New Roman" w:eastAsia="Times New Roman" w:hint="default"/>
                <w:sz w:val="21"/>
                <w:szCs w:val="21"/>
              </w:rPr>
            </w:pPr>
            <w:r>
              <w:rPr>
                <w:rFonts w:ascii="Times New Roman"/>
                <w:sz w:val="21"/>
              </w:rPr>
              <w:t>5,348,974.13</w:t>
            </w:r>
          </w:p>
        </w:tc>
      </w:tr>
      <w:tr>
        <w:trPr>
          <w:trHeight w:val="480" w:hRule="exact"/>
        </w:trPr>
        <w:tc>
          <w:tcPr>
            <w:tcW w:w="2158" w:type="dxa"/>
            <w:tcBorders>
              <w:top w:val="single" w:sz="4" w:space="0" w:color="000000"/>
              <w:left w:val="nil" w:sz="6" w:space="0" w:color="auto"/>
              <w:bottom w:val="single" w:sz="12" w:space="0" w:color="000000"/>
              <w:right w:val="single" w:sz="6" w:space="0" w:color="000000"/>
            </w:tcBorders>
          </w:tcPr>
          <w:p>
            <w:pPr>
              <w:pStyle w:val="TableParagraph"/>
              <w:tabs>
                <w:tab w:pos="1295" w:val="left" w:leader="none"/>
              </w:tabs>
              <w:spacing w:line="240" w:lineRule="auto" w:before="153"/>
              <w:ind w:left="66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11" w:type="dxa"/>
            <w:tcBorders>
              <w:top w:val="single" w:sz="4" w:space="0" w:color="000000"/>
              <w:left w:val="single" w:sz="6" w:space="0" w:color="000000"/>
              <w:bottom w:val="single" w:sz="12" w:space="0" w:color="000000"/>
              <w:right w:val="single" w:sz="6" w:space="0" w:color="000000"/>
            </w:tcBorders>
          </w:tcPr>
          <w:p>
            <w:pPr/>
          </w:p>
        </w:tc>
        <w:tc>
          <w:tcPr>
            <w:tcW w:w="1080" w:type="dxa"/>
            <w:tcBorders>
              <w:top w:val="single" w:sz="4" w:space="0" w:color="000000"/>
              <w:left w:val="single" w:sz="6" w:space="0" w:color="000000"/>
              <w:bottom w:val="single" w:sz="12" w:space="0" w:color="000000"/>
              <w:right w:val="single" w:sz="6" w:space="0" w:color="000000"/>
            </w:tcBorders>
          </w:tcPr>
          <w:p>
            <w:pPr/>
          </w:p>
        </w:tc>
        <w:tc>
          <w:tcPr>
            <w:tcW w:w="1416" w:type="dxa"/>
            <w:tcBorders>
              <w:top w:val="single" w:sz="4" w:space="0" w:color="000000"/>
              <w:left w:val="single" w:sz="6" w:space="0" w:color="000000"/>
              <w:bottom w:val="single" w:sz="12" w:space="0" w:color="000000"/>
              <w:right w:val="single" w:sz="6" w:space="0" w:color="000000"/>
            </w:tcBorders>
          </w:tcPr>
          <w:p>
            <w:pPr/>
          </w:p>
        </w:tc>
        <w:tc>
          <w:tcPr>
            <w:tcW w:w="1284"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6" w:right="0"/>
              <w:jc w:val="left"/>
              <w:rPr>
                <w:rFonts w:ascii="Times New Roman" w:hAnsi="Times New Roman" w:cs="Times New Roman" w:eastAsia="Times New Roman" w:hint="default"/>
                <w:sz w:val="21"/>
                <w:szCs w:val="21"/>
              </w:rPr>
            </w:pPr>
            <w:r>
              <w:rPr>
                <w:rFonts w:ascii="Times New Roman"/>
                <w:sz w:val="21"/>
              </w:rPr>
              <w:t>5,348,974.13</w:t>
            </w:r>
          </w:p>
        </w:tc>
        <w:tc>
          <w:tcPr>
            <w:tcW w:w="1082" w:type="dxa"/>
            <w:tcBorders>
              <w:top w:val="single" w:sz="4" w:space="0" w:color="000000"/>
              <w:left w:val="single" w:sz="6" w:space="0" w:color="000000"/>
              <w:bottom w:val="single" w:sz="12" w:space="0" w:color="000000"/>
              <w:right w:val="single" w:sz="6" w:space="0" w:color="000000"/>
            </w:tcBorders>
          </w:tcPr>
          <w:p>
            <w:pPr/>
          </w:p>
        </w:tc>
        <w:tc>
          <w:tcPr>
            <w:tcW w:w="1284"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5,348,974.13</w:t>
            </w:r>
          </w:p>
        </w:tc>
      </w:tr>
    </w:tbl>
    <w:p>
      <w:pPr>
        <w:spacing w:line="240" w:lineRule="auto" w:before="12"/>
        <w:rPr>
          <w:rFonts w:ascii="宋体" w:hAnsi="宋体" w:cs="宋体" w:eastAsia="宋体" w:hint="default"/>
          <w:sz w:val="8"/>
          <w:szCs w:val="8"/>
        </w:rPr>
      </w:pPr>
    </w:p>
    <w:p>
      <w:pPr>
        <w:pStyle w:val="BodyText"/>
        <w:spacing w:line="240" w:lineRule="auto" w:before="36"/>
        <w:ind w:left="652" w:right="5418"/>
        <w:jc w:val="left"/>
        <w:rPr>
          <w:rFonts w:ascii="Times New Roman" w:hAnsi="Times New Roman" w:cs="Times New Roman" w:eastAsia="Times New Roman" w:hint="default"/>
        </w:rPr>
      </w:pPr>
      <w:r>
        <w:rPr/>
        <w:t>重大在建工程项目变动情况</w:t>
      </w:r>
      <w:r>
        <w:rPr>
          <w:spacing w:val="-54"/>
        </w:rPr>
        <w:t> </w:t>
      </w:r>
      <w:r>
        <w:rPr>
          <w:rFonts w:ascii="Times New Roman" w:hAnsi="Times New Roman" w:cs="Times New Roman" w:eastAsia="Times New Roman" w:hint="default"/>
        </w:rPr>
        <w:t>a</w:t>
      </w:r>
    </w:p>
    <w:tbl>
      <w:tblPr>
        <w:tblW w:w="0" w:type="auto"/>
        <w:jc w:val="left"/>
        <w:tblInd w:w="175" w:type="dxa"/>
        <w:tblLayout w:type="fixed"/>
        <w:tblCellMar>
          <w:top w:w="0" w:type="dxa"/>
          <w:left w:w="0" w:type="dxa"/>
          <w:bottom w:w="0" w:type="dxa"/>
          <w:right w:w="0" w:type="dxa"/>
        </w:tblCellMar>
        <w:tblLook w:val="01E0"/>
      </w:tblPr>
      <w:tblGrid>
        <w:gridCol w:w="3682"/>
        <w:gridCol w:w="1327"/>
        <w:gridCol w:w="1262"/>
        <w:gridCol w:w="1327"/>
        <w:gridCol w:w="785"/>
        <w:gridCol w:w="545"/>
        <w:gridCol w:w="782"/>
      </w:tblGrid>
      <w:tr>
        <w:trPr>
          <w:trHeight w:val="941" w:hRule="exact"/>
        </w:trPr>
        <w:tc>
          <w:tcPr>
            <w:tcW w:w="3682"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1219" w:right="0"/>
              <w:jc w:val="left"/>
              <w:rPr>
                <w:rFonts w:ascii="宋体" w:hAnsi="宋体" w:cs="宋体" w:eastAsia="宋体" w:hint="default"/>
                <w:sz w:val="21"/>
                <w:szCs w:val="21"/>
              </w:rPr>
            </w:pPr>
            <w:r>
              <w:rPr>
                <w:rFonts w:ascii="宋体" w:hAnsi="宋体" w:cs="宋体" w:eastAsia="宋体" w:hint="default"/>
                <w:sz w:val="21"/>
                <w:szCs w:val="21"/>
              </w:rPr>
              <w:t>工程项目名称</w:t>
            </w:r>
          </w:p>
        </w:tc>
        <w:tc>
          <w:tcPr>
            <w:tcW w:w="13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3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2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98"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327" w:type="dxa"/>
            <w:tcBorders>
              <w:top w:val="single" w:sz="12" w:space="0" w:color="000000"/>
              <w:left w:val="single" w:sz="6" w:space="0" w:color="000000"/>
              <w:bottom w:val="single" w:sz="6" w:space="0" w:color="000000"/>
              <w:right w:val="single" w:sz="6" w:space="0" w:color="000000"/>
            </w:tcBorders>
          </w:tcPr>
          <w:p>
            <w:pPr>
              <w:pStyle w:val="TableParagraph"/>
              <w:spacing w:line="460" w:lineRule="exact" w:before="30"/>
              <w:ind w:left="131" w:right="125" w:firstLine="105"/>
              <w:jc w:val="left"/>
              <w:rPr>
                <w:rFonts w:ascii="宋体" w:hAnsi="宋体" w:cs="宋体" w:eastAsia="宋体" w:hint="default"/>
                <w:sz w:val="21"/>
                <w:szCs w:val="21"/>
              </w:rPr>
            </w:pPr>
            <w:r>
              <w:rPr>
                <w:rFonts w:ascii="宋体" w:hAnsi="宋体" w:cs="宋体" w:eastAsia="宋体" w:hint="default"/>
                <w:sz w:val="21"/>
                <w:szCs w:val="21"/>
              </w:rPr>
              <w:t>本年转入</w:t>
            </w:r>
            <w:r>
              <w:rPr>
                <w:rFonts w:ascii="宋体" w:hAnsi="宋体" w:cs="宋体" w:eastAsia="宋体" w:hint="default"/>
                <w:w w:val="100"/>
                <w:sz w:val="21"/>
                <w:szCs w:val="21"/>
              </w:rPr>
              <w:t> </w:t>
            </w:r>
            <w:r>
              <w:rPr>
                <w:rFonts w:ascii="宋体" w:hAnsi="宋体" w:cs="宋体" w:eastAsia="宋体" w:hint="default"/>
                <w:sz w:val="21"/>
                <w:szCs w:val="21"/>
              </w:rPr>
              <w:t>固定资产额</w:t>
            </w:r>
          </w:p>
        </w:tc>
        <w:tc>
          <w:tcPr>
            <w:tcW w:w="785" w:type="dxa"/>
            <w:tcBorders>
              <w:top w:val="single" w:sz="12" w:space="0" w:color="000000"/>
              <w:left w:val="single" w:sz="6" w:space="0" w:color="000000"/>
              <w:bottom w:val="single" w:sz="6" w:space="0" w:color="000000"/>
              <w:right w:val="single" w:sz="6" w:space="0" w:color="000000"/>
            </w:tcBorders>
          </w:tcPr>
          <w:p>
            <w:pPr>
              <w:pStyle w:val="TableParagraph"/>
              <w:spacing w:line="460" w:lineRule="exact" w:before="30"/>
              <w:ind w:left="69" w:right="65" w:firstLine="105"/>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w w:val="100"/>
                <w:sz w:val="21"/>
                <w:szCs w:val="21"/>
              </w:rPr>
              <w:t> </w:t>
            </w:r>
            <w:r>
              <w:rPr>
                <w:rFonts w:ascii="宋体" w:hAnsi="宋体" w:cs="宋体" w:eastAsia="宋体" w:hint="default"/>
                <w:sz w:val="21"/>
                <w:szCs w:val="21"/>
              </w:rPr>
              <w:t>减少额</w:t>
            </w:r>
          </w:p>
        </w:tc>
        <w:tc>
          <w:tcPr>
            <w:tcW w:w="545" w:type="dxa"/>
            <w:tcBorders>
              <w:top w:val="single" w:sz="12" w:space="0" w:color="000000"/>
              <w:left w:val="single" w:sz="6" w:space="0" w:color="000000"/>
              <w:bottom w:val="single" w:sz="6" w:space="0" w:color="000000"/>
              <w:right w:val="single" w:sz="6" w:space="0" w:color="000000"/>
            </w:tcBorders>
          </w:tcPr>
          <w:p>
            <w:pPr>
              <w:pStyle w:val="TableParagraph"/>
              <w:spacing w:line="460" w:lineRule="exact" w:before="30"/>
              <w:ind w:left="55" w:right="50"/>
              <w:jc w:val="left"/>
              <w:rPr>
                <w:rFonts w:ascii="宋体" w:hAnsi="宋体" w:cs="宋体" w:eastAsia="宋体" w:hint="default"/>
                <w:sz w:val="21"/>
                <w:szCs w:val="21"/>
              </w:rPr>
            </w:pPr>
            <w:r>
              <w:rPr>
                <w:rFonts w:ascii="宋体" w:hAnsi="宋体" w:cs="宋体" w:eastAsia="宋体" w:hint="default"/>
                <w:sz w:val="21"/>
                <w:szCs w:val="21"/>
              </w:rPr>
              <w:t>年末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82" w:type="dxa"/>
            <w:tcBorders>
              <w:top w:val="single" w:sz="12" w:space="0" w:color="000000"/>
              <w:left w:val="single" w:sz="6" w:space="0" w:color="000000"/>
              <w:bottom w:val="single" w:sz="6" w:space="0" w:color="000000"/>
              <w:right w:val="nil" w:sz="6" w:space="0" w:color="auto"/>
            </w:tcBorders>
          </w:tcPr>
          <w:p>
            <w:pPr>
              <w:pStyle w:val="TableParagraph"/>
              <w:spacing w:line="460" w:lineRule="exact" w:before="30"/>
              <w:ind w:left="67" w:right="72"/>
              <w:jc w:val="left"/>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本化率</w:t>
            </w:r>
          </w:p>
        </w:tc>
      </w:tr>
      <w:tr>
        <w:trPr>
          <w:trHeight w:val="475" w:hRule="exact"/>
        </w:trPr>
        <w:tc>
          <w:tcPr>
            <w:tcW w:w="36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43" w:right="0"/>
              <w:jc w:val="left"/>
              <w:rPr>
                <w:rFonts w:ascii="宋体" w:hAnsi="宋体" w:cs="宋体" w:eastAsia="宋体" w:hint="default"/>
                <w:sz w:val="21"/>
                <w:szCs w:val="21"/>
              </w:rPr>
            </w:pPr>
            <w:r>
              <w:rPr>
                <w:rFonts w:ascii="宋体" w:hAnsi="宋体" w:cs="宋体" w:eastAsia="宋体" w:hint="default"/>
                <w:sz w:val="21"/>
                <w:szCs w:val="21"/>
              </w:rPr>
              <w:t>北海石基客户技术支持与服务中心</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5,348,974.13</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803,000.00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6,151,974.13</w:t>
            </w:r>
          </w:p>
        </w:tc>
        <w:tc>
          <w:tcPr>
            <w:tcW w:w="785" w:type="dxa"/>
            <w:tcBorders>
              <w:top w:val="single" w:sz="6" w:space="0" w:color="000000"/>
              <w:left w:val="single" w:sz="6" w:space="0" w:color="000000"/>
              <w:bottom w:val="single" w:sz="6" w:space="0" w:color="000000"/>
              <w:right w:val="single" w:sz="6" w:space="0" w:color="000000"/>
            </w:tcBorders>
          </w:tcPr>
          <w:p>
            <w:pPr/>
          </w:p>
        </w:tc>
        <w:tc>
          <w:tcPr>
            <w:tcW w:w="545"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nil" w:sz="6" w:space="0" w:color="auto"/>
            </w:tcBorders>
          </w:tcPr>
          <w:p>
            <w:pPr/>
          </w:p>
        </w:tc>
      </w:tr>
      <w:tr>
        <w:trPr>
          <w:trHeight w:val="485" w:hRule="exact"/>
        </w:trPr>
        <w:tc>
          <w:tcPr>
            <w:tcW w:w="3682" w:type="dxa"/>
            <w:tcBorders>
              <w:top w:val="single" w:sz="6" w:space="0" w:color="000000"/>
              <w:left w:val="nil" w:sz="6" w:space="0" w:color="auto"/>
              <w:bottom w:val="single" w:sz="12" w:space="0" w:color="000000"/>
              <w:right w:val="single" w:sz="6" w:space="0" w:color="000000"/>
            </w:tcBorders>
          </w:tcPr>
          <w:p>
            <w:pPr>
              <w:pStyle w:val="TableParagraph"/>
              <w:tabs>
                <w:tab w:pos="655" w:val="left" w:leader="none"/>
              </w:tabs>
              <w:spacing w:line="240" w:lineRule="auto" w:before="155"/>
              <w:ind w:left="2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5,348,974.13</w:t>
            </w:r>
          </w:p>
        </w:tc>
        <w:tc>
          <w:tcPr>
            <w:tcW w:w="1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803,000.00</w:t>
            </w: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6,151,974.13</w:t>
            </w:r>
          </w:p>
        </w:tc>
        <w:tc>
          <w:tcPr>
            <w:tcW w:w="785" w:type="dxa"/>
            <w:tcBorders>
              <w:top w:val="single" w:sz="6" w:space="0" w:color="000000"/>
              <w:left w:val="single" w:sz="6" w:space="0" w:color="000000"/>
              <w:bottom w:val="single" w:sz="12" w:space="0" w:color="000000"/>
              <w:right w:val="single" w:sz="6" w:space="0" w:color="000000"/>
            </w:tcBorders>
          </w:tcPr>
          <w:p>
            <w:pPr/>
          </w:p>
        </w:tc>
        <w:tc>
          <w:tcPr>
            <w:tcW w:w="545" w:type="dxa"/>
            <w:tcBorders>
              <w:top w:val="single" w:sz="6" w:space="0" w:color="000000"/>
              <w:left w:val="single" w:sz="6" w:space="0" w:color="000000"/>
              <w:bottom w:val="single" w:sz="12" w:space="0" w:color="000000"/>
              <w:right w:val="single" w:sz="6" w:space="0" w:color="000000"/>
            </w:tcBorders>
          </w:tcPr>
          <w:p>
            <w:pPr/>
          </w:p>
        </w:tc>
        <w:tc>
          <w:tcPr>
            <w:tcW w:w="78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8"/>
        <w:ind w:left="652" w:right="5418"/>
        <w:jc w:val="left"/>
      </w:pPr>
      <w:r>
        <w:rPr>
          <w:rFonts w:ascii="Times New Roman" w:hAnsi="Times New Roman" w:cs="Times New Roman" w:eastAsia="Times New Roman" w:hint="default"/>
        </w:rPr>
        <w:t>14</w:t>
      </w:r>
      <w:r>
        <w:rPr/>
        <w:t>．无形资产</w:t>
      </w:r>
    </w:p>
    <w:tbl>
      <w:tblPr>
        <w:tblW w:w="0" w:type="auto"/>
        <w:jc w:val="left"/>
        <w:tblInd w:w="110" w:type="dxa"/>
        <w:tblLayout w:type="fixed"/>
        <w:tblCellMar>
          <w:top w:w="0" w:type="dxa"/>
          <w:left w:w="0" w:type="dxa"/>
          <w:bottom w:w="0" w:type="dxa"/>
          <w:right w:w="0" w:type="dxa"/>
        </w:tblCellMar>
        <w:tblLook w:val="01E0"/>
      </w:tblPr>
      <w:tblGrid>
        <w:gridCol w:w="3878"/>
        <w:gridCol w:w="1678"/>
        <w:gridCol w:w="1570"/>
        <w:gridCol w:w="1066"/>
        <w:gridCol w:w="1678"/>
      </w:tblGrid>
      <w:tr>
        <w:trPr>
          <w:trHeight w:val="941" w:hRule="exact"/>
        </w:trPr>
        <w:tc>
          <w:tcPr>
            <w:tcW w:w="387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tabs>
                <w:tab w:pos="652"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066" w:type="dxa"/>
            <w:tcBorders>
              <w:top w:val="single" w:sz="12" w:space="0" w:color="000000"/>
              <w:left w:val="single" w:sz="4" w:space="0" w:color="000000"/>
              <w:bottom w:val="single" w:sz="4" w:space="0" w:color="000000"/>
              <w:right w:val="single" w:sz="4" w:space="0" w:color="000000"/>
            </w:tcBorders>
          </w:tcPr>
          <w:p>
            <w:pPr>
              <w:pStyle w:val="TableParagraph"/>
              <w:spacing w:line="458" w:lineRule="exact" w:before="34"/>
              <w:ind w:left="422" w:right="103" w:hanging="315"/>
              <w:jc w:val="left"/>
              <w:rPr>
                <w:rFonts w:ascii="宋体" w:hAnsi="宋体" w:cs="宋体" w:eastAsia="宋体" w:hint="default"/>
                <w:sz w:val="21"/>
                <w:szCs w:val="21"/>
              </w:rPr>
            </w:pPr>
            <w:r>
              <w:rPr>
                <w:rFonts w:ascii="宋体" w:hAnsi="宋体" w:cs="宋体" w:eastAsia="宋体" w:hint="default"/>
                <w:sz w:val="21"/>
                <w:szCs w:val="21"/>
              </w:rPr>
              <w:t>本年减少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6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571" w:hRule="exact"/>
        </w:trPr>
        <w:tc>
          <w:tcPr>
            <w:tcW w:w="3878"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112,609,397.17</w:t>
            </w:r>
          </w:p>
        </w:tc>
        <w:tc>
          <w:tcPr>
            <w:tcW w:w="15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3,433,228.48</w:t>
            </w:r>
          </w:p>
        </w:tc>
        <w:tc>
          <w:tcPr>
            <w:tcW w:w="1066" w:type="dxa"/>
            <w:vMerge w:val="restart"/>
            <w:tcBorders>
              <w:top w:val="single" w:sz="4" w:space="0" w:color="000000"/>
              <w:left w:val="single" w:sz="4" w:space="0" w:color="000000"/>
              <w:right w:val="single" w:sz="4" w:space="0" w:color="000000"/>
            </w:tcBorders>
          </w:tcPr>
          <w:p>
            <w:pPr/>
          </w:p>
        </w:tc>
        <w:tc>
          <w:tcPr>
            <w:tcW w:w="1678"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116,042,625.65</w:t>
            </w:r>
          </w:p>
        </w:tc>
      </w:tr>
      <w:tr>
        <w:trPr>
          <w:trHeight w:val="466"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、西软快捷连锁酒店管理软件</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V1.0</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9,800,000.00</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9,800,000.00</w:t>
            </w:r>
          </w:p>
        </w:tc>
      </w:tr>
      <w:tr>
        <w:trPr>
          <w:trHeight w:val="464"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、酒店客户关系管理系统技术</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V2.3</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1,280,000.00</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1,280,000.00</w:t>
            </w:r>
          </w:p>
        </w:tc>
      </w:tr>
      <w:tr>
        <w:trPr>
          <w:trHeight w:val="464"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、预订引擎及相关技术（</w:t>
            </w:r>
            <w:r>
              <w:rPr>
                <w:rFonts w:ascii="Times New Roman" w:hAnsi="Times New Roman" w:cs="Times New Roman" w:eastAsia="Times New Roman" w:hint="default"/>
                <w:sz w:val="21"/>
                <w:szCs w:val="21"/>
              </w:rPr>
              <w:t>MBE</w:t>
            </w:r>
            <w:r>
              <w:rPr>
                <w:rFonts w:ascii="宋体" w:hAnsi="宋体" w:cs="宋体" w:eastAsia="宋体" w:hint="default"/>
                <w:sz w:val="21"/>
                <w:szCs w:val="21"/>
              </w:rPr>
              <w:t>）</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9,339,380.00</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9,339,380.00</w:t>
            </w:r>
          </w:p>
        </w:tc>
      </w:tr>
      <w:tr>
        <w:trPr>
          <w:trHeight w:val="466"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PMS V7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源代码</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8,127,578.00</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spacing w:val="-1"/>
                <w:sz w:val="21"/>
              </w:rPr>
              <w:t>8,127,578.00</w:t>
            </w:r>
          </w:p>
        </w:tc>
      </w:tr>
      <w:tr>
        <w:trPr>
          <w:trHeight w:val="466"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5</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PMS </w:t>
            </w:r>
            <w:r>
              <w:rPr>
                <w:rFonts w:ascii="Times New Roman" w:hAnsi="Times New Roman" w:cs="Times New Roman" w:eastAsia="Times New Roman" w:hint="default"/>
                <w:sz w:val="21"/>
                <w:szCs w:val="21"/>
              </w:rPr>
              <w:t>V7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源代码许可接口</w:t>
            </w:r>
            <w:r>
              <w:rPr>
                <w:rFonts w:ascii="Times New Roman" w:hAnsi="Times New Roman" w:cs="Times New Roman" w:eastAsia="Times New Roman" w:hint="default"/>
                <w:sz w:val="21"/>
                <w:szCs w:val="21"/>
              </w:rPr>
              <w:t>\</w:t>
            </w:r>
            <w:r>
              <w:rPr>
                <w:rFonts w:ascii="宋体" w:hAnsi="宋体" w:cs="宋体" w:eastAsia="宋体" w:hint="default"/>
                <w:sz w:val="21"/>
                <w:szCs w:val="21"/>
              </w:rPr>
              <w:t>内核与文档</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5,136,840.00</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5,136,840.00</w:t>
            </w:r>
          </w:p>
        </w:tc>
      </w:tr>
      <w:tr>
        <w:trPr>
          <w:trHeight w:val="464"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、阳溢软件许可权</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29,450,423.68</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spacing w:val="-1"/>
                <w:sz w:val="21"/>
              </w:rPr>
              <w:t>29,450,423.68</w:t>
            </w:r>
          </w:p>
        </w:tc>
      </w:tr>
      <w:tr>
        <w:trPr>
          <w:trHeight w:val="464"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、美食联通系统</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10,099,490.00</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10,099,490.00</w:t>
            </w:r>
          </w:p>
        </w:tc>
      </w:tr>
      <w:tr>
        <w:trPr>
          <w:trHeight w:val="466"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w:t>
            </w:r>
            <w:r>
              <w:rPr>
                <w:rFonts w:ascii="Times New Roman" w:hAnsi="Times New Roman" w:cs="Times New Roman" w:eastAsia="Times New Roman" w:hint="default"/>
                <w:sz w:val="21"/>
                <w:szCs w:val="21"/>
              </w:rPr>
              <w:t>ISMPOS AND</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z w:val="21"/>
                <w:szCs w:val="21"/>
              </w:rPr>
              <w:t>QIS</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530,850.13</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530,850.13</w:t>
            </w:r>
          </w:p>
        </w:tc>
      </w:tr>
      <w:tr>
        <w:trPr>
          <w:trHeight w:val="466"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Pos Master </w:t>
            </w:r>
            <w:r>
              <w:rPr>
                <w:rFonts w:ascii="Times New Roman" w:hAnsi="Times New Roman" w:cs="Times New Roman" w:eastAsia="Times New Roman" w:hint="default"/>
                <w:spacing w:val="-3"/>
                <w:sz w:val="21"/>
                <w:szCs w:val="21"/>
              </w:rPr>
              <w:t>Ltd </w:t>
            </w:r>
            <w:r>
              <w:rPr>
                <w:rFonts w:ascii="Times New Roman" w:hAnsi="Times New Roman" w:cs="Times New Roman" w:eastAsia="Times New Roman" w:hint="default"/>
                <w:sz w:val="21"/>
                <w:szCs w:val="21"/>
              </w:rPr>
              <w:t>customer</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Information</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504,862.39</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504,862.39</w:t>
            </w:r>
          </w:p>
        </w:tc>
      </w:tr>
      <w:tr>
        <w:trPr>
          <w:trHeight w:val="464"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、土地使用权</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3,048,554.78</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3,048,554.78</w:t>
            </w:r>
          </w:p>
        </w:tc>
      </w:tr>
      <w:tr>
        <w:trPr>
          <w:trHeight w:val="464"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、石基酒店分销在线处理平台</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35,291,418.19</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35,291,418.19</w:t>
            </w:r>
          </w:p>
        </w:tc>
      </w:tr>
      <w:tr>
        <w:trPr>
          <w:trHeight w:val="466"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Gourmate</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apps</w:t>
            </w:r>
          </w:p>
        </w:tc>
        <w:tc>
          <w:tcPr>
            <w:tcW w:w="1678"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pacing w:val="-1"/>
                <w:sz w:val="21"/>
              </w:rPr>
              <w:t>3,433,228.48</w:t>
            </w: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3,433,228.48</w:t>
            </w:r>
          </w:p>
        </w:tc>
      </w:tr>
      <w:tr>
        <w:trPr>
          <w:trHeight w:val="466"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二、累计摊销额合计</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49,412,878.58</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pacing w:val="-1"/>
                <w:sz w:val="21"/>
              </w:rPr>
              <w:t>14,563,769.60</w:t>
            </w: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63,976,648.18</w:t>
            </w:r>
          </w:p>
        </w:tc>
      </w:tr>
      <w:tr>
        <w:trPr>
          <w:trHeight w:val="464"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、西软快捷连锁酒店管理软件</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V1.0</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8,983,758.17</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pacing w:val="-1"/>
                <w:sz w:val="21"/>
              </w:rPr>
              <w:t>816,241.83</w:t>
            </w: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9,800,000.00</w:t>
            </w:r>
          </w:p>
        </w:tc>
      </w:tr>
      <w:tr>
        <w:trPr>
          <w:trHeight w:val="381" w:hRule="exact"/>
        </w:trPr>
        <w:tc>
          <w:tcPr>
            <w:tcW w:w="3878" w:type="dxa"/>
            <w:tcBorders>
              <w:top w:val="nil" w:sz="6" w:space="0" w:color="auto"/>
              <w:left w:val="nil" w:sz="6" w:space="0" w:color="auto"/>
              <w:bottom w:val="single" w:sz="12" w:space="0" w:color="000000"/>
              <w:right w:val="single" w:sz="4" w:space="0" w:color="000000"/>
            </w:tcBorders>
          </w:tcPr>
          <w:p>
            <w:pPr>
              <w:pStyle w:val="TableParagraph"/>
              <w:spacing w:line="240" w:lineRule="auto" w:before="51"/>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、酒店客户关系管理系统技术</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V2.3</w:t>
            </w:r>
          </w:p>
        </w:tc>
        <w:tc>
          <w:tcPr>
            <w:tcW w:w="16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1,280,000.00</w:t>
            </w:r>
          </w:p>
        </w:tc>
        <w:tc>
          <w:tcPr>
            <w:tcW w:w="1570" w:type="dxa"/>
            <w:tcBorders>
              <w:top w:val="nil" w:sz="6" w:space="0" w:color="auto"/>
              <w:left w:val="single" w:sz="4" w:space="0" w:color="000000"/>
              <w:bottom w:val="single" w:sz="12" w:space="0" w:color="000000"/>
              <w:right w:val="single" w:sz="4" w:space="0" w:color="000000"/>
            </w:tcBorders>
          </w:tcPr>
          <w:p>
            <w:pPr/>
          </w:p>
        </w:tc>
        <w:tc>
          <w:tcPr>
            <w:tcW w:w="1066" w:type="dxa"/>
            <w:vMerge/>
            <w:tcBorders>
              <w:left w:val="single" w:sz="4" w:space="0" w:color="000000"/>
              <w:bottom w:val="single" w:sz="12" w:space="0" w:color="000000"/>
              <w:right w:val="single" w:sz="4" w:space="0" w:color="000000"/>
            </w:tcBorders>
          </w:tcPr>
          <w:p>
            <w:pPr/>
          </w:p>
        </w:tc>
        <w:tc>
          <w:tcPr>
            <w:tcW w:w="1678" w:type="dxa"/>
            <w:tcBorders>
              <w:top w:val="nil" w:sz="6" w:space="0" w:color="auto"/>
              <w:left w:val="single" w:sz="4" w:space="0" w:color="000000"/>
              <w:bottom w:val="single" w:sz="12" w:space="0" w:color="000000"/>
              <w:right w:val="nil" w:sz="6" w:space="0" w:color="auto"/>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1,280,000.00</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200" w:bottom="1160" w:left="900" w:right="920"/>
        </w:sectPr>
      </w:pPr>
    </w:p>
    <w:tbl>
      <w:tblPr>
        <w:tblW w:w="0" w:type="auto"/>
        <w:jc w:val="left"/>
        <w:tblInd w:w="110" w:type="dxa"/>
        <w:tblLayout w:type="fixed"/>
        <w:tblCellMar>
          <w:top w:w="0" w:type="dxa"/>
          <w:left w:w="0" w:type="dxa"/>
          <w:bottom w:w="0" w:type="dxa"/>
          <w:right w:w="0" w:type="dxa"/>
        </w:tblCellMar>
        <w:tblLook w:val="01E0"/>
      </w:tblPr>
      <w:tblGrid>
        <w:gridCol w:w="3878"/>
        <w:gridCol w:w="1678"/>
        <w:gridCol w:w="1570"/>
        <w:gridCol w:w="1066"/>
        <w:gridCol w:w="1678"/>
      </w:tblGrid>
      <w:tr>
        <w:trPr>
          <w:trHeight w:val="948" w:hRule="exact"/>
        </w:trPr>
        <w:tc>
          <w:tcPr>
            <w:tcW w:w="387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tabs>
                <w:tab w:pos="652"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7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7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066" w:type="dxa"/>
            <w:tcBorders>
              <w:top w:val="single" w:sz="17" w:space="0" w:color="000000"/>
              <w:left w:val="single" w:sz="4" w:space="0" w:color="000000"/>
              <w:bottom w:val="single" w:sz="4" w:space="0" w:color="000000"/>
              <w:right w:val="single" w:sz="4" w:space="0" w:color="000000"/>
            </w:tcBorders>
          </w:tcPr>
          <w:p>
            <w:pPr>
              <w:pStyle w:val="TableParagraph"/>
              <w:spacing w:line="460" w:lineRule="exact" w:before="30"/>
              <w:ind w:left="422" w:right="103" w:hanging="315"/>
              <w:jc w:val="left"/>
              <w:rPr>
                <w:rFonts w:ascii="宋体" w:hAnsi="宋体" w:cs="宋体" w:eastAsia="宋体" w:hint="default"/>
                <w:sz w:val="21"/>
                <w:szCs w:val="21"/>
              </w:rPr>
            </w:pPr>
            <w:r>
              <w:rPr>
                <w:rFonts w:ascii="宋体" w:hAnsi="宋体" w:cs="宋体" w:eastAsia="宋体" w:hint="default"/>
                <w:sz w:val="21"/>
                <w:szCs w:val="21"/>
              </w:rPr>
              <w:t>本年减少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678"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571" w:hRule="exact"/>
        </w:trPr>
        <w:tc>
          <w:tcPr>
            <w:tcW w:w="3878"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、预订引擎及相关技术（</w:t>
            </w:r>
            <w:r>
              <w:rPr>
                <w:rFonts w:ascii="Times New Roman" w:hAnsi="Times New Roman" w:cs="Times New Roman" w:eastAsia="Times New Roman" w:hint="default"/>
                <w:sz w:val="21"/>
                <w:szCs w:val="21"/>
              </w:rPr>
              <w:t>MBE</w:t>
            </w:r>
            <w:r>
              <w:rPr>
                <w:rFonts w:ascii="宋体" w:hAnsi="宋体" w:cs="宋体" w:eastAsia="宋体" w:hint="default"/>
                <w:sz w:val="21"/>
                <w:szCs w:val="21"/>
              </w:rPr>
              <w:t>）</w:t>
            </w: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4,085,978.77</w:t>
            </w:r>
          </w:p>
        </w:tc>
        <w:tc>
          <w:tcPr>
            <w:tcW w:w="15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1,167,422.52</w:t>
            </w:r>
          </w:p>
        </w:tc>
        <w:tc>
          <w:tcPr>
            <w:tcW w:w="1066" w:type="dxa"/>
            <w:vMerge w:val="restart"/>
            <w:tcBorders>
              <w:top w:val="single" w:sz="4" w:space="0" w:color="000000"/>
              <w:left w:val="single" w:sz="4" w:space="0" w:color="000000"/>
              <w:right w:val="single" w:sz="4" w:space="0" w:color="000000"/>
            </w:tcBorders>
          </w:tcPr>
          <w:p>
            <w:pPr/>
          </w:p>
        </w:tc>
        <w:tc>
          <w:tcPr>
            <w:tcW w:w="1678"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5,253,401.29</w:t>
            </w:r>
          </w:p>
        </w:tc>
      </w:tr>
      <w:tr>
        <w:trPr>
          <w:trHeight w:val="464"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PMS V7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源代码</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5,689,304.52</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pacing w:val="-1"/>
                <w:sz w:val="21"/>
              </w:rPr>
              <w:t>1,625,515.56</w:t>
            </w: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pacing w:val="-1"/>
                <w:sz w:val="21"/>
              </w:rPr>
              <w:t>7,314,820.08</w:t>
            </w:r>
          </w:p>
        </w:tc>
      </w:tr>
      <w:tr>
        <w:trPr>
          <w:trHeight w:val="464"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5</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PMS </w:t>
            </w:r>
            <w:r>
              <w:rPr>
                <w:rFonts w:ascii="Times New Roman" w:hAnsi="Times New Roman" w:cs="Times New Roman" w:eastAsia="Times New Roman" w:hint="default"/>
                <w:sz w:val="21"/>
                <w:szCs w:val="21"/>
              </w:rPr>
              <w:t>V7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源代码许可接口</w:t>
            </w:r>
            <w:r>
              <w:rPr>
                <w:rFonts w:ascii="Times New Roman" w:hAnsi="Times New Roman" w:cs="Times New Roman" w:eastAsia="Times New Roman" w:hint="default"/>
                <w:sz w:val="21"/>
                <w:szCs w:val="21"/>
              </w:rPr>
              <w:t>\</w:t>
            </w:r>
            <w:r>
              <w:rPr>
                <w:rFonts w:ascii="宋体" w:hAnsi="宋体" w:cs="宋体" w:eastAsia="宋体" w:hint="default"/>
                <w:sz w:val="21"/>
                <w:szCs w:val="21"/>
              </w:rPr>
              <w:t>内核与文档</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2"/>
                <w:sz w:val="21"/>
              </w:rPr>
              <w:t>2,311,578.00</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6"/>
              <w:jc w:val="right"/>
              <w:rPr>
                <w:rFonts w:ascii="Times New Roman" w:hAnsi="Times New Roman" w:cs="Times New Roman" w:eastAsia="Times New Roman" w:hint="default"/>
                <w:sz w:val="21"/>
                <w:szCs w:val="21"/>
              </w:rPr>
            </w:pPr>
            <w:r>
              <w:rPr>
                <w:rFonts w:ascii="Times New Roman"/>
                <w:spacing w:val="-1"/>
                <w:sz w:val="21"/>
              </w:rPr>
              <w:t>1,027,368.00</w:t>
            </w: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3,338,946.00</w:t>
            </w:r>
          </w:p>
        </w:tc>
      </w:tr>
      <w:tr>
        <w:trPr>
          <w:trHeight w:val="466"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、阳溢软件许可权</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12,884,560.36</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pacing w:val="-1"/>
                <w:sz w:val="21"/>
              </w:rPr>
              <w:t>5,521,954.44</w:t>
            </w: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18,406,514.80</w:t>
            </w:r>
          </w:p>
        </w:tc>
      </w:tr>
      <w:tr>
        <w:trPr>
          <w:trHeight w:val="466"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、美食联通系统</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10,099,490.00</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spacing w:val="-1"/>
                <w:sz w:val="21"/>
              </w:rPr>
              <w:t>10,099,490.00</w:t>
            </w:r>
          </w:p>
        </w:tc>
      </w:tr>
      <w:tr>
        <w:trPr>
          <w:trHeight w:val="464"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w:t>
            </w:r>
            <w:r>
              <w:rPr>
                <w:rFonts w:ascii="Times New Roman" w:hAnsi="Times New Roman" w:cs="Times New Roman" w:eastAsia="Times New Roman" w:hint="default"/>
                <w:sz w:val="21"/>
                <w:szCs w:val="21"/>
              </w:rPr>
              <w:t>ISMPOS AND</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z w:val="21"/>
                <w:szCs w:val="21"/>
              </w:rPr>
              <w:t>QIS</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227,788.41</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122,194.74</w:t>
            </w: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349,983.15</w:t>
            </w:r>
          </w:p>
        </w:tc>
      </w:tr>
      <w:tr>
        <w:trPr>
          <w:trHeight w:val="464"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Pos Master </w:t>
            </w:r>
            <w:r>
              <w:rPr>
                <w:rFonts w:ascii="Times New Roman" w:hAnsi="Times New Roman" w:cs="Times New Roman" w:eastAsia="Times New Roman" w:hint="default"/>
                <w:spacing w:val="-3"/>
                <w:sz w:val="21"/>
                <w:szCs w:val="21"/>
              </w:rPr>
              <w:t>Ltd </w:t>
            </w:r>
            <w:r>
              <w:rPr>
                <w:rFonts w:ascii="Times New Roman" w:hAnsi="Times New Roman" w:cs="Times New Roman" w:eastAsia="Times New Roman" w:hint="default"/>
                <w:sz w:val="21"/>
                <w:szCs w:val="21"/>
              </w:rPr>
              <w:t>customer</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Information</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216,637.05</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6"/>
              <w:jc w:val="right"/>
              <w:rPr>
                <w:rFonts w:ascii="Times New Roman" w:hAnsi="Times New Roman" w:cs="Times New Roman" w:eastAsia="Times New Roman" w:hint="default"/>
                <w:sz w:val="21"/>
                <w:szCs w:val="21"/>
              </w:rPr>
            </w:pPr>
            <w:r>
              <w:rPr>
                <w:rFonts w:ascii="Times New Roman"/>
                <w:spacing w:val="-2"/>
                <w:sz w:val="21"/>
              </w:rPr>
              <w:t>116,212.73</w:t>
            </w: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21"/>
                <w:szCs w:val="21"/>
              </w:rPr>
            </w:pPr>
            <w:r>
              <w:rPr>
                <w:rFonts w:ascii="Times New Roman"/>
                <w:spacing w:val="-1"/>
                <w:sz w:val="21"/>
              </w:rPr>
              <w:t>332,849.78</w:t>
            </w:r>
          </w:p>
        </w:tc>
      </w:tr>
      <w:tr>
        <w:trPr>
          <w:trHeight w:val="466"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、土地使用权</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104,641.50</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pacing w:val="-1"/>
                <w:sz w:val="21"/>
              </w:rPr>
              <w:t>83,713.20</w:t>
            </w: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188,354.70</w:t>
            </w:r>
          </w:p>
        </w:tc>
      </w:tr>
      <w:tr>
        <w:trPr>
          <w:trHeight w:val="466"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、石基酒店分销在线处理平台</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3,529,141.80</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pacing w:val="-1"/>
                <w:sz w:val="21"/>
              </w:rPr>
              <w:t>3,529,141.80</w:t>
            </w: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pacing w:val="-1"/>
                <w:sz w:val="21"/>
              </w:rPr>
              <w:t>7,058,283.60</w:t>
            </w:r>
          </w:p>
        </w:tc>
      </w:tr>
      <w:tr>
        <w:trPr>
          <w:trHeight w:val="464"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Gourmate</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apps</w:t>
            </w:r>
          </w:p>
        </w:tc>
        <w:tc>
          <w:tcPr>
            <w:tcW w:w="1678"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pacing w:val="-1"/>
                <w:sz w:val="21"/>
              </w:rPr>
              <w:t>554,004.78</w:t>
            </w: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554,004.78</w:t>
            </w:r>
          </w:p>
        </w:tc>
      </w:tr>
      <w:tr>
        <w:trPr>
          <w:trHeight w:val="464"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三、无形资产账面价值合计</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6"/>
              <w:jc w:val="right"/>
              <w:rPr>
                <w:rFonts w:ascii="Times New Roman" w:hAnsi="Times New Roman" w:cs="Times New Roman" w:eastAsia="Times New Roman" w:hint="default"/>
                <w:sz w:val="21"/>
                <w:szCs w:val="21"/>
              </w:rPr>
            </w:pPr>
            <w:r>
              <w:rPr>
                <w:rFonts w:ascii="Times New Roman"/>
                <w:spacing w:val="-1"/>
                <w:sz w:val="21"/>
              </w:rPr>
              <w:t>63,196,518.59</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52,065,977.47</w:t>
            </w:r>
          </w:p>
        </w:tc>
      </w:tr>
      <w:tr>
        <w:trPr>
          <w:trHeight w:val="466"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、西软快捷连锁酒店管理软件</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V1.0</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816,241.83</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61"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、酒店客户关系管理系统技术</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V2.3</w:t>
            </w:r>
          </w:p>
        </w:tc>
        <w:tc>
          <w:tcPr>
            <w:tcW w:w="1678"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69"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、预订引擎及相关技术（</w:t>
            </w:r>
            <w:r>
              <w:rPr>
                <w:rFonts w:ascii="Times New Roman" w:hAnsi="Times New Roman" w:cs="Times New Roman" w:eastAsia="Times New Roman" w:hint="default"/>
                <w:sz w:val="21"/>
                <w:szCs w:val="21"/>
              </w:rPr>
              <w:t>MBE</w:t>
            </w:r>
            <w:r>
              <w:rPr>
                <w:rFonts w:ascii="宋体" w:hAnsi="宋体" w:cs="宋体" w:eastAsia="宋体" w:hint="default"/>
                <w:sz w:val="21"/>
                <w:szCs w:val="21"/>
              </w:rPr>
              <w:t>）</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5,253,401.23</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spacing w:val="-1"/>
                <w:sz w:val="21"/>
              </w:rPr>
              <w:t>4,085,978.71</w:t>
            </w:r>
          </w:p>
        </w:tc>
      </w:tr>
      <w:tr>
        <w:trPr>
          <w:trHeight w:val="464"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PMS V7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源代码</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2,438,273.48</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812,757.92</w:t>
            </w:r>
          </w:p>
        </w:tc>
      </w:tr>
      <w:tr>
        <w:trPr>
          <w:trHeight w:val="466"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5</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PMS </w:t>
            </w:r>
            <w:r>
              <w:rPr>
                <w:rFonts w:ascii="Times New Roman" w:hAnsi="Times New Roman" w:cs="Times New Roman" w:eastAsia="Times New Roman" w:hint="default"/>
                <w:sz w:val="21"/>
                <w:szCs w:val="21"/>
              </w:rPr>
              <w:t>V7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源代码许可接口</w:t>
            </w:r>
            <w:r>
              <w:rPr>
                <w:rFonts w:ascii="Times New Roman" w:hAnsi="Times New Roman" w:cs="Times New Roman" w:eastAsia="Times New Roman" w:hint="default"/>
                <w:sz w:val="21"/>
                <w:szCs w:val="21"/>
              </w:rPr>
              <w:t>\</w:t>
            </w:r>
            <w:r>
              <w:rPr>
                <w:rFonts w:ascii="宋体" w:hAnsi="宋体" w:cs="宋体" w:eastAsia="宋体" w:hint="default"/>
                <w:sz w:val="21"/>
                <w:szCs w:val="21"/>
              </w:rPr>
              <w:t>内核与文档</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2,825,262.00</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1,797,894.00</w:t>
            </w:r>
          </w:p>
        </w:tc>
      </w:tr>
      <w:tr>
        <w:trPr>
          <w:trHeight w:val="466"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、阳溢软件许可权</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16,565,863.32</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spacing w:val="-2"/>
                <w:sz w:val="21"/>
              </w:rPr>
              <w:t>11,043,908.88</w:t>
            </w:r>
          </w:p>
        </w:tc>
      </w:tr>
      <w:tr>
        <w:trPr>
          <w:trHeight w:val="460"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、美食联通系统</w:t>
            </w:r>
          </w:p>
        </w:tc>
        <w:tc>
          <w:tcPr>
            <w:tcW w:w="1678"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69"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w:t>
            </w:r>
            <w:r>
              <w:rPr>
                <w:rFonts w:ascii="Times New Roman" w:hAnsi="Times New Roman" w:cs="Times New Roman" w:eastAsia="Times New Roman" w:hint="default"/>
                <w:sz w:val="21"/>
                <w:szCs w:val="21"/>
              </w:rPr>
              <w:t>ISMPOS AND</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z w:val="21"/>
                <w:szCs w:val="21"/>
              </w:rPr>
              <w:t>QIS</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21"/>
                <w:szCs w:val="21"/>
              </w:rPr>
            </w:pPr>
            <w:r>
              <w:rPr>
                <w:rFonts w:ascii="Times New Roman"/>
                <w:spacing w:val="-1"/>
                <w:sz w:val="21"/>
              </w:rPr>
              <w:t>303,061.72</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1"/>
              <w:jc w:val="right"/>
              <w:rPr>
                <w:rFonts w:ascii="Times New Roman" w:hAnsi="Times New Roman" w:cs="Times New Roman" w:eastAsia="Times New Roman" w:hint="default"/>
                <w:sz w:val="21"/>
                <w:szCs w:val="21"/>
              </w:rPr>
            </w:pPr>
            <w:r>
              <w:rPr>
                <w:rFonts w:ascii="Times New Roman"/>
                <w:spacing w:val="-1"/>
                <w:sz w:val="21"/>
              </w:rPr>
              <w:t>180,866.98</w:t>
            </w:r>
          </w:p>
        </w:tc>
      </w:tr>
      <w:tr>
        <w:trPr>
          <w:trHeight w:val="466"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Pos Master </w:t>
            </w:r>
            <w:r>
              <w:rPr>
                <w:rFonts w:ascii="Times New Roman" w:hAnsi="Times New Roman" w:cs="Times New Roman" w:eastAsia="Times New Roman" w:hint="default"/>
                <w:spacing w:val="-3"/>
                <w:sz w:val="21"/>
                <w:szCs w:val="21"/>
              </w:rPr>
              <w:t>Ltd </w:t>
            </w:r>
            <w:r>
              <w:rPr>
                <w:rFonts w:ascii="Times New Roman" w:hAnsi="Times New Roman" w:cs="Times New Roman" w:eastAsia="Times New Roman" w:hint="default"/>
                <w:sz w:val="21"/>
                <w:szCs w:val="21"/>
              </w:rPr>
              <w:t>customer</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Information</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288,225.34</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172,012.61</w:t>
            </w:r>
          </w:p>
        </w:tc>
      </w:tr>
      <w:tr>
        <w:trPr>
          <w:trHeight w:val="466"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、土地使用权</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2,943,913.28</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spacing w:val="-1"/>
                <w:sz w:val="21"/>
              </w:rPr>
              <w:t>2,860,200.08</w:t>
            </w:r>
          </w:p>
        </w:tc>
      </w:tr>
      <w:tr>
        <w:trPr>
          <w:trHeight w:val="464" w:hRule="exact"/>
        </w:trPr>
        <w:tc>
          <w:tcPr>
            <w:tcW w:w="387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、石基酒店分销在线处理平台</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31,762,276.39</w:t>
            </w:r>
          </w:p>
        </w:tc>
        <w:tc>
          <w:tcPr>
            <w:tcW w:w="1570" w:type="dxa"/>
            <w:tcBorders>
              <w:top w:val="nil" w:sz="6" w:space="0" w:color="auto"/>
              <w:left w:val="single" w:sz="4" w:space="0" w:color="000000"/>
              <w:bottom w:val="nil" w:sz="6" w:space="0" w:color="auto"/>
              <w:right w:val="single" w:sz="4" w:space="0" w:color="000000"/>
            </w:tcBorders>
          </w:tcPr>
          <w:p>
            <w:pPr/>
          </w:p>
        </w:tc>
        <w:tc>
          <w:tcPr>
            <w:tcW w:w="1066"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spacing w:val="-1"/>
                <w:sz w:val="21"/>
              </w:rPr>
              <w:t>28,233,134.59</w:t>
            </w:r>
          </w:p>
        </w:tc>
      </w:tr>
      <w:tr>
        <w:trPr>
          <w:trHeight w:val="381" w:hRule="exact"/>
        </w:trPr>
        <w:tc>
          <w:tcPr>
            <w:tcW w:w="3878" w:type="dxa"/>
            <w:tcBorders>
              <w:top w:val="nil" w:sz="6" w:space="0" w:color="auto"/>
              <w:left w:val="nil" w:sz="6" w:space="0" w:color="auto"/>
              <w:bottom w:val="single" w:sz="12" w:space="0" w:color="000000"/>
              <w:right w:val="single" w:sz="4" w:space="0" w:color="000000"/>
            </w:tcBorders>
          </w:tcPr>
          <w:p>
            <w:pPr>
              <w:pStyle w:val="TableParagraph"/>
              <w:spacing w:line="240" w:lineRule="auto" w:before="51"/>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Gourmate</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apps</w:t>
            </w:r>
          </w:p>
        </w:tc>
        <w:tc>
          <w:tcPr>
            <w:tcW w:w="1678" w:type="dxa"/>
            <w:tcBorders>
              <w:top w:val="nil" w:sz="6" w:space="0" w:color="auto"/>
              <w:left w:val="single" w:sz="4" w:space="0" w:color="000000"/>
              <w:bottom w:val="single" w:sz="12" w:space="0" w:color="000000"/>
              <w:right w:val="single" w:sz="4" w:space="0" w:color="000000"/>
            </w:tcBorders>
          </w:tcPr>
          <w:p>
            <w:pPr/>
          </w:p>
        </w:tc>
        <w:tc>
          <w:tcPr>
            <w:tcW w:w="1570" w:type="dxa"/>
            <w:tcBorders>
              <w:top w:val="nil" w:sz="6" w:space="0" w:color="auto"/>
              <w:left w:val="single" w:sz="4" w:space="0" w:color="000000"/>
              <w:bottom w:val="single" w:sz="12" w:space="0" w:color="000000"/>
              <w:right w:val="single" w:sz="4" w:space="0" w:color="000000"/>
            </w:tcBorders>
          </w:tcPr>
          <w:p>
            <w:pPr/>
          </w:p>
        </w:tc>
        <w:tc>
          <w:tcPr>
            <w:tcW w:w="1066" w:type="dxa"/>
            <w:vMerge/>
            <w:tcBorders>
              <w:left w:val="single" w:sz="4" w:space="0" w:color="000000"/>
              <w:bottom w:val="single" w:sz="12" w:space="0" w:color="000000"/>
              <w:right w:val="single" w:sz="4" w:space="0" w:color="000000"/>
            </w:tcBorders>
          </w:tcPr>
          <w:p>
            <w:pPr/>
          </w:p>
        </w:tc>
        <w:tc>
          <w:tcPr>
            <w:tcW w:w="1678" w:type="dxa"/>
            <w:tcBorders>
              <w:top w:val="nil" w:sz="6" w:space="0" w:color="auto"/>
              <w:left w:val="single" w:sz="4" w:space="0" w:color="000000"/>
              <w:bottom w:val="single" w:sz="12" w:space="0" w:color="000000"/>
              <w:right w:val="nil" w:sz="6" w:space="0" w:color="auto"/>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2,879,223.70</w:t>
            </w:r>
          </w:p>
        </w:tc>
      </w:tr>
    </w:tbl>
    <w:p>
      <w:pPr>
        <w:spacing w:line="240" w:lineRule="auto" w:before="12"/>
        <w:rPr>
          <w:rFonts w:ascii="宋体" w:hAnsi="宋体" w:cs="宋体" w:eastAsia="宋体" w:hint="default"/>
          <w:sz w:val="8"/>
          <w:szCs w:val="8"/>
        </w:rPr>
      </w:pPr>
    </w:p>
    <w:p>
      <w:pPr>
        <w:pStyle w:val="BodyText"/>
        <w:spacing w:line="379" w:lineRule="auto" w:before="36"/>
        <w:ind w:left="652" w:right="1636"/>
        <w:jc w:val="left"/>
      </w:pPr>
      <w:r>
        <w:rPr/>
        <w:t>注</w:t>
      </w:r>
      <w:r>
        <w:rPr>
          <w:spacing w:val="-56"/>
        </w:rPr>
        <w:t> </w:t>
      </w:r>
      <w:r>
        <w:rPr>
          <w:rFonts w:ascii="Times New Roman" w:hAnsi="Times New Roman" w:cs="Times New Roman" w:eastAsia="Times New Roman" w:hint="default"/>
        </w:rPr>
        <w:t>1</w:t>
      </w:r>
      <w:r>
        <w:rPr/>
        <w:t>、通过公司内部研发形成的无形资产占无形资产期末账面价值的比例为</w:t>
      </w:r>
      <w:r>
        <w:rPr>
          <w:spacing w:val="-59"/>
        </w:rPr>
        <w:t> </w:t>
      </w:r>
      <w:r>
        <w:rPr>
          <w:rFonts w:ascii="Times New Roman" w:hAnsi="Times New Roman" w:cs="Times New Roman" w:eastAsia="Times New Roman" w:hint="default"/>
        </w:rPr>
        <w:t>54.23%</w:t>
      </w:r>
      <w:r>
        <w:rPr/>
        <w:t>。</w:t>
      </w:r>
      <w:r>
        <w:rPr>
          <w:w w:val="100"/>
        </w:rPr>
        <w:t> </w:t>
      </w:r>
      <w:r>
        <w:rPr/>
        <w:t>注</w:t>
      </w:r>
      <w:r>
        <w:rPr>
          <w:spacing w:val="-2"/>
        </w:rPr>
        <w:t> </w:t>
      </w:r>
      <w:r>
        <w:rPr>
          <w:rFonts w:ascii="Times New Roman" w:hAnsi="Times New Roman" w:cs="Times New Roman" w:eastAsia="Times New Roman" w:hint="default"/>
          <w:spacing w:val="-2"/>
        </w:rPr>
        <w:t>2</w:t>
      </w:r>
      <w:r>
        <w:rPr>
          <w:spacing w:val="-2"/>
        </w:rPr>
        <w:t>、报告期末无形资产未减值，故未计提无形资产减值准备。</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5"/>
          <w:szCs w:val="15"/>
        </w:rPr>
      </w:pPr>
    </w:p>
    <w:p>
      <w:pPr>
        <w:pStyle w:val="BodyText"/>
        <w:spacing w:line="240" w:lineRule="auto"/>
        <w:ind w:left="652" w:right="5418"/>
        <w:jc w:val="left"/>
      </w:pPr>
      <w:r>
        <w:rPr>
          <w:rFonts w:ascii="Times New Roman" w:hAnsi="Times New Roman" w:cs="Times New Roman" w:eastAsia="Times New Roman" w:hint="default"/>
        </w:rPr>
        <w:t>15</w:t>
      </w:r>
      <w:r>
        <w:rPr/>
        <w:t>．开发支出</w:t>
      </w:r>
    </w:p>
    <w:tbl>
      <w:tblPr>
        <w:tblW w:w="0" w:type="auto"/>
        <w:jc w:val="left"/>
        <w:tblInd w:w="110" w:type="dxa"/>
        <w:tblLayout w:type="fixed"/>
        <w:tblCellMar>
          <w:top w:w="0" w:type="dxa"/>
          <w:left w:w="0" w:type="dxa"/>
          <w:bottom w:w="0" w:type="dxa"/>
          <w:right w:w="0" w:type="dxa"/>
        </w:tblCellMar>
        <w:tblLook w:val="01E0"/>
      </w:tblPr>
      <w:tblGrid>
        <w:gridCol w:w="2266"/>
        <w:gridCol w:w="1603"/>
        <w:gridCol w:w="1721"/>
        <w:gridCol w:w="2654"/>
        <w:gridCol w:w="1610"/>
      </w:tblGrid>
      <w:tr>
        <w:trPr>
          <w:trHeight w:val="439" w:hRule="exact"/>
        </w:trPr>
        <w:tc>
          <w:tcPr>
            <w:tcW w:w="2266" w:type="dxa"/>
            <w:tcBorders>
              <w:top w:val="single" w:sz="12" w:space="0" w:color="000000"/>
              <w:left w:val="nil" w:sz="6" w:space="0" w:color="auto"/>
              <w:bottom w:val="nil" w:sz="6" w:space="0" w:color="auto"/>
              <w:right w:val="single" w:sz="4" w:space="0" w:color="000000"/>
            </w:tcBorders>
          </w:tcPr>
          <w:p>
            <w:pPr>
              <w:pStyle w:val="TableParagraph"/>
              <w:tabs>
                <w:tab w:pos="1343" w:val="left" w:leader="none"/>
              </w:tabs>
              <w:spacing w:line="240" w:lineRule="auto" w:before="40"/>
              <w:ind w:left="71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0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0"/>
              <w:ind w:left="37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72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0"/>
              <w:ind w:left="436"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6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0"/>
              <w:ind w:left="7" w:right="0"/>
              <w:jc w:val="center"/>
              <w:rPr>
                <w:rFonts w:ascii="宋体" w:hAnsi="宋体" w:cs="宋体" w:eastAsia="宋体" w:hint="default"/>
                <w:sz w:val="21"/>
                <w:szCs w:val="21"/>
              </w:rPr>
            </w:pPr>
            <w:r>
              <w:rPr>
                <w:rFonts w:ascii="宋体" w:hAnsi="宋体" w:cs="宋体" w:eastAsia="宋体" w:hint="default"/>
                <w:sz w:val="21"/>
                <w:szCs w:val="21"/>
              </w:rPr>
              <w:t>本年转出</w:t>
            </w:r>
          </w:p>
        </w:tc>
        <w:tc>
          <w:tcPr>
            <w:tcW w:w="1610" w:type="dxa"/>
            <w:tcBorders>
              <w:top w:val="single" w:sz="12" w:space="0" w:color="000000"/>
              <w:left w:val="single" w:sz="4" w:space="0" w:color="000000"/>
              <w:bottom w:val="nil" w:sz="6" w:space="0" w:color="auto"/>
              <w:right w:val="nil" w:sz="6" w:space="0" w:color="auto"/>
            </w:tcBorders>
          </w:tcPr>
          <w:p>
            <w:pPr>
              <w:pStyle w:val="TableParagraph"/>
              <w:spacing w:line="240" w:lineRule="auto" w:before="40"/>
              <w:ind w:left="379" w:right="0"/>
              <w:jc w:val="left"/>
              <w:rPr>
                <w:rFonts w:ascii="宋体" w:hAnsi="宋体" w:cs="宋体" w:eastAsia="宋体" w:hint="default"/>
                <w:sz w:val="21"/>
                <w:szCs w:val="21"/>
              </w:rPr>
            </w:pPr>
            <w:r>
              <w:rPr>
                <w:rFonts w:ascii="宋体" w:hAnsi="宋体" w:cs="宋体" w:eastAsia="宋体" w:hint="default"/>
                <w:sz w:val="21"/>
                <w:szCs w:val="21"/>
              </w:rPr>
              <w:t>年末余额</w:t>
            </w:r>
          </w:p>
        </w:tc>
      </w:tr>
    </w:tbl>
    <w:p>
      <w:pPr>
        <w:spacing w:after="0" w:line="240" w:lineRule="auto"/>
        <w:jc w:val="left"/>
        <w:rPr>
          <w:rFonts w:ascii="宋体" w:hAnsi="宋体" w:cs="宋体" w:eastAsia="宋体" w:hint="default"/>
          <w:sz w:val="21"/>
          <w:szCs w:val="21"/>
        </w:rPr>
        <w:sectPr>
          <w:pgSz w:w="11910" w:h="16840"/>
          <w:pgMar w:header="850" w:footer="979" w:top="1260" w:bottom="1160" w:left="900" w:right="920"/>
        </w:sectPr>
      </w:pPr>
    </w:p>
    <w:p>
      <w:pPr>
        <w:spacing w:line="240" w:lineRule="auto" w:before="5"/>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280"/>
        <w:gridCol w:w="1603"/>
        <w:gridCol w:w="1721"/>
        <w:gridCol w:w="1250"/>
        <w:gridCol w:w="1404"/>
        <w:gridCol w:w="1610"/>
      </w:tblGrid>
      <w:tr>
        <w:trPr>
          <w:trHeight w:val="710" w:hRule="exact"/>
        </w:trPr>
        <w:tc>
          <w:tcPr>
            <w:tcW w:w="2280" w:type="dxa"/>
            <w:tcBorders>
              <w:top w:val="single" w:sz="6" w:space="0" w:color="000000"/>
              <w:left w:val="nil" w:sz="6" w:space="0" w:color="auto"/>
              <w:bottom w:val="single" w:sz="4" w:space="0" w:color="000000"/>
              <w:right w:val="single" w:sz="4" w:space="0" w:color="000000"/>
            </w:tcBorders>
          </w:tcPr>
          <w:p>
            <w:pPr/>
          </w:p>
        </w:tc>
        <w:tc>
          <w:tcPr>
            <w:tcW w:w="1603" w:type="dxa"/>
            <w:tcBorders>
              <w:top w:val="single" w:sz="6" w:space="0" w:color="000000"/>
              <w:left w:val="single" w:sz="4" w:space="0" w:color="000000"/>
              <w:bottom w:val="single" w:sz="4" w:space="0" w:color="000000"/>
              <w:right w:val="single" w:sz="4" w:space="0" w:color="000000"/>
            </w:tcBorders>
          </w:tcPr>
          <w:p>
            <w:pPr/>
          </w:p>
        </w:tc>
        <w:tc>
          <w:tcPr>
            <w:tcW w:w="1721" w:type="dxa"/>
            <w:tcBorders>
              <w:top w:val="single" w:sz="6" w:space="0" w:color="000000"/>
              <w:left w:val="single" w:sz="4" w:space="0" w:color="000000"/>
              <w:bottom w:val="single" w:sz="4" w:space="0" w:color="000000"/>
              <w:right w:val="single" w:sz="4" w:space="0" w:color="000000"/>
            </w:tcBorders>
          </w:tcPr>
          <w:p>
            <w:pPr/>
          </w:p>
        </w:tc>
        <w:tc>
          <w:tcPr>
            <w:tcW w:w="12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2"/>
              <w:ind w:left="410" w:right="194" w:hanging="209"/>
              <w:jc w:val="left"/>
              <w:rPr>
                <w:rFonts w:ascii="宋体" w:hAnsi="宋体" w:cs="宋体" w:eastAsia="宋体" w:hint="default"/>
                <w:sz w:val="21"/>
                <w:szCs w:val="21"/>
              </w:rPr>
            </w:pPr>
            <w:r>
              <w:rPr>
                <w:rFonts w:ascii="宋体" w:hAnsi="宋体" w:cs="宋体" w:eastAsia="宋体" w:hint="default"/>
                <w:sz w:val="21"/>
                <w:szCs w:val="21"/>
              </w:rPr>
              <w:t>计入当期</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140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2"/>
              <w:ind w:left="487" w:right="168" w:hanging="317"/>
              <w:jc w:val="left"/>
              <w:rPr>
                <w:rFonts w:ascii="宋体" w:hAnsi="宋体" w:cs="宋体" w:eastAsia="宋体" w:hint="default"/>
                <w:sz w:val="21"/>
                <w:szCs w:val="21"/>
              </w:rPr>
            </w:pPr>
            <w:r>
              <w:rPr>
                <w:rFonts w:ascii="宋体" w:hAnsi="宋体" w:cs="宋体" w:eastAsia="宋体" w:hint="default"/>
                <w:sz w:val="21"/>
                <w:szCs w:val="21"/>
              </w:rPr>
              <w:t>确认为无形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610" w:type="dxa"/>
            <w:tcBorders>
              <w:top w:val="single" w:sz="6" w:space="0" w:color="000000"/>
              <w:left w:val="single" w:sz="4" w:space="0" w:color="000000"/>
              <w:bottom w:val="single" w:sz="4" w:space="0" w:color="000000"/>
              <w:right w:val="nil" w:sz="6" w:space="0" w:color="auto"/>
            </w:tcBorders>
          </w:tcPr>
          <w:p>
            <w:pPr/>
          </w:p>
        </w:tc>
      </w:tr>
      <w:tr>
        <w:trPr>
          <w:trHeight w:val="694" w:hRule="exact"/>
        </w:trPr>
        <w:tc>
          <w:tcPr>
            <w:tcW w:w="2280" w:type="dxa"/>
            <w:tcBorders>
              <w:top w:val="single" w:sz="4" w:space="0" w:color="000000"/>
              <w:left w:val="nil" w:sz="6" w:space="0" w:color="auto"/>
              <w:bottom w:val="nil" w:sz="6" w:space="0" w:color="auto"/>
              <w:right w:val="single" w:sz="4" w:space="0" w:color="000000"/>
            </w:tcBorders>
          </w:tcPr>
          <w:p>
            <w:pPr>
              <w:pStyle w:val="TableParagraph"/>
              <w:spacing w:line="274" w:lineRule="exact" w:before="64"/>
              <w:ind w:left="122" w:right="98"/>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Sinfonia</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酒店前台管理</w:t>
            </w:r>
            <w:r>
              <w:rPr>
                <w:rFonts w:ascii="宋体" w:hAnsi="宋体" w:cs="宋体" w:eastAsia="宋体" w:hint="default"/>
                <w:w w:val="100"/>
                <w:sz w:val="21"/>
                <w:szCs w:val="21"/>
              </w:rPr>
              <w:t> </w:t>
            </w:r>
            <w:r>
              <w:rPr>
                <w:rFonts w:ascii="宋体" w:hAnsi="宋体" w:cs="宋体" w:eastAsia="宋体" w:hint="default"/>
                <w:sz w:val="21"/>
                <w:szCs w:val="21"/>
              </w:rPr>
              <w:t>系统</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V1.0.1707.sp3</w:t>
            </w:r>
          </w:p>
        </w:tc>
        <w:tc>
          <w:tcPr>
            <w:tcW w:w="16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2,824,821.95</w:t>
            </w:r>
          </w:p>
        </w:tc>
        <w:tc>
          <w:tcPr>
            <w:tcW w:w="17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2,758,872.97</w:t>
            </w:r>
          </w:p>
        </w:tc>
        <w:tc>
          <w:tcPr>
            <w:tcW w:w="1250" w:type="dxa"/>
            <w:vMerge w:val="restart"/>
            <w:tcBorders>
              <w:top w:val="single" w:sz="4" w:space="0" w:color="000000"/>
              <w:left w:val="single" w:sz="4" w:space="0" w:color="000000"/>
              <w:right w:val="single" w:sz="4" w:space="0" w:color="000000"/>
            </w:tcBorders>
          </w:tcPr>
          <w:p>
            <w:pPr/>
          </w:p>
        </w:tc>
        <w:tc>
          <w:tcPr>
            <w:tcW w:w="1404" w:type="dxa"/>
            <w:vMerge w:val="restart"/>
            <w:tcBorders>
              <w:top w:val="single" w:sz="4" w:space="0" w:color="000000"/>
              <w:left w:val="single" w:sz="4" w:space="0" w:color="000000"/>
              <w:right w:val="single" w:sz="4" w:space="0" w:color="000000"/>
            </w:tcBorders>
          </w:tcPr>
          <w:p>
            <w:pPr/>
          </w:p>
        </w:tc>
        <w:tc>
          <w:tcPr>
            <w:tcW w:w="1610" w:type="dxa"/>
            <w:tcBorders>
              <w:top w:val="single" w:sz="4" w:space="0" w:color="000000"/>
              <w:left w:val="single" w:sz="4" w:space="0" w:color="000000"/>
              <w:bottom w:val="nil" w:sz="6" w:space="0" w:color="auto"/>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5,583,694.92</w:t>
            </w:r>
          </w:p>
        </w:tc>
      </w:tr>
      <w:tr>
        <w:trPr>
          <w:trHeight w:val="689"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79"/>
              <w:jc w:val="left"/>
              <w:rPr>
                <w:rFonts w:ascii="Times New Roman" w:hAnsi="Times New Roman" w:cs="Times New Roman" w:eastAsia="Times New Roman" w:hint="default"/>
                <w:sz w:val="21"/>
                <w:szCs w:val="21"/>
              </w:rPr>
            </w:pPr>
            <w:r>
              <w:rPr>
                <w:rFonts w:ascii="宋体" w:hAnsi="宋体" w:cs="宋体" w:eastAsia="宋体" w:hint="default"/>
                <w:spacing w:val="15"/>
                <w:sz w:val="21"/>
                <w:szCs w:val="21"/>
              </w:rPr>
              <w:t>银行卡收单一体化系</w:t>
            </w:r>
            <w:r>
              <w:rPr>
                <w:rFonts w:ascii="宋体" w:hAnsi="宋体" w:cs="宋体" w:eastAsia="宋体" w:hint="default"/>
                <w:spacing w:val="-81"/>
                <w:sz w:val="21"/>
                <w:szCs w:val="21"/>
              </w:rPr>
              <w:t> </w:t>
            </w:r>
            <w:r>
              <w:rPr>
                <w:rFonts w:ascii="宋体" w:hAnsi="宋体" w:cs="宋体" w:eastAsia="宋体" w:hint="default"/>
                <w:sz w:val="21"/>
                <w:szCs w:val="21"/>
              </w:rPr>
              <w:t>统（</w:t>
            </w:r>
            <w:r>
              <w:rPr>
                <w:rFonts w:ascii="Times New Roman" w:hAnsi="Times New Roman" w:cs="Times New Roman" w:eastAsia="Times New Roman" w:hint="default"/>
                <w:sz w:val="21"/>
                <w:szCs w:val="21"/>
              </w:rPr>
              <w:t>PGS</w:t>
            </w:r>
            <w:r>
              <w:rPr>
                <w:rFonts w:ascii="宋体" w:hAnsi="宋体" w:cs="宋体" w:eastAsia="宋体" w:hint="default"/>
                <w:sz w:val="21"/>
                <w:szCs w:val="21"/>
              </w:rPr>
              <w:t>）</w:t>
            </w:r>
            <w:r>
              <w:rPr>
                <w:rFonts w:ascii="Times New Roman" w:hAnsi="Times New Roman" w:cs="Times New Roman" w:eastAsia="Times New Roman" w:hint="default"/>
                <w:sz w:val="21"/>
                <w:szCs w:val="21"/>
              </w:rPr>
              <w:t>V2.8</w:t>
            </w:r>
          </w:p>
        </w:tc>
        <w:tc>
          <w:tcPr>
            <w:tcW w:w="1603"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605,510.09</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630,838.58</w:t>
            </w:r>
          </w:p>
        </w:tc>
        <w:tc>
          <w:tcPr>
            <w:tcW w:w="1250" w:type="dxa"/>
            <w:vMerge/>
            <w:tcBorders>
              <w:left w:val="single" w:sz="4" w:space="0" w:color="000000"/>
              <w:right w:val="single" w:sz="4" w:space="0" w:color="000000"/>
            </w:tcBorders>
          </w:tcPr>
          <w:p>
            <w:pPr/>
          </w:p>
        </w:tc>
        <w:tc>
          <w:tcPr>
            <w:tcW w:w="1404"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1,236,348.67</w:t>
            </w:r>
          </w:p>
        </w:tc>
      </w:tr>
      <w:tr>
        <w:trPr>
          <w:trHeight w:val="683"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79"/>
              <w:jc w:val="left"/>
              <w:rPr>
                <w:rFonts w:ascii="宋体" w:hAnsi="宋体" w:cs="宋体" w:eastAsia="宋体" w:hint="default"/>
                <w:sz w:val="21"/>
                <w:szCs w:val="21"/>
              </w:rPr>
            </w:pPr>
            <w:r>
              <w:rPr>
                <w:rFonts w:ascii="宋体" w:hAnsi="宋体" w:cs="宋体" w:eastAsia="宋体" w:hint="default"/>
                <w:spacing w:val="15"/>
                <w:sz w:val="21"/>
                <w:szCs w:val="21"/>
              </w:rPr>
              <w:t>石基酒店售后服务支</w:t>
            </w:r>
            <w:r>
              <w:rPr>
                <w:rFonts w:ascii="宋体" w:hAnsi="宋体" w:cs="宋体" w:eastAsia="宋体" w:hint="default"/>
                <w:spacing w:val="-81"/>
                <w:sz w:val="21"/>
                <w:szCs w:val="21"/>
              </w:rPr>
              <w:t> </w:t>
            </w:r>
            <w:r>
              <w:rPr>
                <w:rFonts w:ascii="宋体" w:hAnsi="宋体" w:cs="宋体" w:eastAsia="宋体" w:hint="default"/>
                <w:sz w:val="21"/>
                <w:szCs w:val="21"/>
              </w:rPr>
              <w:t>持系统</w:t>
            </w:r>
          </w:p>
        </w:tc>
        <w:tc>
          <w:tcPr>
            <w:tcW w:w="1603"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284,595.51</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458,266.83</w:t>
            </w:r>
          </w:p>
        </w:tc>
        <w:tc>
          <w:tcPr>
            <w:tcW w:w="1250" w:type="dxa"/>
            <w:vMerge/>
            <w:tcBorders>
              <w:left w:val="single" w:sz="4" w:space="0" w:color="000000"/>
              <w:right w:val="single" w:sz="4" w:space="0" w:color="000000"/>
            </w:tcBorders>
          </w:tcPr>
          <w:p>
            <w:pPr/>
          </w:p>
        </w:tc>
        <w:tc>
          <w:tcPr>
            <w:tcW w:w="1404"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742,862.34</w:t>
            </w:r>
          </w:p>
        </w:tc>
      </w:tr>
      <w:tr>
        <w:trPr>
          <w:trHeight w:val="695"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74" w:lineRule="exact" w:before="69"/>
              <w:ind w:left="122" w:right="98"/>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Pastoral</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酒店前台管理</w:t>
            </w:r>
            <w:r>
              <w:rPr>
                <w:rFonts w:ascii="宋体" w:hAnsi="宋体" w:cs="宋体" w:eastAsia="宋体" w:hint="default"/>
                <w:w w:val="100"/>
                <w:sz w:val="21"/>
                <w:szCs w:val="21"/>
              </w:rPr>
              <w:t> </w:t>
            </w:r>
            <w:r>
              <w:rPr>
                <w:rFonts w:ascii="宋体" w:hAnsi="宋体" w:cs="宋体" w:eastAsia="宋体" w:hint="default"/>
                <w:sz w:val="21"/>
                <w:szCs w:val="21"/>
              </w:rPr>
              <w:t>系统</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V1.0</w:t>
            </w:r>
          </w:p>
        </w:tc>
        <w:tc>
          <w:tcPr>
            <w:tcW w:w="1603"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spacing w:val="-1"/>
                <w:sz w:val="21"/>
              </w:rPr>
              <w:t>155,883.46</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spacing w:val="-1"/>
                <w:sz w:val="21"/>
              </w:rPr>
              <w:t>584,034.39</w:t>
            </w:r>
          </w:p>
        </w:tc>
        <w:tc>
          <w:tcPr>
            <w:tcW w:w="1250" w:type="dxa"/>
            <w:vMerge/>
            <w:tcBorders>
              <w:left w:val="single" w:sz="4" w:space="0" w:color="000000"/>
              <w:right w:val="single" w:sz="4" w:space="0" w:color="000000"/>
            </w:tcBorders>
          </w:tcPr>
          <w:p>
            <w:pPr/>
          </w:p>
        </w:tc>
        <w:tc>
          <w:tcPr>
            <w:tcW w:w="1404"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1"/>
                <w:sz w:val="21"/>
              </w:rPr>
              <w:t>739,917.85</w:t>
            </w:r>
          </w:p>
        </w:tc>
      </w:tr>
      <w:tr>
        <w:trPr>
          <w:trHeight w:val="411"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酒店直销业务平台</w:t>
            </w:r>
          </w:p>
        </w:tc>
        <w:tc>
          <w:tcPr>
            <w:tcW w:w="1603" w:type="dxa"/>
            <w:tcBorders>
              <w:top w:val="nil" w:sz="6" w:space="0" w:color="auto"/>
              <w:left w:val="single" w:sz="4" w:space="0" w:color="000000"/>
              <w:bottom w:val="nil" w:sz="6" w:space="0" w:color="auto"/>
              <w:right w:val="single" w:sz="4" w:space="0" w:color="000000"/>
            </w:tcBorders>
          </w:tcPr>
          <w:p>
            <w:pP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9,461,576.67</w:t>
            </w:r>
          </w:p>
        </w:tc>
        <w:tc>
          <w:tcPr>
            <w:tcW w:w="1250" w:type="dxa"/>
            <w:vMerge/>
            <w:tcBorders>
              <w:left w:val="single" w:sz="4" w:space="0" w:color="000000"/>
              <w:right w:val="single" w:sz="4" w:space="0" w:color="000000"/>
            </w:tcBorders>
          </w:tcPr>
          <w:p>
            <w:pPr/>
          </w:p>
        </w:tc>
        <w:tc>
          <w:tcPr>
            <w:tcW w:w="1404"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9,461,576.67</w:t>
            </w:r>
          </w:p>
        </w:tc>
      </w:tr>
      <w:tr>
        <w:trPr>
          <w:trHeight w:val="689"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72" w:lineRule="exact" w:before="72"/>
              <w:ind w:left="122" w:right="79"/>
              <w:jc w:val="left"/>
              <w:rPr>
                <w:rFonts w:ascii="宋体" w:hAnsi="宋体" w:cs="宋体" w:eastAsia="宋体" w:hint="default"/>
                <w:sz w:val="21"/>
                <w:szCs w:val="21"/>
              </w:rPr>
            </w:pPr>
            <w:r>
              <w:rPr>
                <w:rFonts w:ascii="宋体" w:hAnsi="宋体" w:cs="宋体" w:eastAsia="宋体" w:hint="default"/>
                <w:spacing w:val="15"/>
                <w:sz w:val="21"/>
                <w:szCs w:val="21"/>
              </w:rPr>
              <w:t>西软酒店集团网络数</w:t>
            </w:r>
            <w:r>
              <w:rPr>
                <w:rFonts w:ascii="宋体" w:hAnsi="宋体" w:cs="宋体" w:eastAsia="宋体" w:hint="default"/>
                <w:spacing w:val="-81"/>
                <w:sz w:val="21"/>
                <w:szCs w:val="21"/>
              </w:rPr>
              <w:t> </w:t>
            </w:r>
            <w:r>
              <w:rPr>
                <w:rFonts w:ascii="宋体" w:hAnsi="宋体" w:cs="宋体" w:eastAsia="宋体" w:hint="default"/>
                <w:sz w:val="21"/>
                <w:szCs w:val="21"/>
              </w:rPr>
              <w:t>据中心</w:t>
            </w:r>
          </w:p>
        </w:tc>
        <w:tc>
          <w:tcPr>
            <w:tcW w:w="1603" w:type="dxa"/>
            <w:tcBorders>
              <w:top w:val="nil" w:sz="6" w:space="0" w:color="auto"/>
              <w:left w:val="single" w:sz="4" w:space="0" w:color="000000"/>
              <w:bottom w:val="nil" w:sz="6" w:space="0" w:color="auto"/>
              <w:right w:val="single" w:sz="4" w:space="0" w:color="000000"/>
            </w:tcBorders>
          </w:tcPr>
          <w:p>
            <w:pP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1,858,384.12</w:t>
            </w:r>
          </w:p>
        </w:tc>
        <w:tc>
          <w:tcPr>
            <w:tcW w:w="1250" w:type="dxa"/>
            <w:vMerge/>
            <w:tcBorders>
              <w:left w:val="single" w:sz="4" w:space="0" w:color="000000"/>
              <w:right w:val="single" w:sz="4" w:space="0" w:color="000000"/>
            </w:tcBorders>
          </w:tcPr>
          <w:p>
            <w:pPr/>
          </w:p>
        </w:tc>
        <w:tc>
          <w:tcPr>
            <w:tcW w:w="1404"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1"/>
                <w:szCs w:val="21"/>
              </w:rPr>
            </w:pPr>
            <w:r>
              <w:rPr>
                <w:rFonts w:ascii="Times New Roman"/>
                <w:spacing w:val="-1"/>
                <w:sz w:val="21"/>
              </w:rPr>
              <w:t>1,858,384.12</w:t>
            </w:r>
          </w:p>
        </w:tc>
      </w:tr>
      <w:tr>
        <w:trPr>
          <w:trHeight w:val="693"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73" w:lineRule="exact" w:before="44"/>
              <w:ind w:left="122" w:right="0"/>
              <w:jc w:val="left"/>
              <w:rPr>
                <w:rFonts w:ascii="宋体" w:hAnsi="宋体" w:cs="宋体" w:eastAsia="宋体" w:hint="default"/>
                <w:sz w:val="21"/>
                <w:szCs w:val="21"/>
              </w:rPr>
            </w:pPr>
            <w:r>
              <w:rPr>
                <w:rFonts w:ascii="宋体" w:hAnsi="宋体" w:cs="宋体" w:eastAsia="宋体" w:hint="default"/>
                <w:spacing w:val="25"/>
                <w:sz w:val="21"/>
                <w:szCs w:val="21"/>
              </w:rPr>
              <w:t>西软</w:t>
            </w:r>
            <w:r>
              <w:rPr>
                <w:rFonts w:ascii="宋体" w:hAnsi="宋体" w:cs="宋体" w:eastAsia="宋体" w:hint="default"/>
                <w:spacing w:val="-50"/>
                <w:sz w:val="21"/>
                <w:szCs w:val="21"/>
              </w:rPr>
              <w:t> </w:t>
            </w:r>
            <w:r>
              <w:rPr>
                <w:rFonts w:ascii="宋体" w:hAnsi="宋体" w:cs="宋体" w:eastAsia="宋体" w:hint="default"/>
                <w:spacing w:val="25"/>
                <w:sz w:val="21"/>
                <w:szCs w:val="21"/>
              </w:rPr>
              <w:t>中央</w:t>
            </w:r>
            <w:r>
              <w:rPr>
                <w:rFonts w:ascii="宋体" w:hAnsi="宋体" w:cs="宋体" w:eastAsia="宋体" w:hint="default"/>
                <w:spacing w:val="-50"/>
                <w:sz w:val="21"/>
                <w:szCs w:val="21"/>
              </w:rPr>
              <w:t> </w:t>
            </w:r>
            <w:r>
              <w:rPr>
                <w:rFonts w:ascii="宋体" w:hAnsi="宋体" w:cs="宋体" w:eastAsia="宋体" w:hint="default"/>
                <w:spacing w:val="25"/>
                <w:sz w:val="21"/>
                <w:szCs w:val="21"/>
              </w:rPr>
              <w:t>预定</w:t>
            </w:r>
            <w:r>
              <w:rPr>
                <w:rFonts w:ascii="宋体" w:hAnsi="宋体" w:cs="宋体" w:eastAsia="宋体" w:hint="default"/>
                <w:spacing w:val="-50"/>
                <w:sz w:val="21"/>
                <w:szCs w:val="21"/>
              </w:rPr>
              <w:t> </w:t>
            </w:r>
            <w:r>
              <w:rPr>
                <w:rFonts w:ascii="宋体" w:hAnsi="宋体" w:cs="宋体" w:eastAsia="宋体" w:hint="default"/>
                <w:spacing w:val="25"/>
                <w:sz w:val="21"/>
                <w:szCs w:val="21"/>
              </w:rPr>
              <w:t>系统</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89"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CRS</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平台</w:t>
            </w:r>
            <w:r>
              <w:rPr>
                <w:rFonts w:ascii="宋体" w:hAnsi="宋体" w:cs="宋体" w:eastAsia="宋体" w:hint="default"/>
                <w:sz w:val="21"/>
                <w:szCs w:val="21"/>
              </w:rPr>
            </w:r>
          </w:p>
        </w:tc>
        <w:tc>
          <w:tcPr>
            <w:tcW w:w="1603" w:type="dxa"/>
            <w:tcBorders>
              <w:top w:val="nil" w:sz="6" w:space="0" w:color="auto"/>
              <w:left w:val="single" w:sz="4" w:space="0" w:color="000000"/>
              <w:bottom w:val="nil" w:sz="6" w:space="0" w:color="auto"/>
              <w:right w:val="single" w:sz="4" w:space="0" w:color="000000"/>
            </w:tcBorders>
          </w:tcPr>
          <w:p>
            <w:pP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755,218.57</w:t>
            </w:r>
          </w:p>
        </w:tc>
        <w:tc>
          <w:tcPr>
            <w:tcW w:w="1250" w:type="dxa"/>
            <w:vMerge/>
            <w:tcBorders>
              <w:left w:val="single" w:sz="4" w:space="0" w:color="000000"/>
              <w:right w:val="single" w:sz="4" w:space="0" w:color="000000"/>
            </w:tcBorders>
          </w:tcPr>
          <w:p>
            <w:pPr/>
          </w:p>
        </w:tc>
        <w:tc>
          <w:tcPr>
            <w:tcW w:w="1404"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1"/>
                <w:szCs w:val="21"/>
              </w:rPr>
            </w:pPr>
            <w:r>
              <w:rPr>
                <w:rFonts w:ascii="Times New Roman"/>
                <w:spacing w:val="-1"/>
                <w:sz w:val="21"/>
              </w:rPr>
              <w:t>755,218.57</w:t>
            </w:r>
          </w:p>
        </w:tc>
      </w:tr>
      <w:tr>
        <w:trPr>
          <w:trHeight w:val="683"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74" w:lineRule="exact" w:before="63"/>
              <w:ind w:left="122" w:right="98"/>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EXCEL</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酒店通用</w:t>
            </w:r>
            <w:r>
              <w:rPr>
                <w:rFonts w:ascii="宋体" w:hAnsi="宋体" w:cs="宋体" w:eastAsia="宋体" w:hint="default"/>
                <w:w w:val="100"/>
                <w:sz w:val="21"/>
                <w:szCs w:val="21"/>
              </w:rPr>
              <w:t> </w:t>
            </w:r>
            <w:r>
              <w:rPr>
                <w:rFonts w:ascii="宋体" w:hAnsi="宋体" w:cs="宋体" w:eastAsia="宋体" w:hint="default"/>
                <w:sz w:val="21"/>
                <w:szCs w:val="21"/>
              </w:rPr>
              <w:t>报表服务平台</w:t>
            </w:r>
          </w:p>
        </w:tc>
        <w:tc>
          <w:tcPr>
            <w:tcW w:w="1603" w:type="dxa"/>
            <w:tcBorders>
              <w:top w:val="nil" w:sz="6" w:space="0" w:color="auto"/>
              <w:left w:val="single" w:sz="4" w:space="0" w:color="000000"/>
              <w:bottom w:val="nil" w:sz="6" w:space="0" w:color="auto"/>
              <w:right w:val="single" w:sz="4" w:space="0" w:color="000000"/>
            </w:tcBorders>
          </w:tcPr>
          <w:p>
            <w:pP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626,566.80</w:t>
            </w:r>
          </w:p>
        </w:tc>
        <w:tc>
          <w:tcPr>
            <w:tcW w:w="1250" w:type="dxa"/>
            <w:vMerge/>
            <w:tcBorders>
              <w:left w:val="single" w:sz="4" w:space="0" w:color="000000"/>
              <w:right w:val="single" w:sz="4" w:space="0" w:color="000000"/>
            </w:tcBorders>
          </w:tcPr>
          <w:p>
            <w:pPr/>
          </w:p>
        </w:tc>
        <w:tc>
          <w:tcPr>
            <w:tcW w:w="1404"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21"/>
                <w:szCs w:val="21"/>
              </w:rPr>
            </w:pPr>
            <w:r>
              <w:rPr>
                <w:rFonts w:ascii="Times New Roman"/>
                <w:spacing w:val="-1"/>
                <w:sz w:val="21"/>
              </w:rPr>
              <w:t>626,566.80</w:t>
            </w:r>
          </w:p>
        </w:tc>
      </w:tr>
      <w:tr>
        <w:trPr>
          <w:trHeight w:val="695"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74" w:lineRule="exact" w:before="69"/>
              <w:ind w:left="122" w:right="98"/>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IP-Hotel</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石基数字酒店</w:t>
            </w:r>
            <w:r>
              <w:rPr>
                <w:rFonts w:ascii="宋体" w:hAnsi="宋体" w:cs="宋体" w:eastAsia="宋体" w:hint="default"/>
                <w:w w:val="100"/>
                <w:sz w:val="21"/>
                <w:szCs w:val="21"/>
              </w:rPr>
              <w:t> </w:t>
            </w:r>
            <w:r>
              <w:rPr>
                <w:rFonts w:ascii="宋体" w:hAnsi="宋体" w:cs="宋体" w:eastAsia="宋体" w:hint="default"/>
                <w:sz w:val="21"/>
                <w:szCs w:val="21"/>
              </w:rPr>
              <w:t>管理系统</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w:t>
            </w:r>
          </w:p>
        </w:tc>
        <w:tc>
          <w:tcPr>
            <w:tcW w:w="1603" w:type="dxa"/>
            <w:tcBorders>
              <w:top w:val="nil" w:sz="6" w:space="0" w:color="auto"/>
              <w:left w:val="single" w:sz="4" w:space="0" w:color="000000"/>
              <w:bottom w:val="nil" w:sz="6" w:space="0" w:color="auto"/>
              <w:right w:val="single" w:sz="4" w:space="0" w:color="000000"/>
            </w:tcBorders>
          </w:tcPr>
          <w:p>
            <w:pP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spacing w:val="-1"/>
                <w:sz w:val="21"/>
              </w:rPr>
              <w:t>9,060,485.49</w:t>
            </w:r>
          </w:p>
        </w:tc>
        <w:tc>
          <w:tcPr>
            <w:tcW w:w="1250" w:type="dxa"/>
            <w:vMerge/>
            <w:tcBorders>
              <w:left w:val="single" w:sz="4" w:space="0" w:color="000000"/>
              <w:right w:val="single" w:sz="4" w:space="0" w:color="000000"/>
            </w:tcBorders>
          </w:tcPr>
          <w:p>
            <w:pPr/>
          </w:p>
        </w:tc>
        <w:tc>
          <w:tcPr>
            <w:tcW w:w="1404" w:type="dxa"/>
            <w:vMerge/>
            <w:tcBorders>
              <w:left w:val="single" w:sz="4" w:space="0" w:color="000000"/>
              <w:right w:val="single" w:sz="4" w:space="0" w:color="000000"/>
            </w:tcBorders>
          </w:tcPr>
          <w:p>
            <w:pPr/>
          </w:p>
        </w:tc>
        <w:tc>
          <w:tcPr>
            <w:tcW w:w="1610"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1"/>
                <w:sz w:val="21"/>
              </w:rPr>
              <w:t>9,060,485.49</w:t>
            </w:r>
          </w:p>
        </w:tc>
      </w:tr>
      <w:tr>
        <w:trPr>
          <w:trHeight w:val="693" w:hRule="exact"/>
        </w:trPr>
        <w:tc>
          <w:tcPr>
            <w:tcW w:w="2280"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122" w:right="79"/>
              <w:jc w:val="left"/>
              <w:rPr>
                <w:rFonts w:ascii="Times New Roman" w:hAnsi="Times New Roman" w:cs="Times New Roman" w:eastAsia="Times New Roman" w:hint="default"/>
                <w:sz w:val="21"/>
                <w:szCs w:val="21"/>
              </w:rPr>
            </w:pPr>
            <w:r>
              <w:rPr>
                <w:rFonts w:ascii="宋体" w:hAnsi="宋体" w:cs="宋体" w:eastAsia="宋体" w:hint="default"/>
                <w:spacing w:val="15"/>
                <w:sz w:val="21"/>
                <w:szCs w:val="21"/>
              </w:rPr>
              <w:t>石基酒店前台电子签</w:t>
            </w:r>
            <w:r>
              <w:rPr>
                <w:rFonts w:ascii="宋体" w:hAnsi="宋体" w:cs="宋体" w:eastAsia="宋体" w:hint="default"/>
                <w:spacing w:val="-81"/>
                <w:sz w:val="21"/>
                <w:szCs w:val="21"/>
              </w:rPr>
              <w:t> </w:t>
            </w:r>
            <w:r>
              <w:rPr>
                <w:rFonts w:ascii="宋体" w:hAnsi="宋体" w:cs="宋体" w:eastAsia="宋体" w:hint="default"/>
                <w:sz w:val="21"/>
                <w:szCs w:val="21"/>
              </w:rPr>
              <w:t>名系统</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E-Signature</w:t>
            </w:r>
          </w:p>
        </w:tc>
        <w:tc>
          <w:tcPr>
            <w:tcW w:w="1603" w:type="dxa"/>
            <w:tcBorders>
              <w:top w:val="nil" w:sz="6" w:space="0" w:color="auto"/>
              <w:left w:val="single" w:sz="4" w:space="0" w:color="000000"/>
              <w:bottom w:val="single" w:sz="4" w:space="0" w:color="000000"/>
              <w:right w:val="single" w:sz="4" w:space="0" w:color="000000"/>
            </w:tcBorders>
          </w:tcPr>
          <w:p>
            <w:pPr/>
          </w:p>
        </w:tc>
        <w:tc>
          <w:tcPr>
            <w:tcW w:w="17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3,055,689.51</w:t>
            </w:r>
          </w:p>
        </w:tc>
        <w:tc>
          <w:tcPr>
            <w:tcW w:w="1250"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610" w:type="dxa"/>
            <w:tcBorders>
              <w:top w:val="nil" w:sz="6" w:space="0" w:color="auto"/>
              <w:left w:val="single" w:sz="4" w:space="0" w:color="000000"/>
              <w:bottom w:val="single" w:sz="4" w:space="0" w:color="000000"/>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3,055,689.51</w:t>
            </w:r>
          </w:p>
        </w:tc>
      </w:tr>
      <w:tr>
        <w:trPr>
          <w:trHeight w:val="437" w:hRule="exact"/>
        </w:trPr>
        <w:tc>
          <w:tcPr>
            <w:tcW w:w="2280" w:type="dxa"/>
            <w:tcBorders>
              <w:top w:val="single" w:sz="4" w:space="0" w:color="000000"/>
              <w:left w:val="nil" w:sz="6" w:space="0" w:color="auto"/>
              <w:bottom w:val="single" w:sz="12" w:space="0" w:color="000000"/>
              <w:right w:val="single" w:sz="4" w:space="0" w:color="000000"/>
            </w:tcBorders>
          </w:tcPr>
          <w:p>
            <w:pPr>
              <w:pStyle w:val="TableParagraph"/>
              <w:tabs>
                <w:tab w:pos="1411" w:val="left" w:leader="none"/>
              </w:tabs>
              <w:spacing w:line="240" w:lineRule="auto" w:before="40"/>
              <w:ind w:left="67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pacing w:val="-2"/>
                <w:sz w:val="21"/>
              </w:rPr>
              <w:t>3,870,811.01</w:t>
            </w:r>
          </w:p>
        </w:tc>
        <w:tc>
          <w:tcPr>
            <w:tcW w:w="17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96"/>
              <w:jc w:val="right"/>
              <w:rPr>
                <w:rFonts w:ascii="Times New Roman" w:hAnsi="Times New Roman" w:cs="Times New Roman" w:eastAsia="Times New Roman" w:hint="default"/>
                <w:sz w:val="21"/>
                <w:szCs w:val="21"/>
              </w:rPr>
            </w:pPr>
            <w:r>
              <w:rPr>
                <w:rFonts w:ascii="Times New Roman"/>
                <w:spacing w:val="-1"/>
                <w:sz w:val="21"/>
              </w:rPr>
              <w:t>29,249,933.93</w:t>
            </w:r>
          </w:p>
        </w:tc>
        <w:tc>
          <w:tcPr>
            <w:tcW w:w="1250" w:type="dxa"/>
            <w:tcBorders>
              <w:top w:val="single" w:sz="4" w:space="0" w:color="000000"/>
              <w:left w:val="single" w:sz="4" w:space="0" w:color="000000"/>
              <w:bottom w:val="single" w:sz="12" w:space="0" w:color="000000"/>
              <w:right w:val="single" w:sz="4" w:space="0" w:color="000000"/>
            </w:tcBorders>
          </w:tcPr>
          <w:p>
            <w:pPr/>
          </w:p>
        </w:tc>
        <w:tc>
          <w:tcPr>
            <w:tcW w:w="1404" w:type="dxa"/>
            <w:tcBorders>
              <w:top w:val="single" w:sz="4" w:space="0" w:color="000000"/>
              <w:left w:val="single" w:sz="4" w:space="0" w:color="000000"/>
              <w:bottom w:val="single" w:sz="12" w:space="0" w:color="000000"/>
              <w:right w:val="single" w:sz="4" w:space="0" w:color="000000"/>
            </w:tcBorders>
          </w:tcPr>
          <w:p>
            <w:pPr/>
          </w:p>
        </w:tc>
        <w:tc>
          <w:tcPr>
            <w:tcW w:w="16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21"/>
                <w:szCs w:val="21"/>
              </w:rPr>
            </w:pPr>
            <w:r>
              <w:rPr>
                <w:rFonts w:ascii="Times New Roman"/>
                <w:spacing w:val="-1"/>
                <w:sz w:val="21"/>
              </w:rPr>
              <w:t>33,120,744.94</w:t>
            </w:r>
          </w:p>
        </w:tc>
      </w:tr>
    </w:tbl>
    <w:p>
      <w:pPr>
        <w:spacing w:line="240" w:lineRule="auto" w:before="12"/>
        <w:rPr>
          <w:rFonts w:ascii="宋体" w:hAnsi="宋体" w:cs="宋体" w:eastAsia="宋体" w:hint="default"/>
          <w:sz w:val="8"/>
          <w:szCs w:val="8"/>
        </w:rPr>
      </w:pPr>
    </w:p>
    <w:p>
      <w:pPr>
        <w:pStyle w:val="BodyText"/>
        <w:spacing w:line="379" w:lineRule="auto" w:before="36"/>
        <w:ind w:left="232" w:right="210" w:firstLine="420"/>
        <w:jc w:val="both"/>
      </w:pPr>
      <w:r>
        <w:rPr/>
        <w:t>注</w:t>
      </w:r>
      <w:r>
        <w:rPr>
          <w:spacing w:val="-48"/>
        </w:rPr>
        <w:t> </w:t>
      </w:r>
      <w:r>
        <w:rPr>
          <w:rFonts w:ascii="Times New Roman" w:hAnsi="Times New Roman" w:cs="Times New Roman" w:eastAsia="Times New Roman" w:hint="default"/>
        </w:rPr>
        <w:t>1</w:t>
      </w:r>
      <w:r>
        <w:rPr/>
        <w:t>、开发支出</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日比</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日增加了</w:t>
      </w:r>
      <w:r>
        <w:rPr>
          <w:spacing w:val="-48"/>
        </w:rPr>
        <w:t> </w:t>
      </w:r>
      <w:r>
        <w:rPr>
          <w:rFonts w:ascii="Times New Roman" w:hAnsi="Times New Roman" w:cs="Times New Roman" w:eastAsia="Times New Roman" w:hint="default"/>
        </w:rPr>
        <w:t>755.65%</w:t>
      </w:r>
      <w:r>
        <w:rPr/>
        <w:t>，主要系本期新增酒店直销</w:t>
      </w:r>
      <w:r>
        <w:rPr>
          <w:w w:val="100"/>
        </w:rPr>
        <w:t> </w:t>
      </w:r>
      <w:r>
        <w:rPr>
          <w:spacing w:val="-3"/>
        </w:rPr>
        <w:t>业务平台、西软酒店集团网络数据中心、西软中央预定系统</w:t>
      </w:r>
      <w:r>
        <w:rPr>
          <w:spacing w:val="-45"/>
        </w:rPr>
        <w:t> </w:t>
      </w:r>
      <w:r>
        <w:rPr>
          <w:rFonts w:ascii="Times New Roman" w:hAnsi="Times New Roman" w:cs="Times New Roman" w:eastAsia="Times New Roman" w:hint="default"/>
        </w:rPr>
        <w:t>CRS</w:t>
      </w:r>
      <w:r>
        <w:rPr>
          <w:rFonts w:ascii="Times New Roman" w:hAnsi="Times New Roman" w:cs="Times New Roman" w:eastAsia="Times New Roman" w:hint="default"/>
          <w:spacing w:val="11"/>
        </w:rPr>
        <w:t> </w:t>
      </w:r>
      <w:r>
        <w:rPr>
          <w:spacing w:val="-5"/>
        </w:rPr>
        <w:t>平台、基于</w:t>
      </w:r>
      <w:r>
        <w:rPr>
          <w:spacing w:val="-45"/>
        </w:rPr>
        <w:t> </w:t>
      </w:r>
      <w:r>
        <w:rPr>
          <w:rFonts w:ascii="Times New Roman" w:hAnsi="Times New Roman" w:cs="Times New Roman" w:eastAsia="Times New Roman" w:hint="default"/>
        </w:rPr>
        <w:t>EXCEL</w:t>
      </w:r>
      <w:r>
        <w:rPr>
          <w:rFonts w:ascii="Times New Roman" w:hAnsi="Times New Roman" w:cs="Times New Roman" w:eastAsia="Times New Roman" w:hint="default"/>
          <w:spacing w:val="5"/>
        </w:rPr>
        <w:t> </w:t>
      </w:r>
      <w:r>
        <w:rPr/>
        <w:t>酒店通用报表服务平</w:t>
      </w:r>
      <w:r>
        <w:rPr>
          <w:spacing w:val="-99"/>
        </w:rPr>
        <w:t> </w:t>
      </w:r>
      <w:r>
        <w:rPr>
          <w:spacing w:val="-99"/>
        </w:rPr>
      </w:r>
      <w:r>
        <w:rPr/>
        <w:t>台、</w:t>
      </w:r>
      <w:r>
        <w:rPr>
          <w:rFonts w:ascii="Times New Roman" w:hAnsi="Times New Roman" w:cs="Times New Roman" w:eastAsia="Times New Roman" w:hint="default"/>
        </w:rPr>
        <w:t>IP-Hotel</w:t>
      </w:r>
      <w:r>
        <w:rPr>
          <w:rFonts w:ascii="Times New Roman" w:hAnsi="Times New Roman" w:cs="Times New Roman" w:eastAsia="Times New Roman" w:hint="default"/>
          <w:spacing w:val="18"/>
        </w:rPr>
        <w:t> </w:t>
      </w:r>
      <w:r>
        <w:rPr/>
        <w:t>石基数字酒店管理系统</w:t>
      </w:r>
      <w:r>
        <w:rPr>
          <w:spacing w:val="-36"/>
        </w:rPr>
        <w:t> </w:t>
      </w:r>
      <w:r>
        <w:rPr>
          <w:rFonts w:ascii="Times New Roman" w:hAnsi="Times New Roman" w:cs="Times New Roman" w:eastAsia="Times New Roman" w:hint="default"/>
        </w:rPr>
        <w:t>5.0</w:t>
      </w:r>
      <w:r>
        <w:rPr/>
        <w:t>、石基酒店前台电子签名系统</w:t>
      </w:r>
      <w:r>
        <w:rPr>
          <w:spacing w:val="-34"/>
        </w:rPr>
        <w:t> </w:t>
      </w:r>
      <w:r>
        <w:rPr>
          <w:rFonts w:ascii="Times New Roman" w:hAnsi="Times New Roman" w:cs="Times New Roman" w:eastAsia="Times New Roman" w:hint="default"/>
        </w:rPr>
        <w:t>E-Signature</w:t>
      </w:r>
      <w:r>
        <w:rPr>
          <w:rFonts w:ascii="Times New Roman" w:hAnsi="Times New Roman" w:cs="Times New Roman" w:eastAsia="Times New Roman" w:hint="default"/>
          <w:spacing w:val="19"/>
        </w:rPr>
        <w:t> </w:t>
      </w:r>
      <w:r>
        <w:rPr/>
        <w:t>等六个开发支出项目所</w:t>
      </w:r>
      <w:r>
        <w:rPr>
          <w:w w:val="100"/>
        </w:rPr>
        <w:t> </w:t>
      </w:r>
      <w:r>
        <w:rPr/>
        <w:t>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652" w:right="5418"/>
        <w:jc w:val="left"/>
      </w:pPr>
      <w:r>
        <w:rPr>
          <w:rFonts w:ascii="Times New Roman" w:hAnsi="Times New Roman" w:cs="Times New Roman" w:eastAsia="Times New Roman" w:hint="default"/>
        </w:rPr>
        <w:t>16</w:t>
      </w:r>
      <w:r>
        <w:rPr/>
        <w:t>．商誉</w:t>
      </w:r>
    </w:p>
    <w:tbl>
      <w:tblPr>
        <w:tblW w:w="0" w:type="auto"/>
        <w:jc w:val="left"/>
        <w:tblInd w:w="110" w:type="dxa"/>
        <w:tblLayout w:type="fixed"/>
        <w:tblCellMar>
          <w:top w:w="0" w:type="dxa"/>
          <w:left w:w="0" w:type="dxa"/>
          <w:bottom w:w="0" w:type="dxa"/>
          <w:right w:w="0" w:type="dxa"/>
        </w:tblCellMar>
        <w:tblLook w:val="01E0"/>
      </w:tblPr>
      <w:tblGrid>
        <w:gridCol w:w="2321"/>
        <w:gridCol w:w="1721"/>
        <w:gridCol w:w="1646"/>
        <w:gridCol w:w="1476"/>
        <w:gridCol w:w="1718"/>
        <w:gridCol w:w="986"/>
      </w:tblGrid>
      <w:tr>
        <w:trPr>
          <w:trHeight w:val="710" w:hRule="exact"/>
        </w:trPr>
        <w:tc>
          <w:tcPr>
            <w:tcW w:w="2321" w:type="dxa"/>
            <w:tcBorders>
              <w:top w:val="single" w:sz="12" w:space="0" w:color="000000"/>
              <w:left w:val="nil" w:sz="6" w:space="0" w:color="auto"/>
              <w:bottom w:val="single" w:sz="4" w:space="0" w:color="000000"/>
              <w:right w:val="single" w:sz="4" w:space="0" w:color="000000"/>
            </w:tcBorders>
          </w:tcPr>
          <w:p>
            <w:pPr>
              <w:pStyle w:val="TableParagraph"/>
              <w:tabs>
                <w:tab w:pos="1377" w:val="left" w:leader="none"/>
              </w:tabs>
              <w:spacing w:line="240" w:lineRule="auto" w:before="177"/>
              <w:ind w:left="7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7"/>
              <w:ind w:left="43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6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7"/>
              <w:ind w:left="292"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7"/>
              <w:ind w:left="208"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7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7"/>
              <w:ind w:left="436"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986" w:type="dxa"/>
            <w:tcBorders>
              <w:top w:val="single" w:sz="12" w:space="0" w:color="000000"/>
              <w:left w:val="single" w:sz="4" w:space="0" w:color="000000"/>
              <w:bottom w:val="single" w:sz="4" w:space="0" w:color="000000"/>
              <w:right w:val="nil" w:sz="6" w:space="0" w:color="auto"/>
            </w:tcBorders>
          </w:tcPr>
          <w:p>
            <w:pPr>
              <w:pStyle w:val="TableParagraph"/>
              <w:spacing w:line="272" w:lineRule="exact" w:before="67"/>
              <w:ind w:left="172" w:right="173"/>
              <w:jc w:val="left"/>
              <w:rPr>
                <w:rFonts w:ascii="宋体" w:hAnsi="宋体" w:cs="宋体" w:eastAsia="宋体" w:hint="default"/>
                <w:sz w:val="21"/>
                <w:szCs w:val="21"/>
              </w:rPr>
            </w:pPr>
            <w:r>
              <w:rPr>
                <w:rFonts w:ascii="宋体" w:hAnsi="宋体" w:cs="宋体" w:eastAsia="宋体" w:hint="default"/>
                <w:sz w:val="21"/>
                <w:szCs w:val="21"/>
              </w:rPr>
              <w:t>期末减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r>
      <w:tr>
        <w:trPr>
          <w:trHeight w:val="688" w:hRule="exact"/>
        </w:trPr>
        <w:tc>
          <w:tcPr>
            <w:tcW w:w="2321" w:type="dxa"/>
            <w:tcBorders>
              <w:top w:val="single" w:sz="4" w:space="0" w:color="000000"/>
              <w:left w:val="nil" w:sz="6" w:space="0" w:color="auto"/>
              <w:bottom w:val="nil" w:sz="6" w:space="0" w:color="auto"/>
              <w:right w:val="single" w:sz="4" w:space="0" w:color="000000"/>
            </w:tcBorders>
          </w:tcPr>
          <w:p>
            <w:pPr>
              <w:pStyle w:val="TableParagraph"/>
              <w:spacing w:line="240" w:lineRule="auto" w:before="38"/>
              <w:ind w:left="122" w:right="297"/>
              <w:jc w:val="left"/>
              <w:rPr>
                <w:rFonts w:ascii="宋体" w:hAnsi="宋体" w:cs="宋体" w:eastAsia="宋体" w:hint="default"/>
                <w:sz w:val="21"/>
                <w:szCs w:val="21"/>
              </w:rPr>
            </w:pPr>
            <w:r>
              <w:rPr>
                <w:rFonts w:ascii="宋体" w:hAnsi="宋体" w:cs="宋体" w:eastAsia="宋体" w:hint="default"/>
                <w:spacing w:val="-1"/>
                <w:sz w:val="21"/>
                <w:szCs w:val="21"/>
              </w:rPr>
              <w:t>杭州西软科技有限公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p>
        </w:tc>
        <w:tc>
          <w:tcPr>
            <w:tcW w:w="17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400" w:right="0"/>
              <w:jc w:val="left"/>
              <w:rPr>
                <w:rFonts w:ascii="Times New Roman" w:hAnsi="Times New Roman" w:cs="Times New Roman" w:eastAsia="Times New Roman" w:hint="default"/>
                <w:sz w:val="21"/>
                <w:szCs w:val="21"/>
              </w:rPr>
            </w:pPr>
            <w:r>
              <w:rPr>
                <w:rFonts w:ascii="Times New Roman"/>
                <w:sz w:val="21"/>
              </w:rPr>
              <w:t>41,079,739.22</w:t>
            </w:r>
          </w:p>
        </w:tc>
        <w:tc>
          <w:tcPr>
            <w:tcW w:w="16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21"/>
                <w:szCs w:val="21"/>
              </w:rPr>
            </w:pPr>
            <w:r>
              <w:rPr>
                <w:rFonts w:ascii="Times New Roman"/>
                <w:sz w:val="21"/>
              </w:rPr>
              <w:t>30,253,150.61</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19" w:right="0"/>
              <w:jc w:val="left"/>
              <w:rPr>
                <w:rFonts w:ascii="Times New Roman" w:hAnsi="Times New Roman" w:cs="Times New Roman" w:eastAsia="Times New Roman" w:hint="default"/>
                <w:sz w:val="21"/>
                <w:szCs w:val="21"/>
              </w:rPr>
            </w:pPr>
            <w:r>
              <w:rPr>
                <w:rFonts w:ascii="Times New Roman"/>
                <w:sz w:val="21"/>
              </w:rPr>
              <w:t>917,147.56</w:t>
            </w:r>
          </w:p>
        </w:tc>
        <w:tc>
          <w:tcPr>
            <w:tcW w:w="17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400" w:right="0"/>
              <w:jc w:val="left"/>
              <w:rPr>
                <w:rFonts w:ascii="Times New Roman" w:hAnsi="Times New Roman" w:cs="Times New Roman" w:eastAsia="Times New Roman" w:hint="default"/>
                <w:sz w:val="21"/>
                <w:szCs w:val="21"/>
              </w:rPr>
            </w:pPr>
            <w:r>
              <w:rPr>
                <w:rFonts w:ascii="Times New Roman"/>
                <w:sz w:val="21"/>
              </w:rPr>
              <w:t>41,079,739.22</w:t>
            </w:r>
          </w:p>
        </w:tc>
        <w:tc>
          <w:tcPr>
            <w:tcW w:w="986" w:type="dxa"/>
            <w:vMerge w:val="restart"/>
            <w:tcBorders>
              <w:top w:val="single" w:sz="4" w:space="0" w:color="000000"/>
              <w:left w:val="single" w:sz="4" w:space="0" w:color="000000"/>
              <w:right w:val="nil" w:sz="6" w:space="0" w:color="auto"/>
            </w:tcBorders>
          </w:tcPr>
          <w:p>
            <w:pPr/>
          </w:p>
        </w:tc>
      </w:tr>
      <w:tr>
        <w:trPr>
          <w:trHeight w:val="637" w:hRule="exact"/>
        </w:trPr>
        <w:tc>
          <w:tcPr>
            <w:tcW w:w="2321" w:type="dxa"/>
            <w:tcBorders>
              <w:top w:val="nil" w:sz="6" w:space="0" w:color="auto"/>
              <w:left w:val="nil" w:sz="6" w:space="0" w:color="auto"/>
              <w:bottom w:val="nil" w:sz="6" w:space="0" w:color="auto"/>
              <w:right w:val="single" w:sz="4" w:space="0" w:color="000000"/>
            </w:tcBorders>
          </w:tcPr>
          <w:p>
            <w:pPr>
              <w:pStyle w:val="TableParagraph"/>
              <w:tabs>
                <w:tab w:pos="1139" w:val="left" w:leader="none"/>
              </w:tabs>
              <w:spacing w:line="240" w:lineRule="auto" w:before="71"/>
              <w:ind w:left="122" w:right="100"/>
              <w:jc w:val="left"/>
              <w:rPr>
                <w:rFonts w:ascii="Times New Roman" w:hAnsi="Times New Roman" w:cs="Times New Roman" w:eastAsia="Times New Roman" w:hint="default"/>
                <w:sz w:val="21"/>
                <w:szCs w:val="21"/>
              </w:rPr>
            </w:pPr>
            <w:r>
              <w:rPr>
                <w:rFonts w:ascii="Times New Roman"/>
                <w:spacing w:val="-2"/>
                <w:sz w:val="21"/>
              </w:rPr>
              <w:t>Infrasys</w:t>
              <w:tab/>
            </w:r>
            <w:r>
              <w:rPr>
                <w:rFonts w:ascii="Times New Roman"/>
                <w:spacing w:val="-1"/>
                <w:sz w:val="21"/>
              </w:rPr>
              <w:t>International</w:t>
            </w:r>
            <w:r>
              <w:rPr>
                <w:rFonts w:ascii="Times New Roman"/>
                <w:spacing w:val="-45"/>
                <w:sz w:val="21"/>
              </w:rPr>
              <w:t> </w:t>
            </w:r>
            <w:r>
              <w:rPr>
                <w:rFonts w:ascii="Times New Roman"/>
                <w:spacing w:val="-45"/>
                <w:sz w:val="21"/>
              </w:rPr>
            </w:r>
            <w:r>
              <w:rPr>
                <w:rFonts w:ascii="Times New Roman"/>
                <w:sz w:val="21"/>
              </w:rPr>
              <w:t>Ltd</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400" w:right="0"/>
              <w:jc w:val="left"/>
              <w:rPr>
                <w:rFonts w:ascii="Times New Roman" w:hAnsi="Times New Roman" w:cs="Times New Roman" w:eastAsia="Times New Roman" w:hint="default"/>
                <w:sz w:val="21"/>
                <w:szCs w:val="21"/>
              </w:rPr>
            </w:pPr>
            <w:r>
              <w:rPr>
                <w:rFonts w:ascii="Times New Roman"/>
                <w:sz w:val="21"/>
              </w:rPr>
              <w:t>19,412,956.75</w:t>
            </w:r>
          </w:p>
        </w:tc>
        <w:tc>
          <w:tcPr>
            <w:tcW w:w="1646" w:type="dxa"/>
            <w:vMerge/>
            <w:tcBorders>
              <w:left w:val="single" w:sz="4" w:space="0" w:color="000000"/>
              <w:right w:val="single" w:sz="4" w:space="0" w:color="000000"/>
            </w:tcBorders>
          </w:tcPr>
          <w:p>
            <w:pPr/>
          </w:p>
        </w:tc>
        <w:tc>
          <w:tcPr>
            <w:tcW w:w="1476" w:type="dxa"/>
            <w:vMerge/>
            <w:tcBorders>
              <w:left w:val="single" w:sz="4" w:space="0" w:color="000000"/>
              <w:right w:val="single" w:sz="4" w:space="0" w:color="000000"/>
            </w:tcBorders>
          </w:tcPr>
          <w:p>
            <w:pPr/>
          </w:p>
        </w:tc>
        <w:tc>
          <w:tcPr>
            <w:tcW w:w="1718"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400" w:right="0"/>
              <w:jc w:val="left"/>
              <w:rPr>
                <w:rFonts w:ascii="Times New Roman" w:hAnsi="Times New Roman" w:cs="Times New Roman" w:eastAsia="Times New Roman" w:hint="default"/>
                <w:sz w:val="21"/>
                <w:szCs w:val="21"/>
              </w:rPr>
            </w:pPr>
            <w:r>
              <w:rPr>
                <w:rFonts w:ascii="Times New Roman"/>
                <w:sz w:val="21"/>
              </w:rPr>
              <w:t>18,495,809.19</w:t>
            </w:r>
          </w:p>
        </w:tc>
        <w:tc>
          <w:tcPr>
            <w:tcW w:w="986" w:type="dxa"/>
            <w:vMerge/>
            <w:tcBorders>
              <w:left w:val="single" w:sz="4" w:space="0" w:color="000000"/>
              <w:right w:val="nil" w:sz="6" w:space="0" w:color="auto"/>
            </w:tcBorders>
          </w:tcPr>
          <w:p>
            <w:pPr/>
          </w:p>
        </w:tc>
      </w:tr>
      <w:tr>
        <w:trPr>
          <w:trHeight w:val="678" w:hRule="exact"/>
        </w:trPr>
        <w:tc>
          <w:tcPr>
            <w:tcW w:w="2321"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297"/>
              <w:jc w:val="left"/>
              <w:rPr>
                <w:rFonts w:ascii="宋体" w:hAnsi="宋体" w:cs="宋体" w:eastAsia="宋体" w:hint="default"/>
                <w:sz w:val="21"/>
                <w:szCs w:val="21"/>
              </w:rPr>
            </w:pPr>
            <w:r>
              <w:rPr>
                <w:rFonts w:ascii="宋体" w:hAnsi="宋体" w:cs="宋体" w:eastAsia="宋体" w:hint="default"/>
                <w:spacing w:val="-1"/>
                <w:sz w:val="21"/>
                <w:szCs w:val="21"/>
              </w:rPr>
              <w:t>南京银石计算机系统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有限公司</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400" w:right="0"/>
              <w:jc w:val="left"/>
              <w:rPr>
                <w:rFonts w:ascii="Times New Roman" w:hAnsi="Times New Roman" w:cs="Times New Roman" w:eastAsia="Times New Roman" w:hint="default"/>
                <w:sz w:val="21"/>
                <w:szCs w:val="21"/>
              </w:rPr>
            </w:pPr>
            <w:r>
              <w:rPr>
                <w:rFonts w:ascii="Times New Roman"/>
                <w:sz w:val="21"/>
              </w:rPr>
              <w:t>47,742,187.30</w:t>
            </w:r>
          </w:p>
        </w:tc>
        <w:tc>
          <w:tcPr>
            <w:tcW w:w="1646" w:type="dxa"/>
            <w:vMerge/>
            <w:tcBorders>
              <w:left w:val="single" w:sz="4" w:space="0" w:color="000000"/>
              <w:right w:val="single" w:sz="4" w:space="0" w:color="000000"/>
            </w:tcBorders>
          </w:tcPr>
          <w:p>
            <w:pPr/>
          </w:p>
        </w:tc>
        <w:tc>
          <w:tcPr>
            <w:tcW w:w="1476" w:type="dxa"/>
            <w:vMerge/>
            <w:tcBorders>
              <w:left w:val="single" w:sz="4" w:space="0" w:color="000000"/>
              <w:right w:val="single" w:sz="4" w:space="0" w:color="000000"/>
            </w:tcBorders>
          </w:tcPr>
          <w:p>
            <w:pPr/>
          </w:p>
        </w:tc>
        <w:tc>
          <w:tcPr>
            <w:tcW w:w="1718"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400" w:right="0"/>
              <w:jc w:val="left"/>
              <w:rPr>
                <w:rFonts w:ascii="Times New Roman" w:hAnsi="Times New Roman" w:cs="Times New Roman" w:eastAsia="Times New Roman" w:hint="default"/>
                <w:sz w:val="21"/>
                <w:szCs w:val="21"/>
              </w:rPr>
            </w:pPr>
            <w:r>
              <w:rPr>
                <w:rFonts w:ascii="Times New Roman"/>
                <w:sz w:val="21"/>
              </w:rPr>
              <w:t>47,742,187.30</w:t>
            </w:r>
          </w:p>
        </w:tc>
        <w:tc>
          <w:tcPr>
            <w:tcW w:w="986" w:type="dxa"/>
            <w:vMerge/>
            <w:tcBorders>
              <w:left w:val="single" w:sz="4" w:space="0" w:color="000000"/>
              <w:right w:val="nil" w:sz="6" w:space="0" w:color="auto"/>
            </w:tcBorders>
          </w:tcPr>
          <w:p>
            <w:pPr/>
          </w:p>
        </w:tc>
      </w:tr>
      <w:tr>
        <w:trPr>
          <w:trHeight w:val="699" w:hRule="exact"/>
        </w:trPr>
        <w:tc>
          <w:tcPr>
            <w:tcW w:w="2321" w:type="dxa"/>
            <w:tcBorders>
              <w:top w:val="nil" w:sz="6" w:space="0" w:color="auto"/>
              <w:left w:val="nil" w:sz="6" w:space="0" w:color="auto"/>
              <w:bottom w:val="single" w:sz="4" w:space="0" w:color="000000"/>
              <w:right w:val="single" w:sz="4" w:space="0" w:color="000000"/>
            </w:tcBorders>
          </w:tcPr>
          <w:p>
            <w:pPr>
              <w:pStyle w:val="TableParagraph"/>
              <w:spacing w:line="240" w:lineRule="auto" w:before="43"/>
              <w:ind w:left="122" w:right="297"/>
              <w:jc w:val="left"/>
              <w:rPr>
                <w:rFonts w:ascii="宋体" w:hAnsi="宋体" w:cs="宋体" w:eastAsia="宋体" w:hint="default"/>
                <w:sz w:val="21"/>
                <w:szCs w:val="21"/>
              </w:rPr>
            </w:pPr>
            <w:r>
              <w:rPr>
                <w:rFonts w:ascii="宋体" w:hAnsi="宋体" w:cs="宋体" w:eastAsia="宋体" w:hint="default"/>
                <w:spacing w:val="-1"/>
                <w:sz w:val="21"/>
                <w:szCs w:val="21"/>
              </w:rPr>
              <w:t>上海正品贵德软件有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1721" w:type="dxa"/>
            <w:tcBorders>
              <w:top w:val="nil" w:sz="6" w:space="0" w:color="auto"/>
              <w:left w:val="single" w:sz="4" w:space="0" w:color="000000"/>
              <w:bottom w:val="single" w:sz="4" w:space="0" w:color="000000"/>
              <w:right w:val="single" w:sz="4" w:space="0" w:color="000000"/>
            </w:tcBorders>
          </w:tcPr>
          <w:p>
            <w:pPr/>
          </w:p>
        </w:tc>
        <w:tc>
          <w:tcPr>
            <w:tcW w:w="1646"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7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left="400" w:right="0"/>
              <w:jc w:val="left"/>
              <w:rPr>
                <w:rFonts w:ascii="Times New Roman" w:hAnsi="Times New Roman" w:cs="Times New Roman" w:eastAsia="Times New Roman" w:hint="default"/>
                <w:sz w:val="21"/>
                <w:szCs w:val="21"/>
              </w:rPr>
            </w:pPr>
            <w:r>
              <w:rPr>
                <w:rFonts w:ascii="Times New Roman"/>
                <w:sz w:val="21"/>
              </w:rPr>
              <w:t>30,253,150.61</w:t>
            </w:r>
          </w:p>
        </w:tc>
        <w:tc>
          <w:tcPr>
            <w:tcW w:w="986" w:type="dxa"/>
            <w:vMerge/>
            <w:tcBorders>
              <w:left w:val="single" w:sz="4" w:space="0" w:color="000000"/>
              <w:bottom w:val="single" w:sz="4" w:space="0" w:color="000000"/>
              <w:right w:val="nil" w:sz="6" w:space="0" w:color="auto"/>
            </w:tcBorders>
          </w:tcPr>
          <w:p>
            <w:pPr/>
          </w:p>
        </w:tc>
      </w:tr>
    </w:tbl>
    <w:p>
      <w:pPr>
        <w:spacing w:after="0"/>
        <w:sectPr>
          <w:pgSz w:w="11910" w:h="16840"/>
          <w:pgMar w:header="850" w:footer="979" w:top="1200" w:bottom="1160" w:left="900" w:right="920"/>
        </w:sectPr>
      </w:pPr>
    </w:p>
    <w:p>
      <w:pPr>
        <w:spacing w:line="240" w:lineRule="auto" w:before="5"/>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321"/>
        <w:gridCol w:w="1721"/>
        <w:gridCol w:w="1646"/>
        <w:gridCol w:w="1476"/>
        <w:gridCol w:w="1718"/>
        <w:gridCol w:w="986"/>
      </w:tblGrid>
      <w:tr>
        <w:trPr>
          <w:trHeight w:val="449" w:hRule="exact"/>
        </w:trPr>
        <w:tc>
          <w:tcPr>
            <w:tcW w:w="2321" w:type="dxa"/>
            <w:tcBorders>
              <w:top w:val="single" w:sz="10" w:space="0" w:color="000000"/>
              <w:left w:val="nil" w:sz="6" w:space="0" w:color="auto"/>
              <w:bottom w:val="single" w:sz="12" w:space="0" w:color="000000"/>
              <w:right w:val="single" w:sz="4" w:space="0" w:color="000000"/>
            </w:tcBorders>
          </w:tcPr>
          <w:p>
            <w:pPr>
              <w:pStyle w:val="TableParagraph"/>
              <w:tabs>
                <w:tab w:pos="1377" w:val="left" w:leader="none"/>
              </w:tabs>
              <w:spacing w:line="240" w:lineRule="auto" w:before="42"/>
              <w:ind w:left="74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21" w:type="dxa"/>
            <w:tcBorders>
              <w:top w:val="single" w:sz="10" w:space="0" w:color="000000"/>
              <w:left w:val="single" w:sz="4" w:space="0" w:color="000000"/>
              <w:bottom w:val="single" w:sz="12" w:space="0" w:color="000000"/>
              <w:right w:val="single" w:sz="4" w:space="0" w:color="000000"/>
            </w:tcBorders>
          </w:tcPr>
          <w:p>
            <w:pPr>
              <w:pStyle w:val="TableParagraph"/>
              <w:spacing w:line="240" w:lineRule="auto" w:before="70"/>
              <w:ind w:left="295" w:right="0"/>
              <w:jc w:val="left"/>
              <w:rPr>
                <w:rFonts w:ascii="Times New Roman" w:hAnsi="Times New Roman" w:cs="Times New Roman" w:eastAsia="Times New Roman" w:hint="default"/>
                <w:sz w:val="21"/>
                <w:szCs w:val="21"/>
              </w:rPr>
            </w:pPr>
            <w:r>
              <w:rPr>
                <w:rFonts w:ascii="Times New Roman"/>
                <w:sz w:val="21"/>
              </w:rPr>
              <w:t>108,234,883.27</w:t>
            </w:r>
          </w:p>
        </w:tc>
        <w:tc>
          <w:tcPr>
            <w:tcW w:w="1646" w:type="dxa"/>
            <w:tcBorders>
              <w:top w:val="single" w:sz="10" w:space="0" w:color="000000"/>
              <w:left w:val="single" w:sz="4" w:space="0" w:color="000000"/>
              <w:bottom w:val="single" w:sz="12" w:space="0" w:color="000000"/>
              <w:right w:val="single" w:sz="4" w:space="0" w:color="000000"/>
            </w:tcBorders>
          </w:tcPr>
          <w:p>
            <w:pPr>
              <w:pStyle w:val="TableParagraph"/>
              <w:spacing w:line="240" w:lineRule="auto" w:before="70"/>
              <w:ind w:left="329" w:right="0"/>
              <w:jc w:val="left"/>
              <w:rPr>
                <w:rFonts w:ascii="Times New Roman" w:hAnsi="Times New Roman" w:cs="Times New Roman" w:eastAsia="Times New Roman" w:hint="default"/>
                <w:sz w:val="21"/>
                <w:szCs w:val="21"/>
              </w:rPr>
            </w:pPr>
            <w:r>
              <w:rPr>
                <w:rFonts w:ascii="Times New Roman"/>
                <w:sz w:val="21"/>
              </w:rPr>
              <w:t>30,253,150.61</w:t>
            </w:r>
          </w:p>
        </w:tc>
        <w:tc>
          <w:tcPr>
            <w:tcW w:w="1476" w:type="dxa"/>
            <w:tcBorders>
              <w:top w:val="single" w:sz="10" w:space="0" w:color="000000"/>
              <w:left w:val="single" w:sz="4" w:space="0" w:color="000000"/>
              <w:bottom w:val="single" w:sz="12" w:space="0" w:color="000000"/>
              <w:right w:val="single" w:sz="4" w:space="0" w:color="000000"/>
            </w:tcBorders>
          </w:tcPr>
          <w:p>
            <w:pPr>
              <w:pStyle w:val="TableParagraph"/>
              <w:spacing w:line="240" w:lineRule="auto" w:before="70"/>
              <w:ind w:left="420" w:right="0"/>
              <w:jc w:val="left"/>
              <w:rPr>
                <w:rFonts w:ascii="Times New Roman" w:hAnsi="Times New Roman" w:cs="Times New Roman" w:eastAsia="Times New Roman" w:hint="default"/>
                <w:sz w:val="21"/>
                <w:szCs w:val="21"/>
              </w:rPr>
            </w:pPr>
            <w:r>
              <w:rPr>
                <w:rFonts w:ascii="Times New Roman"/>
                <w:sz w:val="21"/>
              </w:rPr>
              <w:t>917,147.56</w:t>
            </w:r>
          </w:p>
        </w:tc>
        <w:tc>
          <w:tcPr>
            <w:tcW w:w="1718" w:type="dxa"/>
            <w:tcBorders>
              <w:top w:val="single" w:sz="10" w:space="0" w:color="000000"/>
              <w:left w:val="single" w:sz="4" w:space="0" w:color="000000"/>
              <w:bottom w:val="single" w:sz="12" w:space="0" w:color="000000"/>
              <w:right w:val="single" w:sz="4" w:space="0" w:color="000000"/>
            </w:tcBorders>
          </w:tcPr>
          <w:p>
            <w:pPr>
              <w:pStyle w:val="TableParagraph"/>
              <w:spacing w:line="240" w:lineRule="auto" w:before="70"/>
              <w:ind w:left="295" w:right="0"/>
              <w:jc w:val="left"/>
              <w:rPr>
                <w:rFonts w:ascii="Times New Roman" w:hAnsi="Times New Roman" w:cs="Times New Roman" w:eastAsia="Times New Roman" w:hint="default"/>
                <w:sz w:val="21"/>
                <w:szCs w:val="21"/>
              </w:rPr>
            </w:pPr>
            <w:r>
              <w:rPr>
                <w:rFonts w:ascii="Times New Roman"/>
                <w:sz w:val="21"/>
              </w:rPr>
              <w:t>137,570,886.32</w:t>
            </w:r>
          </w:p>
        </w:tc>
        <w:tc>
          <w:tcPr>
            <w:tcW w:w="986" w:type="dxa"/>
            <w:tcBorders>
              <w:top w:val="single" w:sz="10"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pStyle w:val="BodyText"/>
        <w:spacing w:line="240" w:lineRule="auto" w:before="36"/>
        <w:ind w:left="652" w:right="0"/>
        <w:jc w:val="left"/>
      </w:pPr>
      <w:r>
        <w:rPr/>
        <w:t>注：（</w:t>
      </w:r>
      <w:r>
        <w:rPr>
          <w:rFonts w:ascii="Times New Roman" w:hAnsi="Times New Roman" w:cs="Times New Roman" w:eastAsia="Times New Roman" w:hint="default"/>
        </w:rPr>
        <w:t>1</w:t>
      </w:r>
      <w:r>
        <w:rPr/>
        <w:t>）商誉本期减少额系港币汇率变动导致的外币报表折算差额所致。</w:t>
      </w:r>
    </w:p>
    <w:p>
      <w:pPr>
        <w:pStyle w:val="BodyText"/>
        <w:spacing w:line="379" w:lineRule="auto" w:before="170"/>
        <w:ind w:left="233" w:right="0" w:firstLine="839"/>
        <w:jc w:val="left"/>
      </w:pPr>
      <w:r>
        <w:rPr>
          <w:spacing w:val="-2"/>
        </w:rPr>
        <w:t>（</w:t>
      </w:r>
      <w:r>
        <w:rPr>
          <w:rFonts w:ascii="Times New Roman" w:hAnsi="Times New Roman" w:cs="Times New Roman" w:eastAsia="Times New Roman" w:hint="default"/>
          <w:spacing w:val="-2"/>
        </w:rPr>
        <w:t>2</w:t>
      </w:r>
      <w:r>
        <w:rPr>
          <w:spacing w:val="-2"/>
        </w:rPr>
        <w:t>）商誉本期增加额系报告期内以</w:t>
      </w:r>
      <w:r>
        <w:rPr>
          <w:rFonts w:ascii="Times New Roman" w:hAnsi="Times New Roman" w:cs="Times New Roman" w:eastAsia="Times New Roman" w:hint="default"/>
          <w:spacing w:val="-2"/>
        </w:rPr>
        <w:t>3,066</w:t>
      </w:r>
      <w:r>
        <w:rPr>
          <w:spacing w:val="-2"/>
        </w:rPr>
        <w:t>万元收购上海正品贵德软件有限公司</w:t>
      </w:r>
      <w:r>
        <w:rPr>
          <w:rFonts w:ascii="Times New Roman" w:hAnsi="Times New Roman" w:cs="Times New Roman" w:eastAsia="Times New Roman" w:hint="default"/>
          <w:spacing w:val="-2"/>
        </w:rPr>
        <w:t>70%</w:t>
      </w:r>
      <w:r>
        <w:rPr>
          <w:spacing w:val="-2"/>
        </w:rPr>
        <w:t>的股权，股权</w:t>
      </w:r>
      <w:r>
        <w:rPr>
          <w:w w:val="100"/>
        </w:rPr>
        <w:t> </w:t>
      </w:r>
      <w:r>
        <w:rPr/>
        <w:t>收购成本与上海正品贵德软件有限公司收购日可辨认资产、负债的差额</w:t>
      </w:r>
      <w:r>
        <w:rPr>
          <w:rFonts w:ascii="Times New Roman" w:hAnsi="Times New Roman" w:cs="Times New Roman" w:eastAsia="Times New Roman" w:hint="default"/>
        </w:rPr>
        <w:t>30,253,150.61</w:t>
      </w:r>
      <w:r>
        <w:rPr/>
        <w:t>元计入商誉。</w:t>
      </w:r>
    </w:p>
    <w:p>
      <w:pPr>
        <w:pStyle w:val="BodyText"/>
        <w:spacing w:line="240" w:lineRule="auto" w:before="35"/>
        <w:ind w:left="1073" w:right="0"/>
        <w:jc w:val="left"/>
      </w:pPr>
      <w:r>
        <w:rPr/>
        <w:t>（</w:t>
      </w:r>
      <w:r>
        <w:rPr>
          <w:rFonts w:ascii="Times New Roman" w:hAnsi="Times New Roman" w:cs="Times New Roman" w:eastAsia="Times New Roman" w:hint="default"/>
        </w:rPr>
        <w:t>3</w:t>
      </w:r>
      <w:r>
        <w:rPr/>
        <w:t>）报告期末商誉未减值，故未计提商誉减值准备。</w:t>
      </w:r>
    </w:p>
    <w:p>
      <w:pPr>
        <w:pStyle w:val="BodyText"/>
        <w:spacing w:line="240" w:lineRule="auto" w:before="170"/>
        <w:ind w:left="653" w:right="0"/>
        <w:jc w:val="left"/>
      </w:pPr>
      <w:r>
        <w:rPr>
          <w:rFonts w:ascii="Times New Roman" w:hAnsi="Times New Roman" w:cs="Times New Roman" w:eastAsia="Times New Roman" w:hint="default"/>
        </w:rPr>
        <w:t>17</w:t>
      </w:r>
      <w:r>
        <w:rPr/>
        <w:t>．递延所得税资产</w:t>
      </w:r>
    </w:p>
    <w:p>
      <w:pPr>
        <w:pStyle w:val="BodyText"/>
        <w:spacing w:line="240" w:lineRule="auto" w:before="167"/>
        <w:ind w:left="653" w:right="0"/>
        <w:jc w:val="left"/>
      </w:pPr>
      <w:r>
        <w:rPr/>
        <w:t>（</w:t>
      </w:r>
      <w:r>
        <w:rPr>
          <w:rFonts w:ascii="Times New Roman" w:hAnsi="Times New Roman" w:cs="Times New Roman" w:eastAsia="Times New Roman" w:hint="default"/>
        </w:rPr>
        <w:t>1</w:t>
      </w:r>
      <w:r>
        <w:rPr/>
        <w:t>）已确认的递延所得税资产和递延所得税负债</w:t>
      </w:r>
    </w:p>
    <w:tbl>
      <w:tblPr>
        <w:tblW w:w="0" w:type="auto"/>
        <w:jc w:val="left"/>
        <w:tblInd w:w="110" w:type="dxa"/>
        <w:tblLayout w:type="fixed"/>
        <w:tblCellMar>
          <w:top w:w="0" w:type="dxa"/>
          <w:left w:w="0" w:type="dxa"/>
          <w:bottom w:w="0" w:type="dxa"/>
          <w:right w:w="0" w:type="dxa"/>
        </w:tblCellMar>
        <w:tblLook w:val="01E0"/>
      </w:tblPr>
      <w:tblGrid>
        <w:gridCol w:w="5887"/>
        <w:gridCol w:w="1985"/>
        <w:gridCol w:w="1997"/>
      </w:tblGrid>
      <w:tr>
        <w:trPr>
          <w:trHeight w:val="480" w:hRule="exact"/>
        </w:trPr>
        <w:tc>
          <w:tcPr>
            <w:tcW w:w="5887" w:type="dxa"/>
            <w:tcBorders>
              <w:top w:val="single" w:sz="12" w:space="0" w:color="000000"/>
              <w:left w:val="nil" w:sz="6" w:space="0" w:color="auto"/>
              <w:bottom w:val="single" w:sz="4" w:space="0" w:color="000000"/>
              <w:right w:val="single" w:sz="6" w:space="0" w:color="000000"/>
            </w:tcBorders>
          </w:tcPr>
          <w:p>
            <w:pPr>
              <w:pStyle w:val="TableParagraph"/>
              <w:tabs>
                <w:tab w:pos="631" w:val="left" w:leader="none"/>
              </w:tabs>
              <w:spacing w:line="240" w:lineRule="auto" w:before="155"/>
              <w:ind w:right="250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5"/>
              <w:ind w:left="566"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997"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55"/>
              <w:ind w:left="574"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58" w:hRule="exact"/>
        </w:trPr>
        <w:tc>
          <w:tcPr>
            <w:tcW w:w="5887" w:type="dxa"/>
            <w:tcBorders>
              <w:top w:val="single" w:sz="4" w:space="0" w:color="000000"/>
              <w:left w:val="nil" w:sz="6" w:space="0" w:color="auto"/>
              <w:bottom w:val="nil" w:sz="6" w:space="0" w:color="auto"/>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85" w:type="dxa"/>
            <w:tcBorders>
              <w:top w:val="single" w:sz="4" w:space="0" w:color="000000"/>
              <w:left w:val="single" w:sz="6" w:space="0" w:color="000000"/>
              <w:bottom w:val="nil" w:sz="6" w:space="0" w:color="auto"/>
              <w:right w:val="single" w:sz="6" w:space="0" w:color="000000"/>
            </w:tcBorders>
          </w:tcPr>
          <w:p>
            <w:pPr/>
          </w:p>
        </w:tc>
        <w:tc>
          <w:tcPr>
            <w:tcW w:w="1997" w:type="dxa"/>
            <w:tcBorders>
              <w:top w:val="single" w:sz="4" w:space="0" w:color="000000"/>
              <w:left w:val="single" w:sz="6" w:space="0" w:color="000000"/>
              <w:bottom w:val="nil" w:sz="6" w:space="0" w:color="auto"/>
              <w:right w:val="nil" w:sz="6" w:space="0" w:color="auto"/>
            </w:tcBorders>
          </w:tcPr>
          <w:p>
            <w:pPr/>
          </w:p>
        </w:tc>
      </w:tr>
      <w:tr>
        <w:trPr>
          <w:trHeight w:val="471" w:hRule="exact"/>
        </w:trPr>
        <w:tc>
          <w:tcPr>
            <w:tcW w:w="5887" w:type="dxa"/>
            <w:tcBorders>
              <w:top w:val="nil" w:sz="6" w:space="0" w:color="auto"/>
              <w:left w:val="nil" w:sz="6" w:space="0" w:color="auto"/>
              <w:bottom w:val="nil" w:sz="6" w:space="0" w:color="auto"/>
              <w:right w:val="single" w:sz="6"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0"/>
              <w:ind w:right="93"/>
              <w:jc w:val="right"/>
              <w:rPr>
                <w:rFonts w:ascii="Times New Roman" w:hAnsi="Times New Roman" w:cs="Times New Roman" w:eastAsia="Times New Roman" w:hint="default"/>
                <w:sz w:val="21"/>
                <w:szCs w:val="21"/>
              </w:rPr>
            </w:pPr>
            <w:r>
              <w:rPr>
                <w:rFonts w:ascii="Times New Roman"/>
                <w:spacing w:val="-1"/>
                <w:sz w:val="21"/>
              </w:rPr>
              <w:t>1,635,294.54</w:t>
            </w:r>
          </w:p>
        </w:tc>
        <w:tc>
          <w:tcPr>
            <w:tcW w:w="1997" w:type="dxa"/>
            <w:tcBorders>
              <w:top w:val="nil" w:sz="6" w:space="0" w:color="auto"/>
              <w:left w:val="single" w:sz="6" w:space="0" w:color="000000"/>
              <w:bottom w:val="nil" w:sz="6" w:space="0" w:color="auto"/>
              <w:right w:val="nil" w:sz="6" w:space="0" w:color="auto"/>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1,317,514.36</w:t>
            </w:r>
          </w:p>
        </w:tc>
      </w:tr>
      <w:tr>
        <w:trPr>
          <w:trHeight w:val="460" w:hRule="exact"/>
        </w:trPr>
        <w:tc>
          <w:tcPr>
            <w:tcW w:w="5887" w:type="dxa"/>
            <w:tcBorders>
              <w:top w:val="nil" w:sz="6" w:space="0" w:color="auto"/>
              <w:left w:val="nil" w:sz="6" w:space="0" w:color="auto"/>
              <w:bottom w:val="nil" w:sz="6" w:space="0" w:color="auto"/>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内部销售形成的存货</w:t>
            </w: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93"/>
              <w:jc w:val="right"/>
              <w:rPr>
                <w:rFonts w:ascii="Times New Roman" w:hAnsi="Times New Roman" w:cs="Times New Roman" w:eastAsia="Times New Roman" w:hint="default"/>
                <w:sz w:val="21"/>
                <w:szCs w:val="21"/>
              </w:rPr>
            </w:pPr>
            <w:r>
              <w:rPr>
                <w:rFonts w:ascii="Times New Roman"/>
                <w:spacing w:val="-1"/>
                <w:sz w:val="21"/>
              </w:rPr>
              <w:t>17,451.92</w:t>
            </w:r>
          </w:p>
        </w:tc>
        <w:tc>
          <w:tcPr>
            <w:tcW w:w="1997" w:type="dxa"/>
            <w:tcBorders>
              <w:top w:val="nil" w:sz="6" w:space="0" w:color="auto"/>
              <w:left w:val="single" w:sz="6" w:space="0" w:color="000000"/>
              <w:bottom w:val="nil" w:sz="6" w:space="0" w:color="auto"/>
              <w:right w:val="nil" w:sz="6" w:space="0" w:color="auto"/>
            </w:tcBorders>
          </w:tcPr>
          <w:p>
            <w:pPr>
              <w:pStyle w:val="TableParagraph"/>
              <w:spacing w:line="240" w:lineRule="auto" w:before="109"/>
              <w:ind w:right="101"/>
              <w:jc w:val="right"/>
              <w:rPr>
                <w:rFonts w:ascii="Times New Roman" w:hAnsi="Times New Roman" w:cs="Times New Roman" w:eastAsia="Times New Roman" w:hint="default"/>
                <w:sz w:val="21"/>
                <w:szCs w:val="21"/>
              </w:rPr>
            </w:pPr>
            <w:r>
              <w:rPr>
                <w:rFonts w:ascii="Times New Roman"/>
                <w:spacing w:val="-1"/>
                <w:sz w:val="21"/>
              </w:rPr>
              <w:t>51,358.26</w:t>
            </w:r>
          </w:p>
        </w:tc>
      </w:tr>
      <w:tr>
        <w:trPr>
          <w:trHeight w:val="460" w:hRule="exact"/>
        </w:trPr>
        <w:tc>
          <w:tcPr>
            <w:tcW w:w="5887" w:type="dxa"/>
            <w:tcBorders>
              <w:top w:val="nil" w:sz="6" w:space="0" w:color="auto"/>
              <w:left w:val="nil" w:sz="6" w:space="0" w:color="auto"/>
              <w:bottom w:val="nil" w:sz="6" w:space="0" w:color="auto"/>
              <w:right w:val="single" w:sz="6" w:space="0" w:color="000000"/>
            </w:tcBorders>
          </w:tcPr>
          <w:p>
            <w:pPr>
              <w:pStyle w:val="TableParagraph"/>
              <w:tabs>
                <w:tab w:pos="631" w:val="left" w:leader="none"/>
              </w:tabs>
              <w:spacing w:line="240" w:lineRule="auto" w:before="49"/>
              <w:ind w:right="2505"/>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right="93"/>
              <w:jc w:val="right"/>
              <w:rPr>
                <w:rFonts w:ascii="Times New Roman" w:hAnsi="Times New Roman" w:cs="Times New Roman" w:eastAsia="Times New Roman" w:hint="default"/>
                <w:sz w:val="21"/>
                <w:szCs w:val="21"/>
              </w:rPr>
            </w:pPr>
            <w:r>
              <w:rPr>
                <w:rFonts w:ascii="Times New Roman"/>
                <w:spacing w:val="-1"/>
                <w:sz w:val="21"/>
              </w:rPr>
              <w:t>1,652,746.46</w:t>
            </w:r>
          </w:p>
        </w:tc>
        <w:tc>
          <w:tcPr>
            <w:tcW w:w="1997" w:type="dxa"/>
            <w:tcBorders>
              <w:top w:val="nil" w:sz="6" w:space="0" w:color="auto"/>
              <w:left w:val="single" w:sz="6" w:space="0" w:color="000000"/>
              <w:bottom w:val="nil" w:sz="6" w:space="0" w:color="auto"/>
              <w:right w:val="nil" w:sz="6" w:space="0" w:color="auto"/>
            </w:tcBorders>
          </w:tcPr>
          <w:p>
            <w:pPr>
              <w:pStyle w:val="TableParagraph"/>
              <w:spacing w:line="240" w:lineRule="auto" w:before="108"/>
              <w:ind w:right="101"/>
              <w:jc w:val="right"/>
              <w:rPr>
                <w:rFonts w:ascii="Times New Roman" w:hAnsi="Times New Roman" w:cs="Times New Roman" w:eastAsia="Times New Roman" w:hint="default"/>
                <w:sz w:val="21"/>
                <w:szCs w:val="21"/>
              </w:rPr>
            </w:pPr>
            <w:r>
              <w:rPr>
                <w:rFonts w:ascii="Times New Roman"/>
                <w:spacing w:val="-1"/>
                <w:sz w:val="21"/>
              </w:rPr>
              <w:t>1,368,872.62</w:t>
            </w:r>
          </w:p>
        </w:tc>
      </w:tr>
      <w:tr>
        <w:trPr>
          <w:trHeight w:val="450" w:hRule="exact"/>
        </w:trPr>
        <w:tc>
          <w:tcPr>
            <w:tcW w:w="5887" w:type="dxa"/>
            <w:tcBorders>
              <w:top w:val="nil" w:sz="6" w:space="0" w:color="auto"/>
              <w:left w:val="nil" w:sz="6" w:space="0" w:color="auto"/>
              <w:bottom w:val="nil" w:sz="6" w:space="0" w:color="auto"/>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85" w:type="dxa"/>
            <w:tcBorders>
              <w:top w:val="nil" w:sz="6" w:space="0" w:color="auto"/>
              <w:left w:val="single" w:sz="6" w:space="0" w:color="000000"/>
              <w:bottom w:val="nil" w:sz="6" w:space="0" w:color="auto"/>
              <w:right w:val="single" w:sz="6" w:space="0" w:color="000000"/>
            </w:tcBorders>
          </w:tcPr>
          <w:p>
            <w:pPr/>
          </w:p>
        </w:tc>
        <w:tc>
          <w:tcPr>
            <w:tcW w:w="1997" w:type="dxa"/>
            <w:tcBorders>
              <w:top w:val="nil" w:sz="6" w:space="0" w:color="auto"/>
              <w:left w:val="single" w:sz="6" w:space="0" w:color="000000"/>
              <w:bottom w:val="nil" w:sz="6" w:space="0" w:color="auto"/>
              <w:right w:val="nil" w:sz="6" w:space="0" w:color="auto"/>
            </w:tcBorders>
          </w:tcPr>
          <w:p>
            <w:pPr/>
          </w:p>
        </w:tc>
      </w:tr>
      <w:tr>
        <w:trPr>
          <w:trHeight w:val="470" w:hRule="exact"/>
        </w:trPr>
        <w:tc>
          <w:tcPr>
            <w:tcW w:w="5887" w:type="dxa"/>
            <w:tcBorders>
              <w:top w:val="nil" w:sz="6" w:space="0" w:color="auto"/>
              <w:left w:val="nil" w:sz="6" w:space="0" w:color="auto"/>
              <w:bottom w:val="nil" w:sz="6" w:space="0" w:color="auto"/>
              <w:right w:val="single" w:sz="6"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已做纳税扣除的开发支出</w:t>
            </w:r>
          </w:p>
        </w:tc>
        <w:tc>
          <w:tcPr>
            <w:tcW w:w="1985" w:type="dxa"/>
            <w:tcBorders>
              <w:top w:val="nil" w:sz="6" w:space="0" w:color="auto"/>
              <w:left w:val="single" w:sz="6" w:space="0" w:color="000000"/>
              <w:bottom w:val="nil" w:sz="6" w:space="0" w:color="auto"/>
              <w:right w:val="single" w:sz="6" w:space="0" w:color="000000"/>
            </w:tcBorders>
          </w:tcPr>
          <w:p>
            <w:pPr/>
          </w:p>
        </w:tc>
        <w:tc>
          <w:tcPr>
            <w:tcW w:w="1997" w:type="dxa"/>
            <w:tcBorders>
              <w:top w:val="nil" w:sz="6" w:space="0" w:color="auto"/>
              <w:left w:val="single" w:sz="6" w:space="0" w:color="000000"/>
              <w:bottom w:val="nil" w:sz="6" w:space="0" w:color="auto"/>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528,614.17</w:t>
            </w:r>
          </w:p>
        </w:tc>
      </w:tr>
      <w:tr>
        <w:trPr>
          <w:trHeight w:val="460" w:hRule="exact"/>
        </w:trPr>
        <w:tc>
          <w:tcPr>
            <w:tcW w:w="5887" w:type="dxa"/>
            <w:tcBorders>
              <w:top w:val="nil" w:sz="6" w:space="0" w:color="auto"/>
              <w:left w:val="nil" w:sz="6" w:space="0" w:color="auto"/>
              <w:bottom w:val="nil" w:sz="6" w:space="0" w:color="auto"/>
              <w:right w:val="single" w:sz="6"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境外股东分配股利应交的税金</w:t>
            </w: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right="93"/>
              <w:jc w:val="right"/>
              <w:rPr>
                <w:rFonts w:ascii="Times New Roman" w:hAnsi="Times New Roman" w:cs="Times New Roman" w:eastAsia="Times New Roman" w:hint="default"/>
                <w:sz w:val="21"/>
                <w:szCs w:val="21"/>
              </w:rPr>
            </w:pPr>
            <w:r>
              <w:rPr>
                <w:rFonts w:ascii="Times New Roman"/>
                <w:spacing w:val="-1"/>
                <w:sz w:val="21"/>
              </w:rPr>
              <w:t>1,133,712.07</w:t>
            </w:r>
          </w:p>
        </w:tc>
        <w:tc>
          <w:tcPr>
            <w:tcW w:w="1997" w:type="dxa"/>
            <w:tcBorders>
              <w:top w:val="nil" w:sz="6" w:space="0" w:color="auto"/>
              <w:left w:val="single" w:sz="6" w:space="0" w:color="000000"/>
              <w:bottom w:val="nil" w:sz="6" w:space="0" w:color="auto"/>
              <w:right w:val="nil" w:sz="6" w:space="0" w:color="auto"/>
            </w:tcBorders>
          </w:tcPr>
          <w:p>
            <w:pPr>
              <w:pStyle w:val="TableParagraph"/>
              <w:spacing w:line="240" w:lineRule="auto" w:before="108"/>
              <w:ind w:right="101"/>
              <w:jc w:val="right"/>
              <w:rPr>
                <w:rFonts w:ascii="Times New Roman" w:hAnsi="Times New Roman" w:cs="Times New Roman" w:eastAsia="Times New Roman" w:hint="default"/>
                <w:sz w:val="21"/>
                <w:szCs w:val="21"/>
              </w:rPr>
            </w:pPr>
            <w:r>
              <w:rPr>
                <w:rFonts w:ascii="Times New Roman"/>
                <w:spacing w:val="-1"/>
                <w:sz w:val="21"/>
              </w:rPr>
              <w:t>516,867.29</w:t>
            </w:r>
          </w:p>
        </w:tc>
      </w:tr>
      <w:tr>
        <w:trPr>
          <w:trHeight w:val="373" w:hRule="exact"/>
        </w:trPr>
        <w:tc>
          <w:tcPr>
            <w:tcW w:w="5887" w:type="dxa"/>
            <w:tcBorders>
              <w:top w:val="nil" w:sz="6" w:space="0" w:color="auto"/>
              <w:left w:val="nil" w:sz="6" w:space="0" w:color="auto"/>
              <w:bottom w:val="single" w:sz="12" w:space="0" w:color="000000"/>
              <w:right w:val="single" w:sz="6" w:space="0" w:color="000000"/>
            </w:tcBorders>
          </w:tcPr>
          <w:p>
            <w:pPr>
              <w:pStyle w:val="TableParagraph"/>
              <w:tabs>
                <w:tab w:pos="631" w:val="left" w:leader="none"/>
              </w:tabs>
              <w:spacing w:line="240" w:lineRule="auto" w:before="50"/>
              <w:ind w:right="2505"/>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985"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9"/>
              <w:ind w:right="93"/>
              <w:jc w:val="right"/>
              <w:rPr>
                <w:rFonts w:ascii="Times New Roman" w:hAnsi="Times New Roman" w:cs="Times New Roman" w:eastAsia="Times New Roman" w:hint="default"/>
                <w:sz w:val="21"/>
                <w:szCs w:val="21"/>
              </w:rPr>
            </w:pPr>
            <w:r>
              <w:rPr>
                <w:rFonts w:ascii="Times New Roman"/>
                <w:spacing w:val="-1"/>
                <w:sz w:val="21"/>
              </w:rPr>
              <w:t>1,133,712.07</w:t>
            </w:r>
          </w:p>
        </w:tc>
        <w:tc>
          <w:tcPr>
            <w:tcW w:w="1997" w:type="dxa"/>
            <w:tcBorders>
              <w:top w:val="nil" w:sz="6" w:space="0" w:color="auto"/>
              <w:left w:val="single" w:sz="6" w:space="0" w:color="000000"/>
              <w:bottom w:val="single" w:sz="12" w:space="0" w:color="000000"/>
              <w:right w:val="nil" w:sz="6" w:space="0" w:color="auto"/>
            </w:tcBorders>
          </w:tcPr>
          <w:p>
            <w:pPr>
              <w:pStyle w:val="TableParagraph"/>
              <w:spacing w:line="240" w:lineRule="auto" w:before="109"/>
              <w:ind w:right="101"/>
              <w:jc w:val="right"/>
              <w:rPr>
                <w:rFonts w:ascii="Times New Roman" w:hAnsi="Times New Roman" w:cs="Times New Roman" w:eastAsia="Times New Roman" w:hint="default"/>
                <w:sz w:val="21"/>
                <w:szCs w:val="21"/>
              </w:rPr>
            </w:pPr>
            <w:r>
              <w:rPr>
                <w:rFonts w:ascii="Times New Roman"/>
                <w:spacing w:val="-1"/>
                <w:sz w:val="21"/>
              </w:rPr>
              <w:t>1,045,481.46</w:t>
            </w:r>
          </w:p>
        </w:tc>
      </w:tr>
    </w:tbl>
    <w:p>
      <w:pPr>
        <w:spacing w:line="240" w:lineRule="auto" w:before="3"/>
        <w:rPr>
          <w:rFonts w:ascii="宋体" w:hAnsi="宋体" w:cs="宋体" w:eastAsia="宋体" w:hint="default"/>
          <w:sz w:val="10"/>
          <w:szCs w:val="10"/>
        </w:rPr>
      </w:pPr>
    </w:p>
    <w:p>
      <w:pPr>
        <w:pStyle w:val="BodyText"/>
        <w:spacing w:line="240" w:lineRule="auto" w:before="36"/>
        <w:ind w:left="549" w:right="0"/>
        <w:jc w:val="left"/>
      </w:pPr>
      <w:r>
        <w:rPr/>
        <w:t>（</w:t>
      </w:r>
      <w:r>
        <w:rPr>
          <w:rFonts w:ascii="Times New Roman" w:hAnsi="Times New Roman" w:cs="Times New Roman" w:eastAsia="Times New Roman" w:hint="default"/>
        </w:rPr>
        <w:t>2</w:t>
      </w:r>
      <w:r>
        <w:rPr/>
        <w:t>）未确认递延所得税资产项目明细</w:t>
      </w:r>
    </w:p>
    <w:tbl>
      <w:tblPr>
        <w:tblW w:w="0" w:type="auto"/>
        <w:jc w:val="left"/>
        <w:tblInd w:w="110" w:type="dxa"/>
        <w:tblLayout w:type="fixed"/>
        <w:tblCellMar>
          <w:top w:w="0" w:type="dxa"/>
          <w:left w:w="0" w:type="dxa"/>
          <w:bottom w:w="0" w:type="dxa"/>
          <w:right w:w="0" w:type="dxa"/>
        </w:tblCellMar>
        <w:tblLook w:val="01E0"/>
      </w:tblPr>
      <w:tblGrid>
        <w:gridCol w:w="4073"/>
        <w:gridCol w:w="2899"/>
        <w:gridCol w:w="2897"/>
      </w:tblGrid>
      <w:tr>
        <w:trPr>
          <w:trHeight w:val="480" w:hRule="exact"/>
        </w:trPr>
        <w:tc>
          <w:tcPr>
            <w:tcW w:w="4073" w:type="dxa"/>
            <w:tcBorders>
              <w:top w:val="single" w:sz="12" w:space="0" w:color="000000"/>
              <w:left w:val="nil" w:sz="6" w:space="0" w:color="auto"/>
              <w:bottom w:val="single" w:sz="4" w:space="0" w:color="000000"/>
              <w:right w:val="single" w:sz="6" w:space="0" w:color="000000"/>
            </w:tcBorders>
          </w:tcPr>
          <w:p>
            <w:pPr>
              <w:pStyle w:val="TableParagraph"/>
              <w:tabs>
                <w:tab w:pos="631" w:val="left" w:leader="none"/>
              </w:tabs>
              <w:spacing w:line="240" w:lineRule="auto" w:before="153"/>
              <w:ind w:right="159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99"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3"/>
              <w:ind w:left="7"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897"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53"/>
              <w:ind w:right="5"/>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68" w:hRule="exact"/>
        </w:trPr>
        <w:tc>
          <w:tcPr>
            <w:tcW w:w="4073" w:type="dxa"/>
            <w:tcBorders>
              <w:top w:val="single" w:sz="4" w:space="0" w:color="000000"/>
              <w:left w:val="nil" w:sz="6" w:space="0" w:color="auto"/>
              <w:bottom w:val="nil" w:sz="6" w:space="0" w:color="auto"/>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899"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8,441,488.99</w:t>
            </w:r>
          </w:p>
        </w:tc>
        <w:tc>
          <w:tcPr>
            <w:tcW w:w="2897" w:type="dxa"/>
            <w:tcBorders>
              <w:top w:val="single" w:sz="4" w:space="0" w:color="000000"/>
              <w:left w:val="single" w:sz="6"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5,470,128.45</w:t>
            </w:r>
          </w:p>
        </w:tc>
      </w:tr>
      <w:tr>
        <w:trPr>
          <w:trHeight w:val="363" w:hRule="exact"/>
        </w:trPr>
        <w:tc>
          <w:tcPr>
            <w:tcW w:w="4073" w:type="dxa"/>
            <w:tcBorders>
              <w:top w:val="nil" w:sz="6" w:space="0" w:color="auto"/>
              <w:left w:val="nil" w:sz="6" w:space="0" w:color="auto"/>
              <w:bottom w:val="single" w:sz="4"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899"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09"/>
              <w:ind w:right="93"/>
              <w:jc w:val="right"/>
              <w:rPr>
                <w:rFonts w:ascii="Times New Roman" w:hAnsi="Times New Roman" w:cs="Times New Roman" w:eastAsia="Times New Roman" w:hint="default"/>
                <w:sz w:val="21"/>
                <w:szCs w:val="21"/>
              </w:rPr>
            </w:pPr>
            <w:r>
              <w:rPr>
                <w:rFonts w:ascii="Times New Roman"/>
                <w:spacing w:val="-1"/>
                <w:sz w:val="21"/>
              </w:rPr>
              <w:t>7,384,740.63</w:t>
            </w:r>
          </w:p>
        </w:tc>
        <w:tc>
          <w:tcPr>
            <w:tcW w:w="2897" w:type="dxa"/>
            <w:tcBorders>
              <w:top w:val="nil" w:sz="6" w:space="0" w:color="auto"/>
              <w:left w:val="single" w:sz="6" w:space="0" w:color="000000"/>
              <w:bottom w:val="single" w:sz="4" w:space="0" w:color="000000"/>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42,896,908.45</w:t>
            </w:r>
          </w:p>
        </w:tc>
      </w:tr>
      <w:tr>
        <w:trPr>
          <w:trHeight w:val="480" w:hRule="exact"/>
        </w:trPr>
        <w:tc>
          <w:tcPr>
            <w:tcW w:w="4073" w:type="dxa"/>
            <w:tcBorders>
              <w:top w:val="single" w:sz="4" w:space="0" w:color="000000"/>
              <w:left w:val="nil" w:sz="6" w:space="0" w:color="auto"/>
              <w:bottom w:val="single" w:sz="12" w:space="0" w:color="000000"/>
              <w:right w:val="single" w:sz="6" w:space="0" w:color="000000"/>
            </w:tcBorders>
          </w:tcPr>
          <w:p>
            <w:pPr>
              <w:pStyle w:val="TableParagraph"/>
              <w:tabs>
                <w:tab w:pos="631" w:val="left" w:leader="none"/>
              </w:tabs>
              <w:spacing w:line="240" w:lineRule="auto" w:before="153"/>
              <w:ind w:right="159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99"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15,826,229.62</w:t>
            </w:r>
          </w:p>
        </w:tc>
        <w:tc>
          <w:tcPr>
            <w:tcW w:w="2897"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48,367,036.90</w:t>
            </w:r>
          </w:p>
        </w:tc>
      </w:tr>
    </w:tbl>
    <w:p>
      <w:pPr>
        <w:spacing w:line="240" w:lineRule="auto" w:before="3"/>
        <w:rPr>
          <w:rFonts w:ascii="宋体" w:hAnsi="宋体" w:cs="宋体" w:eastAsia="宋体" w:hint="default"/>
          <w:sz w:val="10"/>
          <w:szCs w:val="10"/>
        </w:rPr>
      </w:pPr>
    </w:p>
    <w:p>
      <w:pPr>
        <w:pStyle w:val="BodyText"/>
        <w:spacing w:line="240" w:lineRule="auto" w:before="36"/>
        <w:ind w:left="652" w:right="0"/>
        <w:jc w:val="left"/>
      </w:pPr>
      <w:r>
        <w:rPr/>
        <w:t>（</w:t>
      </w:r>
      <w:r>
        <w:rPr>
          <w:rFonts w:ascii="Times New Roman" w:hAnsi="Times New Roman" w:cs="Times New Roman" w:eastAsia="Times New Roman" w:hint="default"/>
        </w:rPr>
        <w:t>3</w:t>
      </w:r>
      <w:r>
        <w:rPr/>
        <w:t>）未确认递延所得税资产的可抵扣亏损将于以下年度到期</w:t>
      </w:r>
    </w:p>
    <w:tbl>
      <w:tblPr>
        <w:tblW w:w="0" w:type="auto"/>
        <w:jc w:val="left"/>
        <w:tblInd w:w="110" w:type="dxa"/>
        <w:tblLayout w:type="fixed"/>
        <w:tblCellMar>
          <w:top w:w="0" w:type="dxa"/>
          <w:left w:w="0" w:type="dxa"/>
          <w:bottom w:w="0" w:type="dxa"/>
          <w:right w:w="0" w:type="dxa"/>
        </w:tblCellMar>
        <w:tblLook w:val="01E0"/>
      </w:tblPr>
      <w:tblGrid>
        <w:gridCol w:w="3151"/>
        <w:gridCol w:w="2239"/>
        <w:gridCol w:w="2239"/>
        <w:gridCol w:w="2239"/>
      </w:tblGrid>
      <w:tr>
        <w:trPr>
          <w:trHeight w:val="480" w:hRule="exact"/>
        </w:trPr>
        <w:tc>
          <w:tcPr>
            <w:tcW w:w="3151" w:type="dxa"/>
            <w:tcBorders>
              <w:top w:val="single" w:sz="12" w:space="0" w:color="000000"/>
              <w:left w:val="nil" w:sz="6" w:space="0" w:color="auto"/>
              <w:bottom w:val="single" w:sz="4" w:space="0" w:color="000000"/>
              <w:right w:val="single" w:sz="6" w:space="0" w:color="000000"/>
            </w:tcBorders>
          </w:tcPr>
          <w:p>
            <w:pPr>
              <w:pStyle w:val="TableParagraph"/>
              <w:tabs>
                <w:tab w:pos="631" w:val="left" w:leader="none"/>
              </w:tabs>
              <w:spacing w:line="240" w:lineRule="auto" w:before="153"/>
              <w:ind w:right="1137"/>
              <w:jc w:val="right"/>
              <w:rPr>
                <w:rFonts w:ascii="宋体" w:hAnsi="宋体" w:cs="宋体" w:eastAsia="宋体" w:hint="default"/>
                <w:sz w:val="21"/>
                <w:szCs w:val="21"/>
              </w:rPr>
            </w:pPr>
            <w:r>
              <w:rPr>
                <w:rFonts w:ascii="宋体" w:hAnsi="宋体" w:cs="宋体" w:eastAsia="宋体" w:hint="default"/>
                <w:sz w:val="21"/>
                <w:szCs w:val="21"/>
              </w:rPr>
              <w:t>年</w:t>
              <w:tab/>
              <w:t>份</w:t>
            </w:r>
          </w:p>
        </w:tc>
        <w:tc>
          <w:tcPr>
            <w:tcW w:w="2239"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3"/>
              <w:ind w:left="693"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239"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3"/>
              <w:ind w:left="693"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239"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68" w:hRule="exact"/>
        </w:trPr>
        <w:tc>
          <w:tcPr>
            <w:tcW w:w="3151" w:type="dxa"/>
            <w:tcBorders>
              <w:top w:val="single" w:sz="4" w:space="0" w:color="000000"/>
              <w:left w:val="nil" w:sz="6" w:space="0" w:color="auto"/>
              <w:bottom w:val="nil" w:sz="6" w:space="0" w:color="auto"/>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2239"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239,514.96</w:t>
            </w:r>
          </w:p>
        </w:tc>
        <w:tc>
          <w:tcPr>
            <w:tcW w:w="2239"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1,377,725.88</w:t>
            </w:r>
          </w:p>
        </w:tc>
        <w:tc>
          <w:tcPr>
            <w:tcW w:w="2239" w:type="dxa"/>
            <w:vMerge w:val="restart"/>
            <w:tcBorders>
              <w:top w:val="single" w:sz="4" w:space="0" w:color="000000"/>
              <w:left w:val="single" w:sz="6" w:space="0" w:color="000000"/>
              <w:right w:val="nil" w:sz="6" w:space="0" w:color="auto"/>
            </w:tcBorders>
          </w:tcPr>
          <w:p>
            <w:pPr/>
          </w:p>
        </w:tc>
      </w:tr>
      <w:tr>
        <w:trPr>
          <w:trHeight w:val="460" w:hRule="exact"/>
        </w:trPr>
        <w:tc>
          <w:tcPr>
            <w:tcW w:w="3151" w:type="dxa"/>
            <w:tcBorders>
              <w:top w:val="nil" w:sz="6" w:space="0" w:color="auto"/>
              <w:left w:val="nil" w:sz="6" w:space="0" w:color="auto"/>
              <w:bottom w:val="nil" w:sz="6" w:space="0" w:color="auto"/>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2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93"/>
              <w:jc w:val="right"/>
              <w:rPr>
                <w:rFonts w:ascii="Times New Roman" w:hAnsi="Times New Roman" w:cs="Times New Roman" w:eastAsia="Times New Roman" w:hint="default"/>
                <w:sz w:val="21"/>
                <w:szCs w:val="21"/>
              </w:rPr>
            </w:pPr>
            <w:r>
              <w:rPr>
                <w:rFonts w:ascii="Times New Roman"/>
                <w:spacing w:val="-1"/>
                <w:sz w:val="21"/>
              </w:rPr>
              <w:t>23,365,043.65</w:t>
            </w:r>
          </w:p>
        </w:tc>
        <w:tc>
          <w:tcPr>
            <w:tcW w:w="22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93"/>
              <w:jc w:val="right"/>
              <w:rPr>
                <w:rFonts w:ascii="Times New Roman" w:hAnsi="Times New Roman" w:cs="Times New Roman" w:eastAsia="Times New Roman" w:hint="default"/>
                <w:sz w:val="21"/>
                <w:szCs w:val="21"/>
              </w:rPr>
            </w:pPr>
            <w:r>
              <w:rPr>
                <w:rFonts w:ascii="Times New Roman"/>
                <w:spacing w:val="-1"/>
                <w:sz w:val="21"/>
              </w:rPr>
              <w:t>33,793,565.60</w:t>
            </w:r>
          </w:p>
        </w:tc>
        <w:tc>
          <w:tcPr>
            <w:tcW w:w="2239" w:type="dxa"/>
            <w:vMerge/>
            <w:tcBorders>
              <w:left w:val="single" w:sz="6" w:space="0" w:color="000000"/>
              <w:right w:val="nil" w:sz="6" w:space="0" w:color="auto"/>
            </w:tcBorders>
          </w:tcPr>
          <w:p>
            <w:pPr/>
          </w:p>
        </w:tc>
      </w:tr>
      <w:tr>
        <w:trPr>
          <w:trHeight w:val="460" w:hRule="exact"/>
        </w:trPr>
        <w:tc>
          <w:tcPr>
            <w:tcW w:w="3151" w:type="dxa"/>
            <w:tcBorders>
              <w:top w:val="nil" w:sz="6" w:space="0" w:color="auto"/>
              <w:left w:val="nil" w:sz="6" w:space="0" w:color="auto"/>
              <w:bottom w:val="nil" w:sz="6" w:space="0" w:color="auto"/>
              <w:right w:val="single" w:sz="6"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22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right="93"/>
              <w:jc w:val="right"/>
              <w:rPr>
                <w:rFonts w:ascii="Times New Roman" w:hAnsi="Times New Roman" w:cs="Times New Roman" w:eastAsia="Times New Roman" w:hint="default"/>
                <w:sz w:val="21"/>
                <w:szCs w:val="21"/>
              </w:rPr>
            </w:pPr>
            <w:r>
              <w:rPr>
                <w:rFonts w:ascii="Times New Roman"/>
                <w:spacing w:val="-1"/>
                <w:sz w:val="21"/>
              </w:rPr>
              <w:t>41,695,016.74</w:t>
            </w:r>
          </w:p>
        </w:tc>
        <w:tc>
          <w:tcPr>
            <w:tcW w:w="2239"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right="93"/>
              <w:jc w:val="right"/>
              <w:rPr>
                <w:rFonts w:ascii="Times New Roman" w:hAnsi="Times New Roman" w:cs="Times New Roman" w:eastAsia="Times New Roman" w:hint="default"/>
                <w:sz w:val="21"/>
                <w:szCs w:val="21"/>
              </w:rPr>
            </w:pPr>
            <w:r>
              <w:rPr>
                <w:rFonts w:ascii="Times New Roman"/>
                <w:spacing w:val="-1"/>
                <w:sz w:val="21"/>
              </w:rPr>
              <w:t>42,896,908.45</w:t>
            </w:r>
          </w:p>
        </w:tc>
        <w:tc>
          <w:tcPr>
            <w:tcW w:w="2239" w:type="dxa"/>
            <w:vMerge/>
            <w:tcBorders>
              <w:left w:val="single" w:sz="6" w:space="0" w:color="000000"/>
              <w:right w:val="nil" w:sz="6" w:space="0" w:color="auto"/>
            </w:tcBorders>
          </w:tcPr>
          <w:p>
            <w:pPr/>
          </w:p>
        </w:tc>
      </w:tr>
      <w:tr>
        <w:trPr>
          <w:trHeight w:val="363" w:hRule="exact"/>
        </w:trPr>
        <w:tc>
          <w:tcPr>
            <w:tcW w:w="3151" w:type="dxa"/>
            <w:tcBorders>
              <w:top w:val="nil" w:sz="6" w:space="0" w:color="auto"/>
              <w:left w:val="nil" w:sz="6" w:space="0" w:color="auto"/>
              <w:bottom w:val="single" w:sz="4"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2239"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09"/>
              <w:ind w:right="93"/>
              <w:jc w:val="right"/>
              <w:rPr>
                <w:rFonts w:ascii="Times New Roman" w:hAnsi="Times New Roman" w:cs="Times New Roman" w:eastAsia="Times New Roman" w:hint="default"/>
                <w:sz w:val="21"/>
                <w:szCs w:val="21"/>
              </w:rPr>
            </w:pPr>
            <w:r>
              <w:rPr>
                <w:rFonts w:ascii="Times New Roman"/>
                <w:spacing w:val="-1"/>
                <w:sz w:val="21"/>
              </w:rPr>
              <w:t>7,384,740.63</w:t>
            </w:r>
          </w:p>
        </w:tc>
        <w:tc>
          <w:tcPr>
            <w:tcW w:w="2239" w:type="dxa"/>
            <w:tcBorders>
              <w:top w:val="nil" w:sz="6" w:space="0" w:color="auto"/>
              <w:left w:val="single" w:sz="6" w:space="0" w:color="000000"/>
              <w:bottom w:val="single" w:sz="4" w:space="0" w:color="000000"/>
              <w:right w:val="single" w:sz="6" w:space="0" w:color="000000"/>
            </w:tcBorders>
          </w:tcPr>
          <w:p>
            <w:pPr/>
          </w:p>
        </w:tc>
        <w:tc>
          <w:tcPr>
            <w:tcW w:w="2239" w:type="dxa"/>
            <w:vMerge/>
            <w:tcBorders>
              <w:left w:val="single" w:sz="6" w:space="0" w:color="000000"/>
              <w:bottom w:val="single" w:sz="4" w:space="0" w:color="000000"/>
              <w:right w:val="nil" w:sz="6" w:space="0" w:color="auto"/>
            </w:tcBorders>
          </w:tcPr>
          <w:p>
            <w:pPr/>
          </w:p>
        </w:tc>
      </w:tr>
      <w:tr>
        <w:trPr>
          <w:trHeight w:val="480" w:hRule="exact"/>
        </w:trPr>
        <w:tc>
          <w:tcPr>
            <w:tcW w:w="3151" w:type="dxa"/>
            <w:tcBorders>
              <w:top w:val="single" w:sz="4" w:space="0" w:color="000000"/>
              <w:left w:val="nil" w:sz="6" w:space="0" w:color="auto"/>
              <w:bottom w:val="single" w:sz="12" w:space="0" w:color="000000"/>
              <w:right w:val="single" w:sz="6" w:space="0" w:color="000000"/>
            </w:tcBorders>
          </w:tcPr>
          <w:p>
            <w:pPr>
              <w:pStyle w:val="TableParagraph"/>
              <w:tabs>
                <w:tab w:pos="631" w:val="left" w:leader="none"/>
              </w:tabs>
              <w:spacing w:line="240" w:lineRule="auto" w:before="153"/>
              <w:ind w:right="113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39"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72,684,315.98</w:t>
            </w:r>
          </w:p>
        </w:tc>
        <w:tc>
          <w:tcPr>
            <w:tcW w:w="2239"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78,068,199.93</w:t>
            </w:r>
          </w:p>
        </w:tc>
        <w:tc>
          <w:tcPr>
            <w:tcW w:w="2239" w:type="dxa"/>
            <w:tcBorders>
              <w:top w:val="single" w:sz="4" w:space="0" w:color="000000"/>
              <w:left w:val="single" w:sz="6"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0"/>
          <w:szCs w:val="10"/>
        </w:rPr>
      </w:pPr>
    </w:p>
    <w:p>
      <w:pPr>
        <w:pStyle w:val="BodyText"/>
        <w:spacing w:line="240" w:lineRule="auto" w:before="36"/>
        <w:ind w:left="652" w:right="0"/>
        <w:jc w:val="left"/>
      </w:pPr>
      <w:r>
        <w:rPr/>
        <w:t>（</w:t>
      </w:r>
      <w:r>
        <w:rPr>
          <w:rFonts w:ascii="Times New Roman" w:hAnsi="Times New Roman" w:cs="Times New Roman" w:eastAsia="Times New Roman" w:hint="default"/>
        </w:rPr>
        <w:t>4</w:t>
      </w:r>
      <w:r>
        <w:rPr/>
        <w:t>）应纳税差异和可抵扣差异项目明细</w:t>
      </w:r>
    </w:p>
    <w:p>
      <w:pPr>
        <w:spacing w:line="499" w:lineRule="exact"/>
        <w:ind w:left="18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90.35pt;height:25pt;mso-position-horizontal-relative:char;mso-position-vertical-relative:line" coordorigin="0,0" coordsize="9807,500">
            <v:group style="position:absolute;left:19;top:14;width:4798;height:2" coordorigin="19,14" coordsize="4798,2">
              <v:shape style="position:absolute;left:19;top:14;width:4798;height:2" coordorigin="19,14" coordsize="4798,0" path="m19,14l4817,14e" filled="false" stroked="true" strokeweight="1.44pt" strokecolor="#000000">
                <v:path arrowok="t"/>
              </v:shape>
            </v:group>
            <v:group style="position:absolute;left:4817;top:14;width:29;height:2" coordorigin="4817,14" coordsize="29,2">
              <v:shape style="position:absolute;left:4817;top:14;width:29;height:2" coordorigin="4817,14" coordsize="29,0" path="m4817,14l4846,14e" filled="false" stroked="true" strokeweight="1.44pt" strokecolor="#000000">
                <v:path arrowok="t"/>
              </v:shape>
            </v:group>
            <v:group style="position:absolute;left:4846;top:14;width:4947;height:2" coordorigin="4846,14" coordsize="4947,2">
              <v:shape style="position:absolute;left:4846;top:14;width:4947;height:2" coordorigin="4846,14" coordsize="4947,0" path="m4846,14l9792,14e" filled="false" stroked="true" strokeweight="1.44pt" strokecolor="#000000">
                <v:path arrowok="t"/>
              </v:shape>
            </v:group>
            <v:group style="position:absolute;left:5;top:494;width:4812;height:2" coordorigin="5,494" coordsize="4812,2">
              <v:shape style="position:absolute;left:5;top:494;width:4812;height:2" coordorigin="5,494" coordsize="4812,0" path="m5,494l4817,494e" filled="false" stroked="true" strokeweight=".48pt" strokecolor="#000000">
                <v:path arrowok="t"/>
              </v:shape>
            </v:group>
            <v:group style="position:absolute;left:4824;top:29;width:2;height:461" coordorigin="4824,29" coordsize="2,461">
              <v:shape style="position:absolute;left:4824;top:29;width:2;height:461" coordorigin="4824,29" coordsize="0,461" path="m4824,29l4824,490e" filled="false" stroked="true" strokeweight=".72pt" strokecolor="#000000">
                <v:path arrowok="t"/>
              </v:shape>
            </v:group>
            <v:group style="position:absolute;left:4817;top:494;width:10;height:2" coordorigin="4817,494" coordsize="10,2">
              <v:shape style="position:absolute;left:4817;top:494;width:10;height:2" coordorigin="4817,494" coordsize="10,0" path="m4817,494l4826,494e" filled="false" stroked="true" strokeweight=".48pt" strokecolor="#000000">
                <v:path arrowok="t"/>
              </v:shape>
            </v:group>
            <v:group style="position:absolute;left:4826;top:494;width:4966;height:2" coordorigin="4826,494" coordsize="4966,2">
              <v:shape style="position:absolute;left:4826;top:494;width:4966;height:2" coordorigin="4826,494" coordsize="4966,0" path="m4826,494l9792,494e" filled="false" stroked="true" strokeweight=".48pt" strokecolor="#000000">
                <v:path arrowok="t"/>
              </v:shape>
              <v:shape style="position:absolute;left:2002;top:246;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项</w:t>
                      </w:r>
                    </w:p>
                  </w:txbxContent>
                </v:textbox>
                <w10:wrap type="none"/>
              </v:shape>
              <v:shape style="position:absolute;left:2633;top:246;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目</w:t>
                      </w:r>
                    </w:p>
                  </w:txbxContent>
                </v:textbox>
                <w10:wrap type="none"/>
              </v:shape>
              <v:shape style="position:absolute;left:6888;top:246;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金</w:t>
                      </w:r>
                    </w:p>
                  </w:txbxContent>
                </v:textbox>
                <w10:wrap type="none"/>
              </v:shape>
              <v:shape style="position:absolute;left:7519;top:246;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额</w:t>
                      </w:r>
                    </w:p>
                  </w:txbxContent>
                </v:textbox>
                <w10:wrap type="none"/>
              </v:shape>
            </v:group>
          </v:group>
        </w:pict>
      </w:r>
      <w:r>
        <w:rPr>
          <w:rFonts w:ascii="宋体" w:hAnsi="宋体" w:cs="宋体" w:eastAsia="宋体" w:hint="default"/>
          <w:position w:val="-9"/>
          <w:sz w:val="20"/>
          <w:szCs w:val="20"/>
        </w:rPr>
      </w:r>
    </w:p>
    <w:p>
      <w:pPr>
        <w:spacing w:after="0" w:line="499" w:lineRule="exact"/>
        <w:rPr>
          <w:rFonts w:ascii="宋体" w:hAnsi="宋体" w:cs="宋体" w:eastAsia="宋体" w:hint="default"/>
          <w:sz w:val="20"/>
          <w:szCs w:val="20"/>
        </w:rPr>
        <w:sectPr>
          <w:pgSz w:w="11910" w:h="16840"/>
          <w:pgMar w:header="850" w:footer="979" w:top="1200" w:bottom="1160" w:left="900" w:right="900"/>
        </w:sectPr>
      </w:pPr>
    </w:p>
    <w:p>
      <w:pPr>
        <w:spacing w:line="240" w:lineRule="auto" w:before="9"/>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4819"/>
        <w:gridCol w:w="4968"/>
      </w:tblGrid>
      <w:tr>
        <w:trPr>
          <w:trHeight w:val="502" w:hRule="exact"/>
        </w:trPr>
        <w:tc>
          <w:tcPr>
            <w:tcW w:w="4819" w:type="dxa"/>
            <w:tcBorders>
              <w:top w:val="single" w:sz="17" w:space="0" w:color="000000"/>
              <w:left w:val="nil" w:sz="6" w:space="0" w:color="auto"/>
              <w:bottom w:val="single" w:sz="4" w:space="0" w:color="000000"/>
              <w:right w:val="single" w:sz="6" w:space="0" w:color="000000"/>
            </w:tcBorders>
          </w:tcPr>
          <w:p>
            <w:pPr>
              <w:pStyle w:val="TableParagraph"/>
              <w:tabs>
                <w:tab w:pos="655" w:val="left" w:leader="none"/>
              </w:tabs>
              <w:spacing w:line="240" w:lineRule="auto" w:before="167"/>
              <w:ind w:left="2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968" w:type="dxa"/>
            <w:tcBorders>
              <w:top w:val="single" w:sz="17" w:space="0" w:color="000000"/>
              <w:left w:val="single" w:sz="6" w:space="0" w:color="000000"/>
              <w:bottom w:val="single" w:sz="4" w:space="0" w:color="000000"/>
              <w:right w:val="nil" w:sz="6" w:space="0" w:color="auto"/>
            </w:tcBorders>
          </w:tcPr>
          <w:p>
            <w:pPr>
              <w:pStyle w:val="TableParagraph"/>
              <w:tabs>
                <w:tab w:pos="631" w:val="left" w:leader="none"/>
              </w:tabs>
              <w:spacing w:line="240" w:lineRule="auto" w:before="167"/>
              <w:ind w:right="2"/>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558" w:hRule="exact"/>
        </w:trPr>
        <w:tc>
          <w:tcPr>
            <w:tcW w:w="4819" w:type="dxa"/>
            <w:tcBorders>
              <w:top w:val="single" w:sz="4" w:space="0" w:color="000000"/>
              <w:left w:val="nil" w:sz="6" w:space="0" w:color="auto"/>
              <w:bottom w:val="nil" w:sz="6" w:space="0" w:color="auto"/>
              <w:right w:val="single" w:sz="6" w:space="0" w:color="000000"/>
            </w:tcBorders>
          </w:tcPr>
          <w:p>
            <w:pPr>
              <w:pStyle w:val="TableParagraph"/>
              <w:spacing w:line="240" w:lineRule="auto" w:before="153"/>
              <w:ind w:right="1653"/>
              <w:jc w:val="right"/>
              <w:rPr>
                <w:rFonts w:ascii="宋体" w:hAnsi="宋体" w:cs="宋体" w:eastAsia="宋体" w:hint="default"/>
                <w:sz w:val="21"/>
                <w:szCs w:val="21"/>
              </w:rPr>
            </w:pPr>
            <w:r>
              <w:rPr>
                <w:rFonts w:ascii="宋体" w:hAnsi="宋体" w:cs="宋体" w:eastAsia="宋体" w:hint="default"/>
                <w:spacing w:val="-1"/>
                <w:sz w:val="21"/>
                <w:szCs w:val="21"/>
              </w:rPr>
              <w:t>可抵扣差异项目</w:t>
            </w:r>
          </w:p>
        </w:tc>
        <w:tc>
          <w:tcPr>
            <w:tcW w:w="4968" w:type="dxa"/>
            <w:tcBorders>
              <w:top w:val="single" w:sz="4" w:space="0" w:color="000000"/>
              <w:left w:val="single" w:sz="6" w:space="0" w:color="000000"/>
              <w:bottom w:val="nil" w:sz="6" w:space="0" w:color="auto"/>
              <w:right w:val="nil" w:sz="6" w:space="0" w:color="auto"/>
            </w:tcBorders>
          </w:tcPr>
          <w:p>
            <w:pPr/>
          </w:p>
        </w:tc>
      </w:tr>
      <w:tr>
        <w:trPr>
          <w:trHeight w:val="471" w:hRule="exact"/>
        </w:trPr>
        <w:tc>
          <w:tcPr>
            <w:tcW w:w="4819" w:type="dxa"/>
            <w:tcBorders>
              <w:top w:val="nil" w:sz="6" w:space="0" w:color="auto"/>
              <w:left w:val="nil" w:sz="6" w:space="0" w:color="auto"/>
              <w:bottom w:val="nil" w:sz="6" w:space="0" w:color="auto"/>
              <w:right w:val="single" w:sz="6" w:space="0" w:color="000000"/>
            </w:tcBorders>
          </w:tcPr>
          <w:p>
            <w:pPr>
              <w:pStyle w:val="TableParagraph"/>
              <w:spacing w:line="240" w:lineRule="auto" w:before="61"/>
              <w:ind w:left="4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4968" w:type="dxa"/>
            <w:tcBorders>
              <w:top w:val="nil" w:sz="6" w:space="0" w:color="auto"/>
              <w:left w:val="single" w:sz="6" w:space="0" w:color="000000"/>
              <w:bottom w:val="nil" w:sz="6" w:space="0" w:color="auto"/>
              <w:right w:val="nil" w:sz="6" w:space="0" w:color="auto"/>
            </w:tcBorders>
          </w:tcPr>
          <w:p>
            <w:pPr>
              <w:pStyle w:val="TableParagraph"/>
              <w:spacing w:line="240" w:lineRule="auto" w:before="120"/>
              <w:ind w:right="24"/>
              <w:jc w:val="right"/>
              <w:rPr>
                <w:rFonts w:ascii="Times New Roman" w:hAnsi="Times New Roman" w:cs="Times New Roman" w:eastAsia="Times New Roman" w:hint="default"/>
                <w:sz w:val="21"/>
                <w:szCs w:val="21"/>
              </w:rPr>
            </w:pPr>
            <w:r>
              <w:rPr>
                <w:rFonts w:ascii="Times New Roman"/>
                <w:spacing w:val="-1"/>
                <w:sz w:val="21"/>
              </w:rPr>
              <w:t>10,736,099.42</w:t>
            </w:r>
          </w:p>
        </w:tc>
      </w:tr>
      <w:tr>
        <w:trPr>
          <w:trHeight w:val="460" w:hRule="exact"/>
        </w:trPr>
        <w:tc>
          <w:tcPr>
            <w:tcW w:w="4819" w:type="dxa"/>
            <w:tcBorders>
              <w:top w:val="nil" w:sz="6" w:space="0" w:color="auto"/>
              <w:left w:val="nil" w:sz="6" w:space="0" w:color="auto"/>
              <w:bottom w:val="nil" w:sz="6" w:space="0" w:color="auto"/>
              <w:right w:val="single" w:sz="6" w:space="0" w:color="000000"/>
            </w:tcBorders>
          </w:tcPr>
          <w:p>
            <w:pPr>
              <w:pStyle w:val="TableParagraph"/>
              <w:spacing w:line="240" w:lineRule="auto" w:before="50"/>
              <w:ind w:left="4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968" w:type="dxa"/>
            <w:tcBorders>
              <w:top w:val="nil" w:sz="6" w:space="0" w:color="auto"/>
              <w:left w:val="single" w:sz="6" w:space="0" w:color="000000"/>
              <w:bottom w:val="nil" w:sz="6" w:space="0" w:color="auto"/>
              <w:right w:val="nil" w:sz="6" w:space="0" w:color="auto"/>
            </w:tcBorders>
          </w:tcPr>
          <w:p>
            <w:pPr>
              <w:pStyle w:val="TableParagraph"/>
              <w:spacing w:line="240" w:lineRule="auto" w:before="109"/>
              <w:ind w:right="24"/>
              <w:jc w:val="right"/>
              <w:rPr>
                <w:rFonts w:ascii="Times New Roman" w:hAnsi="Times New Roman" w:cs="Times New Roman" w:eastAsia="Times New Roman" w:hint="default"/>
                <w:sz w:val="21"/>
                <w:szCs w:val="21"/>
              </w:rPr>
            </w:pPr>
            <w:r>
              <w:rPr>
                <w:rFonts w:ascii="Times New Roman"/>
                <w:spacing w:val="-1"/>
                <w:sz w:val="21"/>
              </w:rPr>
              <w:t>1,046,977.47</w:t>
            </w:r>
          </w:p>
        </w:tc>
      </w:tr>
      <w:tr>
        <w:trPr>
          <w:trHeight w:val="455" w:hRule="exact"/>
        </w:trPr>
        <w:tc>
          <w:tcPr>
            <w:tcW w:w="4819" w:type="dxa"/>
            <w:tcBorders>
              <w:top w:val="nil" w:sz="6" w:space="0" w:color="auto"/>
              <w:left w:val="nil" w:sz="6" w:space="0" w:color="auto"/>
              <w:bottom w:val="nil" w:sz="6" w:space="0" w:color="auto"/>
              <w:right w:val="single" w:sz="6" w:space="0" w:color="000000"/>
            </w:tcBorders>
          </w:tcPr>
          <w:p>
            <w:pPr>
              <w:pStyle w:val="TableParagraph"/>
              <w:spacing w:line="240" w:lineRule="auto" w:before="49"/>
              <w:ind w:left="4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4968" w:type="dxa"/>
            <w:tcBorders>
              <w:top w:val="nil" w:sz="6" w:space="0" w:color="auto"/>
              <w:left w:val="single" w:sz="6" w:space="0" w:color="000000"/>
              <w:bottom w:val="nil" w:sz="6" w:space="0" w:color="auto"/>
              <w:right w:val="nil" w:sz="6" w:space="0" w:color="auto"/>
            </w:tcBorders>
          </w:tcPr>
          <w:p>
            <w:pPr>
              <w:pStyle w:val="TableParagraph"/>
              <w:spacing w:line="240" w:lineRule="auto" w:before="108"/>
              <w:ind w:right="24"/>
              <w:jc w:val="right"/>
              <w:rPr>
                <w:rFonts w:ascii="Times New Roman" w:hAnsi="Times New Roman" w:cs="Times New Roman" w:eastAsia="Times New Roman" w:hint="default"/>
                <w:sz w:val="21"/>
                <w:szCs w:val="21"/>
              </w:rPr>
            </w:pPr>
            <w:r>
              <w:rPr>
                <w:rFonts w:ascii="Times New Roman"/>
                <w:spacing w:val="-1"/>
                <w:sz w:val="21"/>
              </w:rPr>
              <w:t>142,196.62</w:t>
            </w:r>
          </w:p>
        </w:tc>
      </w:tr>
      <w:tr>
        <w:trPr>
          <w:trHeight w:val="450" w:hRule="exact"/>
        </w:trPr>
        <w:tc>
          <w:tcPr>
            <w:tcW w:w="4819"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45" w:right="0"/>
              <w:jc w:val="left"/>
              <w:rPr>
                <w:rFonts w:ascii="宋体" w:hAnsi="宋体" w:cs="宋体" w:eastAsia="宋体" w:hint="default"/>
                <w:sz w:val="21"/>
                <w:szCs w:val="21"/>
              </w:rPr>
            </w:pPr>
            <w:r>
              <w:rPr>
                <w:rFonts w:ascii="宋体" w:hAnsi="宋体" w:cs="宋体" w:eastAsia="宋体" w:hint="default"/>
                <w:sz w:val="21"/>
                <w:szCs w:val="21"/>
              </w:rPr>
              <w:t>内部销售形成的存货</w:t>
            </w:r>
          </w:p>
        </w:tc>
        <w:tc>
          <w:tcPr>
            <w:tcW w:w="4968" w:type="dxa"/>
            <w:tcBorders>
              <w:top w:val="nil" w:sz="6" w:space="0" w:color="auto"/>
              <w:left w:val="single" w:sz="6" w:space="0" w:color="000000"/>
              <w:bottom w:val="nil" w:sz="6" w:space="0" w:color="auto"/>
              <w:right w:val="nil" w:sz="6" w:space="0" w:color="auto"/>
            </w:tcBorders>
          </w:tcPr>
          <w:p>
            <w:pPr>
              <w:pStyle w:val="TableParagraph"/>
              <w:spacing w:line="240" w:lineRule="auto" w:before="104"/>
              <w:ind w:right="24"/>
              <w:jc w:val="right"/>
              <w:rPr>
                <w:rFonts w:ascii="Times New Roman" w:hAnsi="Times New Roman" w:cs="Times New Roman" w:eastAsia="Times New Roman" w:hint="default"/>
                <w:sz w:val="21"/>
                <w:szCs w:val="21"/>
              </w:rPr>
            </w:pPr>
            <w:r>
              <w:rPr>
                <w:rFonts w:ascii="Times New Roman"/>
                <w:spacing w:val="-1"/>
                <w:sz w:val="21"/>
              </w:rPr>
              <w:t>139,615.38</w:t>
            </w:r>
          </w:p>
        </w:tc>
      </w:tr>
      <w:tr>
        <w:trPr>
          <w:trHeight w:val="450" w:hRule="exact"/>
        </w:trPr>
        <w:tc>
          <w:tcPr>
            <w:tcW w:w="4819" w:type="dxa"/>
            <w:tcBorders>
              <w:top w:val="nil" w:sz="6" w:space="0" w:color="auto"/>
              <w:left w:val="nil" w:sz="6" w:space="0" w:color="auto"/>
              <w:bottom w:val="nil" w:sz="6" w:space="0" w:color="auto"/>
              <w:right w:val="single" w:sz="6" w:space="0" w:color="000000"/>
            </w:tcBorders>
          </w:tcPr>
          <w:p>
            <w:pPr>
              <w:pStyle w:val="TableParagraph"/>
              <w:tabs>
                <w:tab w:pos="655" w:val="left" w:leader="none"/>
              </w:tabs>
              <w:spacing w:line="240" w:lineRule="auto" w:before="44"/>
              <w:ind w:left="24"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4968" w:type="dxa"/>
            <w:tcBorders>
              <w:top w:val="nil" w:sz="6" w:space="0" w:color="auto"/>
              <w:left w:val="single" w:sz="6" w:space="0" w:color="000000"/>
              <w:bottom w:val="nil" w:sz="6" w:space="0" w:color="auto"/>
              <w:right w:val="nil" w:sz="6" w:space="0" w:color="auto"/>
            </w:tcBorders>
          </w:tcPr>
          <w:p>
            <w:pPr>
              <w:pStyle w:val="TableParagraph"/>
              <w:spacing w:line="240" w:lineRule="auto" w:before="103"/>
              <w:ind w:right="24"/>
              <w:jc w:val="right"/>
              <w:rPr>
                <w:rFonts w:ascii="Times New Roman" w:hAnsi="Times New Roman" w:cs="Times New Roman" w:eastAsia="Times New Roman" w:hint="default"/>
                <w:sz w:val="21"/>
                <w:szCs w:val="21"/>
              </w:rPr>
            </w:pPr>
            <w:r>
              <w:rPr>
                <w:rFonts w:ascii="Times New Roman"/>
                <w:spacing w:val="-1"/>
                <w:sz w:val="21"/>
              </w:rPr>
              <w:t>12,064,888.89</w:t>
            </w:r>
          </w:p>
        </w:tc>
      </w:tr>
      <w:tr>
        <w:trPr>
          <w:trHeight w:val="439" w:hRule="exact"/>
        </w:trPr>
        <w:tc>
          <w:tcPr>
            <w:tcW w:w="4819"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right="1653"/>
              <w:jc w:val="right"/>
              <w:rPr>
                <w:rFonts w:ascii="宋体" w:hAnsi="宋体" w:cs="宋体" w:eastAsia="宋体" w:hint="default"/>
                <w:sz w:val="21"/>
                <w:szCs w:val="21"/>
              </w:rPr>
            </w:pPr>
            <w:r>
              <w:rPr>
                <w:rFonts w:ascii="宋体" w:hAnsi="宋体" w:cs="宋体" w:eastAsia="宋体" w:hint="default"/>
                <w:spacing w:val="-1"/>
                <w:sz w:val="21"/>
                <w:szCs w:val="21"/>
              </w:rPr>
              <w:t>应纳税差异项目</w:t>
            </w:r>
          </w:p>
        </w:tc>
        <w:tc>
          <w:tcPr>
            <w:tcW w:w="4968" w:type="dxa"/>
            <w:tcBorders>
              <w:top w:val="nil" w:sz="6" w:space="0" w:color="auto"/>
              <w:left w:val="single" w:sz="6" w:space="0" w:color="000000"/>
              <w:bottom w:val="nil" w:sz="6" w:space="0" w:color="auto"/>
              <w:right w:val="nil" w:sz="6" w:space="0" w:color="auto"/>
            </w:tcBorders>
          </w:tcPr>
          <w:p>
            <w:pPr/>
          </w:p>
        </w:tc>
      </w:tr>
      <w:tr>
        <w:trPr>
          <w:trHeight w:val="461" w:hRule="exact"/>
        </w:trPr>
        <w:tc>
          <w:tcPr>
            <w:tcW w:w="4819" w:type="dxa"/>
            <w:tcBorders>
              <w:top w:val="nil" w:sz="6" w:space="0" w:color="auto"/>
              <w:left w:val="nil" w:sz="6" w:space="0" w:color="auto"/>
              <w:bottom w:val="nil" w:sz="6" w:space="0" w:color="auto"/>
              <w:right w:val="single" w:sz="6" w:space="0" w:color="000000"/>
            </w:tcBorders>
          </w:tcPr>
          <w:p>
            <w:pPr>
              <w:pStyle w:val="TableParagraph"/>
              <w:spacing w:line="240" w:lineRule="auto" w:before="55"/>
              <w:ind w:left="45" w:right="0"/>
              <w:jc w:val="left"/>
              <w:rPr>
                <w:rFonts w:ascii="宋体" w:hAnsi="宋体" w:cs="宋体" w:eastAsia="宋体" w:hint="default"/>
                <w:sz w:val="21"/>
                <w:szCs w:val="21"/>
              </w:rPr>
            </w:pPr>
            <w:r>
              <w:rPr>
                <w:rFonts w:ascii="宋体" w:hAnsi="宋体" w:cs="宋体" w:eastAsia="宋体" w:hint="default"/>
                <w:sz w:val="21"/>
                <w:szCs w:val="21"/>
              </w:rPr>
              <w:t>境外股东分配股利</w:t>
            </w:r>
          </w:p>
        </w:tc>
        <w:tc>
          <w:tcPr>
            <w:tcW w:w="4968" w:type="dxa"/>
            <w:tcBorders>
              <w:top w:val="nil" w:sz="6" w:space="0" w:color="auto"/>
              <w:left w:val="single" w:sz="6" w:space="0" w:color="000000"/>
              <w:bottom w:val="nil" w:sz="6" w:space="0" w:color="auto"/>
              <w:right w:val="nil" w:sz="6" w:space="0" w:color="auto"/>
            </w:tcBorders>
          </w:tcPr>
          <w:p>
            <w:pPr>
              <w:pStyle w:val="TableParagraph"/>
              <w:spacing w:line="240" w:lineRule="auto" w:before="114"/>
              <w:ind w:right="24"/>
              <w:jc w:val="right"/>
              <w:rPr>
                <w:rFonts w:ascii="Times New Roman" w:hAnsi="Times New Roman" w:cs="Times New Roman" w:eastAsia="Times New Roman" w:hint="default"/>
                <w:sz w:val="21"/>
                <w:szCs w:val="21"/>
              </w:rPr>
            </w:pPr>
            <w:r>
              <w:rPr>
                <w:rFonts w:ascii="Times New Roman"/>
                <w:spacing w:val="-1"/>
                <w:sz w:val="21"/>
              </w:rPr>
              <w:t>22,674,241.40</w:t>
            </w:r>
          </w:p>
        </w:tc>
      </w:tr>
      <w:tr>
        <w:trPr>
          <w:trHeight w:val="368" w:hRule="exact"/>
        </w:trPr>
        <w:tc>
          <w:tcPr>
            <w:tcW w:w="4819" w:type="dxa"/>
            <w:tcBorders>
              <w:top w:val="nil" w:sz="6" w:space="0" w:color="auto"/>
              <w:left w:val="nil" w:sz="6" w:space="0" w:color="auto"/>
              <w:bottom w:val="single" w:sz="12" w:space="0" w:color="000000"/>
              <w:right w:val="single" w:sz="6" w:space="0" w:color="000000"/>
            </w:tcBorders>
          </w:tcPr>
          <w:p>
            <w:pPr>
              <w:pStyle w:val="TableParagraph"/>
              <w:tabs>
                <w:tab w:pos="655" w:val="left" w:leader="none"/>
              </w:tabs>
              <w:spacing w:line="240" w:lineRule="auto" w:before="45"/>
              <w:ind w:left="24"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4968" w:type="dxa"/>
            <w:tcBorders>
              <w:top w:val="nil" w:sz="6" w:space="0" w:color="auto"/>
              <w:left w:val="single" w:sz="6" w:space="0" w:color="000000"/>
              <w:bottom w:val="single" w:sz="12" w:space="0" w:color="000000"/>
              <w:right w:val="nil" w:sz="6" w:space="0" w:color="auto"/>
            </w:tcBorders>
          </w:tcPr>
          <w:p>
            <w:pPr>
              <w:pStyle w:val="TableParagraph"/>
              <w:spacing w:line="240" w:lineRule="auto" w:before="104"/>
              <w:ind w:right="24"/>
              <w:jc w:val="right"/>
              <w:rPr>
                <w:rFonts w:ascii="Times New Roman" w:hAnsi="Times New Roman" w:cs="Times New Roman" w:eastAsia="Times New Roman" w:hint="default"/>
                <w:sz w:val="21"/>
                <w:szCs w:val="21"/>
              </w:rPr>
            </w:pPr>
            <w:r>
              <w:rPr>
                <w:rFonts w:ascii="Times New Roman"/>
                <w:spacing w:val="-1"/>
                <w:sz w:val="21"/>
              </w:rPr>
              <w:t>22,674,241.40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before="36"/>
        <w:ind w:left="672" w:right="0"/>
        <w:jc w:val="left"/>
      </w:pPr>
      <w:r>
        <w:rPr>
          <w:rFonts w:ascii="Times New Roman" w:hAnsi="Times New Roman" w:cs="Times New Roman" w:eastAsia="Times New Roman" w:hint="default"/>
        </w:rPr>
        <w:t>18</w:t>
      </w:r>
      <w:r>
        <w:rPr/>
        <w:t>．资产减值准备</w:t>
      </w:r>
    </w:p>
    <w:tbl>
      <w:tblPr>
        <w:tblW w:w="0" w:type="auto"/>
        <w:jc w:val="left"/>
        <w:tblInd w:w="130" w:type="dxa"/>
        <w:tblLayout w:type="fixed"/>
        <w:tblCellMar>
          <w:top w:w="0" w:type="dxa"/>
          <w:left w:w="0" w:type="dxa"/>
          <w:bottom w:w="0" w:type="dxa"/>
          <w:right w:w="0" w:type="dxa"/>
        </w:tblCellMar>
        <w:tblLook w:val="01E0"/>
      </w:tblPr>
      <w:tblGrid>
        <w:gridCol w:w="2592"/>
        <w:gridCol w:w="1486"/>
        <w:gridCol w:w="1294"/>
        <w:gridCol w:w="1284"/>
        <w:gridCol w:w="626"/>
        <w:gridCol w:w="1277"/>
        <w:gridCol w:w="1310"/>
      </w:tblGrid>
      <w:tr>
        <w:trPr>
          <w:trHeight w:val="470" w:hRule="exact"/>
        </w:trPr>
        <w:tc>
          <w:tcPr>
            <w:tcW w:w="259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tabs>
                <w:tab w:pos="564" w:val="left" w:leader="none"/>
              </w:tabs>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86"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94"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1284"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90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10"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61" w:hRule="exact"/>
        </w:trPr>
        <w:tc>
          <w:tcPr>
            <w:tcW w:w="2592" w:type="dxa"/>
            <w:vMerge/>
            <w:tcBorders>
              <w:left w:val="nil" w:sz="6" w:space="0" w:color="auto"/>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284" w:type="dxa"/>
            <w:vMerge/>
            <w:tcBorders>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310" w:type="dxa"/>
            <w:vMerge/>
            <w:tcBorders>
              <w:left w:val="single" w:sz="4" w:space="0" w:color="000000"/>
              <w:bottom w:val="single" w:sz="4" w:space="0" w:color="000000"/>
              <w:right w:val="nil" w:sz="6" w:space="0" w:color="auto"/>
            </w:tcBorders>
          </w:tcPr>
          <w:p>
            <w:pPr/>
          </w:p>
        </w:tc>
      </w:tr>
      <w:tr>
        <w:trPr>
          <w:trHeight w:val="570" w:hRule="exact"/>
        </w:trPr>
        <w:tc>
          <w:tcPr>
            <w:tcW w:w="2592" w:type="dxa"/>
            <w:tcBorders>
              <w:top w:val="single" w:sz="4" w:space="0" w:color="000000"/>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4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13,024,735.02</w:t>
            </w:r>
          </w:p>
        </w:tc>
        <w:tc>
          <w:tcPr>
            <w:tcW w:w="1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7,451,323.86</w:t>
            </w:r>
            <w:r>
              <w:rPr>
                <w:rFonts w:ascii="Times New Roman"/>
                <w:sz w:val="18"/>
              </w:rPr>
            </w:r>
          </w:p>
        </w:tc>
        <w:tc>
          <w:tcPr>
            <w:tcW w:w="1284" w:type="dxa"/>
            <w:vMerge w:val="restart"/>
            <w:tcBorders>
              <w:top w:val="single" w:sz="4" w:space="0" w:color="000000"/>
              <w:left w:val="single" w:sz="4" w:space="0" w:color="000000"/>
              <w:right w:val="single" w:sz="4" w:space="0" w:color="000000"/>
            </w:tcBorders>
          </w:tcPr>
          <w:p>
            <w:pPr/>
          </w:p>
        </w:tc>
        <w:tc>
          <w:tcPr>
            <w:tcW w:w="626"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1,745,669.35</w:t>
            </w:r>
            <w:r>
              <w:rPr>
                <w:rFonts w:ascii="Times New Roman"/>
                <w:sz w:val="18"/>
              </w:rPr>
            </w:r>
          </w:p>
        </w:tc>
        <w:tc>
          <w:tcPr>
            <w:tcW w:w="1310"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18,730,389.53</w:t>
            </w:r>
            <w:r>
              <w:rPr>
                <w:rFonts w:ascii="Times New Roman"/>
                <w:sz w:val="18"/>
              </w:rPr>
            </w:r>
          </w:p>
        </w:tc>
      </w:tr>
      <w:tr>
        <w:trPr>
          <w:trHeight w:val="450" w:hRule="exact"/>
        </w:trPr>
        <w:tc>
          <w:tcPr>
            <w:tcW w:w="2592" w:type="dxa"/>
            <w:tcBorders>
              <w:top w:val="nil" w:sz="6" w:space="0" w:color="auto"/>
              <w:left w:val="nil" w:sz="6" w:space="0" w:color="auto"/>
              <w:bottom w:val="nil" w:sz="6" w:space="0" w:color="auto"/>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．应收账款坏账准备</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11,663,772.39</w:t>
            </w:r>
            <w:r>
              <w:rPr>
                <w:rFonts w:ascii="Times New Roman"/>
                <w:sz w:val="18"/>
              </w:rPr>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5,606,155.34</w:t>
            </w:r>
            <w:r>
              <w:rPr>
                <w:rFonts w:ascii="Times New Roman"/>
                <w:sz w:val="18"/>
              </w:rPr>
            </w:r>
          </w:p>
        </w:tc>
        <w:tc>
          <w:tcPr>
            <w:tcW w:w="1284" w:type="dxa"/>
            <w:vMerge/>
            <w:tcBorders>
              <w:left w:val="single" w:sz="4" w:space="0" w:color="000000"/>
              <w:right w:val="single" w:sz="4" w:space="0" w:color="000000"/>
            </w:tcBorders>
          </w:tcPr>
          <w:p>
            <w:pPr/>
          </w:p>
        </w:tc>
        <w:tc>
          <w:tcPr>
            <w:tcW w:w="62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pacing w:val="-1"/>
                <w:sz w:val="18"/>
              </w:rPr>
              <w:t>1,745,343.15</w:t>
            </w:r>
            <w:r>
              <w:rPr>
                <w:rFonts w:ascii="Times New Roman"/>
                <w:sz w:val="18"/>
              </w:rPr>
            </w:r>
          </w:p>
        </w:tc>
        <w:tc>
          <w:tcPr>
            <w:tcW w:w="1310"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6"/>
              <w:jc w:val="right"/>
              <w:rPr>
                <w:rFonts w:ascii="Times New Roman" w:hAnsi="Times New Roman" w:cs="Times New Roman" w:eastAsia="Times New Roman" w:hint="default"/>
                <w:sz w:val="18"/>
                <w:szCs w:val="18"/>
              </w:rPr>
            </w:pPr>
            <w:r>
              <w:rPr>
                <w:rFonts w:ascii="Times New Roman"/>
                <w:spacing w:val="-1"/>
                <w:sz w:val="18"/>
              </w:rPr>
              <w:t>15,524,584.58</w:t>
            </w:r>
            <w:r>
              <w:rPr>
                <w:rFonts w:ascii="Times New Roman"/>
                <w:sz w:val="18"/>
              </w:rPr>
            </w:r>
          </w:p>
        </w:tc>
      </w:tr>
      <w:tr>
        <w:trPr>
          <w:trHeight w:val="450" w:hRule="exact"/>
        </w:trPr>
        <w:tc>
          <w:tcPr>
            <w:tcW w:w="2592"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．其他应收账款坏账准备</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1,360,962.63</w:t>
            </w:r>
            <w:r>
              <w:rPr>
                <w:rFonts w:ascii="Times New Roman"/>
                <w:sz w:val="18"/>
              </w:rPr>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1,845,168.52</w:t>
            </w:r>
            <w:r>
              <w:rPr>
                <w:rFonts w:ascii="Times New Roman"/>
                <w:sz w:val="18"/>
              </w:rPr>
            </w:r>
          </w:p>
        </w:tc>
        <w:tc>
          <w:tcPr>
            <w:tcW w:w="1284" w:type="dxa"/>
            <w:vMerge/>
            <w:tcBorders>
              <w:left w:val="single" w:sz="4" w:space="0" w:color="000000"/>
              <w:right w:val="single" w:sz="4" w:space="0" w:color="000000"/>
            </w:tcBorders>
          </w:tcPr>
          <w:p>
            <w:pPr/>
          </w:p>
        </w:tc>
        <w:tc>
          <w:tcPr>
            <w:tcW w:w="62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326.20</w:t>
            </w:r>
          </w:p>
        </w:tc>
        <w:tc>
          <w:tcPr>
            <w:tcW w:w="1310"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3,205,804.95</w:t>
            </w:r>
            <w:r>
              <w:rPr>
                <w:rFonts w:ascii="Times New Roman"/>
                <w:sz w:val="18"/>
              </w:rPr>
            </w:r>
          </w:p>
        </w:tc>
      </w:tr>
      <w:tr>
        <w:trPr>
          <w:trHeight w:val="450" w:hRule="exact"/>
        </w:trPr>
        <w:tc>
          <w:tcPr>
            <w:tcW w:w="2592" w:type="dxa"/>
            <w:tcBorders>
              <w:top w:val="nil" w:sz="6" w:space="0" w:color="auto"/>
              <w:left w:val="nil" w:sz="6" w:space="0" w:color="auto"/>
              <w:bottom w:val="nil" w:sz="6" w:space="0" w:color="auto"/>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z w:val="18"/>
              </w:rPr>
              <w:t>317,633.59</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pacing w:val="-1"/>
                <w:sz w:val="18"/>
              </w:rPr>
              <w:t>47,590.78</w:t>
            </w:r>
          </w:p>
        </w:tc>
        <w:tc>
          <w:tcPr>
            <w:tcW w:w="1284" w:type="dxa"/>
            <w:vMerge/>
            <w:tcBorders>
              <w:left w:val="single" w:sz="4" w:space="0" w:color="000000"/>
              <w:right w:val="single" w:sz="4" w:space="0" w:color="000000"/>
            </w:tcBorders>
          </w:tcPr>
          <w:p>
            <w:pPr/>
          </w:p>
        </w:tc>
        <w:tc>
          <w:tcPr>
            <w:tcW w:w="62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310"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03"/>
              <w:jc w:val="right"/>
              <w:rPr>
                <w:rFonts w:ascii="Times New Roman" w:hAnsi="Times New Roman" w:cs="Times New Roman" w:eastAsia="Times New Roman" w:hint="default"/>
                <w:sz w:val="18"/>
                <w:szCs w:val="18"/>
              </w:rPr>
            </w:pPr>
            <w:r>
              <w:rPr>
                <w:rFonts w:ascii="Times New Roman"/>
                <w:sz w:val="18"/>
              </w:rPr>
              <w:t>365,224.37</w:t>
            </w:r>
          </w:p>
        </w:tc>
      </w:tr>
      <w:tr>
        <w:trPr>
          <w:trHeight w:val="338" w:hRule="exact"/>
        </w:trPr>
        <w:tc>
          <w:tcPr>
            <w:tcW w:w="2592" w:type="dxa"/>
            <w:tcBorders>
              <w:top w:val="nil" w:sz="6" w:space="0" w:color="auto"/>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三、固定资产减值准备</w:t>
            </w:r>
          </w:p>
        </w:tc>
        <w:tc>
          <w:tcPr>
            <w:tcW w:w="14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1,271,148.60</w:t>
            </w:r>
            <w:r>
              <w:rPr>
                <w:rFonts w:ascii="Times New Roman"/>
                <w:sz w:val="18"/>
              </w:rPr>
            </w:r>
          </w:p>
        </w:tc>
        <w:tc>
          <w:tcPr>
            <w:tcW w:w="1294" w:type="dxa"/>
            <w:tcBorders>
              <w:top w:val="nil" w:sz="6" w:space="0" w:color="auto"/>
              <w:left w:val="single" w:sz="4" w:space="0" w:color="000000"/>
              <w:bottom w:val="single" w:sz="4" w:space="0" w:color="000000"/>
              <w:right w:val="single" w:sz="4" w:space="0" w:color="000000"/>
            </w:tcBorders>
          </w:tcPr>
          <w:p>
            <w:pPr/>
          </w:p>
        </w:tc>
        <w:tc>
          <w:tcPr>
            <w:tcW w:w="1284" w:type="dxa"/>
            <w:vMerge/>
            <w:tcBorders>
              <w:left w:val="single" w:sz="4" w:space="0" w:color="000000"/>
              <w:bottom w:val="single" w:sz="4" w:space="0" w:color="000000"/>
              <w:right w:val="single" w:sz="4" w:space="0" w:color="000000"/>
            </w:tcBorders>
          </w:tcPr>
          <w:p>
            <w:pPr/>
          </w:p>
        </w:tc>
        <w:tc>
          <w:tcPr>
            <w:tcW w:w="626"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310" w:type="dxa"/>
            <w:tcBorders>
              <w:top w:val="nil" w:sz="6" w:space="0" w:color="auto"/>
              <w:left w:val="single" w:sz="4" w:space="0" w:color="000000"/>
              <w:bottom w:val="single" w:sz="4" w:space="0" w:color="000000"/>
              <w:right w:val="nil" w:sz="6" w:space="0" w:color="auto"/>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1,271,148.60</w:t>
            </w:r>
            <w:r>
              <w:rPr>
                <w:rFonts w:ascii="Times New Roman"/>
                <w:sz w:val="18"/>
              </w:rPr>
            </w:r>
          </w:p>
        </w:tc>
      </w:tr>
      <w:tr>
        <w:trPr>
          <w:trHeight w:val="470" w:hRule="exact"/>
        </w:trPr>
        <w:tc>
          <w:tcPr>
            <w:tcW w:w="25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564" w:val="left" w:leader="none"/>
              </w:tabs>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14,613,517.21</w:t>
            </w:r>
          </w:p>
        </w:tc>
        <w:tc>
          <w:tcPr>
            <w:tcW w:w="1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7,498,914.64</w:t>
            </w:r>
            <w:r>
              <w:rPr>
                <w:rFonts w:ascii="Times New Roman"/>
                <w:sz w:val="18"/>
              </w:rPr>
            </w:r>
          </w:p>
        </w:tc>
        <w:tc>
          <w:tcPr>
            <w:tcW w:w="1284" w:type="dxa"/>
            <w:tcBorders>
              <w:top w:val="single" w:sz="4" w:space="0" w:color="000000"/>
              <w:left w:val="single" w:sz="4" w:space="0" w:color="000000"/>
              <w:bottom w:val="single" w:sz="12" w:space="0" w:color="000000"/>
              <w:right w:val="single" w:sz="4" w:space="0" w:color="000000"/>
            </w:tcBorders>
          </w:tcPr>
          <w:p>
            <w:pPr/>
          </w:p>
        </w:tc>
        <w:tc>
          <w:tcPr>
            <w:tcW w:w="626" w:type="dxa"/>
            <w:tcBorders>
              <w:top w:val="single" w:sz="4" w:space="0" w:color="000000"/>
              <w:left w:val="single" w:sz="4" w:space="0" w:color="000000"/>
              <w:bottom w:val="single" w:sz="12" w:space="0" w:color="000000"/>
              <w:right w:val="single" w:sz="4" w:space="0" w:color="000000"/>
            </w:tcBorders>
          </w:tcPr>
          <w:p>
            <w:pP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1,745,669.35</w:t>
            </w:r>
            <w:r>
              <w:rPr>
                <w:rFonts w:ascii="Times New Roman"/>
                <w:sz w:val="18"/>
              </w:rPr>
            </w:r>
          </w:p>
        </w:tc>
        <w:tc>
          <w:tcPr>
            <w:tcW w:w="13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20,366,762.50</w:t>
            </w:r>
          </w:p>
        </w:tc>
      </w:tr>
    </w:tbl>
    <w:p>
      <w:pPr>
        <w:spacing w:line="240" w:lineRule="auto" w:before="6"/>
        <w:rPr>
          <w:rFonts w:ascii="宋体" w:hAnsi="宋体" w:cs="宋体" w:eastAsia="宋体" w:hint="default"/>
          <w:sz w:val="9"/>
          <w:szCs w:val="9"/>
        </w:rPr>
      </w:pPr>
    </w:p>
    <w:p>
      <w:pPr>
        <w:pStyle w:val="BodyText"/>
        <w:spacing w:line="240" w:lineRule="auto" w:before="36"/>
        <w:ind w:left="672" w:right="0"/>
        <w:jc w:val="left"/>
      </w:pPr>
      <w:r>
        <w:rPr/>
        <w:t>注：应收账款坏账准备本期转销原因和明细详见附注（五）</w:t>
      </w:r>
      <w:r>
        <w:rPr>
          <w:rFonts w:ascii="Times New Roman" w:hAnsi="Times New Roman" w:cs="Times New Roman" w:eastAsia="Times New Roman" w:hint="default"/>
        </w:rPr>
        <w:t>.4</w:t>
      </w:r>
      <w:r>
        <w:rPr/>
        <w:t>。</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BodyText"/>
        <w:spacing w:line="240" w:lineRule="auto"/>
        <w:ind w:left="673" w:right="0"/>
        <w:jc w:val="left"/>
      </w:pPr>
      <w:r>
        <w:rPr>
          <w:rFonts w:ascii="Times New Roman" w:hAnsi="Times New Roman" w:cs="Times New Roman" w:eastAsia="Times New Roman" w:hint="default"/>
        </w:rPr>
        <w:t>19</w:t>
      </w:r>
      <w:r>
        <w:rPr/>
        <w:t>．应付账款</w:t>
      </w:r>
    </w:p>
    <w:tbl>
      <w:tblPr>
        <w:tblW w:w="0" w:type="auto"/>
        <w:jc w:val="left"/>
        <w:tblInd w:w="116" w:type="dxa"/>
        <w:tblLayout w:type="fixed"/>
        <w:tblCellMar>
          <w:top w:w="0" w:type="dxa"/>
          <w:left w:w="0" w:type="dxa"/>
          <w:bottom w:w="0" w:type="dxa"/>
          <w:right w:w="0" w:type="dxa"/>
        </w:tblCellMar>
        <w:tblLook w:val="01E0"/>
      </w:tblPr>
      <w:tblGrid>
        <w:gridCol w:w="3506"/>
        <w:gridCol w:w="3156"/>
        <w:gridCol w:w="3206"/>
      </w:tblGrid>
      <w:tr>
        <w:trPr>
          <w:trHeight w:val="470" w:hRule="exact"/>
        </w:trPr>
        <w:tc>
          <w:tcPr>
            <w:tcW w:w="3506" w:type="dxa"/>
            <w:tcBorders>
              <w:top w:val="single" w:sz="12" w:space="0" w:color="000000"/>
              <w:left w:val="nil" w:sz="6" w:space="0" w:color="auto"/>
              <w:bottom w:val="single" w:sz="4" w:space="0" w:color="000000"/>
              <w:right w:val="single" w:sz="4" w:space="0" w:color="000000"/>
            </w:tcBorders>
          </w:tcPr>
          <w:p>
            <w:pPr>
              <w:pStyle w:val="TableParagraph"/>
              <w:tabs>
                <w:tab w:pos="651" w:val="left" w:leader="none"/>
              </w:tabs>
              <w:spacing w:line="240" w:lineRule="auto" w:before="143"/>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2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0" w:hRule="exact"/>
        </w:trPr>
        <w:tc>
          <w:tcPr>
            <w:tcW w:w="3506"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3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38" w:right="0"/>
              <w:jc w:val="left"/>
              <w:rPr>
                <w:rFonts w:ascii="Times New Roman" w:hAnsi="Times New Roman" w:cs="Times New Roman" w:eastAsia="Times New Roman" w:hint="default"/>
                <w:sz w:val="21"/>
                <w:szCs w:val="21"/>
              </w:rPr>
            </w:pPr>
            <w:r>
              <w:rPr>
                <w:rFonts w:ascii="Times New Roman"/>
                <w:sz w:val="21"/>
              </w:rPr>
              <w:t>25,306,875.21</w:t>
            </w:r>
          </w:p>
        </w:tc>
        <w:tc>
          <w:tcPr>
            <w:tcW w:w="32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86" w:right="0"/>
              <w:jc w:val="left"/>
              <w:rPr>
                <w:rFonts w:ascii="Times New Roman" w:hAnsi="Times New Roman" w:cs="Times New Roman" w:eastAsia="Times New Roman" w:hint="default"/>
                <w:sz w:val="21"/>
                <w:szCs w:val="21"/>
              </w:rPr>
            </w:pPr>
            <w:r>
              <w:rPr>
                <w:rFonts w:ascii="Times New Roman"/>
                <w:sz w:val="21"/>
              </w:rPr>
              <w:t>23,529,820.03</w:t>
            </w:r>
          </w:p>
        </w:tc>
      </w:tr>
    </w:tbl>
    <w:p>
      <w:pPr>
        <w:spacing w:line="240" w:lineRule="auto" w:before="6"/>
        <w:rPr>
          <w:rFonts w:ascii="宋体" w:hAnsi="宋体" w:cs="宋体" w:eastAsia="宋体" w:hint="default"/>
          <w:sz w:val="9"/>
          <w:szCs w:val="9"/>
        </w:rPr>
      </w:pPr>
    </w:p>
    <w:p>
      <w:pPr>
        <w:pStyle w:val="BodyText"/>
        <w:spacing w:line="240" w:lineRule="auto" w:before="36"/>
        <w:ind w:left="672" w:right="0"/>
        <w:jc w:val="left"/>
      </w:pPr>
      <w:r>
        <w:rPr/>
        <w:t>（</w:t>
      </w:r>
      <w:r>
        <w:rPr>
          <w:rFonts w:ascii="Times New Roman" w:hAnsi="Times New Roman" w:cs="Times New Roman" w:eastAsia="Times New Roman" w:hint="default"/>
        </w:rPr>
        <w:t>1</w:t>
      </w:r>
      <w:r>
        <w:rPr/>
        <w:t>）应付账款按币种列示如下：</w:t>
      </w:r>
    </w:p>
    <w:tbl>
      <w:tblPr>
        <w:tblW w:w="0" w:type="auto"/>
        <w:jc w:val="left"/>
        <w:tblInd w:w="144" w:type="dxa"/>
        <w:tblLayout w:type="fixed"/>
        <w:tblCellMar>
          <w:top w:w="0" w:type="dxa"/>
          <w:left w:w="0" w:type="dxa"/>
          <w:bottom w:w="0" w:type="dxa"/>
          <w:right w:w="0" w:type="dxa"/>
        </w:tblCellMar>
        <w:tblLook w:val="01E0"/>
      </w:tblPr>
      <w:tblGrid>
        <w:gridCol w:w="1963"/>
        <w:gridCol w:w="1973"/>
        <w:gridCol w:w="1973"/>
        <w:gridCol w:w="1973"/>
        <w:gridCol w:w="1973"/>
      </w:tblGrid>
      <w:tr>
        <w:trPr>
          <w:trHeight w:val="475" w:hRule="exact"/>
        </w:trPr>
        <w:tc>
          <w:tcPr>
            <w:tcW w:w="1963" w:type="dxa"/>
            <w:vMerge w:val="restart"/>
            <w:tcBorders>
              <w:top w:val="single" w:sz="12" w:space="0" w:color="000000"/>
              <w:left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tabs>
                <w:tab w:pos="1192" w:val="left" w:leader="none"/>
              </w:tabs>
              <w:spacing w:line="240" w:lineRule="auto"/>
              <w:ind w:left="56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1"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80" w:hRule="exact"/>
        </w:trPr>
        <w:tc>
          <w:tcPr>
            <w:tcW w:w="1963" w:type="dxa"/>
            <w:vMerge/>
            <w:tcBorders>
              <w:left w:val="nil" w:sz="6" w:space="0" w:color="auto"/>
              <w:bottom w:val="single" w:sz="8" w:space="0" w:color="000000"/>
              <w:right w:val="single" w:sz="8" w:space="0" w:color="000000"/>
            </w:tcBorders>
          </w:tcPr>
          <w:p>
            <w:pP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9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3"/>
              <w:ind w:right="7"/>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57" w:hRule="exact"/>
        </w:trPr>
        <w:tc>
          <w:tcPr>
            <w:tcW w:w="1963" w:type="dxa"/>
            <w:tcBorders>
              <w:top w:val="single" w:sz="8" w:space="0" w:color="000000"/>
              <w:left w:val="nil" w:sz="6" w:space="0" w:color="auto"/>
              <w:bottom w:val="nil" w:sz="6" w:space="0" w:color="auto"/>
              <w:right w:val="single" w:sz="8" w:space="0" w:color="000000"/>
            </w:tcBorders>
          </w:tcPr>
          <w:p>
            <w:pPr>
              <w:pStyle w:val="TableParagraph"/>
              <w:spacing w:line="240" w:lineRule="auto" w:before="143"/>
              <w:ind w:left="1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RMB</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22,652,047.12</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8" w:space="0" w:color="000000"/>
              <w:left w:val="single" w:sz="8"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22,652,047.12</w:t>
            </w:r>
          </w:p>
        </w:tc>
      </w:tr>
      <w:tr>
        <w:trPr>
          <w:trHeight w:val="450" w:hRule="exact"/>
        </w:trPr>
        <w:tc>
          <w:tcPr>
            <w:tcW w:w="1963" w:type="dxa"/>
            <w:tcBorders>
              <w:top w:val="nil" w:sz="6" w:space="0" w:color="auto"/>
              <w:left w:val="nil" w:sz="6" w:space="0" w:color="auto"/>
              <w:bottom w:val="nil" w:sz="6" w:space="0" w:color="auto"/>
              <w:right w:val="single" w:sz="8" w:space="0" w:color="000000"/>
            </w:tcBorders>
          </w:tcPr>
          <w:p>
            <w:pPr>
              <w:pStyle w:val="TableParagraph"/>
              <w:spacing w:line="240" w:lineRule="auto" w:before="44"/>
              <w:ind w:left="1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03"/>
              <w:ind w:right="3"/>
              <w:jc w:val="center"/>
              <w:rPr>
                <w:rFonts w:ascii="Times New Roman" w:hAnsi="Times New Roman" w:cs="Times New Roman" w:eastAsia="Times New Roman" w:hint="default"/>
                <w:sz w:val="21"/>
                <w:szCs w:val="21"/>
              </w:rPr>
            </w:pPr>
            <w:r>
              <w:rPr>
                <w:rFonts w:ascii="Times New Roman"/>
                <w:spacing w:val="-3"/>
                <w:sz w:val="21"/>
              </w:rPr>
              <w:t>HKD</w:t>
            </w:r>
            <w:r>
              <w:rPr>
                <w:rFonts w:ascii="Times New Roman"/>
                <w:sz w:val="21"/>
              </w:rPr>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03"/>
              <w:ind w:right="96"/>
              <w:jc w:val="right"/>
              <w:rPr>
                <w:rFonts w:ascii="Times New Roman" w:hAnsi="Times New Roman" w:cs="Times New Roman" w:eastAsia="Times New Roman" w:hint="default"/>
                <w:sz w:val="21"/>
                <w:szCs w:val="21"/>
              </w:rPr>
            </w:pPr>
            <w:r>
              <w:rPr>
                <w:rFonts w:ascii="Times New Roman"/>
                <w:spacing w:val="-1"/>
                <w:sz w:val="21"/>
              </w:rPr>
              <w:t>3,127,510.20</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03"/>
              <w:ind w:right="95"/>
              <w:jc w:val="right"/>
              <w:rPr>
                <w:rFonts w:ascii="Times New Roman" w:hAnsi="Times New Roman" w:cs="Times New Roman" w:eastAsia="Times New Roman" w:hint="default"/>
                <w:sz w:val="21"/>
                <w:szCs w:val="21"/>
              </w:rPr>
            </w:pPr>
            <w:r>
              <w:rPr>
                <w:rFonts w:ascii="Times New Roman"/>
                <w:sz w:val="21"/>
              </w:rPr>
              <w:t>0.8107</w:t>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21"/>
                <w:szCs w:val="21"/>
              </w:rPr>
            </w:pPr>
            <w:r>
              <w:rPr>
                <w:rFonts w:ascii="Times New Roman"/>
                <w:spacing w:val="-1"/>
                <w:sz w:val="21"/>
              </w:rPr>
              <w:t>2,535,472.52</w:t>
            </w:r>
          </w:p>
        </w:tc>
      </w:tr>
      <w:tr>
        <w:trPr>
          <w:trHeight w:val="351" w:hRule="exact"/>
        </w:trPr>
        <w:tc>
          <w:tcPr>
            <w:tcW w:w="1963" w:type="dxa"/>
            <w:tcBorders>
              <w:top w:val="nil" w:sz="6" w:space="0" w:color="auto"/>
              <w:left w:val="nil" w:sz="6" w:space="0" w:color="auto"/>
              <w:bottom w:val="nil" w:sz="6" w:space="0" w:color="auto"/>
              <w:right w:val="single" w:sz="8" w:space="0" w:color="000000"/>
            </w:tcBorders>
          </w:tcPr>
          <w:p>
            <w:pPr>
              <w:pStyle w:val="TableParagraph"/>
              <w:spacing w:line="240" w:lineRule="auto" w:before="45"/>
              <w:ind w:left="1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MYC</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04"/>
              <w:ind w:right="96"/>
              <w:jc w:val="right"/>
              <w:rPr>
                <w:rFonts w:ascii="Times New Roman" w:hAnsi="Times New Roman" w:cs="Times New Roman" w:eastAsia="Times New Roman" w:hint="default"/>
                <w:sz w:val="21"/>
                <w:szCs w:val="21"/>
              </w:rPr>
            </w:pPr>
            <w:r>
              <w:rPr>
                <w:rFonts w:ascii="Times New Roman"/>
                <w:spacing w:val="-1"/>
                <w:sz w:val="21"/>
              </w:rPr>
              <w:t>21,831.00</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04"/>
              <w:ind w:right="95"/>
              <w:jc w:val="right"/>
              <w:rPr>
                <w:rFonts w:ascii="Times New Roman" w:hAnsi="Times New Roman" w:cs="Times New Roman" w:eastAsia="Times New Roman" w:hint="default"/>
                <w:sz w:val="21"/>
                <w:szCs w:val="21"/>
              </w:rPr>
            </w:pPr>
            <w:r>
              <w:rPr>
                <w:rFonts w:ascii="Times New Roman"/>
                <w:sz w:val="21"/>
              </w:rPr>
              <w:t>4.8475</w:t>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104"/>
              <w:ind w:right="103"/>
              <w:jc w:val="right"/>
              <w:rPr>
                <w:rFonts w:ascii="Times New Roman" w:hAnsi="Times New Roman" w:cs="Times New Roman" w:eastAsia="Times New Roman" w:hint="default"/>
                <w:sz w:val="21"/>
                <w:szCs w:val="21"/>
              </w:rPr>
            </w:pPr>
            <w:r>
              <w:rPr>
                <w:rFonts w:ascii="Times New Roman"/>
                <w:spacing w:val="-1"/>
                <w:sz w:val="21"/>
              </w:rPr>
              <w:t>105,825.34</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200" w:bottom="1160" w:left="880" w:right="880"/>
        </w:sectPr>
      </w:pP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978"/>
        <w:gridCol w:w="1973"/>
        <w:gridCol w:w="1973"/>
        <w:gridCol w:w="1973"/>
        <w:gridCol w:w="1973"/>
      </w:tblGrid>
      <w:tr>
        <w:trPr>
          <w:trHeight w:val="466" w:hRule="exact"/>
        </w:trPr>
        <w:tc>
          <w:tcPr>
            <w:tcW w:w="1978" w:type="dxa"/>
            <w:tcBorders>
              <w:top w:val="single" w:sz="6" w:space="0" w:color="000000"/>
              <w:left w:val="nil" w:sz="6" w:space="0" w:color="auto"/>
              <w:bottom w:val="single" w:sz="8" w:space="0" w:color="000000"/>
              <w:right w:val="single" w:sz="8"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SGD</w:t>
            </w:r>
          </w:p>
        </w:tc>
        <w:tc>
          <w:tcPr>
            <w:tcW w:w="1973"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18" w:right="0"/>
              <w:jc w:val="left"/>
              <w:rPr>
                <w:rFonts w:ascii="Times New Roman" w:hAnsi="Times New Roman" w:cs="Times New Roman" w:eastAsia="Times New Roman" w:hint="default"/>
                <w:sz w:val="21"/>
                <w:szCs w:val="21"/>
              </w:rPr>
            </w:pPr>
            <w:r>
              <w:rPr>
                <w:rFonts w:ascii="Times New Roman"/>
                <w:sz w:val="21"/>
              </w:rPr>
              <w:t>6,827.00</w:t>
            </w:r>
          </w:p>
        </w:tc>
        <w:tc>
          <w:tcPr>
            <w:tcW w:w="1973"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76" w:right="0"/>
              <w:jc w:val="left"/>
              <w:rPr>
                <w:rFonts w:ascii="Times New Roman" w:hAnsi="Times New Roman" w:cs="Times New Roman" w:eastAsia="Times New Roman" w:hint="default"/>
                <w:sz w:val="21"/>
                <w:szCs w:val="21"/>
              </w:rPr>
            </w:pPr>
            <w:r>
              <w:rPr>
                <w:rFonts w:ascii="Times New Roman"/>
                <w:sz w:val="21"/>
              </w:rPr>
              <w:t>1.9819</w:t>
            </w:r>
          </w:p>
        </w:tc>
        <w:tc>
          <w:tcPr>
            <w:tcW w:w="1973" w:type="dxa"/>
            <w:tcBorders>
              <w:top w:val="single" w:sz="6"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13,530.23</w:t>
            </w:r>
          </w:p>
        </w:tc>
      </w:tr>
      <w:tr>
        <w:trPr>
          <w:trHeight w:val="478" w:hRule="exact"/>
        </w:trPr>
        <w:tc>
          <w:tcPr>
            <w:tcW w:w="1978" w:type="dxa"/>
            <w:tcBorders>
              <w:top w:val="single" w:sz="8" w:space="0" w:color="000000"/>
              <w:left w:val="nil" w:sz="6" w:space="0" w:color="auto"/>
              <w:bottom w:val="single" w:sz="12" w:space="0" w:color="000000"/>
              <w:right w:val="single" w:sz="8" w:space="0" w:color="000000"/>
            </w:tcBorders>
          </w:tcPr>
          <w:p>
            <w:pPr>
              <w:pStyle w:val="TableParagraph"/>
              <w:tabs>
                <w:tab w:pos="1207" w:val="left" w:leader="none"/>
              </w:tabs>
              <w:spacing w:line="240" w:lineRule="auto" w:before="146"/>
              <w:ind w:left="5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25,306,875.21</w:t>
            </w:r>
          </w:p>
        </w:tc>
      </w:tr>
    </w:tbl>
    <w:p>
      <w:pPr>
        <w:spacing w:line="240" w:lineRule="auto" w:before="4"/>
        <w:rPr>
          <w:rFonts w:ascii="宋体" w:hAnsi="宋体" w:cs="宋体" w:eastAsia="宋体" w:hint="default"/>
          <w:sz w:val="18"/>
          <w:szCs w:val="18"/>
        </w:rPr>
      </w:pPr>
    </w:p>
    <w:tbl>
      <w:tblPr>
        <w:tblW w:w="0" w:type="auto"/>
        <w:jc w:val="left"/>
        <w:tblInd w:w="130" w:type="dxa"/>
        <w:tblLayout w:type="fixed"/>
        <w:tblCellMar>
          <w:top w:w="0" w:type="dxa"/>
          <w:left w:w="0" w:type="dxa"/>
          <w:bottom w:w="0" w:type="dxa"/>
          <w:right w:w="0" w:type="dxa"/>
        </w:tblCellMar>
        <w:tblLook w:val="01E0"/>
      </w:tblPr>
      <w:tblGrid>
        <w:gridCol w:w="1978"/>
        <w:gridCol w:w="1973"/>
        <w:gridCol w:w="1973"/>
        <w:gridCol w:w="1973"/>
        <w:gridCol w:w="1973"/>
      </w:tblGrid>
      <w:tr>
        <w:trPr>
          <w:trHeight w:val="497" w:hRule="exact"/>
        </w:trPr>
        <w:tc>
          <w:tcPr>
            <w:tcW w:w="1978"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1207" w:val="left" w:leader="none"/>
              </w:tabs>
              <w:spacing w:line="240" w:lineRule="auto" w:before="153"/>
              <w:ind w:left="57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1"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65"/>
              <w:ind w:right="4"/>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9" w:hRule="exact"/>
        </w:trPr>
        <w:tc>
          <w:tcPr>
            <w:tcW w:w="1978" w:type="dxa"/>
            <w:vMerge/>
            <w:tcBorders>
              <w:left w:val="nil" w:sz="6" w:space="0" w:color="auto"/>
              <w:bottom w:val="single" w:sz="8" w:space="0" w:color="000000"/>
              <w:right w:val="single" w:sz="8" w:space="0" w:color="000000"/>
            </w:tcBorders>
          </w:tcPr>
          <w:p>
            <w:pP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left="765"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9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2"/>
              <w:ind w:right="7"/>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87" w:hRule="exact"/>
        </w:trPr>
        <w:tc>
          <w:tcPr>
            <w:tcW w:w="1978" w:type="dxa"/>
            <w:tcBorders>
              <w:top w:val="single" w:sz="8" w:space="0" w:color="000000"/>
              <w:left w:val="nil" w:sz="6" w:space="0" w:color="auto"/>
              <w:bottom w:val="nil" w:sz="6" w:space="0" w:color="auto"/>
              <w:right w:val="single" w:sz="8"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RMB</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18,450,989.31</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8" w:space="0" w:color="000000"/>
              <w:left w:val="single" w:sz="8"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18,450,989.31</w:t>
            </w:r>
          </w:p>
        </w:tc>
      </w:tr>
      <w:tr>
        <w:trPr>
          <w:trHeight w:val="470" w:hRule="exact"/>
        </w:trPr>
        <w:tc>
          <w:tcPr>
            <w:tcW w:w="1978" w:type="dxa"/>
            <w:tcBorders>
              <w:top w:val="nil" w:sz="6" w:space="0" w:color="auto"/>
              <w:left w:val="nil" w:sz="6" w:space="0" w:color="auto"/>
              <w:bottom w:val="nil" w:sz="6" w:space="0" w:color="auto"/>
              <w:right w:val="single" w:sz="8"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4"/>
              <w:ind w:right="3"/>
              <w:jc w:val="center"/>
              <w:rPr>
                <w:rFonts w:ascii="Times New Roman" w:hAnsi="Times New Roman" w:cs="Times New Roman" w:eastAsia="Times New Roman" w:hint="default"/>
                <w:sz w:val="21"/>
                <w:szCs w:val="21"/>
              </w:rPr>
            </w:pPr>
            <w:r>
              <w:rPr>
                <w:rFonts w:ascii="Times New Roman"/>
                <w:spacing w:val="-3"/>
                <w:sz w:val="21"/>
              </w:rPr>
              <w:t>HKD</w:t>
            </w:r>
            <w:r>
              <w:rPr>
                <w:rFonts w:ascii="Times New Roman"/>
                <w:sz w:val="21"/>
              </w:rPr>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4"/>
              <w:ind w:right="93"/>
              <w:jc w:val="right"/>
              <w:rPr>
                <w:rFonts w:ascii="Times New Roman" w:hAnsi="Times New Roman" w:cs="Times New Roman" w:eastAsia="Times New Roman" w:hint="default"/>
                <w:sz w:val="21"/>
                <w:szCs w:val="21"/>
              </w:rPr>
            </w:pPr>
            <w:r>
              <w:rPr>
                <w:rFonts w:ascii="Times New Roman"/>
                <w:spacing w:val="-1"/>
                <w:sz w:val="21"/>
              </w:rPr>
              <w:t>5,964,060.54</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4"/>
              <w:ind w:right="93"/>
              <w:jc w:val="right"/>
              <w:rPr>
                <w:rFonts w:ascii="Times New Roman" w:hAnsi="Times New Roman" w:cs="Times New Roman" w:eastAsia="Times New Roman" w:hint="default"/>
                <w:sz w:val="21"/>
                <w:szCs w:val="21"/>
              </w:rPr>
            </w:pPr>
            <w:r>
              <w:rPr>
                <w:rFonts w:ascii="Times New Roman"/>
                <w:sz w:val="21"/>
              </w:rPr>
              <w:t>0.8509</w:t>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21"/>
                <w:szCs w:val="21"/>
              </w:rPr>
            </w:pPr>
            <w:r>
              <w:rPr>
                <w:rFonts w:ascii="Times New Roman"/>
                <w:spacing w:val="-2"/>
                <w:sz w:val="21"/>
              </w:rPr>
              <w:t>5,074,819.11</w:t>
            </w:r>
          </w:p>
        </w:tc>
      </w:tr>
      <w:tr>
        <w:trPr>
          <w:trHeight w:val="470" w:hRule="exact"/>
        </w:trPr>
        <w:tc>
          <w:tcPr>
            <w:tcW w:w="1978" w:type="dxa"/>
            <w:tcBorders>
              <w:top w:val="nil" w:sz="6" w:space="0" w:color="auto"/>
              <w:left w:val="nil" w:sz="6" w:space="0" w:color="auto"/>
              <w:bottom w:val="nil" w:sz="6" w:space="0" w:color="auto"/>
              <w:right w:val="single" w:sz="8"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sz w:val="21"/>
              </w:rPr>
              <w:t>MYC</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4"/>
              <w:ind w:right="95"/>
              <w:jc w:val="right"/>
              <w:rPr>
                <w:rFonts w:ascii="Times New Roman" w:hAnsi="Times New Roman" w:cs="Times New Roman" w:eastAsia="Times New Roman" w:hint="default"/>
                <w:sz w:val="21"/>
                <w:szCs w:val="21"/>
              </w:rPr>
            </w:pPr>
            <w:r>
              <w:rPr>
                <w:rFonts w:ascii="Times New Roman"/>
                <w:sz w:val="21"/>
              </w:rPr>
              <w:t>136.96</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4"/>
              <w:ind w:right="93"/>
              <w:jc w:val="right"/>
              <w:rPr>
                <w:rFonts w:ascii="Times New Roman" w:hAnsi="Times New Roman" w:cs="Times New Roman" w:eastAsia="Times New Roman" w:hint="default"/>
                <w:sz w:val="21"/>
                <w:szCs w:val="21"/>
              </w:rPr>
            </w:pPr>
            <w:r>
              <w:rPr>
                <w:rFonts w:ascii="Times New Roman"/>
                <w:spacing w:val="-1"/>
                <w:sz w:val="21"/>
              </w:rPr>
              <w:t>5.12785</w:t>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21"/>
                <w:szCs w:val="21"/>
              </w:rPr>
            </w:pPr>
            <w:r>
              <w:rPr>
                <w:rFonts w:ascii="Times New Roman"/>
                <w:sz w:val="21"/>
              </w:rPr>
              <w:t>702.31</w:t>
            </w:r>
          </w:p>
        </w:tc>
      </w:tr>
      <w:tr>
        <w:trPr>
          <w:trHeight w:val="373" w:hRule="exact"/>
        </w:trPr>
        <w:tc>
          <w:tcPr>
            <w:tcW w:w="1978" w:type="dxa"/>
            <w:tcBorders>
              <w:top w:val="nil" w:sz="6" w:space="0" w:color="auto"/>
              <w:left w:val="nil" w:sz="6" w:space="0" w:color="auto"/>
              <w:bottom w:val="single" w:sz="8" w:space="0" w:color="000000"/>
              <w:right w:val="single" w:sz="8"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sz w:val="21"/>
              </w:rPr>
              <w:t>SGD</w:t>
            </w:r>
          </w:p>
        </w:tc>
        <w:tc>
          <w:tcPr>
            <w:tcW w:w="197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4"/>
              <w:ind w:right="93"/>
              <w:jc w:val="right"/>
              <w:rPr>
                <w:rFonts w:ascii="Times New Roman" w:hAnsi="Times New Roman" w:cs="Times New Roman" w:eastAsia="Times New Roman" w:hint="default"/>
                <w:sz w:val="21"/>
                <w:szCs w:val="21"/>
              </w:rPr>
            </w:pPr>
            <w:r>
              <w:rPr>
                <w:rFonts w:ascii="Times New Roman"/>
                <w:spacing w:val="-1"/>
                <w:sz w:val="21"/>
              </w:rPr>
              <w:t>1,539.21</w:t>
            </w:r>
          </w:p>
        </w:tc>
        <w:tc>
          <w:tcPr>
            <w:tcW w:w="197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4"/>
              <w:ind w:right="95"/>
              <w:jc w:val="right"/>
              <w:rPr>
                <w:rFonts w:ascii="Times New Roman" w:hAnsi="Times New Roman" w:cs="Times New Roman" w:eastAsia="Times New Roman" w:hint="default"/>
                <w:sz w:val="21"/>
                <w:szCs w:val="21"/>
              </w:rPr>
            </w:pPr>
            <w:r>
              <w:rPr>
                <w:rFonts w:ascii="Times New Roman"/>
                <w:sz w:val="21"/>
              </w:rPr>
              <w:t>2.1500</w:t>
            </w:r>
          </w:p>
        </w:tc>
        <w:tc>
          <w:tcPr>
            <w:tcW w:w="1973" w:type="dxa"/>
            <w:tcBorders>
              <w:top w:val="nil" w:sz="6" w:space="0" w:color="auto"/>
              <w:left w:val="single" w:sz="8" w:space="0" w:color="000000"/>
              <w:bottom w:val="single" w:sz="8" w:space="0" w:color="000000"/>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21"/>
                <w:szCs w:val="21"/>
              </w:rPr>
            </w:pPr>
            <w:r>
              <w:rPr>
                <w:rFonts w:ascii="Times New Roman"/>
                <w:spacing w:val="-1"/>
                <w:sz w:val="21"/>
              </w:rPr>
              <w:t>3,309.30</w:t>
            </w:r>
          </w:p>
        </w:tc>
      </w:tr>
      <w:tr>
        <w:trPr>
          <w:trHeight w:val="494" w:hRule="exact"/>
        </w:trPr>
        <w:tc>
          <w:tcPr>
            <w:tcW w:w="1978" w:type="dxa"/>
            <w:tcBorders>
              <w:top w:val="single" w:sz="8" w:space="0" w:color="000000"/>
              <w:left w:val="nil" w:sz="6" w:space="0" w:color="auto"/>
              <w:bottom w:val="single" w:sz="12" w:space="0" w:color="000000"/>
              <w:right w:val="single" w:sz="8" w:space="0" w:color="000000"/>
            </w:tcBorders>
          </w:tcPr>
          <w:p>
            <w:pPr>
              <w:pStyle w:val="TableParagraph"/>
              <w:tabs>
                <w:tab w:pos="1207" w:val="left" w:leader="none"/>
              </w:tabs>
              <w:spacing w:line="240" w:lineRule="auto" w:before="162"/>
              <w:ind w:left="5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6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23,529,820.03</w:t>
            </w:r>
          </w:p>
        </w:tc>
      </w:tr>
    </w:tbl>
    <w:p>
      <w:pPr>
        <w:spacing w:line="240" w:lineRule="auto" w:before="9"/>
        <w:rPr>
          <w:rFonts w:ascii="宋体" w:hAnsi="宋体" w:cs="宋体" w:eastAsia="宋体" w:hint="default"/>
          <w:sz w:val="9"/>
          <w:szCs w:val="9"/>
        </w:rPr>
      </w:pPr>
    </w:p>
    <w:p>
      <w:pPr>
        <w:pStyle w:val="BodyText"/>
        <w:spacing w:line="240" w:lineRule="auto" w:before="36"/>
        <w:ind w:left="672" w:right="0"/>
        <w:jc w:val="left"/>
      </w:pPr>
      <w:r>
        <w:rPr/>
        <w:t>（</w:t>
      </w:r>
      <w:r>
        <w:rPr>
          <w:rFonts w:ascii="Times New Roman" w:hAnsi="Times New Roman" w:cs="Times New Roman" w:eastAsia="Times New Roman" w:hint="default"/>
        </w:rPr>
        <w:t>2</w:t>
      </w:r>
      <w:r>
        <w:rPr/>
        <w:t>）应付账款年末余额中无持公司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）以上表决权股份股东单位的款项。</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pStyle w:val="BodyText"/>
        <w:spacing w:line="240" w:lineRule="auto"/>
        <w:ind w:left="672" w:right="0"/>
        <w:jc w:val="left"/>
      </w:pPr>
      <w:r>
        <w:rPr>
          <w:rFonts w:ascii="Times New Roman" w:hAnsi="Times New Roman" w:cs="Times New Roman" w:eastAsia="Times New Roman" w:hint="default"/>
        </w:rPr>
        <w:t>20</w:t>
      </w:r>
      <w:r>
        <w:rPr/>
        <w:t>．预收账款</w:t>
      </w:r>
    </w:p>
    <w:tbl>
      <w:tblPr>
        <w:tblW w:w="0" w:type="auto"/>
        <w:jc w:val="left"/>
        <w:tblInd w:w="116" w:type="dxa"/>
        <w:tblLayout w:type="fixed"/>
        <w:tblCellMar>
          <w:top w:w="0" w:type="dxa"/>
          <w:left w:w="0" w:type="dxa"/>
          <w:bottom w:w="0" w:type="dxa"/>
          <w:right w:w="0" w:type="dxa"/>
        </w:tblCellMar>
        <w:tblLook w:val="01E0"/>
      </w:tblPr>
      <w:tblGrid>
        <w:gridCol w:w="3506"/>
        <w:gridCol w:w="3156"/>
        <w:gridCol w:w="3206"/>
      </w:tblGrid>
      <w:tr>
        <w:trPr>
          <w:trHeight w:val="490" w:hRule="exact"/>
        </w:trPr>
        <w:tc>
          <w:tcPr>
            <w:tcW w:w="3506"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6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3"/>
              <w:ind w:left="5"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2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3"/>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2" w:hRule="exact"/>
        </w:trPr>
        <w:tc>
          <w:tcPr>
            <w:tcW w:w="3506"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3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38" w:right="0"/>
              <w:jc w:val="left"/>
              <w:rPr>
                <w:rFonts w:ascii="Times New Roman" w:hAnsi="Times New Roman" w:cs="Times New Roman" w:eastAsia="Times New Roman" w:hint="default"/>
                <w:sz w:val="21"/>
                <w:szCs w:val="21"/>
              </w:rPr>
            </w:pPr>
            <w:r>
              <w:rPr>
                <w:rFonts w:ascii="Times New Roman"/>
                <w:sz w:val="21"/>
              </w:rPr>
              <w:t>74,561,353.91</w:t>
            </w:r>
          </w:p>
        </w:tc>
        <w:tc>
          <w:tcPr>
            <w:tcW w:w="32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86" w:right="0"/>
              <w:jc w:val="left"/>
              <w:rPr>
                <w:rFonts w:ascii="Times New Roman" w:hAnsi="Times New Roman" w:cs="Times New Roman" w:eastAsia="Times New Roman" w:hint="default"/>
                <w:sz w:val="21"/>
                <w:szCs w:val="21"/>
              </w:rPr>
            </w:pPr>
            <w:r>
              <w:rPr>
                <w:rFonts w:ascii="Times New Roman"/>
                <w:sz w:val="21"/>
              </w:rPr>
              <w:t>72,314,623.29</w:t>
            </w:r>
          </w:p>
        </w:tc>
      </w:tr>
    </w:tbl>
    <w:p>
      <w:pPr>
        <w:spacing w:line="240" w:lineRule="auto" w:before="13"/>
        <w:rPr>
          <w:rFonts w:ascii="宋体" w:hAnsi="宋体" w:cs="宋体" w:eastAsia="宋体" w:hint="default"/>
          <w:sz w:val="10"/>
          <w:szCs w:val="10"/>
        </w:rPr>
      </w:pPr>
    </w:p>
    <w:p>
      <w:pPr>
        <w:pStyle w:val="BodyText"/>
        <w:spacing w:line="240" w:lineRule="auto" w:before="36"/>
        <w:ind w:left="672" w:right="0"/>
        <w:jc w:val="left"/>
      </w:pPr>
      <w:r>
        <w:rPr/>
        <w:t>（</w:t>
      </w:r>
      <w:r>
        <w:rPr>
          <w:rFonts w:ascii="Times New Roman" w:hAnsi="Times New Roman" w:cs="Times New Roman" w:eastAsia="Times New Roman" w:hint="default"/>
        </w:rPr>
        <w:t>1</w:t>
      </w:r>
      <w:r>
        <w:rPr/>
        <w:t>）预收账款按币种列示如下：</w:t>
      </w:r>
    </w:p>
    <w:tbl>
      <w:tblPr>
        <w:tblW w:w="0" w:type="auto"/>
        <w:jc w:val="left"/>
        <w:tblInd w:w="130" w:type="dxa"/>
        <w:tblLayout w:type="fixed"/>
        <w:tblCellMar>
          <w:top w:w="0" w:type="dxa"/>
          <w:left w:w="0" w:type="dxa"/>
          <w:bottom w:w="0" w:type="dxa"/>
          <w:right w:w="0" w:type="dxa"/>
        </w:tblCellMar>
        <w:tblLook w:val="01E0"/>
      </w:tblPr>
      <w:tblGrid>
        <w:gridCol w:w="1978"/>
        <w:gridCol w:w="1973"/>
        <w:gridCol w:w="1973"/>
        <w:gridCol w:w="1973"/>
        <w:gridCol w:w="1973"/>
      </w:tblGrid>
      <w:tr>
        <w:trPr>
          <w:trHeight w:val="494" w:hRule="exact"/>
        </w:trPr>
        <w:tc>
          <w:tcPr>
            <w:tcW w:w="1978"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1207" w:val="left" w:leader="none"/>
              </w:tabs>
              <w:spacing w:line="240" w:lineRule="auto" w:before="150"/>
              <w:ind w:left="57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1"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62"/>
              <w:ind w:right="5"/>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99" w:hRule="exact"/>
        </w:trPr>
        <w:tc>
          <w:tcPr>
            <w:tcW w:w="1978" w:type="dxa"/>
            <w:vMerge/>
            <w:tcBorders>
              <w:left w:val="nil" w:sz="6" w:space="0" w:color="auto"/>
              <w:bottom w:val="single" w:sz="8" w:space="0" w:color="000000"/>
              <w:right w:val="single" w:sz="8" w:space="0" w:color="000000"/>
            </w:tcBorders>
          </w:tcPr>
          <w:p>
            <w:pP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left="765"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9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2"/>
              <w:ind w:right="7"/>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89" w:hRule="exact"/>
        </w:trPr>
        <w:tc>
          <w:tcPr>
            <w:tcW w:w="1978" w:type="dxa"/>
            <w:tcBorders>
              <w:top w:val="single" w:sz="8" w:space="0" w:color="000000"/>
              <w:left w:val="nil" w:sz="6" w:space="0" w:color="auto"/>
              <w:bottom w:val="nil" w:sz="6" w:space="0" w:color="auto"/>
              <w:right w:val="single" w:sz="8" w:space="0" w:color="000000"/>
            </w:tcBorders>
          </w:tcPr>
          <w:p>
            <w:pPr>
              <w:pStyle w:val="TableParagraph"/>
              <w:spacing w:line="240" w:lineRule="auto" w:before="165"/>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RMB</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69,933,472.36</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8" w:space="0" w:color="000000"/>
              <w:left w:val="single" w:sz="8"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69,933,472.36</w:t>
            </w:r>
          </w:p>
        </w:tc>
      </w:tr>
      <w:tr>
        <w:trPr>
          <w:trHeight w:val="469" w:hRule="exact"/>
        </w:trPr>
        <w:tc>
          <w:tcPr>
            <w:tcW w:w="1978" w:type="dxa"/>
            <w:tcBorders>
              <w:top w:val="nil" w:sz="6" w:space="0" w:color="auto"/>
              <w:left w:val="nil" w:sz="6" w:space="0" w:color="auto"/>
              <w:bottom w:val="nil" w:sz="6" w:space="0" w:color="auto"/>
              <w:right w:val="single" w:sz="8"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3"/>
              <w:ind w:right="3"/>
              <w:jc w:val="center"/>
              <w:rPr>
                <w:rFonts w:ascii="Times New Roman" w:hAnsi="Times New Roman" w:cs="Times New Roman" w:eastAsia="Times New Roman" w:hint="default"/>
                <w:sz w:val="21"/>
                <w:szCs w:val="21"/>
              </w:rPr>
            </w:pPr>
            <w:r>
              <w:rPr>
                <w:rFonts w:ascii="Times New Roman"/>
                <w:spacing w:val="-3"/>
                <w:sz w:val="21"/>
              </w:rPr>
              <w:t>HKD</w:t>
            </w:r>
            <w:r>
              <w:rPr>
                <w:rFonts w:ascii="Times New Roman"/>
                <w:sz w:val="21"/>
              </w:rPr>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3"/>
              <w:ind w:right="96"/>
              <w:jc w:val="right"/>
              <w:rPr>
                <w:rFonts w:ascii="Times New Roman" w:hAnsi="Times New Roman" w:cs="Times New Roman" w:eastAsia="Times New Roman" w:hint="default"/>
                <w:sz w:val="21"/>
                <w:szCs w:val="21"/>
              </w:rPr>
            </w:pPr>
            <w:r>
              <w:rPr>
                <w:rFonts w:ascii="Times New Roman"/>
                <w:spacing w:val="-1"/>
                <w:sz w:val="21"/>
              </w:rPr>
              <w:t>5,558,095.26</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3"/>
              <w:ind w:right="95"/>
              <w:jc w:val="right"/>
              <w:rPr>
                <w:rFonts w:ascii="Times New Roman" w:hAnsi="Times New Roman" w:cs="Times New Roman" w:eastAsia="Times New Roman" w:hint="default"/>
                <w:sz w:val="21"/>
                <w:szCs w:val="21"/>
              </w:rPr>
            </w:pPr>
            <w:r>
              <w:rPr>
                <w:rFonts w:ascii="Times New Roman"/>
                <w:sz w:val="21"/>
              </w:rPr>
              <w:t>0.8107</w:t>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113"/>
              <w:ind w:right="103"/>
              <w:jc w:val="right"/>
              <w:rPr>
                <w:rFonts w:ascii="Times New Roman" w:hAnsi="Times New Roman" w:cs="Times New Roman" w:eastAsia="Times New Roman" w:hint="default"/>
                <w:sz w:val="21"/>
                <w:szCs w:val="21"/>
              </w:rPr>
            </w:pPr>
            <w:r>
              <w:rPr>
                <w:rFonts w:ascii="Times New Roman"/>
                <w:spacing w:val="-1"/>
                <w:sz w:val="21"/>
              </w:rPr>
              <w:t>4,505,947.83</w:t>
            </w:r>
          </w:p>
        </w:tc>
      </w:tr>
      <w:tr>
        <w:trPr>
          <w:trHeight w:val="368" w:hRule="exact"/>
        </w:trPr>
        <w:tc>
          <w:tcPr>
            <w:tcW w:w="1978" w:type="dxa"/>
            <w:tcBorders>
              <w:top w:val="nil" w:sz="6" w:space="0" w:color="auto"/>
              <w:left w:val="nil" w:sz="6" w:space="0" w:color="auto"/>
              <w:bottom w:val="single" w:sz="4" w:space="0" w:color="000000"/>
              <w:right w:val="single" w:sz="8"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114"/>
              <w:ind w:right="1"/>
              <w:jc w:val="center"/>
              <w:rPr>
                <w:rFonts w:ascii="Times New Roman" w:hAnsi="Times New Roman" w:cs="Times New Roman" w:eastAsia="Times New Roman" w:hint="default"/>
                <w:sz w:val="21"/>
                <w:szCs w:val="21"/>
              </w:rPr>
            </w:pPr>
            <w:r>
              <w:rPr>
                <w:rFonts w:ascii="Times New Roman"/>
                <w:sz w:val="21"/>
              </w:rPr>
              <w:t>MYC</w:t>
            </w:r>
          </w:p>
        </w:tc>
        <w:tc>
          <w:tcPr>
            <w:tcW w:w="1973"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114"/>
              <w:ind w:right="96"/>
              <w:jc w:val="right"/>
              <w:rPr>
                <w:rFonts w:ascii="Times New Roman" w:hAnsi="Times New Roman" w:cs="Times New Roman" w:eastAsia="Times New Roman" w:hint="default"/>
                <w:sz w:val="21"/>
                <w:szCs w:val="21"/>
              </w:rPr>
            </w:pPr>
            <w:r>
              <w:rPr>
                <w:rFonts w:ascii="Times New Roman"/>
                <w:spacing w:val="-1"/>
                <w:sz w:val="21"/>
              </w:rPr>
              <w:t>61,524.58</w:t>
            </w:r>
          </w:p>
        </w:tc>
        <w:tc>
          <w:tcPr>
            <w:tcW w:w="1973"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114"/>
              <w:ind w:right="95"/>
              <w:jc w:val="right"/>
              <w:rPr>
                <w:rFonts w:ascii="Times New Roman" w:hAnsi="Times New Roman" w:cs="Times New Roman" w:eastAsia="Times New Roman" w:hint="default"/>
                <w:sz w:val="21"/>
                <w:szCs w:val="21"/>
              </w:rPr>
            </w:pPr>
            <w:r>
              <w:rPr>
                <w:rFonts w:ascii="Times New Roman"/>
                <w:sz w:val="21"/>
              </w:rPr>
              <w:t>1.9819</w:t>
            </w:r>
          </w:p>
        </w:tc>
        <w:tc>
          <w:tcPr>
            <w:tcW w:w="1973" w:type="dxa"/>
            <w:tcBorders>
              <w:top w:val="nil" w:sz="6" w:space="0" w:color="auto"/>
              <w:left w:val="single" w:sz="8" w:space="0" w:color="000000"/>
              <w:bottom w:val="single" w:sz="4" w:space="0" w:color="000000"/>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21"/>
                <w:szCs w:val="21"/>
              </w:rPr>
            </w:pPr>
            <w:r>
              <w:rPr>
                <w:rFonts w:ascii="Times New Roman"/>
                <w:spacing w:val="-1"/>
                <w:sz w:val="21"/>
              </w:rPr>
              <w:t>121,933.72</w:t>
            </w:r>
          </w:p>
        </w:tc>
      </w:tr>
      <w:tr>
        <w:trPr>
          <w:trHeight w:val="492" w:hRule="exact"/>
        </w:trPr>
        <w:tc>
          <w:tcPr>
            <w:tcW w:w="1978" w:type="dxa"/>
            <w:tcBorders>
              <w:top w:val="single" w:sz="4" w:space="0" w:color="000000"/>
              <w:left w:val="nil" w:sz="6" w:space="0" w:color="auto"/>
              <w:bottom w:val="single" w:sz="12" w:space="0" w:color="000000"/>
              <w:right w:val="single" w:sz="8" w:space="0" w:color="000000"/>
            </w:tcBorders>
          </w:tcPr>
          <w:p>
            <w:pPr>
              <w:pStyle w:val="TableParagraph"/>
              <w:tabs>
                <w:tab w:pos="1207" w:val="left" w:leader="none"/>
              </w:tabs>
              <w:spacing w:line="240" w:lineRule="auto" w:before="162"/>
              <w:ind w:left="5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6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4" w:space="0" w:color="000000"/>
              <w:left w:val="single" w:sz="8"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74,561,353.91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tbl>
      <w:tblPr>
        <w:tblW w:w="0" w:type="auto"/>
        <w:jc w:val="left"/>
        <w:tblInd w:w="130" w:type="dxa"/>
        <w:tblLayout w:type="fixed"/>
        <w:tblCellMar>
          <w:top w:w="0" w:type="dxa"/>
          <w:left w:w="0" w:type="dxa"/>
          <w:bottom w:w="0" w:type="dxa"/>
          <w:right w:w="0" w:type="dxa"/>
        </w:tblCellMar>
        <w:tblLook w:val="01E0"/>
      </w:tblPr>
      <w:tblGrid>
        <w:gridCol w:w="1978"/>
        <w:gridCol w:w="1973"/>
        <w:gridCol w:w="1973"/>
        <w:gridCol w:w="1973"/>
        <w:gridCol w:w="1973"/>
      </w:tblGrid>
      <w:tr>
        <w:trPr>
          <w:trHeight w:val="497" w:hRule="exact"/>
        </w:trPr>
        <w:tc>
          <w:tcPr>
            <w:tcW w:w="1978"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1207" w:val="left" w:leader="none"/>
              </w:tabs>
              <w:spacing w:line="240" w:lineRule="auto" w:before="153"/>
              <w:ind w:left="57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1"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65"/>
              <w:ind w:right="4"/>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9" w:hRule="exact"/>
        </w:trPr>
        <w:tc>
          <w:tcPr>
            <w:tcW w:w="1978" w:type="dxa"/>
            <w:vMerge/>
            <w:tcBorders>
              <w:left w:val="nil" w:sz="6" w:space="0" w:color="auto"/>
              <w:bottom w:val="single" w:sz="8" w:space="0" w:color="000000"/>
              <w:right w:val="single" w:sz="8" w:space="0" w:color="000000"/>
            </w:tcBorders>
          </w:tcPr>
          <w:p>
            <w:pP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left="765"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9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2"/>
              <w:ind w:right="7"/>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87" w:hRule="exact"/>
        </w:trPr>
        <w:tc>
          <w:tcPr>
            <w:tcW w:w="1978" w:type="dxa"/>
            <w:tcBorders>
              <w:top w:val="single" w:sz="8" w:space="0" w:color="000000"/>
              <w:left w:val="nil" w:sz="6" w:space="0" w:color="auto"/>
              <w:bottom w:val="nil" w:sz="6" w:space="0" w:color="auto"/>
              <w:right w:val="single" w:sz="8"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RMB</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2"/>
                <w:sz w:val="21"/>
              </w:rPr>
              <w:t>67,288,027.11</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8" w:space="0" w:color="000000"/>
              <w:left w:val="single" w:sz="8"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67,288,027.11</w:t>
            </w:r>
          </w:p>
        </w:tc>
      </w:tr>
      <w:tr>
        <w:trPr>
          <w:trHeight w:val="470" w:hRule="exact"/>
        </w:trPr>
        <w:tc>
          <w:tcPr>
            <w:tcW w:w="1978" w:type="dxa"/>
            <w:tcBorders>
              <w:top w:val="nil" w:sz="6" w:space="0" w:color="auto"/>
              <w:left w:val="nil" w:sz="6" w:space="0" w:color="auto"/>
              <w:bottom w:val="nil" w:sz="6" w:space="0" w:color="auto"/>
              <w:right w:val="single" w:sz="8"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4"/>
              <w:ind w:right="3"/>
              <w:jc w:val="center"/>
              <w:rPr>
                <w:rFonts w:ascii="Times New Roman" w:hAnsi="Times New Roman" w:cs="Times New Roman" w:eastAsia="Times New Roman" w:hint="default"/>
                <w:sz w:val="21"/>
                <w:szCs w:val="21"/>
              </w:rPr>
            </w:pPr>
            <w:r>
              <w:rPr>
                <w:rFonts w:ascii="Times New Roman"/>
                <w:spacing w:val="-3"/>
                <w:sz w:val="21"/>
              </w:rPr>
              <w:t>HKD</w:t>
            </w:r>
            <w:r>
              <w:rPr>
                <w:rFonts w:ascii="Times New Roman"/>
                <w:sz w:val="21"/>
              </w:rPr>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4"/>
              <w:ind w:right="93"/>
              <w:jc w:val="right"/>
              <w:rPr>
                <w:rFonts w:ascii="Times New Roman" w:hAnsi="Times New Roman" w:cs="Times New Roman" w:eastAsia="Times New Roman" w:hint="default"/>
                <w:sz w:val="21"/>
                <w:szCs w:val="21"/>
              </w:rPr>
            </w:pPr>
            <w:r>
              <w:rPr>
                <w:rFonts w:ascii="Times New Roman"/>
                <w:spacing w:val="-1"/>
                <w:sz w:val="21"/>
              </w:rPr>
              <w:t>4,635,671.69</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4"/>
              <w:ind w:right="93"/>
              <w:jc w:val="right"/>
              <w:rPr>
                <w:rFonts w:ascii="Times New Roman" w:hAnsi="Times New Roman" w:cs="Times New Roman" w:eastAsia="Times New Roman" w:hint="default"/>
                <w:sz w:val="21"/>
                <w:szCs w:val="21"/>
              </w:rPr>
            </w:pPr>
            <w:r>
              <w:rPr>
                <w:rFonts w:ascii="Times New Roman"/>
                <w:sz w:val="21"/>
              </w:rPr>
              <w:t>0.8509</w:t>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21"/>
                <w:szCs w:val="21"/>
              </w:rPr>
            </w:pPr>
            <w:r>
              <w:rPr>
                <w:rFonts w:ascii="Times New Roman"/>
                <w:spacing w:val="-1"/>
                <w:sz w:val="21"/>
              </w:rPr>
              <w:t>3,944,493.05</w:t>
            </w:r>
          </w:p>
        </w:tc>
      </w:tr>
      <w:tr>
        <w:trPr>
          <w:trHeight w:val="470" w:hRule="exact"/>
        </w:trPr>
        <w:tc>
          <w:tcPr>
            <w:tcW w:w="1978" w:type="dxa"/>
            <w:tcBorders>
              <w:top w:val="nil" w:sz="6" w:space="0" w:color="auto"/>
              <w:left w:val="nil" w:sz="6" w:space="0" w:color="auto"/>
              <w:bottom w:val="nil" w:sz="6" w:space="0" w:color="auto"/>
              <w:right w:val="single" w:sz="8"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sz w:val="21"/>
              </w:rPr>
              <w:t>SGD</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4"/>
              <w:ind w:right="93"/>
              <w:jc w:val="right"/>
              <w:rPr>
                <w:rFonts w:ascii="Times New Roman" w:hAnsi="Times New Roman" w:cs="Times New Roman" w:eastAsia="Times New Roman" w:hint="default"/>
                <w:sz w:val="21"/>
                <w:szCs w:val="21"/>
              </w:rPr>
            </w:pPr>
            <w:r>
              <w:rPr>
                <w:rFonts w:ascii="Times New Roman"/>
                <w:spacing w:val="-1"/>
                <w:sz w:val="21"/>
              </w:rPr>
              <w:t>129,718.12</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4"/>
              <w:ind w:right="95"/>
              <w:jc w:val="right"/>
              <w:rPr>
                <w:rFonts w:ascii="Times New Roman" w:hAnsi="Times New Roman" w:cs="Times New Roman" w:eastAsia="Times New Roman" w:hint="default"/>
                <w:sz w:val="21"/>
                <w:szCs w:val="21"/>
              </w:rPr>
            </w:pPr>
            <w:r>
              <w:rPr>
                <w:rFonts w:ascii="Times New Roman"/>
                <w:sz w:val="21"/>
              </w:rPr>
              <w:t>5.1279</w:t>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21"/>
                <w:szCs w:val="21"/>
              </w:rPr>
            </w:pPr>
            <w:r>
              <w:rPr>
                <w:rFonts w:ascii="Times New Roman"/>
                <w:spacing w:val="-1"/>
                <w:sz w:val="21"/>
              </w:rPr>
              <w:t>665,175.06</w:t>
            </w:r>
          </w:p>
        </w:tc>
      </w:tr>
      <w:tr>
        <w:trPr>
          <w:trHeight w:val="368" w:hRule="exact"/>
        </w:trPr>
        <w:tc>
          <w:tcPr>
            <w:tcW w:w="1978" w:type="dxa"/>
            <w:tcBorders>
              <w:top w:val="nil" w:sz="6" w:space="0" w:color="auto"/>
              <w:left w:val="nil" w:sz="6" w:space="0" w:color="auto"/>
              <w:bottom w:val="single" w:sz="4" w:space="0" w:color="000000"/>
              <w:right w:val="single" w:sz="8"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sz w:val="21"/>
              </w:rPr>
              <w:t>MYC</w:t>
            </w:r>
          </w:p>
        </w:tc>
        <w:tc>
          <w:tcPr>
            <w:tcW w:w="1973"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114"/>
              <w:ind w:right="93"/>
              <w:jc w:val="right"/>
              <w:rPr>
                <w:rFonts w:ascii="Times New Roman" w:hAnsi="Times New Roman" w:cs="Times New Roman" w:eastAsia="Times New Roman" w:hint="default"/>
                <w:sz w:val="21"/>
                <w:szCs w:val="21"/>
              </w:rPr>
            </w:pPr>
            <w:r>
              <w:rPr>
                <w:rFonts w:ascii="Times New Roman"/>
                <w:spacing w:val="-1"/>
                <w:sz w:val="21"/>
              </w:rPr>
              <w:t>193,920.03</w:t>
            </w:r>
          </w:p>
        </w:tc>
        <w:tc>
          <w:tcPr>
            <w:tcW w:w="1973"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114"/>
              <w:ind w:right="95"/>
              <w:jc w:val="right"/>
              <w:rPr>
                <w:rFonts w:ascii="Times New Roman" w:hAnsi="Times New Roman" w:cs="Times New Roman" w:eastAsia="Times New Roman" w:hint="default"/>
                <w:sz w:val="21"/>
                <w:szCs w:val="21"/>
              </w:rPr>
            </w:pPr>
            <w:r>
              <w:rPr>
                <w:rFonts w:ascii="Times New Roman"/>
                <w:sz w:val="21"/>
              </w:rPr>
              <w:t>2.1500</w:t>
            </w:r>
          </w:p>
        </w:tc>
        <w:tc>
          <w:tcPr>
            <w:tcW w:w="1973" w:type="dxa"/>
            <w:tcBorders>
              <w:top w:val="nil" w:sz="6" w:space="0" w:color="auto"/>
              <w:left w:val="single" w:sz="8" w:space="0" w:color="000000"/>
              <w:bottom w:val="single" w:sz="4" w:space="0" w:color="000000"/>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21"/>
                <w:szCs w:val="21"/>
              </w:rPr>
            </w:pPr>
            <w:r>
              <w:rPr>
                <w:rFonts w:ascii="Times New Roman"/>
                <w:spacing w:val="-1"/>
                <w:sz w:val="21"/>
              </w:rPr>
              <w:t>416,928.07</w:t>
            </w:r>
          </w:p>
        </w:tc>
      </w:tr>
      <w:tr>
        <w:trPr>
          <w:trHeight w:val="490" w:hRule="exact"/>
        </w:trPr>
        <w:tc>
          <w:tcPr>
            <w:tcW w:w="1978" w:type="dxa"/>
            <w:tcBorders>
              <w:top w:val="single" w:sz="4" w:space="0" w:color="000000"/>
              <w:left w:val="nil" w:sz="6" w:space="0" w:color="auto"/>
              <w:bottom w:val="single" w:sz="12" w:space="0" w:color="000000"/>
              <w:right w:val="single" w:sz="8" w:space="0" w:color="000000"/>
            </w:tcBorders>
          </w:tcPr>
          <w:p>
            <w:pPr>
              <w:pStyle w:val="TableParagraph"/>
              <w:tabs>
                <w:tab w:pos="1207" w:val="left" w:leader="none"/>
              </w:tabs>
              <w:spacing w:line="240" w:lineRule="auto" w:before="162"/>
              <w:ind w:left="5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6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4" w:space="0" w:color="000000"/>
              <w:left w:val="single" w:sz="8"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72,314,623.29</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200" w:bottom="1160" w:left="880" w:right="880"/>
        </w:sectPr>
      </w:pPr>
    </w:p>
    <w:p>
      <w:pPr>
        <w:spacing w:line="240" w:lineRule="auto" w:before="10"/>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9"/>
          <w:szCs w:val="9"/>
        </w:rPr>
      </w:pPr>
    </w:p>
    <w:p>
      <w:pPr>
        <w:pStyle w:val="BodyText"/>
        <w:spacing w:line="364" w:lineRule="auto" w:before="36"/>
        <w:ind w:left="652" w:right="1093"/>
        <w:jc w:val="left"/>
      </w:pPr>
      <w:r>
        <w:rPr/>
        <w:t>（</w:t>
      </w:r>
      <w:r>
        <w:rPr>
          <w:rFonts w:ascii="Times New Roman" w:hAnsi="Times New Roman" w:cs="Times New Roman" w:eastAsia="Times New Roman" w:hint="default"/>
        </w:rPr>
        <w:t>2</w:t>
      </w:r>
      <w:r>
        <w:rPr/>
        <w:t>）预收账款年末余额中无欠持本公司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）以上表决权股份的股东单位的款项。</w:t>
      </w:r>
      <w:r>
        <w:rPr>
          <w:w w:val="100"/>
        </w:rPr>
        <w:t> </w:t>
      </w:r>
      <w:r>
        <w:rPr>
          <w:rFonts w:ascii="Times New Roman" w:hAnsi="Times New Roman" w:cs="Times New Roman" w:eastAsia="Times New Roman" w:hint="default"/>
        </w:rPr>
        <w:t>21</w:t>
      </w:r>
      <w:r>
        <w:rPr/>
        <w:t>．应付职工薪酬</w:t>
      </w:r>
    </w:p>
    <w:p>
      <w:pPr>
        <w:pStyle w:val="BodyText"/>
        <w:spacing w:line="240" w:lineRule="auto" w:before="27"/>
        <w:ind w:left="652" w:right="5418"/>
        <w:jc w:val="left"/>
      </w:pPr>
      <w:r>
        <w:rPr/>
        <w:t>（</w:t>
      </w:r>
      <w:r>
        <w:rPr>
          <w:rFonts w:ascii="Times New Roman" w:hAnsi="Times New Roman" w:cs="Times New Roman" w:eastAsia="Times New Roman" w:hint="default"/>
        </w:rPr>
        <w:t>1</w:t>
      </w:r>
      <w:r>
        <w:rPr/>
        <w:t>）应付职工薪酬明细：</w:t>
      </w:r>
    </w:p>
    <w:tbl>
      <w:tblPr>
        <w:tblW w:w="0" w:type="auto"/>
        <w:jc w:val="left"/>
        <w:tblInd w:w="110" w:type="dxa"/>
        <w:tblLayout w:type="fixed"/>
        <w:tblCellMar>
          <w:top w:w="0" w:type="dxa"/>
          <w:left w:w="0" w:type="dxa"/>
          <w:bottom w:w="0" w:type="dxa"/>
          <w:right w:w="0" w:type="dxa"/>
        </w:tblCellMar>
        <w:tblLook w:val="01E0"/>
      </w:tblPr>
      <w:tblGrid>
        <w:gridCol w:w="3360"/>
        <w:gridCol w:w="1570"/>
        <w:gridCol w:w="1685"/>
        <w:gridCol w:w="1685"/>
        <w:gridCol w:w="1570"/>
      </w:tblGrid>
      <w:tr>
        <w:trPr>
          <w:trHeight w:val="461" w:hRule="exact"/>
        </w:trPr>
        <w:tc>
          <w:tcPr>
            <w:tcW w:w="3360" w:type="dxa"/>
            <w:tcBorders>
              <w:top w:val="single" w:sz="12" w:space="0" w:color="000000"/>
              <w:left w:val="nil" w:sz="6" w:space="0" w:color="auto"/>
              <w:bottom w:val="single" w:sz="4" w:space="0" w:color="000000"/>
              <w:right w:val="single" w:sz="6" w:space="0" w:color="000000"/>
            </w:tcBorders>
          </w:tcPr>
          <w:p>
            <w:pPr>
              <w:pStyle w:val="TableParagraph"/>
              <w:tabs>
                <w:tab w:pos="655" w:val="left" w:leader="none"/>
              </w:tabs>
              <w:spacing w:line="240" w:lineRule="auto" w:before="136"/>
              <w:ind w:left="2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70"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36"/>
              <w:ind w:left="357"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685"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36"/>
              <w:ind w:left="309"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85"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36"/>
              <w:ind w:left="311" w:right="0"/>
              <w:jc w:val="left"/>
              <w:rPr>
                <w:rFonts w:ascii="宋体" w:hAnsi="宋体" w:cs="宋体" w:eastAsia="宋体" w:hint="default"/>
                <w:sz w:val="21"/>
                <w:szCs w:val="21"/>
              </w:rPr>
            </w:pPr>
            <w:r>
              <w:rPr>
                <w:rFonts w:ascii="宋体" w:hAnsi="宋体" w:cs="宋体" w:eastAsia="宋体" w:hint="default"/>
                <w:sz w:val="21"/>
                <w:szCs w:val="21"/>
              </w:rPr>
              <w:t>本年支付额</w:t>
            </w:r>
          </w:p>
        </w:tc>
        <w:tc>
          <w:tcPr>
            <w:tcW w:w="1570"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36"/>
              <w:ind w:left="359"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539" w:hRule="exact"/>
        </w:trPr>
        <w:tc>
          <w:tcPr>
            <w:tcW w:w="3360" w:type="dxa"/>
            <w:tcBorders>
              <w:top w:val="single" w:sz="4" w:space="0" w:color="000000"/>
              <w:left w:val="nil" w:sz="6" w:space="0" w:color="auto"/>
              <w:bottom w:val="nil" w:sz="6" w:space="0" w:color="auto"/>
              <w:right w:val="single" w:sz="6"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70"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7,961,896.10</w:t>
            </w:r>
          </w:p>
        </w:tc>
        <w:tc>
          <w:tcPr>
            <w:tcW w:w="1685"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99,482,929.45</w:t>
            </w:r>
          </w:p>
        </w:tc>
        <w:tc>
          <w:tcPr>
            <w:tcW w:w="1685"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100,958,364.18</w:t>
            </w:r>
          </w:p>
        </w:tc>
        <w:tc>
          <w:tcPr>
            <w:tcW w:w="1570" w:type="dxa"/>
            <w:tcBorders>
              <w:top w:val="single" w:sz="4" w:space="0" w:color="000000"/>
              <w:left w:val="single" w:sz="6"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6,486,461.37</w:t>
            </w:r>
          </w:p>
        </w:tc>
      </w:tr>
      <w:tr>
        <w:trPr>
          <w:trHeight w:val="440" w:hRule="exact"/>
        </w:trPr>
        <w:tc>
          <w:tcPr>
            <w:tcW w:w="3360" w:type="dxa"/>
            <w:tcBorders>
              <w:top w:val="nil" w:sz="6" w:space="0" w:color="auto"/>
              <w:left w:val="nil" w:sz="6" w:space="0" w:color="auto"/>
              <w:bottom w:val="nil" w:sz="6" w:space="0" w:color="auto"/>
              <w:right w:val="single" w:sz="6"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70" w:type="dxa"/>
            <w:tcBorders>
              <w:top w:val="nil" w:sz="6" w:space="0" w:color="auto"/>
              <w:left w:val="single" w:sz="6" w:space="0" w:color="000000"/>
              <w:bottom w:val="nil" w:sz="6" w:space="0" w:color="auto"/>
              <w:right w:val="single" w:sz="6" w:space="0" w:color="000000"/>
            </w:tcBorders>
          </w:tcPr>
          <w:p>
            <w:pP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1,889,192.23</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3"/>
              <w:jc w:val="right"/>
              <w:rPr>
                <w:rFonts w:ascii="Times New Roman" w:hAnsi="Times New Roman" w:cs="Times New Roman" w:eastAsia="Times New Roman" w:hint="default"/>
                <w:sz w:val="21"/>
                <w:szCs w:val="21"/>
              </w:rPr>
            </w:pPr>
            <w:r>
              <w:rPr>
                <w:rFonts w:ascii="Times New Roman"/>
                <w:spacing w:val="-1"/>
                <w:sz w:val="21"/>
              </w:rPr>
              <w:t>1,889,192.23</w:t>
            </w:r>
          </w:p>
        </w:tc>
        <w:tc>
          <w:tcPr>
            <w:tcW w:w="1570" w:type="dxa"/>
            <w:tcBorders>
              <w:top w:val="nil" w:sz="6" w:space="0" w:color="auto"/>
              <w:left w:val="single" w:sz="6" w:space="0" w:color="000000"/>
              <w:bottom w:val="nil" w:sz="6" w:space="0" w:color="auto"/>
              <w:right w:val="nil" w:sz="6" w:space="0" w:color="auto"/>
            </w:tcBorders>
          </w:tcPr>
          <w:p>
            <w:pPr/>
          </w:p>
        </w:tc>
      </w:tr>
      <w:tr>
        <w:trPr>
          <w:trHeight w:val="439" w:hRule="exact"/>
        </w:trPr>
        <w:tc>
          <w:tcPr>
            <w:tcW w:w="3360"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70"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348,237.47</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14,366,160.78</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3"/>
              <w:jc w:val="right"/>
              <w:rPr>
                <w:rFonts w:ascii="Times New Roman" w:hAnsi="Times New Roman" w:cs="Times New Roman" w:eastAsia="Times New Roman" w:hint="default"/>
                <w:sz w:val="21"/>
                <w:szCs w:val="21"/>
              </w:rPr>
            </w:pPr>
            <w:r>
              <w:rPr>
                <w:rFonts w:ascii="Times New Roman"/>
                <w:spacing w:val="-1"/>
                <w:sz w:val="21"/>
              </w:rPr>
              <w:t>14,309,949.03</w:t>
            </w:r>
          </w:p>
        </w:tc>
        <w:tc>
          <w:tcPr>
            <w:tcW w:w="1570"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404,449.22</w:t>
            </w:r>
          </w:p>
        </w:tc>
      </w:tr>
      <w:tr>
        <w:trPr>
          <w:trHeight w:val="440" w:hRule="exact"/>
        </w:trPr>
        <w:tc>
          <w:tcPr>
            <w:tcW w:w="3360"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570"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66,525.43</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4,222,638.45</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3"/>
              <w:jc w:val="right"/>
              <w:rPr>
                <w:rFonts w:ascii="Times New Roman" w:hAnsi="Times New Roman" w:cs="Times New Roman" w:eastAsia="Times New Roman" w:hint="default"/>
                <w:sz w:val="21"/>
                <w:szCs w:val="21"/>
              </w:rPr>
            </w:pPr>
            <w:r>
              <w:rPr>
                <w:rFonts w:ascii="Times New Roman"/>
                <w:spacing w:val="-1"/>
                <w:sz w:val="21"/>
              </w:rPr>
              <w:t>4,220,669.15</w:t>
            </w:r>
          </w:p>
        </w:tc>
        <w:tc>
          <w:tcPr>
            <w:tcW w:w="1570"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68,494.73</w:t>
            </w:r>
          </w:p>
        </w:tc>
      </w:tr>
      <w:tr>
        <w:trPr>
          <w:trHeight w:val="440" w:hRule="exact"/>
        </w:trPr>
        <w:tc>
          <w:tcPr>
            <w:tcW w:w="3360" w:type="dxa"/>
            <w:tcBorders>
              <w:top w:val="nil" w:sz="6" w:space="0" w:color="auto"/>
              <w:left w:val="nil" w:sz="6" w:space="0" w:color="auto"/>
              <w:bottom w:val="nil" w:sz="6" w:space="0" w:color="auto"/>
              <w:right w:val="single" w:sz="6" w:space="0" w:color="000000"/>
            </w:tcBorders>
          </w:tcPr>
          <w:p>
            <w:pPr>
              <w:pStyle w:val="TableParagraph"/>
              <w:spacing w:line="240" w:lineRule="auto" w:before="41"/>
              <w:ind w:left="7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．基本养老保险费</w:t>
            </w:r>
          </w:p>
        </w:tc>
        <w:tc>
          <w:tcPr>
            <w:tcW w:w="1570"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258,606.26</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9,002,522.26</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3"/>
              <w:jc w:val="right"/>
              <w:rPr>
                <w:rFonts w:ascii="Times New Roman" w:hAnsi="Times New Roman" w:cs="Times New Roman" w:eastAsia="Times New Roman" w:hint="default"/>
                <w:sz w:val="21"/>
                <w:szCs w:val="21"/>
              </w:rPr>
            </w:pPr>
            <w:r>
              <w:rPr>
                <w:rFonts w:ascii="Times New Roman"/>
                <w:spacing w:val="-2"/>
                <w:sz w:val="21"/>
              </w:rPr>
              <w:t>8,948,039.11</w:t>
            </w:r>
          </w:p>
        </w:tc>
        <w:tc>
          <w:tcPr>
            <w:tcW w:w="1570" w:type="dxa"/>
            <w:tcBorders>
              <w:top w:val="nil" w:sz="6" w:space="0" w:color="auto"/>
              <w:left w:val="single" w:sz="6" w:space="0" w:color="000000"/>
              <w:bottom w:val="nil" w:sz="6" w:space="0" w:color="auto"/>
              <w:right w:val="nil" w:sz="6" w:space="0" w:color="auto"/>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313,089.41</w:t>
            </w:r>
          </w:p>
        </w:tc>
      </w:tr>
      <w:tr>
        <w:trPr>
          <w:trHeight w:val="439" w:hRule="exact"/>
        </w:trPr>
        <w:tc>
          <w:tcPr>
            <w:tcW w:w="3360"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7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．失业保险费</w:t>
            </w:r>
          </w:p>
        </w:tc>
        <w:tc>
          <w:tcPr>
            <w:tcW w:w="1570"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15,890.30</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609,591.47</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4"/>
              <w:jc w:val="right"/>
              <w:rPr>
                <w:rFonts w:ascii="Times New Roman" w:hAnsi="Times New Roman" w:cs="Times New Roman" w:eastAsia="Times New Roman" w:hint="default"/>
                <w:sz w:val="21"/>
                <w:szCs w:val="21"/>
              </w:rPr>
            </w:pPr>
            <w:r>
              <w:rPr>
                <w:rFonts w:ascii="Times New Roman"/>
                <w:spacing w:val="-1"/>
                <w:sz w:val="21"/>
              </w:rPr>
              <w:t>609,832.17</w:t>
            </w:r>
          </w:p>
        </w:tc>
        <w:tc>
          <w:tcPr>
            <w:tcW w:w="1570"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15,649.60</w:t>
            </w:r>
          </w:p>
        </w:tc>
      </w:tr>
      <w:tr>
        <w:trPr>
          <w:trHeight w:val="440" w:hRule="exact"/>
        </w:trPr>
        <w:tc>
          <w:tcPr>
            <w:tcW w:w="3360"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7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．工伤保险费</w:t>
            </w:r>
          </w:p>
        </w:tc>
        <w:tc>
          <w:tcPr>
            <w:tcW w:w="1570"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2,903.23</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252,305.90</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4"/>
              <w:jc w:val="right"/>
              <w:rPr>
                <w:rFonts w:ascii="Times New Roman" w:hAnsi="Times New Roman" w:cs="Times New Roman" w:eastAsia="Times New Roman" w:hint="default"/>
                <w:sz w:val="21"/>
                <w:szCs w:val="21"/>
              </w:rPr>
            </w:pPr>
            <w:r>
              <w:rPr>
                <w:rFonts w:ascii="Times New Roman"/>
                <w:spacing w:val="-1"/>
                <w:sz w:val="21"/>
              </w:rPr>
              <w:t>252,305.90</w:t>
            </w:r>
          </w:p>
        </w:tc>
        <w:tc>
          <w:tcPr>
            <w:tcW w:w="1570"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2,903.23</w:t>
            </w:r>
          </w:p>
        </w:tc>
      </w:tr>
      <w:tr>
        <w:trPr>
          <w:trHeight w:val="440" w:hRule="exact"/>
        </w:trPr>
        <w:tc>
          <w:tcPr>
            <w:tcW w:w="3360" w:type="dxa"/>
            <w:tcBorders>
              <w:top w:val="nil" w:sz="6" w:space="0" w:color="auto"/>
              <w:left w:val="nil" w:sz="6" w:space="0" w:color="auto"/>
              <w:bottom w:val="nil" w:sz="6" w:space="0" w:color="auto"/>
              <w:right w:val="single" w:sz="6" w:space="0" w:color="000000"/>
            </w:tcBorders>
          </w:tcPr>
          <w:p>
            <w:pPr>
              <w:pStyle w:val="TableParagraph"/>
              <w:spacing w:line="240" w:lineRule="auto" w:before="41"/>
              <w:ind w:left="7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．生育保险费</w:t>
            </w:r>
          </w:p>
        </w:tc>
        <w:tc>
          <w:tcPr>
            <w:tcW w:w="1570"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4,312.25</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279,102.70</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3"/>
              <w:jc w:val="right"/>
              <w:rPr>
                <w:rFonts w:ascii="Times New Roman" w:hAnsi="Times New Roman" w:cs="Times New Roman" w:eastAsia="Times New Roman" w:hint="default"/>
                <w:sz w:val="21"/>
                <w:szCs w:val="21"/>
              </w:rPr>
            </w:pPr>
            <w:r>
              <w:rPr>
                <w:rFonts w:ascii="Times New Roman"/>
                <w:spacing w:val="-1"/>
                <w:sz w:val="21"/>
              </w:rPr>
              <w:t>279,102.70</w:t>
            </w:r>
          </w:p>
        </w:tc>
        <w:tc>
          <w:tcPr>
            <w:tcW w:w="1570" w:type="dxa"/>
            <w:tcBorders>
              <w:top w:val="nil" w:sz="6" w:space="0" w:color="auto"/>
              <w:left w:val="single" w:sz="6" w:space="0" w:color="000000"/>
              <w:bottom w:val="nil" w:sz="6" w:space="0" w:color="auto"/>
              <w:right w:val="nil" w:sz="6" w:space="0" w:color="auto"/>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4,312.25</w:t>
            </w:r>
          </w:p>
        </w:tc>
      </w:tr>
      <w:tr>
        <w:trPr>
          <w:trHeight w:val="439" w:hRule="exact"/>
        </w:trPr>
        <w:tc>
          <w:tcPr>
            <w:tcW w:w="3360"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70"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92,982.91</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3,847,876.34</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3"/>
              <w:jc w:val="right"/>
              <w:rPr>
                <w:rFonts w:ascii="Times New Roman" w:hAnsi="Times New Roman" w:cs="Times New Roman" w:eastAsia="Times New Roman" w:hint="default"/>
                <w:sz w:val="21"/>
                <w:szCs w:val="21"/>
              </w:rPr>
            </w:pPr>
            <w:r>
              <w:rPr>
                <w:rFonts w:ascii="Times New Roman"/>
                <w:spacing w:val="-1"/>
                <w:sz w:val="21"/>
              </w:rPr>
              <w:t>3,858,191.22</w:t>
            </w:r>
          </w:p>
        </w:tc>
        <w:tc>
          <w:tcPr>
            <w:tcW w:w="1570"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82,668.03</w:t>
            </w:r>
          </w:p>
        </w:tc>
      </w:tr>
      <w:tr>
        <w:trPr>
          <w:trHeight w:val="430" w:hRule="exact"/>
        </w:trPr>
        <w:tc>
          <w:tcPr>
            <w:tcW w:w="3360"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70" w:type="dxa"/>
            <w:tcBorders>
              <w:top w:val="nil" w:sz="6" w:space="0" w:color="auto"/>
              <w:left w:val="single" w:sz="6" w:space="0" w:color="000000"/>
              <w:bottom w:val="nil" w:sz="6" w:space="0" w:color="auto"/>
              <w:right w:val="single" w:sz="6" w:space="0" w:color="000000"/>
            </w:tcBorders>
          </w:tcPr>
          <w:p>
            <w:pPr/>
          </w:p>
        </w:tc>
        <w:tc>
          <w:tcPr>
            <w:tcW w:w="1685" w:type="dxa"/>
            <w:tcBorders>
              <w:top w:val="nil" w:sz="6" w:space="0" w:color="auto"/>
              <w:left w:val="single" w:sz="6" w:space="0" w:color="000000"/>
              <w:bottom w:val="nil" w:sz="6" w:space="0" w:color="auto"/>
              <w:right w:val="single" w:sz="6" w:space="0" w:color="000000"/>
            </w:tcBorders>
          </w:tcPr>
          <w:p>
            <w:pPr/>
          </w:p>
        </w:tc>
        <w:tc>
          <w:tcPr>
            <w:tcW w:w="1685" w:type="dxa"/>
            <w:tcBorders>
              <w:top w:val="nil" w:sz="6" w:space="0" w:color="auto"/>
              <w:left w:val="single" w:sz="6" w:space="0" w:color="000000"/>
              <w:bottom w:val="nil" w:sz="6" w:space="0" w:color="auto"/>
              <w:right w:val="single" w:sz="6" w:space="0" w:color="000000"/>
            </w:tcBorders>
          </w:tcPr>
          <w:p>
            <w:pPr/>
          </w:p>
        </w:tc>
        <w:tc>
          <w:tcPr>
            <w:tcW w:w="1570" w:type="dxa"/>
            <w:tcBorders>
              <w:top w:val="nil" w:sz="6" w:space="0" w:color="auto"/>
              <w:left w:val="single" w:sz="6" w:space="0" w:color="000000"/>
              <w:bottom w:val="nil" w:sz="6" w:space="0" w:color="auto"/>
              <w:right w:val="nil" w:sz="6" w:space="0" w:color="auto"/>
            </w:tcBorders>
          </w:tcPr>
          <w:p>
            <w:pPr/>
          </w:p>
        </w:tc>
      </w:tr>
      <w:tr>
        <w:trPr>
          <w:trHeight w:val="440" w:hRule="exact"/>
        </w:trPr>
        <w:tc>
          <w:tcPr>
            <w:tcW w:w="3360" w:type="dxa"/>
            <w:tcBorders>
              <w:top w:val="nil" w:sz="6" w:space="0" w:color="auto"/>
              <w:left w:val="nil" w:sz="6" w:space="0" w:color="auto"/>
              <w:bottom w:val="nil" w:sz="6" w:space="0" w:color="auto"/>
              <w:right w:val="single" w:sz="6"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70"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6,514,471.66</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6"/>
              <w:jc w:val="right"/>
              <w:rPr>
                <w:rFonts w:ascii="Times New Roman" w:hAnsi="Times New Roman" w:cs="Times New Roman" w:eastAsia="Times New Roman" w:hint="default"/>
                <w:sz w:val="21"/>
                <w:szCs w:val="21"/>
              </w:rPr>
            </w:pPr>
            <w:r>
              <w:rPr>
                <w:rFonts w:ascii="Times New Roman"/>
                <w:spacing w:val="-1"/>
                <w:sz w:val="21"/>
              </w:rPr>
              <w:t>2,633,070.57</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110"/>
              <w:ind w:right="93"/>
              <w:jc w:val="right"/>
              <w:rPr>
                <w:rFonts w:ascii="Times New Roman" w:hAnsi="Times New Roman" w:cs="Times New Roman" w:eastAsia="Times New Roman" w:hint="default"/>
                <w:sz w:val="21"/>
                <w:szCs w:val="21"/>
              </w:rPr>
            </w:pPr>
            <w:r>
              <w:rPr>
                <w:rFonts w:ascii="Times New Roman"/>
                <w:spacing w:val="-1"/>
                <w:sz w:val="21"/>
              </w:rPr>
              <w:t>532,821.39</w:t>
            </w:r>
          </w:p>
        </w:tc>
        <w:tc>
          <w:tcPr>
            <w:tcW w:w="1570" w:type="dxa"/>
            <w:tcBorders>
              <w:top w:val="nil" w:sz="6" w:space="0" w:color="auto"/>
              <w:left w:val="single" w:sz="6" w:space="0" w:color="000000"/>
              <w:bottom w:val="nil" w:sz="6" w:space="0" w:color="auto"/>
              <w:right w:val="nil" w:sz="6" w:space="0" w:color="auto"/>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8,614,720.84</w:t>
            </w:r>
          </w:p>
        </w:tc>
      </w:tr>
      <w:tr>
        <w:trPr>
          <w:trHeight w:val="360" w:hRule="exact"/>
        </w:trPr>
        <w:tc>
          <w:tcPr>
            <w:tcW w:w="3360" w:type="dxa"/>
            <w:tcBorders>
              <w:top w:val="nil" w:sz="6" w:space="0" w:color="auto"/>
              <w:left w:val="nil" w:sz="6" w:space="0" w:color="auto"/>
              <w:bottom w:val="single" w:sz="4"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其中：以现金结算的股份支付</w:t>
            </w:r>
          </w:p>
        </w:tc>
        <w:tc>
          <w:tcPr>
            <w:tcW w:w="1570" w:type="dxa"/>
            <w:tcBorders>
              <w:top w:val="nil" w:sz="6" w:space="0" w:color="auto"/>
              <w:left w:val="single" w:sz="6" w:space="0" w:color="000000"/>
              <w:bottom w:val="single" w:sz="4" w:space="0" w:color="000000"/>
              <w:right w:val="single" w:sz="6" w:space="0" w:color="000000"/>
            </w:tcBorders>
          </w:tcPr>
          <w:p>
            <w:pPr/>
          </w:p>
        </w:tc>
        <w:tc>
          <w:tcPr>
            <w:tcW w:w="1685" w:type="dxa"/>
            <w:tcBorders>
              <w:top w:val="nil" w:sz="6" w:space="0" w:color="auto"/>
              <w:left w:val="single" w:sz="6" w:space="0" w:color="000000"/>
              <w:bottom w:val="single" w:sz="4" w:space="0" w:color="000000"/>
              <w:right w:val="single" w:sz="6" w:space="0" w:color="000000"/>
            </w:tcBorders>
          </w:tcPr>
          <w:p>
            <w:pPr/>
          </w:p>
        </w:tc>
        <w:tc>
          <w:tcPr>
            <w:tcW w:w="1685" w:type="dxa"/>
            <w:tcBorders>
              <w:top w:val="nil" w:sz="6" w:space="0" w:color="auto"/>
              <w:left w:val="single" w:sz="6" w:space="0" w:color="000000"/>
              <w:bottom w:val="single" w:sz="4" w:space="0" w:color="000000"/>
              <w:right w:val="single" w:sz="6" w:space="0" w:color="000000"/>
            </w:tcBorders>
          </w:tcPr>
          <w:p>
            <w:pPr/>
          </w:p>
        </w:tc>
        <w:tc>
          <w:tcPr>
            <w:tcW w:w="1570" w:type="dxa"/>
            <w:tcBorders>
              <w:top w:val="nil" w:sz="6" w:space="0" w:color="auto"/>
              <w:left w:val="single" w:sz="6" w:space="0" w:color="000000"/>
              <w:bottom w:val="single" w:sz="4" w:space="0" w:color="000000"/>
              <w:right w:val="nil" w:sz="6" w:space="0" w:color="auto"/>
            </w:tcBorders>
          </w:tcPr>
          <w:p>
            <w:pPr/>
          </w:p>
        </w:tc>
      </w:tr>
      <w:tr>
        <w:trPr>
          <w:trHeight w:val="461" w:hRule="exact"/>
        </w:trPr>
        <w:tc>
          <w:tcPr>
            <w:tcW w:w="3360" w:type="dxa"/>
            <w:tcBorders>
              <w:top w:val="single" w:sz="4" w:space="0" w:color="000000"/>
              <w:left w:val="nil" w:sz="6" w:space="0" w:color="auto"/>
              <w:bottom w:val="single" w:sz="12" w:space="0" w:color="000000"/>
              <w:right w:val="single" w:sz="6" w:space="0" w:color="000000"/>
            </w:tcBorders>
          </w:tcPr>
          <w:p>
            <w:pPr>
              <w:pStyle w:val="TableParagraph"/>
              <w:tabs>
                <w:tab w:pos="655" w:val="left" w:leader="none"/>
              </w:tabs>
              <w:spacing w:line="240" w:lineRule="auto" w:before="136"/>
              <w:ind w:left="2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70"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14,917,588.14</w:t>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120,330,037.14</w:t>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119,659,325.82</w:t>
            </w:r>
          </w:p>
        </w:tc>
        <w:tc>
          <w:tcPr>
            <w:tcW w:w="1570"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15,588,299.46</w:t>
            </w:r>
          </w:p>
        </w:tc>
      </w:tr>
    </w:tbl>
    <w:p>
      <w:pPr>
        <w:spacing w:line="240" w:lineRule="auto" w:before="7"/>
        <w:rPr>
          <w:rFonts w:ascii="宋体" w:hAnsi="宋体" w:cs="宋体" w:eastAsia="宋体" w:hint="default"/>
          <w:sz w:val="8"/>
          <w:szCs w:val="8"/>
        </w:rPr>
      </w:pPr>
    </w:p>
    <w:p>
      <w:pPr>
        <w:pStyle w:val="BodyText"/>
        <w:spacing w:line="240" w:lineRule="auto" w:before="36"/>
        <w:ind w:left="652" w:right="0"/>
        <w:jc w:val="left"/>
      </w:pPr>
      <w:r>
        <w:rPr/>
        <w:t>（</w:t>
      </w:r>
      <w:r>
        <w:rPr>
          <w:rFonts w:ascii="Times New Roman" w:hAnsi="Times New Roman" w:cs="Times New Roman" w:eastAsia="Times New Roman" w:hint="default"/>
        </w:rPr>
        <w:t>2</w:t>
      </w:r>
      <w:r>
        <w:rPr/>
        <w:t>）工会经费和职工教育经费年末余额为</w:t>
      </w:r>
      <w:r>
        <w:rPr>
          <w:rFonts w:ascii="Times New Roman" w:hAnsi="Times New Roman" w:cs="Times New Roman" w:eastAsia="Times New Roman" w:hint="default"/>
        </w:rPr>
        <w:t>8,389,010.69</w:t>
      </w:r>
      <w:r>
        <w:rPr/>
        <w:t>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pStyle w:val="BodyText"/>
        <w:spacing w:line="240" w:lineRule="auto"/>
        <w:ind w:left="653" w:right="5418"/>
        <w:jc w:val="left"/>
      </w:pPr>
      <w:r>
        <w:rPr>
          <w:rFonts w:ascii="Times New Roman" w:hAnsi="Times New Roman" w:cs="Times New Roman" w:eastAsia="Times New Roman" w:hint="default"/>
        </w:rPr>
        <w:t>22</w:t>
      </w:r>
      <w:r>
        <w:rPr/>
        <w:t>．应交税费</w:t>
      </w:r>
    </w:p>
    <w:tbl>
      <w:tblPr>
        <w:tblW w:w="0" w:type="auto"/>
        <w:jc w:val="left"/>
        <w:tblInd w:w="110" w:type="dxa"/>
        <w:tblLayout w:type="fixed"/>
        <w:tblCellMar>
          <w:top w:w="0" w:type="dxa"/>
          <w:left w:w="0" w:type="dxa"/>
          <w:bottom w:w="0" w:type="dxa"/>
          <w:right w:w="0" w:type="dxa"/>
        </w:tblCellMar>
        <w:tblLook w:val="01E0"/>
      </w:tblPr>
      <w:tblGrid>
        <w:gridCol w:w="3506"/>
        <w:gridCol w:w="3175"/>
        <w:gridCol w:w="3173"/>
      </w:tblGrid>
      <w:tr>
        <w:trPr>
          <w:trHeight w:val="461" w:hRule="exact"/>
        </w:trPr>
        <w:tc>
          <w:tcPr>
            <w:tcW w:w="35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6"/>
              <w:ind w:left="19" w:right="0"/>
              <w:jc w:val="center"/>
              <w:rPr>
                <w:rFonts w:ascii="宋体" w:hAnsi="宋体" w:cs="宋体" w:eastAsia="宋体" w:hint="default"/>
                <w:sz w:val="21"/>
                <w:szCs w:val="21"/>
              </w:rPr>
            </w:pPr>
            <w:r>
              <w:rPr>
                <w:rFonts w:ascii="宋体" w:hAnsi="宋体" w:cs="宋体" w:eastAsia="宋体" w:hint="default"/>
                <w:sz w:val="21"/>
                <w:szCs w:val="21"/>
              </w:rPr>
              <w:t>税费项目</w:t>
            </w:r>
          </w:p>
        </w:tc>
        <w:tc>
          <w:tcPr>
            <w:tcW w:w="31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17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39" w:hRule="exact"/>
        </w:trPr>
        <w:tc>
          <w:tcPr>
            <w:tcW w:w="3506" w:type="dxa"/>
            <w:tcBorders>
              <w:top w:val="single" w:sz="4" w:space="0" w:color="000000"/>
              <w:left w:val="nil" w:sz="6" w:space="0" w:color="auto"/>
              <w:bottom w:val="nil" w:sz="6" w:space="0" w:color="auto"/>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．增值税</w:t>
            </w:r>
          </w:p>
        </w:tc>
        <w:tc>
          <w:tcPr>
            <w:tcW w:w="31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8,960,600.25</w:t>
            </w:r>
          </w:p>
        </w:tc>
        <w:tc>
          <w:tcPr>
            <w:tcW w:w="3173"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3,632,030.66</w:t>
            </w:r>
          </w:p>
        </w:tc>
      </w:tr>
      <w:tr>
        <w:trPr>
          <w:trHeight w:val="440" w:hRule="exact"/>
        </w:trPr>
        <w:tc>
          <w:tcPr>
            <w:tcW w:w="3506"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．营业税</w:t>
            </w:r>
          </w:p>
        </w:tc>
        <w:tc>
          <w:tcPr>
            <w:tcW w:w="3175"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21"/>
                <w:szCs w:val="21"/>
              </w:rPr>
            </w:pPr>
            <w:r>
              <w:rPr>
                <w:rFonts w:ascii="Times New Roman"/>
                <w:spacing w:val="-1"/>
                <w:sz w:val="21"/>
              </w:rPr>
              <w:t>882,041.91</w:t>
            </w:r>
          </w:p>
        </w:tc>
        <w:tc>
          <w:tcPr>
            <w:tcW w:w="3173" w:type="dxa"/>
            <w:tcBorders>
              <w:top w:val="nil" w:sz="6" w:space="0" w:color="auto"/>
              <w:left w:val="single" w:sz="4" w:space="0" w:color="000000"/>
              <w:bottom w:val="nil" w:sz="6" w:space="0" w:color="auto"/>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455,338.55</w:t>
            </w:r>
          </w:p>
        </w:tc>
      </w:tr>
      <w:tr>
        <w:trPr>
          <w:trHeight w:val="439" w:hRule="exact"/>
        </w:trPr>
        <w:tc>
          <w:tcPr>
            <w:tcW w:w="3506"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．企业所得税</w:t>
            </w:r>
          </w:p>
        </w:tc>
        <w:tc>
          <w:tcPr>
            <w:tcW w:w="317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19,737,861.41</w:t>
            </w:r>
          </w:p>
        </w:tc>
        <w:tc>
          <w:tcPr>
            <w:tcW w:w="3173"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spacing w:val="-1"/>
                <w:sz w:val="21"/>
              </w:rPr>
              <w:t>9,226,518.84</w:t>
            </w:r>
          </w:p>
        </w:tc>
      </w:tr>
      <w:tr>
        <w:trPr>
          <w:trHeight w:val="440" w:hRule="exact"/>
        </w:trPr>
        <w:tc>
          <w:tcPr>
            <w:tcW w:w="3506"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．代扣代缴个人所得税</w:t>
            </w:r>
          </w:p>
        </w:tc>
        <w:tc>
          <w:tcPr>
            <w:tcW w:w="317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322,758.18</w:t>
            </w:r>
          </w:p>
        </w:tc>
        <w:tc>
          <w:tcPr>
            <w:tcW w:w="3173"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spacing w:val="-1"/>
                <w:sz w:val="21"/>
              </w:rPr>
              <w:t>194,664.13</w:t>
            </w:r>
          </w:p>
        </w:tc>
      </w:tr>
      <w:tr>
        <w:trPr>
          <w:trHeight w:val="440" w:hRule="exact"/>
        </w:trPr>
        <w:tc>
          <w:tcPr>
            <w:tcW w:w="3506"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．城市维护建设税</w:t>
            </w:r>
          </w:p>
        </w:tc>
        <w:tc>
          <w:tcPr>
            <w:tcW w:w="3175"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21"/>
                <w:szCs w:val="21"/>
              </w:rPr>
            </w:pPr>
            <w:r>
              <w:rPr>
                <w:rFonts w:ascii="Times New Roman"/>
                <w:spacing w:val="-1"/>
                <w:sz w:val="21"/>
              </w:rPr>
              <w:t>1,072,777.23</w:t>
            </w:r>
          </w:p>
        </w:tc>
        <w:tc>
          <w:tcPr>
            <w:tcW w:w="3173" w:type="dxa"/>
            <w:tcBorders>
              <w:top w:val="nil" w:sz="6" w:space="0" w:color="auto"/>
              <w:left w:val="single" w:sz="4" w:space="0" w:color="000000"/>
              <w:bottom w:val="nil" w:sz="6" w:space="0" w:color="auto"/>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750,908.05</w:t>
            </w:r>
          </w:p>
        </w:tc>
      </w:tr>
      <w:tr>
        <w:trPr>
          <w:trHeight w:val="439" w:hRule="exact"/>
        </w:trPr>
        <w:tc>
          <w:tcPr>
            <w:tcW w:w="3506"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．教育费附加</w:t>
            </w:r>
          </w:p>
        </w:tc>
        <w:tc>
          <w:tcPr>
            <w:tcW w:w="317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505,056.28</w:t>
            </w:r>
          </w:p>
        </w:tc>
        <w:tc>
          <w:tcPr>
            <w:tcW w:w="3173"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spacing w:val="-1"/>
                <w:sz w:val="21"/>
              </w:rPr>
              <w:t>320,515.57</w:t>
            </w:r>
          </w:p>
        </w:tc>
      </w:tr>
      <w:tr>
        <w:trPr>
          <w:trHeight w:val="440" w:hRule="exact"/>
        </w:trPr>
        <w:tc>
          <w:tcPr>
            <w:tcW w:w="3506"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．河道工程修建维护管理费</w:t>
            </w:r>
          </w:p>
        </w:tc>
        <w:tc>
          <w:tcPr>
            <w:tcW w:w="317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40,695.38</w:t>
            </w:r>
          </w:p>
        </w:tc>
        <w:tc>
          <w:tcPr>
            <w:tcW w:w="3173"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spacing w:val="-1"/>
                <w:sz w:val="21"/>
              </w:rPr>
              <w:t>43,068.77</w:t>
            </w:r>
          </w:p>
        </w:tc>
      </w:tr>
      <w:tr>
        <w:trPr>
          <w:trHeight w:val="351" w:hRule="exact"/>
        </w:trPr>
        <w:tc>
          <w:tcPr>
            <w:tcW w:w="3506" w:type="dxa"/>
            <w:tcBorders>
              <w:top w:val="nil" w:sz="6" w:space="0" w:color="auto"/>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．地方教育发展费</w:t>
            </w:r>
          </w:p>
        </w:tc>
        <w:tc>
          <w:tcPr>
            <w:tcW w:w="31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2"/>
                <w:sz w:val="21"/>
              </w:rPr>
              <w:t>112,212.37</w:t>
            </w:r>
          </w:p>
        </w:tc>
        <w:tc>
          <w:tcPr>
            <w:tcW w:w="3173" w:type="dxa"/>
            <w:tcBorders>
              <w:top w:val="nil" w:sz="6" w:space="0" w:color="auto"/>
              <w:left w:val="single" w:sz="4" w:space="0" w:color="000000"/>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70,564.77</w:t>
            </w:r>
          </w:p>
        </w:tc>
      </w:tr>
      <w:tr>
        <w:trPr>
          <w:trHeight w:val="461" w:hRule="exact"/>
        </w:trPr>
        <w:tc>
          <w:tcPr>
            <w:tcW w:w="3506"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34"/>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1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31,634,003.01</w:t>
            </w:r>
          </w:p>
        </w:tc>
        <w:tc>
          <w:tcPr>
            <w:tcW w:w="31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14,693,609.34</w:t>
            </w:r>
          </w:p>
        </w:tc>
      </w:tr>
    </w:tbl>
    <w:p>
      <w:pPr>
        <w:spacing w:line="240" w:lineRule="auto" w:before="8"/>
        <w:rPr>
          <w:rFonts w:ascii="宋体" w:hAnsi="宋体" w:cs="宋体" w:eastAsia="宋体" w:hint="default"/>
          <w:sz w:val="8"/>
          <w:szCs w:val="8"/>
        </w:rPr>
      </w:pPr>
    </w:p>
    <w:p>
      <w:pPr>
        <w:pStyle w:val="BodyText"/>
        <w:spacing w:line="362" w:lineRule="auto" w:before="36"/>
        <w:ind w:left="233" w:right="0" w:firstLine="419"/>
        <w:jc w:val="left"/>
      </w:pPr>
      <w:r>
        <w:rPr>
          <w:spacing w:val="-2"/>
        </w:rPr>
        <w:t>注：应交税费</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日比</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日增长了</w:t>
      </w:r>
      <w:r>
        <w:rPr>
          <w:rFonts w:ascii="Times New Roman" w:hAnsi="Times New Roman" w:cs="Times New Roman" w:eastAsia="Times New Roman" w:hint="default"/>
          <w:spacing w:val="-2"/>
        </w:rPr>
        <w:t>115.29</w:t>
      </w:r>
      <w:r>
        <w:rPr>
          <w:spacing w:val="-2"/>
        </w:rPr>
        <w:t>％，主要系本期计提的企业所得税尚未</w:t>
      </w:r>
      <w:r>
        <w:rPr>
          <w:w w:val="100"/>
        </w:rPr>
        <w:t> </w:t>
      </w:r>
      <w:r>
        <w:rPr/>
        <w:t>缴纳所致。</w:t>
      </w:r>
    </w:p>
    <w:p>
      <w:pPr>
        <w:spacing w:after="0" w:line="362" w:lineRule="auto"/>
        <w:jc w:val="left"/>
        <w:sectPr>
          <w:pgSz w:w="11910" w:h="16840"/>
          <w:pgMar w:header="850" w:footer="979" w:top="1200" w:bottom="1160" w:left="900" w:right="920"/>
        </w:sectPr>
      </w:pPr>
    </w:p>
    <w:p>
      <w:pPr>
        <w:spacing w:line="240" w:lineRule="auto" w:before="11"/>
        <w:rPr>
          <w:rFonts w:ascii="宋体" w:hAnsi="宋体" w:cs="宋体" w:eastAsia="宋体" w:hint="default"/>
          <w:sz w:val="13"/>
          <w:szCs w:val="13"/>
        </w:rPr>
      </w:pPr>
    </w:p>
    <w:p>
      <w:pPr>
        <w:pStyle w:val="BodyText"/>
        <w:spacing w:line="240" w:lineRule="auto" w:before="36"/>
        <w:ind w:left="672" w:right="0"/>
        <w:jc w:val="left"/>
      </w:pPr>
      <w:r>
        <w:rPr>
          <w:rFonts w:ascii="Times New Roman" w:hAnsi="Times New Roman" w:cs="Times New Roman" w:eastAsia="Times New Roman" w:hint="default"/>
        </w:rPr>
        <w:t>23</w:t>
      </w:r>
      <w:r>
        <w:rPr/>
        <w:t>．其他应付款</w:t>
      </w:r>
    </w:p>
    <w:tbl>
      <w:tblPr>
        <w:tblW w:w="0" w:type="auto"/>
        <w:jc w:val="left"/>
        <w:tblInd w:w="116" w:type="dxa"/>
        <w:tblLayout w:type="fixed"/>
        <w:tblCellMar>
          <w:top w:w="0" w:type="dxa"/>
          <w:left w:w="0" w:type="dxa"/>
          <w:bottom w:w="0" w:type="dxa"/>
          <w:right w:w="0" w:type="dxa"/>
        </w:tblCellMar>
        <w:tblLook w:val="01E0"/>
      </w:tblPr>
      <w:tblGrid>
        <w:gridCol w:w="4697"/>
        <w:gridCol w:w="2580"/>
        <w:gridCol w:w="2592"/>
      </w:tblGrid>
      <w:tr>
        <w:trPr>
          <w:trHeight w:val="480" w:hRule="exact"/>
        </w:trPr>
        <w:tc>
          <w:tcPr>
            <w:tcW w:w="4697"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5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80" w:hRule="exact"/>
        </w:trPr>
        <w:tc>
          <w:tcPr>
            <w:tcW w:w="4697"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60" w:right="0"/>
              <w:jc w:val="left"/>
              <w:rPr>
                <w:rFonts w:ascii="Times New Roman" w:hAnsi="Times New Roman" w:cs="Times New Roman" w:eastAsia="Times New Roman" w:hint="default"/>
                <w:sz w:val="21"/>
                <w:szCs w:val="21"/>
              </w:rPr>
            </w:pPr>
            <w:r>
              <w:rPr>
                <w:rFonts w:ascii="Times New Roman"/>
                <w:sz w:val="21"/>
              </w:rPr>
              <w:t>27,521,081.16</w:t>
            </w:r>
          </w:p>
        </w:tc>
        <w:tc>
          <w:tcPr>
            <w:tcW w:w="25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71" w:right="0"/>
              <w:jc w:val="left"/>
              <w:rPr>
                <w:rFonts w:ascii="Times New Roman" w:hAnsi="Times New Roman" w:cs="Times New Roman" w:eastAsia="Times New Roman" w:hint="default"/>
                <w:sz w:val="21"/>
                <w:szCs w:val="21"/>
              </w:rPr>
            </w:pPr>
            <w:r>
              <w:rPr>
                <w:rFonts w:ascii="Times New Roman"/>
                <w:sz w:val="21"/>
              </w:rPr>
              <w:t>31,048,965.15</w:t>
            </w:r>
          </w:p>
        </w:tc>
      </w:tr>
    </w:tbl>
    <w:p>
      <w:pPr>
        <w:spacing w:line="240" w:lineRule="auto" w:before="3"/>
        <w:rPr>
          <w:rFonts w:ascii="宋体" w:hAnsi="宋体" w:cs="宋体" w:eastAsia="宋体" w:hint="default"/>
          <w:sz w:val="10"/>
          <w:szCs w:val="10"/>
        </w:rPr>
      </w:pPr>
    </w:p>
    <w:p>
      <w:pPr>
        <w:pStyle w:val="BodyText"/>
        <w:spacing w:line="240" w:lineRule="auto" w:before="36"/>
        <w:ind w:left="672" w:right="0"/>
        <w:jc w:val="left"/>
      </w:pPr>
      <w:r>
        <w:rPr/>
        <w:t>（</w:t>
      </w:r>
      <w:r>
        <w:rPr>
          <w:rFonts w:ascii="Times New Roman" w:hAnsi="Times New Roman" w:cs="Times New Roman" w:eastAsia="Times New Roman" w:hint="default"/>
        </w:rPr>
        <w:t>1</w:t>
      </w:r>
      <w:r>
        <w:rPr/>
        <w:t>）其他应付款按币种列示如下：</w:t>
      </w:r>
    </w:p>
    <w:tbl>
      <w:tblPr>
        <w:tblW w:w="0" w:type="auto"/>
        <w:jc w:val="left"/>
        <w:tblInd w:w="130" w:type="dxa"/>
        <w:tblLayout w:type="fixed"/>
        <w:tblCellMar>
          <w:top w:w="0" w:type="dxa"/>
          <w:left w:w="0" w:type="dxa"/>
          <w:bottom w:w="0" w:type="dxa"/>
          <w:right w:w="0" w:type="dxa"/>
        </w:tblCellMar>
        <w:tblLook w:val="01E0"/>
      </w:tblPr>
      <w:tblGrid>
        <w:gridCol w:w="1978"/>
        <w:gridCol w:w="1668"/>
        <w:gridCol w:w="2009"/>
        <w:gridCol w:w="1807"/>
        <w:gridCol w:w="2407"/>
      </w:tblGrid>
      <w:tr>
        <w:trPr>
          <w:trHeight w:val="485" w:hRule="exact"/>
        </w:trPr>
        <w:tc>
          <w:tcPr>
            <w:tcW w:w="1978"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1207" w:val="left" w:leader="none"/>
              </w:tabs>
              <w:spacing w:line="240" w:lineRule="auto" w:before="136"/>
              <w:ind w:left="57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1"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53"/>
              <w:ind w:right="4"/>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90" w:hRule="exact"/>
        </w:trPr>
        <w:tc>
          <w:tcPr>
            <w:tcW w:w="1978" w:type="dxa"/>
            <w:vMerge/>
            <w:tcBorders>
              <w:left w:val="nil" w:sz="6" w:space="0" w:color="auto"/>
              <w:bottom w:val="single" w:sz="8" w:space="0" w:color="000000"/>
              <w:right w:val="single" w:sz="8" w:space="0" w:color="000000"/>
            </w:tcBorders>
          </w:tcPr>
          <w:p>
            <w:pP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2"/>
              <w:ind w:left="7"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240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2"/>
              <w:ind w:right="4"/>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73" w:hRule="exact"/>
        </w:trPr>
        <w:tc>
          <w:tcPr>
            <w:tcW w:w="1978" w:type="dxa"/>
            <w:tcBorders>
              <w:top w:val="single" w:sz="8" w:space="0" w:color="000000"/>
              <w:left w:val="nil" w:sz="6" w:space="0" w:color="auto"/>
              <w:bottom w:val="nil" w:sz="6" w:space="0" w:color="auto"/>
              <w:right w:val="single" w:sz="8"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RMB</w:t>
            </w:r>
          </w:p>
        </w:tc>
        <w:tc>
          <w:tcPr>
            <w:tcW w:w="2009"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26,058,071.98</w:t>
            </w:r>
          </w:p>
        </w:tc>
        <w:tc>
          <w:tcPr>
            <w:tcW w:w="180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2407" w:type="dxa"/>
            <w:tcBorders>
              <w:top w:val="single" w:sz="8" w:space="0" w:color="000000"/>
              <w:left w:val="single" w:sz="8"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26,058,071.98</w:t>
            </w:r>
          </w:p>
        </w:tc>
      </w:tr>
      <w:tr>
        <w:trPr>
          <w:trHeight w:val="461" w:hRule="exact"/>
        </w:trPr>
        <w:tc>
          <w:tcPr>
            <w:tcW w:w="1978" w:type="dxa"/>
            <w:tcBorders>
              <w:top w:val="nil" w:sz="6" w:space="0" w:color="auto"/>
              <w:left w:val="nil" w:sz="6" w:space="0" w:color="auto"/>
              <w:bottom w:val="nil" w:sz="6" w:space="0" w:color="auto"/>
              <w:right w:val="single" w:sz="8"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8" w:type="dxa"/>
            <w:tcBorders>
              <w:top w:val="nil" w:sz="6" w:space="0" w:color="auto"/>
              <w:left w:val="single" w:sz="8" w:space="0" w:color="000000"/>
              <w:bottom w:val="nil" w:sz="6" w:space="0" w:color="auto"/>
              <w:right w:val="single" w:sz="8" w:space="0" w:color="000000"/>
            </w:tcBorders>
          </w:tcPr>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spacing w:val="-3"/>
                <w:sz w:val="21"/>
              </w:rPr>
              <w:t>HKD</w:t>
            </w:r>
            <w:r>
              <w:rPr>
                <w:rFonts w:ascii="Times New Roman"/>
                <w:sz w:val="21"/>
              </w:rPr>
            </w:r>
          </w:p>
        </w:tc>
        <w:tc>
          <w:tcPr>
            <w:tcW w:w="2009" w:type="dxa"/>
            <w:tcBorders>
              <w:top w:val="nil" w:sz="6" w:space="0" w:color="auto"/>
              <w:left w:val="single" w:sz="8" w:space="0" w:color="000000"/>
              <w:bottom w:val="nil" w:sz="6" w:space="0" w:color="auto"/>
              <w:right w:val="single" w:sz="8"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1,022,199.09</w:t>
            </w:r>
          </w:p>
        </w:tc>
        <w:tc>
          <w:tcPr>
            <w:tcW w:w="1807" w:type="dxa"/>
            <w:tcBorders>
              <w:top w:val="nil" w:sz="6" w:space="0" w:color="auto"/>
              <w:left w:val="single" w:sz="8" w:space="0" w:color="000000"/>
              <w:bottom w:val="nil" w:sz="6" w:space="0" w:color="auto"/>
              <w:right w:val="single" w:sz="8" w:space="0" w:color="000000"/>
            </w:tcBorders>
          </w:tcPr>
          <w:p>
            <w:pPr>
              <w:pStyle w:val="TableParagraph"/>
              <w:spacing w:line="240" w:lineRule="auto" w:before="109"/>
              <w:ind w:left="2" w:right="0"/>
              <w:jc w:val="center"/>
              <w:rPr>
                <w:rFonts w:ascii="Times New Roman" w:hAnsi="Times New Roman" w:cs="Times New Roman" w:eastAsia="Times New Roman" w:hint="default"/>
                <w:sz w:val="21"/>
                <w:szCs w:val="21"/>
              </w:rPr>
            </w:pPr>
            <w:r>
              <w:rPr>
                <w:rFonts w:ascii="Times New Roman"/>
                <w:sz w:val="21"/>
              </w:rPr>
              <w:t>0.8107</w:t>
            </w:r>
          </w:p>
        </w:tc>
        <w:tc>
          <w:tcPr>
            <w:tcW w:w="2407" w:type="dxa"/>
            <w:tcBorders>
              <w:top w:val="nil" w:sz="6" w:space="0" w:color="auto"/>
              <w:left w:val="single" w:sz="8"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828,696.80</w:t>
            </w:r>
          </w:p>
        </w:tc>
      </w:tr>
      <w:tr>
        <w:trPr>
          <w:trHeight w:val="460" w:hRule="exact"/>
        </w:trPr>
        <w:tc>
          <w:tcPr>
            <w:tcW w:w="1978" w:type="dxa"/>
            <w:tcBorders>
              <w:top w:val="nil" w:sz="6" w:space="0" w:color="auto"/>
              <w:left w:val="nil" w:sz="6" w:space="0" w:color="auto"/>
              <w:bottom w:val="nil" w:sz="6" w:space="0" w:color="auto"/>
              <w:right w:val="single" w:sz="8"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8" w:type="dxa"/>
            <w:tcBorders>
              <w:top w:val="nil" w:sz="6" w:space="0" w:color="auto"/>
              <w:left w:val="single" w:sz="8" w:space="0" w:color="000000"/>
              <w:bottom w:val="nil" w:sz="6" w:space="0" w:color="auto"/>
              <w:right w:val="single" w:sz="8" w:space="0" w:color="000000"/>
            </w:tcBorders>
          </w:tcPr>
          <w:p>
            <w:pPr>
              <w:pStyle w:val="TableParagraph"/>
              <w:spacing w:line="240" w:lineRule="auto" w:before="109"/>
              <w:ind w:left="4" w:right="0"/>
              <w:jc w:val="center"/>
              <w:rPr>
                <w:rFonts w:ascii="Times New Roman" w:hAnsi="Times New Roman" w:cs="Times New Roman" w:eastAsia="Times New Roman" w:hint="default"/>
                <w:sz w:val="21"/>
                <w:szCs w:val="21"/>
              </w:rPr>
            </w:pPr>
            <w:r>
              <w:rPr>
                <w:rFonts w:ascii="Times New Roman"/>
                <w:sz w:val="21"/>
              </w:rPr>
              <w:t>SGD</w:t>
            </w:r>
          </w:p>
        </w:tc>
        <w:tc>
          <w:tcPr>
            <w:tcW w:w="2009" w:type="dxa"/>
            <w:tcBorders>
              <w:top w:val="nil" w:sz="6" w:space="0" w:color="auto"/>
              <w:left w:val="single" w:sz="8" w:space="0" w:color="000000"/>
              <w:bottom w:val="nil" w:sz="6" w:space="0" w:color="auto"/>
              <w:right w:val="single" w:sz="8"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108,469.18</w:t>
            </w:r>
          </w:p>
        </w:tc>
        <w:tc>
          <w:tcPr>
            <w:tcW w:w="1807" w:type="dxa"/>
            <w:tcBorders>
              <w:top w:val="nil" w:sz="6" w:space="0" w:color="auto"/>
              <w:left w:val="single" w:sz="8" w:space="0" w:color="000000"/>
              <w:bottom w:val="nil" w:sz="6" w:space="0" w:color="auto"/>
              <w:right w:val="single" w:sz="8" w:space="0" w:color="000000"/>
            </w:tcBorders>
          </w:tcPr>
          <w:p>
            <w:pPr>
              <w:pStyle w:val="TableParagraph"/>
              <w:spacing w:line="240" w:lineRule="auto" w:before="109"/>
              <w:ind w:left="2" w:right="0"/>
              <w:jc w:val="center"/>
              <w:rPr>
                <w:rFonts w:ascii="Times New Roman" w:hAnsi="Times New Roman" w:cs="Times New Roman" w:eastAsia="Times New Roman" w:hint="default"/>
                <w:sz w:val="21"/>
                <w:szCs w:val="21"/>
              </w:rPr>
            </w:pPr>
            <w:r>
              <w:rPr>
                <w:rFonts w:ascii="Times New Roman"/>
                <w:sz w:val="21"/>
              </w:rPr>
              <w:t>4.8475</w:t>
            </w:r>
          </w:p>
        </w:tc>
        <w:tc>
          <w:tcPr>
            <w:tcW w:w="2407" w:type="dxa"/>
            <w:tcBorders>
              <w:top w:val="nil" w:sz="6" w:space="0" w:color="auto"/>
              <w:left w:val="single" w:sz="8"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525,802.18</w:t>
            </w:r>
          </w:p>
        </w:tc>
      </w:tr>
      <w:tr>
        <w:trPr>
          <w:trHeight w:val="367" w:hRule="exact"/>
        </w:trPr>
        <w:tc>
          <w:tcPr>
            <w:tcW w:w="1978" w:type="dxa"/>
            <w:tcBorders>
              <w:top w:val="nil" w:sz="6" w:space="0" w:color="auto"/>
              <w:left w:val="nil" w:sz="6" w:space="0" w:color="auto"/>
              <w:bottom w:val="single" w:sz="8"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8"/>
              <w:ind w:left="5" w:right="0"/>
              <w:jc w:val="center"/>
              <w:rPr>
                <w:rFonts w:ascii="Times New Roman" w:hAnsi="Times New Roman" w:cs="Times New Roman" w:eastAsia="Times New Roman" w:hint="default"/>
                <w:sz w:val="21"/>
                <w:szCs w:val="21"/>
              </w:rPr>
            </w:pPr>
            <w:r>
              <w:rPr>
                <w:rFonts w:ascii="Times New Roman"/>
                <w:sz w:val="21"/>
              </w:rPr>
              <w:t>MYC</w:t>
            </w:r>
          </w:p>
        </w:tc>
        <w:tc>
          <w:tcPr>
            <w:tcW w:w="200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54,751.42</w:t>
            </w:r>
          </w:p>
        </w:tc>
        <w:tc>
          <w:tcPr>
            <w:tcW w:w="180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8"/>
              <w:ind w:left="2" w:right="0"/>
              <w:jc w:val="center"/>
              <w:rPr>
                <w:rFonts w:ascii="Times New Roman" w:hAnsi="Times New Roman" w:cs="Times New Roman" w:eastAsia="Times New Roman" w:hint="default"/>
                <w:sz w:val="21"/>
                <w:szCs w:val="21"/>
              </w:rPr>
            </w:pPr>
            <w:r>
              <w:rPr>
                <w:rFonts w:ascii="Times New Roman"/>
                <w:sz w:val="21"/>
              </w:rPr>
              <w:t>1.9819</w:t>
            </w:r>
          </w:p>
        </w:tc>
        <w:tc>
          <w:tcPr>
            <w:tcW w:w="2407" w:type="dxa"/>
            <w:tcBorders>
              <w:top w:val="nil" w:sz="6" w:space="0" w:color="auto"/>
              <w:left w:val="single" w:sz="8" w:space="0" w:color="000000"/>
              <w:bottom w:val="single" w:sz="8"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108,510.20</w:t>
            </w:r>
          </w:p>
        </w:tc>
      </w:tr>
      <w:tr>
        <w:trPr>
          <w:trHeight w:val="487" w:hRule="exact"/>
        </w:trPr>
        <w:tc>
          <w:tcPr>
            <w:tcW w:w="1978" w:type="dxa"/>
            <w:tcBorders>
              <w:top w:val="single" w:sz="8" w:space="0" w:color="000000"/>
              <w:left w:val="nil" w:sz="6" w:space="0" w:color="auto"/>
              <w:bottom w:val="single" w:sz="12" w:space="0" w:color="000000"/>
              <w:right w:val="single" w:sz="8" w:space="0" w:color="000000"/>
            </w:tcBorders>
          </w:tcPr>
          <w:p>
            <w:pPr>
              <w:pStyle w:val="TableParagraph"/>
              <w:tabs>
                <w:tab w:pos="1207" w:val="left" w:leader="none"/>
              </w:tabs>
              <w:spacing w:line="240" w:lineRule="auto" w:before="153"/>
              <w:ind w:left="5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6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0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0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40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27,521,081.16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30" w:type="dxa"/>
        <w:tblLayout w:type="fixed"/>
        <w:tblCellMar>
          <w:top w:w="0" w:type="dxa"/>
          <w:left w:w="0" w:type="dxa"/>
          <w:bottom w:w="0" w:type="dxa"/>
          <w:right w:w="0" w:type="dxa"/>
        </w:tblCellMar>
        <w:tblLook w:val="01E0"/>
      </w:tblPr>
      <w:tblGrid>
        <w:gridCol w:w="1978"/>
        <w:gridCol w:w="1668"/>
        <w:gridCol w:w="2009"/>
        <w:gridCol w:w="1807"/>
        <w:gridCol w:w="2407"/>
      </w:tblGrid>
      <w:tr>
        <w:trPr>
          <w:trHeight w:val="485" w:hRule="exact"/>
        </w:trPr>
        <w:tc>
          <w:tcPr>
            <w:tcW w:w="1978"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1207" w:val="left" w:leader="none"/>
              </w:tabs>
              <w:spacing w:line="240" w:lineRule="auto" w:before="138"/>
              <w:ind w:left="57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1"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55"/>
              <w:ind w:right="4"/>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2" w:hRule="exact"/>
        </w:trPr>
        <w:tc>
          <w:tcPr>
            <w:tcW w:w="1978" w:type="dxa"/>
            <w:vMerge/>
            <w:tcBorders>
              <w:left w:val="nil" w:sz="6" w:space="0" w:color="auto"/>
              <w:bottom w:val="single" w:sz="8" w:space="0" w:color="000000"/>
              <w:right w:val="single" w:sz="8" w:space="0" w:color="000000"/>
            </w:tcBorders>
          </w:tcPr>
          <w:p>
            <w:pP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5"/>
              <w:ind w:left="7"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5"/>
              <w:ind w:left="2"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5"/>
              <w:ind w:left="2"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240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5"/>
              <w:ind w:right="4"/>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73" w:hRule="exact"/>
        </w:trPr>
        <w:tc>
          <w:tcPr>
            <w:tcW w:w="1978" w:type="dxa"/>
            <w:tcBorders>
              <w:top w:val="single" w:sz="8" w:space="0" w:color="000000"/>
              <w:left w:val="nil" w:sz="6" w:space="0" w:color="auto"/>
              <w:bottom w:val="nil" w:sz="6" w:space="0" w:color="auto"/>
              <w:right w:val="single" w:sz="8"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RMB</w:t>
            </w:r>
          </w:p>
        </w:tc>
        <w:tc>
          <w:tcPr>
            <w:tcW w:w="2009"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29,583,855.49</w:t>
            </w:r>
          </w:p>
        </w:tc>
        <w:tc>
          <w:tcPr>
            <w:tcW w:w="180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2407" w:type="dxa"/>
            <w:tcBorders>
              <w:top w:val="single" w:sz="8" w:space="0" w:color="000000"/>
              <w:left w:val="single" w:sz="8"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29,583,855.49</w:t>
            </w:r>
          </w:p>
        </w:tc>
      </w:tr>
      <w:tr>
        <w:trPr>
          <w:trHeight w:val="460" w:hRule="exact"/>
        </w:trPr>
        <w:tc>
          <w:tcPr>
            <w:tcW w:w="1978" w:type="dxa"/>
            <w:tcBorders>
              <w:top w:val="nil" w:sz="6" w:space="0" w:color="auto"/>
              <w:left w:val="nil" w:sz="6" w:space="0" w:color="auto"/>
              <w:bottom w:val="nil" w:sz="6" w:space="0" w:color="auto"/>
              <w:right w:val="single" w:sz="8"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8" w:type="dxa"/>
            <w:tcBorders>
              <w:top w:val="nil" w:sz="6" w:space="0" w:color="auto"/>
              <w:left w:val="single" w:sz="8" w:space="0" w:color="000000"/>
              <w:bottom w:val="nil" w:sz="6" w:space="0" w:color="auto"/>
              <w:right w:val="single" w:sz="8" w:space="0" w:color="000000"/>
            </w:tcBorders>
          </w:tcPr>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spacing w:val="-3"/>
                <w:sz w:val="21"/>
              </w:rPr>
              <w:t>HKD</w:t>
            </w:r>
            <w:r>
              <w:rPr>
                <w:rFonts w:ascii="Times New Roman"/>
                <w:sz w:val="21"/>
              </w:rPr>
            </w:r>
          </w:p>
        </w:tc>
        <w:tc>
          <w:tcPr>
            <w:tcW w:w="2009" w:type="dxa"/>
            <w:tcBorders>
              <w:top w:val="nil" w:sz="6" w:space="0" w:color="auto"/>
              <w:left w:val="single" w:sz="8" w:space="0" w:color="000000"/>
              <w:bottom w:val="nil" w:sz="6" w:space="0" w:color="auto"/>
              <w:right w:val="single" w:sz="8" w:space="0" w:color="000000"/>
            </w:tcBorders>
          </w:tcPr>
          <w:p>
            <w:pPr>
              <w:pStyle w:val="TableParagraph"/>
              <w:spacing w:line="240" w:lineRule="auto" w:before="109"/>
              <w:ind w:right="93"/>
              <w:jc w:val="right"/>
              <w:rPr>
                <w:rFonts w:ascii="Times New Roman" w:hAnsi="Times New Roman" w:cs="Times New Roman" w:eastAsia="Times New Roman" w:hint="default"/>
                <w:sz w:val="21"/>
                <w:szCs w:val="21"/>
              </w:rPr>
            </w:pPr>
            <w:r>
              <w:rPr>
                <w:rFonts w:ascii="Times New Roman"/>
                <w:spacing w:val="-1"/>
                <w:sz w:val="21"/>
              </w:rPr>
              <w:t>1,227,048.03</w:t>
            </w:r>
          </w:p>
        </w:tc>
        <w:tc>
          <w:tcPr>
            <w:tcW w:w="1807" w:type="dxa"/>
            <w:tcBorders>
              <w:top w:val="nil" w:sz="6" w:space="0" w:color="auto"/>
              <w:left w:val="single" w:sz="8" w:space="0" w:color="000000"/>
              <w:bottom w:val="nil" w:sz="6" w:space="0" w:color="auto"/>
              <w:right w:val="single" w:sz="8" w:space="0" w:color="000000"/>
            </w:tcBorders>
          </w:tcPr>
          <w:p>
            <w:pPr>
              <w:pStyle w:val="TableParagraph"/>
              <w:spacing w:line="240" w:lineRule="auto" w:before="109"/>
              <w:ind w:left="2" w:right="0"/>
              <w:jc w:val="center"/>
              <w:rPr>
                <w:rFonts w:ascii="Times New Roman" w:hAnsi="Times New Roman" w:cs="Times New Roman" w:eastAsia="Times New Roman" w:hint="default"/>
                <w:sz w:val="21"/>
                <w:szCs w:val="21"/>
              </w:rPr>
            </w:pPr>
            <w:r>
              <w:rPr>
                <w:rFonts w:ascii="Times New Roman"/>
                <w:sz w:val="21"/>
              </w:rPr>
              <w:t>0.8509</w:t>
            </w:r>
          </w:p>
        </w:tc>
        <w:tc>
          <w:tcPr>
            <w:tcW w:w="2407" w:type="dxa"/>
            <w:tcBorders>
              <w:top w:val="nil" w:sz="6" w:space="0" w:color="auto"/>
              <w:left w:val="single" w:sz="8"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1,044,095.17</w:t>
            </w:r>
          </w:p>
        </w:tc>
      </w:tr>
      <w:tr>
        <w:trPr>
          <w:trHeight w:val="460" w:hRule="exact"/>
        </w:trPr>
        <w:tc>
          <w:tcPr>
            <w:tcW w:w="1978" w:type="dxa"/>
            <w:tcBorders>
              <w:top w:val="nil" w:sz="6" w:space="0" w:color="auto"/>
              <w:left w:val="nil" w:sz="6" w:space="0" w:color="auto"/>
              <w:bottom w:val="nil" w:sz="6" w:space="0" w:color="auto"/>
              <w:right w:val="single" w:sz="8"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8"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left="4" w:right="0"/>
              <w:jc w:val="center"/>
              <w:rPr>
                <w:rFonts w:ascii="Times New Roman" w:hAnsi="Times New Roman" w:cs="Times New Roman" w:eastAsia="Times New Roman" w:hint="default"/>
                <w:sz w:val="21"/>
                <w:szCs w:val="21"/>
              </w:rPr>
            </w:pPr>
            <w:r>
              <w:rPr>
                <w:rFonts w:ascii="Times New Roman"/>
                <w:sz w:val="21"/>
              </w:rPr>
              <w:t>SGD</w:t>
            </w:r>
          </w:p>
        </w:tc>
        <w:tc>
          <w:tcPr>
            <w:tcW w:w="2009"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right="93"/>
              <w:jc w:val="right"/>
              <w:rPr>
                <w:rFonts w:ascii="Times New Roman" w:hAnsi="Times New Roman" w:cs="Times New Roman" w:eastAsia="Times New Roman" w:hint="default"/>
                <w:sz w:val="21"/>
                <w:szCs w:val="21"/>
              </w:rPr>
            </w:pPr>
            <w:r>
              <w:rPr>
                <w:rFonts w:ascii="Times New Roman"/>
                <w:spacing w:val="-1"/>
                <w:sz w:val="21"/>
              </w:rPr>
              <w:t>61,471.34</w:t>
            </w:r>
          </w:p>
        </w:tc>
        <w:tc>
          <w:tcPr>
            <w:tcW w:w="1807" w:type="dxa"/>
            <w:tcBorders>
              <w:top w:val="nil" w:sz="6" w:space="0" w:color="auto"/>
              <w:left w:val="single" w:sz="8" w:space="0" w:color="000000"/>
              <w:bottom w:val="nil" w:sz="6" w:space="0" w:color="auto"/>
              <w:right w:val="single" w:sz="8" w:space="0" w:color="000000"/>
            </w:tcBorders>
          </w:tcPr>
          <w:p>
            <w:pPr>
              <w:pStyle w:val="TableParagraph"/>
              <w:spacing w:line="240" w:lineRule="auto" w:before="108"/>
              <w:ind w:left="2" w:right="0"/>
              <w:jc w:val="center"/>
              <w:rPr>
                <w:rFonts w:ascii="Times New Roman" w:hAnsi="Times New Roman" w:cs="Times New Roman" w:eastAsia="Times New Roman" w:hint="default"/>
                <w:sz w:val="21"/>
                <w:szCs w:val="21"/>
              </w:rPr>
            </w:pPr>
            <w:r>
              <w:rPr>
                <w:rFonts w:ascii="Times New Roman"/>
                <w:sz w:val="21"/>
              </w:rPr>
              <w:t>5.1279</w:t>
            </w:r>
          </w:p>
        </w:tc>
        <w:tc>
          <w:tcPr>
            <w:tcW w:w="2407" w:type="dxa"/>
            <w:tcBorders>
              <w:top w:val="nil" w:sz="6" w:space="0" w:color="auto"/>
              <w:left w:val="single" w:sz="8" w:space="0" w:color="000000"/>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315,215.81</w:t>
            </w:r>
          </w:p>
        </w:tc>
      </w:tr>
      <w:tr>
        <w:trPr>
          <w:trHeight w:val="368" w:hRule="exact"/>
        </w:trPr>
        <w:tc>
          <w:tcPr>
            <w:tcW w:w="1978" w:type="dxa"/>
            <w:tcBorders>
              <w:top w:val="nil" w:sz="6" w:space="0" w:color="auto"/>
              <w:left w:val="nil" w:sz="6" w:space="0" w:color="auto"/>
              <w:bottom w:val="single" w:sz="8" w:space="0" w:color="000000"/>
              <w:right w:val="single" w:sz="8"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9"/>
              <w:ind w:left="5" w:right="0"/>
              <w:jc w:val="center"/>
              <w:rPr>
                <w:rFonts w:ascii="Times New Roman" w:hAnsi="Times New Roman" w:cs="Times New Roman" w:eastAsia="Times New Roman" w:hint="default"/>
                <w:sz w:val="21"/>
                <w:szCs w:val="21"/>
              </w:rPr>
            </w:pPr>
            <w:r>
              <w:rPr>
                <w:rFonts w:ascii="Times New Roman"/>
                <w:sz w:val="21"/>
              </w:rPr>
              <w:t>MYC</w:t>
            </w:r>
          </w:p>
        </w:tc>
        <w:tc>
          <w:tcPr>
            <w:tcW w:w="200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9"/>
              <w:ind w:right="93"/>
              <w:jc w:val="right"/>
              <w:rPr>
                <w:rFonts w:ascii="Times New Roman" w:hAnsi="Times New Roman" w:cs="Times New Roman" w:eastAsia="Times New Roman" w:hint="default"/>
                <w:sz w:val="21"/>
                <w:szCs w:val="21"/>
              </w:rPr>
            </w:pPr>
            <w:r>
              <w:rPr>
                <w:rFonts w:ascii="Times New Roman"/>
                <w:spacing w:val="-1"/>
                <w:sz w:val="21"/>
              </w:rPr>
              <w:t>49,208.69</w:t>
            </w:r>
          </w:p>
        </w:tc>
        <w:tc>
          <w:tcPr>
            <w:tcW w:w="180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9"/>
              <w:ind w:left="2" w:right="0"/>
              <w:jc w:val="center"/>
              <w:rPr>
                <w:rFonts w:ascii="Times New Roman" w:hAnsi="Times New Roman" w:cs="Times New Roman" w:eastAsia="Times New Roman" w:hint="default"/>
                <w:sz w:val="21"/>
                <w:szCs w:val="21"/>
              </w:rPr>
            </w:pPr>
            <w:r>
              <w:rPr>
                <w:rFonts w:ascii="Times New Roman"/>
                <w:sz w:val="21"/>
              </w:rPr>
              <w:t>2.1500</w:t>
            </w:r>
          </w:p>
        </w:tc>
        <w:tc>
          <w:tcPr>
            <w:tcW w:w="2407" w:type="dxa"/>
            <w:tcBorders>
              <w:top w:val="nil" w:sz="6" w:space="0" w:color="auto"/>
              <w:left w:val="single" w:sz="8" w:space="0" w:color="000000"/>
              <w:bottom w:val="single" w:sz="8" w:space="0" w:color="000000"/>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105,798.68</w:t>
            </w:r>
          </w:p>
        </w:tc>
      </w:tr>
      <w:tr>
        <w:trPr>
          <w:trHeight w:val="485" w:hRule="exact"/>
        </w:trPr>
        <w:tc>
          <w:tcPr>
            <w:tcW w:w="1978" w:type="dxa"/>
            <w:tcBorders>
              <w:top w:val="single" w:sz="8" w:space="0" w:color="000000"/>
              <w:left w:val="nil" w:sz="6" w:space="0" w:color="auto"/>
              <w:bottom w:val="single" w:sz="12" w:space="0" w:color="000000"/>
              <w:right w:val="single" w:sz="8" w:space="0" w:color="000000"/>
            </w:tcBorders>
          </w:tcPr>
          <w:p>
            <w:pPr>
              <w:pStyle w:val="TableParagraph"/>
              <w:tabs>
                <w:tab w:pos="1207" w:val="left" w:leader="none"/>
              </w:tabs>
              <w:spacing w:line="240" w:lineRule="auto" w:before="153"/>
              <w:ind w:left="5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6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0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0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40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31,048,965.15</w:t>
            </w:r>
          </w:p>
        </w:tc>
      </w:tr>
    </w:tbl>
    <w:p>
      <w:pPr>
        <w:spacing w:line="240" w:lineRule="auto" w:before="12"/>
        <w:rPr>
          <w:rFonts w:ascii="宋体" w:hAnsi="宋体" w:cs="宋体" w:eastAsia="宋体" w:hint="default"/>
          <w:sz w:val="8"/>
          <w:szCs w:val="8"/>
        </w:rPr>
      </w:pPr>
    </w:p>
    <w:p>
      <w:pPr>
        <w:pStyle w:val="BodyText"/>
        <w:spacing w:line="240" w:lineRule="auto" w:before="36"/>
        <w:ind w:left="732" w:right="0"/>
        <w:jc w:val="left"/>
      </w:pPr>
      <w:r>
        <w:rPr/>
        <w:t>（</w:t>
      </w:r>
      <w:r>
        <w:rPr>
          <w:rFonts w:ascii="Times New Roman" w:hAnsi="Times New Roman" w:cs="Times New Roman" w:eastAsia="Times New Roman" w:hint="default"/>
        </w:rPr>
        <w:t>2</w:t>
      </w:r>
      <w:r>
        <w:rPr/>
        <w:t>）其他应付款年末余额中无欠持本公司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）以上表决权股份的股东单位的款项。</w:t>
      </w:r>
    </w:p>
    <w:p>
      <w:pPr>
        <w:pStyle w:val="BodyText"/>
        <w:spacing w:line="240" w:lineRule="auto" w:before="170"/>
        <w:ind w:left="733" w:right="0"/>
        <w:jc w:val="left"/>
      </w:pPr>
      <w:r>
        <w:rPr/>
        <w:t>（</w:t>
      </w:r>
      <w:r>
        <w:rPr>
          <w:rFonts w:ascii="Times New Roman" w:hAnsi="Times New Roman" w:cs="Times New Roman" w:eastAsia="Times New Roman" w:hint="default"/>
        </w:rPr>
        <w:t>3</w:t>
      </w:r>
      <w:r>
        <w:rPr/>
        <w:t>）金额较大的其他应付款详细情况：</w:t>
      </w:r>
    </w:p>
    <w:tbl>
      <w:tblPr>
        <w:tblW w:w="0" w:type="auto"/>
        <w:jc w:val="left"/>
        <w:tblInd w:w="130" w:type="dxa"/>
        <w:tblLayout w:type="fixed"/>
        <w:tblCellMar>
          <w:top w:w="0" w:type="dxa"/>
          <w:left w:w="0" w:type="dxa"/>
          <w:bottom w:w="0" w:type="dxa"/>
          <w:right w:w="0" w:type="dxa"/>
        </w:tblCellMar>
        <w:tblLook w:val="01E0"/>
      </w:tblPr>
      <w:tblGrid>
        <w:gridCol w:w="3883"/>
        <w:gridCol w:w="2186"/>
        <w:gridCol w:w="3799"/>
      </w:tblGrid>
      <w:tr>
        <w:trPr>
          <w:trHeight w:val="482" w:hRule="exact"/>
        </w:trPr>
        <w:tc>
          <w:tcPr>
            <w:tcW w:w="3883" w:type="dxa"/>
            <w:tcBorders>
              <w:top w:val="single" w:sz="12" w:space="0" w:color="000000"/>
              <w:left w:val="nil" w:sz="6" w:space="0" w:color="auto"/>
              <w:bottom w:val="single" w:sz="4" w:space="0" w:color="000000"/>
              <w:right w:val="single" w:sz="4" w:space="0" w:color="000000"/>
            </w:tcBorders>
          </w:tcPr>
          <w:p>
            <w:pPr>
              <w:pStyle w:val="TableParagraph"/>
              <w:tabs>
                <w:tab w:pos="653" w:val="left" w:leader="none"/>
              </w:tabs>
              <w:spacing w:line="240" w:lineRule="auto" w:before="155"/>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86" w:type="dxa"/>
            <w:tcBorders>
              <w:top w:val="single" w:sz="12"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37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567" w:hRule="exact"/>
        </w:trPr>
        <w:tc>
          <w:tcPr>
            <w:tcW w:w="3883"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赵乃珂等四人</w:t>
            </w:r>
          </w:p>
        </w:tc>
        <w:tc>
          <w:tcPr>
            <w:tcW w:w="21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12,000,000.00</w:t>
            </w:r>
          </w:p>
        </w:tc>
        <w:tc>
          <w:tcPr>
            <w:tcW w:w="3799" w:type="dxa"/>
            <w:tcBorders>
              <w:top w:val="single" w:sz="4" w:space="0" w:color="000000"/>
              <w:left w:val="single" w:sz="4" w:space="0" w:color="000000"/>
              <w:bottom w:val="nil" w:sz="6" w:space="0" w:color="auto"/>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南京银石股权收购款</w:t>
            </w:r>
          </w:p>
        </w:tc>
      </w:tr>
      <w:tr>
        <w:trPr>
          <w:trHeight w:val="374" w:hRule="exact"/>
        </w:trPr>
        <w:tc>
          <w:tcPr>
            <w:tcW w:w="3883" w:type="dxa"/>
            <w:tcBorders>
              <w:top w:val="nil" w:sz="6" w:space="0" w:color="auto"/>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唐鸿鸣等六人</w:t>
            </w:r>
          </w:p>
        </w:tc>
        <w:tc>
          <w:tcPr>
            <w:tcW w:w="21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10,731,000.00</w:t>
            </w:r>
          </w:p>
        </w:tc>
        <w:tc>
          <w:tcPr>
            <w:tcW w:w="3799" w:type="dxa"/>
            <w:tcBorders>
              <w:top w:val="nil" w:sz="6" w:space="0" w:color="auto"/>
              <w:left w:val="single" w:sz="4" w:space="0" w:color="000000"/>
              <w:bottom w:val="single" w:sz="12" w:space="0" w:color="000000"/>
              <w:right w:val="nil" w:sz="6" w:space="0" w:color="auto"/>
            </w:tcBorders>
          </w:tcPr>
          <w:p>
            <w:pPr>
              <w:pStyle w:val="TableParagraph"/>
              <w:spacing w:line="240" w:lineRule="auto" w:before="49"/>
              <w:ind w:left="2" w:right="0"/>
              <w:jc w:val="center"/>
              <w:rPr>
                <w:rFonts w:ascii="宋体" w:hAnsi="宋体" w:cs="宋体" w:eastAsia="宋体" w:hint="default"/>
                <w:sz w:val="21"/>
                <w:szCs w:val="21"/>
              </w:rPr>
            </w:pPr>
            <w:r>
              <w:rPr>
                <w:rFonts w:ascii="宋体" w:hAnsi="宋体" w:cs="宋体" w:eastAsia="宋体" w:hint="default"/>
                <w:sz w:val="21"/>
                <w:szCs w:val="21"/>
              </w:rPr>
              <w:t>上海正品贵德股权收购款</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6"/>
        <w:ind w:left="672" w:right="0"/>
        <w:jc w:val="left"/>
      </w:pPr>
      <w:r>
        <w:rPr>
          <w:rFonts w:ascii="Times New Roman" w:hAnsi="Times New Roman" w:cs="Times New Roman" w:eastAsia="Times New Roman" w:hint="default"/>
        </w:rPr>
        <w:t>24</w:t>
      </w:r>
      <w:r>
        <w:rPr/>
        <w:t>．其他非流动负债</w:t>
      </w:r>
    </w:p>
    <w:tbl>
      <w:tblPr>
        <w:tblW w:w="0" w:type="auto"/>
        <w:jc w:val="left"/>
        <w:tblInd w:w="209" w:type="dxa"/>
        <w:tblLayout w:type="fixed"/>
        <w:tblCellMar>
          <w:top w:w="0" w:type="dxa"/>
          <w:left w:w="0" w:type="dxa"/>
          <w:bottom w:w="0" w:type="dxa"/>
          <w:right w:w="0" w:type="dxa"/>
        </w:tblCellMar>
        <w:tblLook w:val="01E0"/>
      </w:tblPr>
      <w:tblGrid>
        <w:gridCol w:w="4618"/>
        <w:gridCol w:w="2582"/>
        <w:gridCol w:w="2510"/>
      </w:tblGrid>
      <w:tr>
        <w:trPr>
          <w:trHeight w:val="480" w:hRule="exact"/>
        </w:trPr>
        <w:tc>
          <w:tcPr>
            <w:tcW w:w="4618" w:type="dxa"/>
            <w:tcBorders>
              <w:top w:val="single" w:sz="12" w:space="0" w:color="000000"/>
              <w:left w:val="nil" w:sz="6" w:space="0" w:color="auto"/>
              <w:bottom w:val="single" w:sz="4" w:space="0" w:color="000000"/>
              <w:right w:val="single" w:sz="4" w:space="0" w:color="000000"/>
            </w:tcBorders>
          </w:tcPr>
          <w:p>
            <w:pPr>
              <w:pStyle w:val="TableParagraph"/>
              <w:tabs>
                <w:tab w:pos="653" w:val="left" w:leader="none"/>
              </w:tabs>
              <w:spacing w:line="240" w:lineRule="auto" w:before="153"/>
              <w:ind w:left="2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3"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5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830"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68" w:hRule="exact"/>
        </w:trPr>
        <w:tc>
          <w:tcPr>
            <w:tcW w:w="4618"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中关村高科技产业促进中心项目</w:t>
            </w:r>
          </w:p>
        </w:tc>
        <w:tc>
          <w:tcPr>
            <w:tcW w:w="25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280,000.00</w:t>
            </w:r>
          </w:p>
        </w:tc>
        <w:tc>
          <w:tcPr>
            <w:tcW w:w="2510"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280,000.00</w:t>
            </w:r>
          </w:p>
        </w:tc>
      </w:tr>
      <w:tr>
        <w:trPr>
          <w:trHeight w:val="461" w:hRule="exact"/>
        </w:trPr>
        <w:tc>
          <w:tcPr>
            <w:tcW w:w="4618"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43" w:right="0"/>
              <w:jc w:val="left"/>
              <w:rPr>
                <w:rFonts w:ascii="宋体" w:hAnsi="宋体" w:cs="宋体" w:eastAsia="宋体" w:hint="default"/>
                <w:sz w:val="21"/>
                <w:szCs w:val="21"/>
              </w:rPr>
            </w:pPr>
            <w:r>
              <w:rPr>
                <w:rFonts w:ascii="宋体" w:hAnsi="宋体" w:cs="宋体" w:eastAsia="宋体" w:hint="default"/>
                <w:sz w:val="21"/>
                <w:szCs w:val="21"/>
              </w:rPr>
              <w:t>广西信息产业局</w:t>
            </w:r>
          </w:p>
        </w:tc>
        <w:tc>
          <w:tcPr>
            <w:tcW w:w="2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7"/>
              <w:jc w:val="right"/>
              <w:rPr>
                <w:rFonts w:ascii="Times New Roman" w:hAnsi="Times New Roman" w:cs="Times New Roman" w:eastAsia="Times New Roman" w:hint="default"/>
                <w:sz w:val="21"/>
                <w:szCs w:val="21"/>
              </w:rPr>
            </w:pPr>
            <w:r>
              <w:rPr>
                <w:rFonts w:ascii="Times New Roman"/>
                <w:spacing w:val="-1"/>
                <w:sz w:val="21"/>
              </w:rPr>
              <w:t>200,000.00</w:t>
            </w:r>
          </w:p>
        </w:tc>
        <w:tc>
          <w:tcPr>
            <w:tcW w:w="2510"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24"/>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373" w:hRule="exact"/>
        </w:trPr>
        <w:tc>
          <w:tcPr>
            <w:tcW w:w="4618"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left="43" w:right="0"/>
              <w:jc w:val="left"/>
              <w:rPr>
                <w:rFonts w:ascii="宋体" w:hAnsi="宋体" w:cs="宋体" w:eastAsia="宋体" w:hint="default"/>
                <w:sz w:val="21"/>
                <w:szCs w:val="21"/>
              </w:rPr>
            </w:pPr>
            <w:r>
              <w:rPr>
                <w:rFonts w:ascii="宋体" w:hAnsi="宋体" w:cs="宋体" w:eastAsia="宋体" w:hint="default"/>
                <w:sz w:val="21"/>
                <w:szCs w:val="21"/>
              </w:rPr>
              <w:t>西软酒店集团网络数据中心</w:t>
            </w:r>
          </w:p>
        </w:tc>
        <w:tc>
          <w:tcPr>
            <w:tcW w:w="25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17"/>
              <w:jc w:val="right"/>
              <w:rPr>
                <w:rFonts w:ascii="Times New Roman" w:hAnsi="Times New Roman" w:cs="Times New Roman" w:eastAsia="Times New Roman" w:hint="default"/>
                <w:sz w:val="21"/>
                <w:szCs w:val="21"/>
              </w:rPr>
            </w:pPr>
            <w:r>
              <w:rPr>
                <w:rFonts w:ascii="Times New Roman"/>
                <w:spacing w:val="-1"/>
                <w:sz w:val="21"/>
              </w:rPr>
              <w:t>252,000.00</w:t>
            </w:r>
          </w:p>
        </w:tc>
        <w:tc>
          <w:tcPr>
            <w:tcW w:w="2510" w:type="dxa"/>
            <w:tcBorders>
              <w:top w:val="nil" w:sz="6" w:space="0" w:color="auto"/>
              <w:left w:val="single" w:sz="4" w:space="0" w:color="000000"/>
              <w:bottom w:val="single" w:sz="12" w:space="0" w:color="000000"/>
              <w:right w:val="nil" w:sz="6" w:space="0" w:color="auto"/>
            </w:tcBorders>
          </w:tcPr>
          <w:p>
            <w:pPr>
              <w:pStyle w:val="TableParagraph"/>
              <w:spacing w:line="240" w:lineRule="auto" w:before="109"/>
              <w:ind w:right="24"/>
              <w:jc w:val="right"/>
              <w:rPr>
                <w:rFonts w:ascii="Times New Roman" w:hAnsi="Times New Roman" w:cs="Times New Roman" w:eastAsia="Times New Roman" w:hint="default"/>
                <w:sz w:val="21"/>
                <w:szCs w:val="21"/>
              </w:rPr>
            </w:pPr>
            <w:r>
              <w:rPr>
                <w:rFonts w:ascii="Times New Roman"/>
                <w:spacing w:val="-1"/>
                <w:sz w:val="21"/>
              </w:rPr>
              <w:t>252,000.00</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200" w:bottom="1160" w:left="880" w:right="880"/>
        </w:sectPr>
      </w:pPr>
    </w:p>
    <w:p>
      <w:pPr>
        <w:spacing w:line="240" w:lineRule="auto" w:before="10"/>
        <w:rPr>
          <w:rFonts w:ascii="宋体" w:hAnsi="宋体" w:cs="宋体" w:eastAsia="宋体" w:hint="default"/>
          <w:sz w:val="3"/>
          <w:szCs w:val="3"/>
        </w:rPr>
      </w:pPr>
    </w:p>
    <w:tbl>
      <w:tblPr>
        <w:tblW w:w="0" w:type="auto"/>
        <w:jc w:val="left"/>
        <w:tblInd w:w="169" w:type="dxa"/>
        <w:tblLayout w:type="fixed"/>
        <w:tblCellMar>
          <w:top w:w="0" w:type="dxa"/>
          <w:left w:w="0" w:type="dxa"/>
          <w:bottom w:w="0" w:type="dxa"/>
          <w:right w:w="0" w:type="dxa"/>
        </w:tblCellMar>
        <w:tblLook w:val="01E0"/>
      </w:tblPr>
      <w:tblGrid>
        <w:gridCol w:w="4618"/>
        <w:gridCol w:w="2582"/>
        <w:gridCol w:w="2510"/>
      </w:tblGrid>
      <w:tr>
        <w:trPr>
          <w:trHeight w:val="487" w:hRule="exact"/>
        </w:trPr>
        <w:tc>
          <w:tcPr>
            <w:tcW w:w="4618" w:type="dxa"/>
            <w:tcBorders>
              <w:top w:val="single" w:sz="17"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153"/>
              <w:ind w:right="187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8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51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53"/>
              <w:ind w:left="830"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68" w:hRule="exact"/>
        </w:trPr>
        <w:tc>
          <w:tcPr>
            <w:tcW w:w="4618"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w:t>
            </w:r>
          </w:p>
        </w:tc>
        <w:tc>
          <w:tcPr>
            <w:tcW w:w="2510"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5,000.00</w:t>
            </w:r>
          </w:p>
        </w:tc>
      </w:tr>
      <w:tr>
        <w:trPr>
          <w:trHeight w:val="461" w:hRule="exact"/>
        </w:trPr>
        <w:tc>
          <w:tcPr>
            <w:tcW w:w="4618"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43" w:right="0"/>
              <w:jc w:val="left"/>
              <w:rPr>
                <w:rFonts w:ascii="宋体" w:hAnsi="宋体" w:cs="宋体" w:eastAsia="宋体" w:hint="default"/>
                <w:sz w:val="21"/>
                <w:szCs w:val="21"/>
              </w:rPr>
            </w:pPr>
            <w:r>
              <w:rPr>
                <w:rFonts w:ascii="宋体" w:hAnsi="宋体" w:cs="宋体" w:eastAsia="宋体" w:hint="default"/>
                <w:sz w:val="21"/>
                <w:szCs w:val="21"/>
              </w:rPr>
              <w:t>广西科技厅</w:t>
            </w:r>
          </w:p>
        </w:tc>
        <w:tc>
          <w:tcPr>
            <w:tcW w:w="2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7"/>
              <w:jc w:val="right"/>
              <w:rPr>
                <w:rFonts w:ascii="Times New Roman" w:hAnsi="Times New Roman" w:cs="Times New Roman" w:eastAsia="Times New Roman" w:hint="default"/>
                <w:sz w:val="21"/>
                <w:szCs w:val="21"/>
              </w:rPr>
            </w:pPr>
            <w:r>
              <w:rPr>
                <w:rFonts w:ascii="Times New Roman"/>
                <w:spacing w:val="-1"/>
                <w:sz w:val="21"/>
              </w:rPr>
              <w:t>150,000.00</w:t>
            </w:r>
          </w:p>
        </w:tc>
        <w:tc>
          <w:tcPr>
            <w:tcW w:w="2510" w:type="dxa"/>
            <w:vMerge/>
            <w:tcBorders>
              <w:left w:val="single" w:sz="4" w:space="0" w:color="000000"/>
              <w:right w:val="nil" w:sz="6" w:space="0" w:color="auto"/>
            </w:tcBorders>
          </w:tcPr>
          <w:p>
            <w:pPr/>
          </w:p>
        </w:tc>
      </w:tr>
      <w:tr>
        <w:trPr>
          <w:trHeight w:val="361" w:hRule="exact"/>
        </w:trPr>
        <w:tc>
          <w:tcPr>
            <w:tcW w:w="4618" w:type="dxa"/>
            <w:tcBorders>
              <w:top w:val="nil" w:sz="6" w:space="0" w:color="auto"/>
              <w:left w:val="nil" w:sz="6" w:space="0" w:color="auto"/>
              <w:bottom w:val="single" w:sz="4" w:space="0" w:color="000000"/>
              <w:right w:val="single" w:sz="4" w:space="0" w:color="000000"/>
            </w:tcBorders>
          </w:tcPr>
          <w:p>
            <w:pPr>
              <w:pStyle w:val="TableParagraph"/>
              <w:spacing w:line="240" w:lineRule="auto" w:before="50"/>
              <w:ind w:left="43" w:right="0"/>
              <w:jc w:val="left"/>
              <w:rPr>
                <w:rFonts w:ascii="宋体" w:hAnsi="宋体" w:cs="宋体" w:eastAsia="宋体" w:hint="default"/>
                <w:sz w:val="21"/>
                <w:szCs w:val="21"/>
              </w:rPr>
            </w:pPr>
            <w:r>
              <w:rPr>
                <w:rFonts w:ascii="宋体" w:hAnsi="宋体" w:cs="宋体" w:eastAsia="宋体" w:hint="default"/>
                <w:sz w:val="21"/>
                <w:szCs w:val="21"/>
              </w:rPr>
              <w:t>广西工信委</w:t>
            </w:r>
          </w:p>
        </w:tc>
        <w:tc>
          <w:tcPr>
            <w:tcW w:w="25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17"/>
              <w:jc w:val="right"/>
              <w:rPr>
                <w:rFonts w:ascii="Times New Roman" w:hAnsi="Times New Roman" w:cs="Times New Roman" w:eastAsia="Times New Roman" w:hint="default"/>
                <w:sz w:val="21"/>
                <w:szCs w:val="21"/>
              </w:rPr>
            </w:pPr>
            <w:r>
              <w:rPr>
                <w:rFonts w:ascii="Times New Roman"/>
                <w:spacing w:val="-1"/>
                <w:sz w:val="21"/>
              </w:rPr>
              <w:t>300,000.00</w:t>
            </w:r>
          </w:p>
        </w:tc>
        <w:tc>
          <w:tcPr>
            <w:tcW w:w="2510" w:type="dxa"/>
            <w:vMerge/>
            <w:tcBorders>
              <w:left w:val="single" w:sz="4" w:space="0" w:color="000000"/>
              <w:bottom w:val="single" w:sz="4" w:space="0" w:color="000000"/>
              <w:right w:val="nil" w:sz="6" w:space="0" w:color="auto"/>
            </w:tcBorders>
          </w:tcPr>
          <w:p>
            <w:pPr/>
          </w:p>
        </w:tc>
      </w:tr>
      <w:tr>
        <w:trPr>
          <w:trHeight w:val="482" w:hRule="exact"/>
        </w:trPr>
        <w:tc>
          <w:tcPr>
            <w:tcW w:w="4618"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153"/>
              <w:ind w:right="187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1,187,000.00</w:t>
            </w:r>
            <w:r>
              <w:rPr>
                <w:rFonts w:ascii="Times New Roman"/>
                <w:sz w:val="21"/>
              </w:rPr>
            </w:r>
          </w:p>
        </w:tc>
        <w:tc>
          <w:tcPr>
            <w:tcW w:w="25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31" w:right="0"/>
              <w:jc w:val="left"/>
              <w:rPr>
                <w:rFonts w:ascii="Times New Roman" w:hAnsi="Times New Roman" w:cs="Times New Roman" w:eastAsia="Times New Roman" w:hint="default"/>
                <w:sz w:val="21"/>
                <w:szCs w:val="21"/>
              </w:rPr>
            </w:pPr>
            <w:r>
              <w:rPr>
                <w:rFonts w:ascii="Times New Roman"/>
                <w:sz w:val="21"/>
              </w:rPr>
              <w:t>737,000.00</w:t>
            </w:r>
          </w:p>
        </w:tc>
      </w:tr>
    </w:tbl>
    <w:p>
      <w:pPr>
        <w:spacing w:line="240" w:lineRule="auto" w:before="12"/>
        <w:rPr>
          <w:rFonts w:ascii="宋体" w:hAnsi="宋体" w:cs="宋体" w:eastAsia="宋体" w:hint="default"/>
          <w:sz w:val="8"/>
          <w:szCs w:val="8"/>
        </w:rPr>
      </w:pPr>
    </w:p>
    <w:p>
      <w:pPr>
        <w:pStyle w:val="BodyText"/>
        <w:spacing w:line="379" w:lineRule="auto" w:before="36"/>
        <w:ind w:left="212" w:right="0" w:firstLine="419"/>
        <w:jc w:val="left"/>
      </w:pP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月，北京石基昆仑软件有限公司与中关村科技园管理委员会签订了</w:t>
      </w:r>
      <w:r>
        <w:rPr>
          <w:rFonts w:ascii="Times New Roman" w:hAnsi="Times New Roman" w:cs="Times New Roman" w:eastAsia="Times New Roman" w:hint="default"/>
          <w:spacing w:val="-2"/>
        </w:rPr>
        <w:t>“</w:t>
      </w:r>
      <w:r>
        <w:rPr>
          <w:spacing w:val="-2"/>
        </w:rPr>
        <w:t>中关村科技园</w:t>
      </w:r>
      <w:r>
        <w:rPr>
          <w:w w:val="100"/>
        </w:rPr>
        <w:t> </w:t>
      </w:r>
      <w:r>
        <w:rPr/>
        <w:t>区小企业创新支持资金无偿资助项目合同</w:t>
      </w:r>
      <w:r>
        <w:rPr>
          <w:rFonts w:ascii="Times New Roman" w:hAnsi="Times New Roman" w:cs="Times New Roman" w:eastAsia="Times New Roman" w:hint="default"/>
        </w:rPr>
        <w:t>”</w:t>
      </w:r>
      <w:r>
        <w:rPr/>
        <w:t>，中关村科技园管理委员会决定对北京石基昆仑软件有限公司</w:t>
      </w:r>
      <w:r>
        <w:rPr>
          <w:spacing w:val="-3"/>
          <w:w w:val="100"/>
        </w:rPr>
        <w:t> </w:t>
      </w:r>
      <w:r>
        <w:rPr>
          <w:spacing w:val="-2"/>
        </w:rPr>
        <w:t>资助创新基金</w:t>
      </w:r>
      <w:r>
        <w:rPr>
          <w:rFonts w:ascii="Times New Roman" w:hAnsi="Times New Roman" w:cs="Times New Roman" w:eastAsia="Times New Roman" w:hint="default"/>
          <w:spacing w:val="-2"/>
        </w:rPr>
        <w:t>35</w:t>
      </w:r>
      <w:r>
        <w:rPr>
          <w:spacing w:val="-2"/>
        </w:rPr>
        <w:t>万元。合同生效后首次拨付</w:t>
      </w:r>
      <w:r>
        <w:rPr>
          <w:rFonts w:ascii="Times New Roman" w:hAnsi="Times New Roman" w:cs="Times New Roman" w:eastAsia="Times New Roman" w:hint="default"/>
          <w:spacing w:val="-2"/>
        </w:rPr>
        <w:t>80</w:t>
      </w:r>
      <w:r>
        <w:rPr>
          <w:spacing w:val="-2"/>
        </w:rPr>
        <w:t>％资金；验收合格后，全额拨付资金余额；验收不合格的，</w:t>
      </w:r>
      <w:r>
        <w:rPr>
          <w:spacing w:val="-17"/>
        </w:rPr>
        <w:t> </w:t>
      </w:r>
      <w:r>
        <w:rPr>
          <w:spacing w:val="-17"/>
        </w:rPr>
      </w:r>
      <w:r>
        <w:rPr/>
        <w:t>停拨资金余额，截止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日该项目尚未验收。</w:t>
      </w:r>
    </w:p>
    <w:p>
      <w:pPr>
        <w:pStyle w:val="BodyText"/>
        <w:spacing w:line="381" w:lineRule="auto" w:before="32"/>
        <w:ind w:left="213" w:right="0" w:firstLine="420"/>
        <w:jc w:val="left"/>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6</w:t>
      </w:r>
      <w:r>
        <w:rPr>
          <w:spacing w:val="-4"/>
        </w:rPr>
        <w:t>月，北海石基信息技术有限公司与广西信息产业局签订的</w:t>
      </w:r>
      <w:r>
        <w:rPr>
          <w:rFonts w:ascii="Times New Roman" w:hAnsi="Times New Roman" w:cs="Times New Roman" w:eastAsia="Times New Roman" w:hint="default"/>
          <w:spacing w:val="-4"/>
        </w:rPr>
        <w:t>“</w:t>
      </w:r>
      <w:r>
        <w:rPr>
          <w:spacing w:val="-4"/>
        </w:rPr>
        <w:t>广西电子信息应用项目合同</w:t>
      </w:r>
      <w:r>
        <w:rPr>
          <w:rFonts w:ascii="Times New Roman" w:hAnsi="Times New Roman" w:cs="Times New Roman" w:eastAsia="Times New Roman" w:hint="default"/>
          <w:spacing w:val="-4"/>
        </w:rPr>
        <w:t>”</w:t>
      </w:r>
      <w:r>
        <w:rPr>
          <w:spacing w:val="-4"/>
        </w:rPr>
        <w:t>，</w:t>
      </w:r>
      <w:r>
        <w:rPr>
          <w:w w:val="100"/>
        </w:rPr>
        <w:t> </w:t>
      </w:r>
      <w:r>
        <w:rPr>
          <w:spacing w:val="-2"/>
        </w:rPr>
        <w:t>广西信息产业局向北海石基信息技术有限公司提供补助经费</w:t>
      </w:r>
      <w:r>
        <w:rPr>
          <w:rFonts w:ascii="Times New Roman" w:hAnsi="Times New Roman" w:cs="Times New Roman" w:eastAsia="Times New Roman" w:hint="default"/>
          <w:spacing w:val="-2"/>
        </w:rPr>
        <w:t>20</w:t>
      </w:r>
      <w:r>
        <w:rPr>
          <w:spacing w:val="-2"/>
        </w:rPr>
        <w:t>万元，用于石基客户技术支持服务中心软件</w:t>
      </w:r>
      <w:r>
        <w:rPr>
          <w:spacing w:val="-42"/>
        </w:rPr>
        <w:t> </w:t>
      </w:r>
      <w:r>
        <w:rPr>
          <w:spacing w:val="-42"/>
        </w:rPr>
      </w:r>
      <w:r>
        <w:rPr/>
        <w:t>的研究开发，截止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日该项目尚未完工。</w:t>
      </w:r>
    </w:p>
    <w:p>
      <w:pPr>
        <w:pStyle w:val="BodyText"/>
        <w:spacing w:line="379" w:lineRule="auto" w:before="30"/>
        <w:ind w:left="213" w:right="0" w:firstLine="419"/>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月，杭州西软科技有限公司与杭州市信息化办公室签订的</w:t>
      </w:r>
      <w:r>
        <w:rPr>
          <w:rFonts w:ascii="Times New Roman" w:hAnsi="Times New Roman" w:cs="Times New Roman" w:eastAsia="Times New Roman" w:hint="default"/>
          <w:spacing w:val="-2"/>
        </w:rPr>
        <w:t>“</w:t>
      </w:r>
      <w:r>
        <w:rPr>
          <w:spacing w:val="-2"/>
        </w:rPr>
        <w:t>杭州市信息服务业发展资助</w:t>
      </w:r>
      <w:r>
        <w:rPr>
          <w:spacing w:val="-3"/>
          <w:w w:val="100"/>
        </w:rPr>
        <w:t> </w:t>
      </w:r>
      <w:r>
        <w:rPr/>
        <w:t>项目合同书</w:t>
      </w:r>
      <w:r>
        <w:rPr>
          <w:rFonts w:ascii="Times New Roman" w:hAnsi="Times New Roman" w:cs="Times New Roman" w:eastAsia="Times New Roman" w:hint="default"/>
        </w:rPr>
        <w:t>”</w:t>
      </w:r>
      <w:r>
        <w:rPr/>
        <w:t>，项目合同书约定杭州市信息化办公室向杭州西软科技有限公司资助经费总额</w:t>
      </w:r>
      <w:r>
        <w:rPr>
          <w:rFonts w:ascii="Times New Roman" w:hAnsi="Times New Roman" w:cs="Times New Roman" w:eastAsia="Times New Roman" w:hint="default"/>
        </w:rPr>
        <w:t>42</w:t>
      </w:r>
      <w:r>
        <w:rPr/>
        <w:t>万元，用于</w:t>
      </w:r>
      <w:r>
        <w:rPr>
          <w:spacing w:val="-3"/>
          <w:w w:val="100"/>
        </w:rPr>
        <w:t> </w:t>
      </w:r>
      <w:r>
        <w:rPr>
          <w:spacing w:val="-2"/>
        </w:rPr>
        <w:t>西软酒店集团网络数据中心的研究开发，</w:t>
      </w:r>
      <w:r>
        <w:rPr>
          <w:rFonts w:ascii="Times New Roman" w:hAnsi="Times New Roman" w:cs="Times New Roman" w:eastAsia="Times New Roman" w:hint="default"/>
          <w:spacing w:val="-2"/>
        </w:rPr>
        <w:t>2010</w:t>
      </w:r>
      <w:r>
        <w:rPr>
          <w:spacing w:val="-2"/>
        </w:rPr>
        <w:t>年实际已资助</w:t>
      </w:r>
      <w:r>
        <w:rPr>
          <w:rFonts w:ascii="Times New Roman" w:hAnsi="Times New Roman" w:cs="Times New Roman" w:eastAsia="Times New Roman" w:hint="default"/>
          <w:spacing w:val="-2"/>
        </w:rPr>
        <w:t>25.2</w:t>
      </w:r>
      <w:r>
        <w:rPr>
          <w:spacing w:val="-2"/>
        </w:rPr>
        <w:t>万元，截止</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日该项目尚未完</w:t>
      </w:r>
      <w:r>
        <w:rPr>
          <w:spacing w:val="-14"/>
        </w:rPr>
        <w:t> </w:t>
      </w:r>
      <w:r>
        <w:rPr>
          <w:spacing w:val="-14"/>
        </w:rPr>
      </w:r>
      <w:r>
        <w:rPr/>
        <w:t>工。</w:t>
      </w:r>
    </w:p>
    <w:p>
      <w:pPr>
        <w:pStyle w:val="BodyText"/>
        <w:spacing w:line="379" w:lineRule="auto" w:before="64"/>
        <w:ind w:left="214" w:right="205" w:firstLine="42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月，北海石基与广西科技厅签订的“广西科学研究与技术开发计划项目合同”，广西科</w:t>
      </w:r>
      <w:r>
        <w:rPr>
          <w:w w:val="100"/>
        </w:rPr>
        <w:t> </w:t>
      </w:r>
      <w:r>
        <w:rPr>
          <w:spacing w:val="-2"/>
        </w:rPr>
        <w:t>技厅向北海石基信息技术有限公司提供补助经费</w:t>
      </w:r>
      <w:r>
        <w:rPr>
          <w:rFonts w:ascii="Times New Roman" w:hAnsi="Times New Roman" w:cs="Times New Roman" w:eastAsia="Times New Roman" w:hint="default"/>
          <w:spacing w:val="-2"/>
        </w:rPr>
        <w:t>15</w:t>
      </w:r>
      <w:r>
        <w:rPr>
          <w:spacing w:val="-2"/>
        </w:rPr>
        <w:t>万元，用于石基客户技术支持服务系统的研究开发，截</w:t>
      </w:r>
      <w:r>
        <w:rPr>
          <w:spacing w:val="-41"/>
        </w:rPr>
        <w:t> </w:t>
      </w:r>
      <w:r>
        <w:rPr>
          <w:spacing w:val="-41"/>
        </w:rPr>
      </w:r>
      <w:r>
        <w:rPr/>
        <w:t>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日该项目尚未完工。</w:t>
      </w:r>
    </w:p>
    <w:p>
      <w:pPr>
        <w:pStyle w:val="BodyText"/>
        <w:spacing w:line="381" w:lineRule="auto" w:before="35"/>
        <w:ind w:left="214" w:right="0" w:firstLine="419"/>
        <w:jc w:val="left"/>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月，广西自治区工业和信息化委员会补助北海石基“企业技术中心”项目</w:t>
      </w:r>
      <w:r>
        <w:rPr>
          <w:rFonts w:ascii="Times New Roman" w:hAnsi="Times New Roman" w:cs="Times New Roman" w:eastAsia="Times New Roman" w:hint="default"/>
          <w:spacing w:val="-2"/>
        </w:rPr>
        <w:t>30</w:t>
      </w:r>
      <w:r>
        <w:rPr>
          <w:spacing w:val="-2"/>
        </w:rPr>
        <w:t>万元项目</w:t>
      </w:r>
      <w:r>
        <w:rPr>
          <w:spacing w:val="-3"/>
          <w:w w:val="100"/>
        </w:rPr>
        <w:t> </w:t>
      </w:r>
      <w:r>
        <w:rPr/>
        <w:t>经费，截止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日该项目尚未完工。</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pStyle w:val="BodyText"/>
        <w:spacing w:line="240" w:lineRule="auto"/>
        <w:ind w:left="635" w:right="0"/>
        <w:jc w:val="left"/>
      </w:pPr>
      <w:r>
        <w:rPr>
          <w:rFonts w:ascii="Times New Roman" w:hAnsi="Times New Roman" w:cs="Times New Roman" w:eastAsia="Times New Roman" w:hint="default"/>
        </w:rPr>
        <w:t>25</w:t>
      </w:r>
      <w:r>
        <w:rPr/>
        <w:t>．股本</w:t>
      </w:r>
    </w:p>
    <w:p>
      <w:pPr>
        <w:pStyle w:val="BodyText"/>
        <w:spacing w:line="240" w:lineRule="auto" w:before="170"/>
        <w:ind w:left="635" w:right="0"/>
        <w:jc w:val="left"/>
      </w:pPr>
      <w:r>
        <w:rPr/>
        <w:t>（</w:t>
      </w:r>
      <w:r>
        <w:rPr>
          <w:rFonts w:ascii="Times New Roman" w:hAnsi="Times New Roman" w:cs="Times New Roman" w:eastAsia="Times New Roman" w:hint="default"/>
        </w:rPr>
        <w:t>1</w:t>
      </w:r>
      <w:r>
        <w:rPr/>
        <w:t>）股份变动情况表</w:t>
      </w:r>
    </w:p>
    <w:p>
      <w:pPr>
        <w:pStyle w:val="BodyText"/>
        <w:spacing w:line="240" w:lineRule="auto" w:before="167"/>
        <w:ind w:left="0" w:right="208"/>
        <w:jc w:val="right"/>
      </w:pPr>
      <w:r>
        <w:rPr>
          <w:spacing w:val="-1"/>
        </w:rPr>
        <w:t>单位：万股</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94"/>
        <w:gridCol w:w="1066"/>
        <w:gridCol w:w="811"/>
        <w:gridCol w:w="655"/>
        <w:gridCol w:w="451"/>
        <w:gridCol w:w="965"/>
        <w:gridCol w:w="876"/>
        <w:gridCol w:w="965"/>
        <w:gridCol w:w="1066"/>
        <w:gridCol w:w="806"/>
      </w:tblGrid>
      <w:tr>
        <w:trPr>
          <w:trHeight w:val="480" w:hRule="exact"/>
        </w:trPr>
        <w:tc>
          <w:tcPr>
            <w:tcW w:w="219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tabs>
                <w:tab w:pos="1279" w:val="left" w:leader="none"/>
              </w:tabs>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87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12"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p>
        </w:tc>
        <w:tc>
          <w:tcPr>
            <w:tcW w:w="187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31" w:hRule="exact"/>
        </w:trPr>
        <w:tc>
          <w:tcPr>
            <w:tcW w:w="2194" w:type="dxa"/>
            <w:vMerge/>
            <w:tcBorders>
              <w:left w:val="nil" w:sz="6" w:space="0" w:color="auto"/>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460" w:lineRule="exact" w:before="37"/>
              <w:ind w:left="141" w:right="141"/>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460" w:lineRule="exact" w:before="37"/>
              <w:ind w:left="132" w:right="127"/>
              <w:jc w:val="left"/>
              <w:rPr>
                <w:rFonts w:ascii="宋体" w:hAnsi="宋体" w:cs="宋体" w:eastAsia="宋体" w:hint="default"/>
                <w:sz w:val="18"/>
                <w:szCs w:val="18"/>
              </w:rPr>
            </w:pPr>
            <w:r>
              <w:rPr>
                <w:rFonts w:ascii="宋体" w:hAnsi="宋体" w:cs="宋体" w:eastAsia="宋体" w:hint="default"/>
                <w:sz w:val="18"/>
                <w:szCs w:val="18"/>
              </w:rPr>
              <w:t>送 股</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460" w:lineRule="exact" w:before="37"/>
              <w:ind w:left="300" w:right="204"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575" w:hRule="exact"/>
        </w:trPr>
        <w:tc>
          <w:tcPr>
            <w:tcW w:w="2194" w:type="dxa"/>
            <w:tcBorders>
              <w:top w:val="single" w:sz="4"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10,812.83</w:t>
            </w:r>
          </w:p>
        </w:tc>
        <w:tc>
          <w:tcPr>
            <w:tcW w:w="8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48.27</w:t>
            </w:r>
          </w:p>
        </w:tc>
        <w:tc>
          <w:tcPr>
            <w:tcW w:w="655"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4,108.87</w:t>
            </w:r>
          </w:p>
        </w:tc>
        <w:tc>
          <w:tcPr>
            <w:tcW w:w="8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-157.17</w:t>
            </w: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3,951.71</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14,764.54</w:t>
            </w:r>
          </w:p>
        </w:tc>
        <w:tc>
          <w:tcPr>
            <w:tcW w:w="806"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47.77</w:t>
            </w:r>
          </w:p>
        </w:tc>
      </w:tr>
      <w:tr>
        <w:trPr>
          <w:trHeight w:val="349" w:hRule="exact"/>
        </w:trPr>
        <w:tc>
          <w:tcPr>
            <w:tcW w:w="2194" w:type="dxa"/>
            <w:tcBorders>
              <w:top w:val="nil" w:sz="6" w:space="0" w:color="auto"/>
              <w:left w:val="nil" w:sz="6" w:space="0" w:color="auto"/>
              <w:bottom w:val="nil" w:sz="6" w:space="0" w:color="auto"/>
              <w:right w:val="single" w:sz="4" w:space="0" w:color="000000"/>
            </w:tcBorders>
          </w:tcPr>
          <w:p>
            <w:pPr>
              <w:pStyle w:val="TableParagraph"/>
              <w:spacing w:line="240" w:lineRule="auto" w:before="8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66" w:type="dxa"/>
            <w:vMerge/>
            <w:tcBorders>
              <w:left w:val="single" w:sz="4" w:space="0" w:color="000000"/>
              <w:bottom w:val="nil" w:sz="6" w:space="0" w:color="auto"/>
              <w:right w:val="single" w:sz="4" w:space="0" w:color="000000"/>
            </w:tcBorders>
          </w:tcPr>
          <w:p>
            <w:pPr/>
          </w:p>
        </w:tc>
        <w:tc>
          <w:tcPr>
            <w:tcW w:w="811" w:type="dxa"/>
            <w:vMerge/>
            <w:tcBorders>
              <w:left w:val="single" w:sz="4" w:space="0" w:color="000000"/>
              <w:bottom w:val="nil" w:sz="6" w:space="0" w:color="auto"/>
              <w:right w:val="single" w:sz="4" w:space="0" w:color="000000"/>
            </w:tcBorders>
          </w:tcPr>
          <w:p>
            <w:pPr/>
          </w:p>
        </w:tc>
        <w:tc>
          <w:tcPr>
            <w:tcW w:w="655" w:type="dxa"/>
            <w:vMerge/>
            <w:tcBorders>
              <w:left w:val="single" w:sz="4" w:space="0" w:color="000000"/>
              <w:bottom w:val="nil" w:sz="6" w:space="0" w:color="auto"/>
              <w:right w:val="single" w:sz="4" w:space="0" w:color="000000"/>
            </w:tcBorders>
          </w:tcPr>
          <w:p>
            <w:pPr/>
          </w:p>
        </w:tc>
        <w:tc>
          <w:tcPr>
            <w:tcW w:w="451" w:type="dxa"/>
            <w:vMerge/>
            <w:tcBorders>
              <w:left w:val="single" w:sz="4" w:space="0" w:color="000000"/>
              <w:bottom w:val="nil" w:sz="6" w:space="0" w:color="auto"/>
              <w:right w:val="single" w:sz="4" w:space="0" w:color="000000"/>
            </w:tcBorders>
          </w:tcPr>
          <w:p>
            <w:pPr/>
          </w:p>
        </w:tc>
        <w:tc>
          <w:tcPr>
            <w:tcW w:w="965" w:type="dxa"/>
            <w:vMerge/>
            <w:tcBorders>
              <w:left w:val="single" w:sz="4" w:space="0" w:color="000000"/>
              <w:bottom w:val="nil" w:sz="6" w:space="0" w:color="auto"/>
              <w:right w:val="single" w:sz="4" w:space="0" w:color="000000"/>
            </w:tcBorders>
          </w:tcPr>
          <w:p>
            <w:pPr/>
          </w:p>
        </w:tc>
        <w:tc>
          <w:tcPr>
            <w:tcW w:w="876" w:type="dxa"/>
            <w:vMerge/>
            <w:tcBorders>
              <w:left w:val="single" w:sz="4" w:space="0" w:color="000000"/>
              <w:bottom w:val="nil" w:sz="6" w:space="0" w:color="auto"/>
              <w:right w:val="single" w:sz="4" w:space="0" w:color="000000"/>
            </w:tcBorders>
          </w:tcPr>
          <w:p>
            <w:pPr/>
          </w:p>
        </w:tc>
        <w:tc>
          <w:tcPr>
            <w:tcW w:w="965" w:type="dxa"/>
            <w:vMerge/>
            <w:tcBorders>
              <w:left w:val="single" w:sz="4" w:space="0" w:color="000000"/>
              <w:bottom w:val="nil" w:sz="6" w:space="0" w:color="auto"/>
              <w:right w:val="single" w:sz="4" w:space="0" w:color="000000"/>
            </w:tcBorders>
          </w:tcPr>
          <w:p>
            <w:pPr/>
          </w:p>
        </w:tc>
        <w:tc>
          <w:tcPr>
            <w:tcW w:w="1066" w:type="dxa"/>
            <w:vMerge/>
            <w:tcBorders>
              <w:left w:val="single" w:sz="4" w:space="0" w:color="000000"/>
              <w:bottom w:val="nil" w:sz="6" w:space="0" w:color="auto"/>
              <w:right w:val="single" w:sz="4" w:space="0" w:color="000000"/>
            </w:tcBorders>
          </w:tcPr>
          <w:p>
            <w:pPr/>
          </w:p>
        </w:tc>
        <w:tc>
          <w:tcPr>
            <w:tcW w:w="806" w:type="dxa"/>
            <w:vMerge/>
            <w:tcBorders>
              <w:left w:val="single" w:sz="4" w:space="0" w:color="000000"/>
              <w:bottom w:val="nil" w:sz="6" w:space="0" w:color="auto"/>
              <w:right w:val="nil" w:sz="6" w:space="0" w:color="auto"/>
            </w:tcBorders>
          </w:tcPr>
          <w:p>
            <w:pPr/>
          </w:p>
        </w:tc>
      </w:tr>
    </w:tbl>
    <w:p>
      <w:pPr>
        <w:spacing w:after="0"/>
        <w:sectPr>
          <w:pgSz w:w="11910" w:h="16840"/>
          <w:pgMar w:header="850" w:footer="979" w:top="1200" w:bottom="1160" w:left="920" w:right="92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208"/>
        <w:gridCol w:w="1066"/>
        <w:gridCol w:w="811"/>
        <w:gridCol w:w="655"/>
        <w:gridCol w:w="451"/>
        <w:gridCol w:w="965"/>
        <w:gridCol w:w="876"/>
        <w:gridCol w:w="965"/>
        <w:gridCol w:w="1066"/>
        <w:gridCol w:w="806"/>
      </w:tblGrid>
      <w:tr>
        <w:trPr>
          <w:trHeight w:val="487" w:hRule="exact"/>
        </w:trPr>
        <w:tc>
          <w:tcPr>
            <w:tcW w:w="2208"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tabs>
                <w:tab w:pos="1293" w:val="left" w:leader="none"/>
              </w:tabs>
              <w:spacing w:line="240" w:lineRule="auto"/>
              <w:ind w:left="75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877"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12" w:type="dxa"/>
            <w:gridSpan w:val="5"/>
            <w:tcBorders>
              <w:top w:val="single" w:sz="17"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p>
        </w:tc>
        <w:tc>
          <w:tcPr>
            <w:tcW w:w="1872"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31" w:hRule="exact"/>
        </w:trPr>
        <w:tc>
          <w:tcPr>
            <w:tcW w:w="2208" w:type="dxa"/>
            <w:vMerge/>
            <w:tcBorders>
              <w:left w:val="nil" w:sz="6" w:space="0" w:color="auto"/>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460" w:lineRule="exact" w:before="37"/>
              <w:ind w:left="141" w:right="141"/>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460" w:lineRule="exact" w:before="37"/>
              <w:ind w:left="132" w:right="127"/>
              <w:jc w:val="left"/>
              <w:rPr>
                <w:rFonts w:ascii="宋体" w:hAnsi="宋体" w:cs="宋体" w:eastAsia="宋体" w:hint="default"/>
                <w:sz w:val="18"/>
                <w:szCs w:val="18"/>
              </w:rPr>
            </w:pPr>
            <w:r>
              <w:rPr>
                <w:rFonts w:ascii="宋体" w:hAnsi="宋体" w:cs="宋体" w:eastAsia="宋体" w:hint="default"/>
                <w:sz w:val="18"/>
                <w:szCs w:val="18"/>
              </w:rPr>
              <w:t>送 股</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460" w:lineRule="exact" w:before="37"/>
              <w:ind w:left="300" w:right="204"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580" w:hRule="exact"/>
        </w:trPr>
        <w:tc>
          <w:tcPr>
            <w:tcW w:w="2208" w:type="dxa"/>
            <w:tcBorders>
              <w:top w:val="single" w:sz="4"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66" w:type="dxa"/>
            <w:tcBorders>
              <w:top w:val="single" w:sz="4" w:space="0" w:color="000000"/>
              <w:left w:val="single" w:sz="4" w:space="0" w:color="000000"/>
              <w:bottom w:val="nil" w:sz="6" w:space="0" w:color="auto"/>
              <w:right w:val="single" w:sz="4" w:space="0" w:color="000000"/>
            </w:tcBorders>
          </w:tcPr>
          <w:p>
            <w:pPr/>
          </w:p>
        </w:tc>
        <w:tc>
          <w:tcPr>
            <w:tcW w:w="811" w:type="dxa"/>
            <w:tcBorders>
              <w:top w:val="single" w:sz="4" w:space="0" w:color="000000"/>
              <w:left w:val="single" w:sz="4" w:space="0" w:color="000000"/>
              <w:bottom w:val="nil" w:sz="6" w:space="0" w:color="auto"/>
              <w:right w:val="single" w:sz="4" w:space="0" w:color="000000"/>
            </w:tcBorders>
          </w:tcPr>
          <w:p>
            <w:pPr/>
          </w:p>
        </w:tc>
        <w:tc>
          <w:tcPr>
            <w:tcW w:w="655"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965"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nil" w:sz="6" w:space="0" w:color="auto"/>
            </w:tcBorders>
          </w:tcPr>
          <w:p>
            <w:pPr/>
          </w:p>
        </w:tc>
      </w:tr>
      <w:tr>
        <w:trPr>
          <w:trHeight w:val="464" w:hRule="exact"/>
        </w:trPr>
        <w:tc>
          <w:tcPr>
            <w:tcW w:w="2208" w:type="dxa"/>
            <w:tcBorders>
              <w:top w:val="nil" w:sz="6" w:space="0" w:color="auto"/>
              <w:left w:val="nil" w:sz="6" w:space="0" w:color="auto"/>
              <w:bottom w:val="nil" w:sz="6" w:space="0" w:color="auto"/>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7"/>
              <w:jc w:val="right"/>
              <w:rPr>
                <w:rFonts w:ascii="Times New Roman" w:hAnsi="Times New Roman" w:cs="Times New Roman" w:eastAsia="Times New Roman" w:hint="default"/>
                <w:sz w:val="18"/>
                <w:szCs w:val="18"/>
              </w:rPr>
            </w:pPr>
            <w:r>
              <w:rPr>
                <w:rFonts w:ascii="Times New Roman"/>
                <w:spacing w:val="-1"/>
                <w:sz w:val="18"/>
              </w:rPr>
              <w:t>10,812.83</w:t>
            </w:r>
          </w:p>
        </w:tc>
        <w:tc>
          <w:tcPr>
            <w:tcW w:w="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199" w:right="0"/>
              <w:jc w:val="left"/>
              <w:rPr>
                <w:rFonts w:ascii="Times New Roman" w:hAnsi="Times New Roman" w:cs="Times New Roman" w:eastAsia="Times New Roman" w:hint="default"/>
                <w:sz w:val="18"/>
                <w:szCs w:val="18"/>
              </w:rPr>
            </w:pPr>
            <w:r>
              <w:rPr>
                <w:rFonts w:ascii="Times New Roman"/>
                <w:sz w:val="18"/>
              </w:rPr>
              <w:t>48.27</w:t>
            </w:r>
          </w:p>
        </w:tc>
        <w:tc>
          <w:tcPr>
            <w:tcW w:w="655"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124" w:right="0"/>
              <w:jc w:val="center"/>
              <w:rPr>
                <w:rFonts w:ascii="Times New Roman" w:hAnsi="Times New Roman" w:cs="Times New Roman" w:eastAsia="Times New Roman" w:hint="default"/>
                <w:sz w:val="18"/>
                <w:szCs w:val="18"/>
              </w:rPr>
            </w:pPr>
            <w:r>
              <w:rPr>
                <w:rFonts w:ascii="Times New Roman"/>
                <w:sz w:val="18"/>
              </w:rPr>
              <w:t>4,108.87</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08" w:right="0"/>
              <w:jc w:val="left"/>
              <w:rPr>
                <w:rFonts w:ascii="Times New Roman" w:hAnsi="Times New Roman" w:cs="Times New Roman" w:eastAsia="Times New Roman" w:hint="default"/>
                <w:sz w:val="18"/>
                <w:szCs w:val="18"/>
              </w:rPr>
            </w:pPr>
            <w:r>
              <w:rPr>
                <w:rFonts w:ascii="Times New Roman"/>
                <w:sz w:val="18"/>
              </w:rPr>
              <w:t>-157.17</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124" w:right="0"/>
              <w:jc w:val="center"/>
              <w:rPr>
                <w:rFonts w:ascii="Times New Roman" w:hAnsi="Times New Roman" w:cs="Times New Roman" w:eastAsia="Times New Roman" w:hint="default"/>
                <w:sz w:val="18"/>
                <w:szCs w:val="18"/>
              </w:rPr>
            </w:pPr>
            <w:r>
              <w:rPr>
                <w:rFonts w:ascii="Times New Roman"/>
                <w:sz w:val="18"/>
              </w:rPr>
              <w:t>3,951.71</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18"/>
                <w:szCs w:val="18"/>
              </w:rPr>
            </w:pPr>
            <w:r>
              <w:rPr>
                <w:rFonts w:ascii="Times New Roman"/>
                <w:spacing w:val="-1"/>
                <w:sz w:val="18"/>
              </w:rPr>
              <w:t>14,764.54</w:t>
            </w:r>
          </w:p>
        </w:tc>
        <w:tc>
          <w:tcPr>
            <w:tcW w:w="806"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2"/>
              <w:jc w:val="center"/>
              <w:rPr>
                <w:rFonts w:ascii="Times New Roman" w:hAnsi="Times New Roman" w:cs="Times New Roman" w:eastAsia="Times New Roman" w:hint="default"/>
                <w:sz w:val="18"/>
                <w:szCs w:val="18"/>
              </w:rPr>
            </w:pPr>
            <w:r>
              <w:rPr>
                <w:rFonts w:ascii="Times New Roman"/>
                <w:sz w:val="18"/>
              </w:rPr>
              <w:t>47.77</w:t>
            </w:r>
          </w:p>
        </w:tc>
      </w:tr>
      <w:tr>
        <w:trPr>
          <w:trHeight w:val="451" w:hRule="exact"/>
        </w:trPr>
        <w:tc>
          <w:tcPr>
            <w:tcW w:w="220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66"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655"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nil" w:sz="6" w:space="0" w:color="auto"/>
            </w:tcBorders>
          </w:tcPr>
          <w:p>
            <w:pPr/>
          </w:p>
        </w:tc>
      </w:tr>
      <w:tr>
        <w:trPr>
          <w:trHeight w:val="469" w:hRule="exact"/>
        </w:trPr>
        <w:tc>
          <w:tcPr>
            <w:tcW w:w="2208"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4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97"/>
              <w:jc w:val="right"/>
              <w:rPr>
                <w:rFonts w:ascii="Times New Roman" w:hAnsi="Times New Roman" w:cs="Times New Roman" w:eastAsia="Times New Roman" w:hint="default"/>
                <w:sz w:val="18"/>
                <w:szCs w:val="18"/>
              </w:rPr>
            </w:pPr>
            <w:r>
              <w:rPr>
                <w:rFonts w:ascii="Times New Roman"/>
                <w:spacing w:val="-1"/>
                <w:sz w:val="18"/>
              </w:rPr>
              <w:t>10,812.83</w:t>
            </w:r>
          </w:p>
        </w:tc>
        <w:tc>
          <w:tcPr>
            <w:tcW w:w="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199" w:right="0"/>
              <w:jc w:val="left"/>
              <w:rPr>
                <w:rFonts w:ascii="Times New Roman" w:hAnsi="Times New Roman" w:cs="Times New Roman" w:eastAsia="Times New Roman" w:hint="default"/>
                <w:sz w:val="18"/>
                <w:szCs w:val="18"/>
              </w:rPr>
            </w:pPr>
            <w:r>
              <w:rPr>
                <w:rFonts w:ascii="Times New Roman"/>
                <w:sz w:val="18"/>
              </w:rPr>
              <w:t>48.27</w:t>
            </w:r>
          </w:p>
        </w:tc>
        <w:tc>
          <w:tcPr>
            <w:tcW w:w="655"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124" w:right="0"/>
              <w:jc w:val="center"/>
              <w:rPr>
                <w:rFonts w:ascii="Times New Roman" w:hAnsi="Times New Roman" w:cs="Times New Roman" w:eastAsia="Times New Roman" w:hint="default"/>
                <w:sz w:val="18"/>
                <w:szCs w:val="18"/>
              </w:rPr>
            </w:pPr>
            <w:r>
              <w:rPr>
                <w:rFonts w:ascii="Times New Roman"/>
                <w:sz w:val="18"/>
              </w:rPr>
              <w:t>4,108.87</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08" w:right="0"/>
              <w:jc w:val="left"/>
              <w:rPr>
                <w:rFonts w:ascii="Times New Roman" w:hAnsi="Times New Roman" w:cs="Times New Roman" w:eastAsia="Times New Roman" w:hint="default"/>
                <w:sz w:val="18"/>
                <w:szCs w:val="18"/>
              </w:rPr>
            </w:pPr>
            <w:r>
              <w:rPr>
                <w:rFonts w:ascii="Times New Roman"/>
                <w:sz w:val="18"/>
              </w:rPr>
              <w:t>-157.17</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124" w:right="0"/>
              <w:jc w:val="center"/>
              <w:rPr>
                <w:rFonts w:ascii="Times New Roman" w:hAnsi="Times New Roman" w:cs="Times New Roman" w:eastAsia="Times New Roman" w:hint="default"/>
                <w:sz w:val="18"/>
                <w:szCs w:val="18"/>
              </w:rPr>
            </w:pPr>
            <w:r>
              <w:rPr>
                <w:rFonts w:ascii="Times New Roman"/>
                <w:sz w:val="18"/>
              </w:rPr>
              <w:t>3,951.71</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99"/>
              <w:jc w:val="right"/>
              <w:rPr>
                <w:rFonts w:ascii="Times New Roman" w:hAnsi="Times New Roman" w:cs="Times New Roman" w:eastAsia="Times New Roman" w:hint="default"/>
                <w:sz w:val="18"/>
                <w:szCs w:val="18"/>
              </w:rPr>
            </w:pPr>
            <w:r>
              <w:rPr>
                <w:rFonts w:ascii="Times New Roman"/>
                <w:spacing w:val="-1"/>
                <w:sz w:val="18"/>
              </w:rPr>
              <w:t>14,764.54</w:t>
            </w:r>
          </w:p>
        </w:tc>
        <w:tc>
          <w:tcPr>
            <w:tcW w:w="806"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2"/>
              <w:jc w:val="center"/>
              <w:rPr>
                <w:rFonts w:ascii="Times New Roman" w:hAnsi="Times New Roman" w:cs="Times New Roman" w:eastAsia="Times New Roman" w:hint="default"/>
                <w:sz w:val="18"/>
                <w:szCs w:val="18"/>
              </w:rPr>
            </w:pPr>
            <w:r>
              <w:rPr>
                <w:rFonts w:ascii="Times New Roman"/>
                <w:sz w:val="18"/>
              </w:rPr>
              <w:t>47.77</w:t>
            </w:r>
          </w:p>
        </w:tc>
      </w:tr>
      <w:tr>
        <w:trPr>
          <w:trHeight w:val="455" w:hRule="exact"/>
        </w:trPr>
        <w:tc>
          <w:tcPr>
            <w:tcW w:w="2208"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66"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655"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nil" w:sz="6" w:space="0" w:color="auto"/>
            </w:tcBorders>
          </w:tcPr>
          <w:p>
            <w:pPr/>
          </w:p>
        </w:tc>
      </w:tr>
      <w:tr>
        <w:trPr>
          <w:trHeight w:val="456" w:hRule="exact"/>
        </w:trPr>
        <w:tc>
          <w:tcPr>
            <w:tcW w:w="220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66"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655"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nil" w:sz="6" w:space="0" w:color="auto"/>
            </w:tcBorders>
          </w:tcPr>
          <w:p>
            <w:pPr/>
          </w:p>
        </w:tc>
      </w:tr>
      <w:tr>
        <w:trPr>
          <w:trHeight w:val="460" w:hRule="exact"/>
        </w:trPr>
        <w:tc>
          <w:tcPr>
            <w:tcW w:w="2208"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48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66"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655"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nil" w:sz="6" w:space="0" w:color="auto"/>
            </w:tcBorders>
          </w:tcPr>
          <w:p>
            <w:pPr/>
          </w:p>
        </w:tc>
      </w:tr>
      <w:tr>
        <w:trPr>
          <w:trHeight w:val="469" w:hRule="exact"/>
        </w:trPr>
        <w:tc>
          <w:tcPr>
            <w:tcW w:w="2208" w:type="dxa"/>
            <w:tcBorders>
              <w:top w:val="nil" w:sz="6" w:space="0" w:color="auto"/>
              <w:left w:val="nil" w:sz="6" w:space="0" w:color="auto"/>
              <w:bottom w:val="nil" w:sz="6" w:space="0" w:color="auto"/>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、高管持股</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97"/>
              <w:jc w:val="right"/>
              <w:rPr>
                <w:rFonts w:ascii="Times New Roman" w:hAnsi="Times New Roman" w:cs="Times New Roman" w:eastAsia="Times New Roman" w:hint="default"/>
                <w:sz w:val="18"/>
                <w:szCs w:val="18"/>
              </w:rPr>
            </w:pPr>
            <w:r>
              <w:rPr>
                <w:rFonts w:ascii="Times New Roman"/>
                <w:spacing w:val="-1"/>
                <w:sz w:val="18"/>
              </w:rPr>
              <w:t>10,812.83</w:t>
            </w:r>
          </w:p>
        </w:tc>
        <w:tc>
          <w:tcPr>
            <w:tcW w:w="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99" w:right="0"/>
              <w:jc w:val="left"/>
              <w:rPr>
                <w:rFonts w:ascii="Times New Roman" w:hAnsi="Times New Roman" w:cs="Times New Roman" w:eastAsia="Times New Roman" w:hint="default"/>
                <w:sz w:val="18"/>
                <w:szCs w:val="18"/>
              </w:rPr>
            </w:pPr>
            <w:r>
              <w:rPr>
                <w:rFonts w:ascii="Times New Roman"/>
                <w:sz w:val="18"/>
              </w:rPr>
              <w:t>48.27</w:t>
            </w:r>
          </w:p>
        </w:tc>
        <w:tc>
          <w:tcPr>
            <w:tcW w:w="655"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24" w:right="0"/>
              <w:jc w:val="center"/>
              <w:rPr>
                <w:rFonts w:ascii="Times New Roman" w:hAnsi="Times New Roman" w:cs="Times New Roman" w:eastAsia="Times New Roman" w:hint="default"/>
                <w:sz w:val="18"/>
                <w:szCs w:val="18"/>
              </w:rPr>
            </w:pPr>
            <w:r>
              <w:rPr>
                <w:rFonts w:ascii="Times New Roman"/>
                <w:sz w:val="18"/>
              </w:rPr>
              <w:t>4,108.87</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208" w:right="0"/>
              <w:jc w:val="left"/>
              <w:rPr>
                <w:rFonts w:ascii="Times New Roman" w:hAnsi="Times New Roman" w:cs="Times New Roman" w:eastAsia="Times New Roman" w:hint="default"/>
                <w:sz w:val="18"/>
                <w:szCs w:val="18"/>
              </w:rPr>
            </w:pPr>
            <w:r>
              <w:rPr>
                <w:rFonts w:ascii="Times New Roman"/>
                <w:sz w:val="18"/>
              </w:rPr>
              <w:t>-157.17</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left="124" w:right="0"/>
              <w:jc w:val="center"/>
              <w:rPr>
                <w:rFonts w:ascii="Times New Roman" w:hAnsi="Times New Roman" w:cs="Times New Roman" w:eastAsia="Times New Roman" w:hint="default"/>
                <w:sz w:val="18"/>
                <w:szCs w:val="18"/>
              </w:rPr>
            </w:pPr>
            <w:r>
              <w:rPr>
                <w:rFonts w:ascii="Times New Roman"/>
                <w:sz w:val="18"/>
              </w:rPr>
              <w:t>3,951.71</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99"/>
              <w:jc w:val="right"/>
              <w:rPr>
                <w:rFonts w:ascii="Times New Roman" w:hAnsi="Times New Roman" w:cs="Times New Roman" w:eastAsia="Times New Roman" w:hint="default"/>
                <w:sz w:val="18"/>
                <w:szCs w:val="18"/>
              </w:rPr>
            </w:pPr>
            <w:r>
              <w:rPr>
                <w:rFonts w:ascii="Times New Roman"/>
                <w:spacing w:val="-1"/>
                <w:sz w:val="18"/>
              </w:rPr>
              <w:t>14,764.54</w:t>
            </w:r>
          </w:p>
        </w:tc>
        <w:tc>
          <w:tcPr>
            <w:tcW w:w="806"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2"/>
              <w:jc w:val="center"/>
              <w:rPr>
                <w:rFonts w:ascii="Times New Roman" w:hAnsi="Times New Roman" w:cs="Times New Roman" w:eastAsia="Times New Roman" w:hint="default"/>
                <w:sz w:val="18"/>
                <w:szCs w:val="18"/>
              </w:rPr>
            </w:pPr>
            <w:r>
              <w:rPr>
                <w:rFonts w:ascii="Times New Roman"/>
                <w:sz w:val="18"/>
              </w:rPr>
              <w:t>47.77</w:t>
            </w:r>
          </w:p>
        </w:tc>
      </w:tr>
      <w:tr>
        <w:trPr>
          <w:trHeight w:val="461" w:hRule="exact"/>
        </w:trPr>
        <w:tc>
          <w:tcPr>
            <w:tcW w:w="220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w w:val="95"/>
                <w:sz w:val="18"/>
              </w:rPr>
              <w:t>11,587.17</w:t>
            </w:r>
          </w:p>
        </w:tc>
        <w:tc>
          <w:tcPr>
            <w:tcW w:w="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199" w:right="0"/>
              <w:jc w:val="left"/>
              <w:rPr>
                <w:rFonts w:ascii="Times New Roman" w:hAnsi="Times New Roman" w:cs="Times New Roman" w:eastAsia="Times New Roman" w:hint="default"/>
                <w:sz w:val="18"/>
                <w:szCs w:val="18"/>
              </w:rPr>
            </w:pPr>
            <w:r>
              <w:rPr>
                <w:rFonts w:ascii="Times New Roman"/>
                <w:sz w:val="18"/>
              </w:rPr>
              <w:t>51.73</w:t>
            </w:r>
          </w:p>
        </w:tc>
        <w:tc>
          <w:tcPr>
            <w:tcW w:w="655"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124" w:right="0"/>
              <w:jc w:val="center"/>
              <w:rPr>
                <w:rFonts w:ascii="Times New Roman" w:hAnsi="Times New Roman" w:cs="Times New Roman" w:eastAsia="Times New Roman" w:hint="default"/>
                <w:sz w:val="18"/>
                <w:szCs w:val="18"/>
              </w:rPr>
            </w:pPr>
            <w:r>
              <w:rPr>
                <w:rFonts w:ascii="Times New Roman"/>
                <w:sz w:val="18"/>
              </w:rPr>
              <w:t>4,401.13</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157.17</w:t>
            </w:r>
            <w:r>
              <w:rPr>
                <w:rFonts w:ascii="Times New Roman"/>
                <w:sz w:val="18"/>
              </w:rPr>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124" w:right="0"/>
              <w:jc w:val="center"/>
              <w:rPr>
                <w:rFonts w:ascii="Times New Roman" w:hAnsi="Times New Roman" w:cs="Times New Roman" w:eastAsia="Times New Roman" w:hint="default"/>
                <w:sz w:val="18"/>
                <w:szCs w:val="18"/>
              </w:rPr>
            </w:pPr>
            <w:r>
              <w:rPr>
                <w:rFonts w:ascii="Times New Roman"/>
                <w:sz w:val="18"/>
              </w:rPr>
              <w:t>4,560.29</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16,147.46</w:t>
            </w:r>
          </w:p>
        </w:tc>
        <w:tc>
          <w:tcPr>
            <w:tcW w:w="806" w:type="dxa"/>
            <w:tcBorders>
              <w:top w:val="nil" w:sz="6" w:space="0" w:color="auto"/>
              <w:left w:val="single" w:sz="4" w:space="0" w:color="000000"/>
              <w:bottom w:val="nil" w:sz="6" w:space="0" w:color="auto"/>
              <w:right w:val="nil" w:sz="6" w:space="0" w:color="auto"/>
            </w:tcBorders>
          </w:tcPr>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52.23</w:t>
            </w:r>
          </w:p>
        </w:tc>
      </w:tr>
      <w:tr>
        <w:trPr>
          <w:trHeight w:val="460" w:hRule="exact"/>
        </w:trPr>
        <w:tc>
          <w:tcPr>
            <w:tcW w:w="220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w w:val="95"/>
                <w:sz w:val="18"/>
              </w:rPr>
              <w:t>11,587.17</w:t>
            </w:r>
          </w:p>
        </w:tc>
        <w:tc>
          <w:tcPr>
            <w:tcW w:w="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199" w:right="0"/>
              <w:jc w:val="left"/>
              <w:rPr>
                <w:rFonts w:ascii="Times New Roman" w:hAnsi="Times New Roman" w:cs="Times New Roman" w:eastAsia="Times New Roman" w:hint="default"/>
                <w:sz w:val="18"/>
                <w:szCs w:val="18"/>
              </w:rPr>
            </w:pPr>
            <w:r>
              <w:rPr>
                <w:rFonts w:ascii="Times New Roman"/>
                <w:sz w:val="18"/>
              </w:rPr>
              <w:t>51.73</w:t>
            </w:r>
          </w:p>
        </w:tc>
        <w:tc>
          <w:tcPr>
            <w:tcW w:w="655"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124" w:right="0"/>
              <w:jc w:val="center"/>
              <w:rPr>
                <w:rFonts w:ascii="Times New Roman" w:hAnsi="Times New Roman" w:cs="Times New Roman" w:eastAsia="Times New Roman" w:hint="default"/>
                <w:sz w:val="18"/>
                <w:szCs w:val="18"/>
              </w:rPr>
            </w:pPr>
            <w:r>
              <w:rPr>
                <w:rFonts w:ascii="Times New Roman"/>
                <w:sz w:val="18"/>
              </w:rPr>
              <w:t>4,401.13</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157.17</w:t>
            </w:r>
            <w:r>
              <w:rPr>
                <w:rFonts w:ascii="Times New Roman"/>
                <w:sz w:val="18"/>
              </w:rPr>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124" w:right="0"/>
              <w:jc w:val="center"/>
              <w:rPr>
                <w:rFonts w:ascii="Times New Roman" w:hAnsi="Times New Roman" w:cs="Times New Roman" w:eastAsia="Times New Roman" w:hint="default"/>
                <w:sz w:val="18"/>
                <w:szCs w:val="18"/>
              </w:rPr>
            </w:pPr>
            <w:r>
              <w:rPr>
                <w:rFonts w:ascii="Times New Roman"/>
                <w:sz w:val="18"/>
              </w:rPr>
              <w:t>4,560.29</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16,147.46</w:t>
            </w:r>
          </w:p>
        </w:tc>
        <w:tc>
          <w:tcPr>
            <w:tcW w:w="806" w:type="dxa"/>
            <w:tcBorders>
              <w:top w:val="nil" w:sz="6" w:space="0" w:color="auto"/>
              <w:left w:val="single" w:sz="4" w:space="0" w:color="000000"/>
              <w:bottom w:val="nil" w:sz="6" w:space="0" w:color="auto"/>
              <w:right w:val="nil" w:sz="6" w:space="0" w:color="auto"/>
            </w:tcBorders>
          </w:tcPr>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52.23</w:t>
            </w:r>
          </w:p>
        </w:tc>
      </w:tr>
      <w:tr>
        <w:trPr>
          <w:trHeight w:val="455" w:hRule="exact"/>
        </w:trPr>
        <w:tc>
          <w:tcPr>
            <w:tcW w:w="2208"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66"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655"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20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66"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655"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nil" w:sz="6" w:space="0" w:color="auto"/>
            </w:tcBorders>
          </w:tcPr>
          <w:p>
            <w:pPr/>
          </w:p>
        </w:tc>
      </w:tr>
      <w:tr>
        <w:trPr>
          <w:trHeight w:val="460" w:hRule="exact"/>
        </w:trPr>
        <w:tc>
          <w:tcPr>
            <w:tcW w:w="220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66"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655"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nil" w:sz="6" w:space="0" w:color="auto"/>
            </w:tcBorders>
          </w:tcPr>
          <w:p>
            <w:pPr/>
          </w:p>
        </w:tc>
      </w:tr>
      <w:tr>
        <w:trPr>
          <w:trHeight w:val="361" w:hRule="exact"/>
        </w:trPr>
        <w:tc>
          <w:tcPr>
            <w:tcW w:w="2208" w:type="dxa"/>
            <w:tcBorders>
              <w:top w:val="nil" w:sz="6" w:space="0" w:color="auto"/>
              <w:left w:val="nil" w:sz="6" w:space="0" w:color="auto"/>
              <w:bottom w:val="single" w:sz="12"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0"/>
              <w:ind w:right="97"/>
              <w:jc w:val="right"/>
              <w:rPr>
                <w:rFonts w:ascii="Times New Roman" w:hAnsi="Times New Roman" w:cs="Times New Roman" w:eastAsia="Times New Roman" w:hint="default"/>
                <w:sz w:val="18"/>
                <w:szCs w:val="18"/>
              </w:rPr>
            </w:pPr>
            <w:r>
              <w:rPr>
                <w:rFonts w:ascii="Times New Roman"/>
                <w:spacing w:val="-1"/>
                <w:sz w:val="18"/>
              </w:rPr>
              <w:t>22,400.00</w:t>
            </w:r>
          </w:p>
        </w:tc>
        <w:tc>
          <w:tcPr>
            <w:tcW w:w="8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0"/>
              <w:ind w:left="153" w:right="0"/>
              <w:jc w:val="left"/>
              <w:rPr>
                <w:rFonts w:ascii="Times New Roman" w:hAnsi="Times New Roman" w:cs="Times New Roman" w:eastAsia="Times New Roman" w:hint="default"/>
                <w:sz w:val="18"/>
                <w:szCs w:val="18"/>
              </w:rPr>
            </w:pPr>
            <w:r>
              <w:rPr>
                <w:rFonts w:ascii="Times New Roman"/>
                <w:sz w:val="18"/>
              </w:rPr>
              <w:t>100.00</w:t>
            </w:r>
          </w:p>
        </w:tc>
        <w:tc>
          <w:tcPr>
            <w:tcW w:w="655" w:type="dxa"/>
            <w:vMerge/>
            <w:tcBorders>
              <w:left w:val="single" w:sz="4" w:space="0" w:color="000000"/>
              <w:bottom w:val="single" w:sz="12" w:space="0" w:color="000000"/>
              <w:right w:val="single" w:sz="4" w:space="0" w:color="000000"/>
            </w:tcBorders>
          </w:tcPr>
          <w:p>
            <w:pPr/>
          </w:p>
        </w:tc>
        <w:tc>
          <w:tcPr>
            <w:tcW w:w="451" w:type="dxa"/>
            <w:vMerge/>
            <w:tcBorders>
              <w:left w:val="single" w:sz="4" w:space="0" w:color="000000"/>
              <w:bottom w:val="single" w:sz="12" w:space="0" w:color="000000"/>
              <w:right w:val="single" w:sz="4" w:space="0" w:color="000000"/>
            </w:tcBorders>
          </w:tcPr>
          <w:p>
            <w:pPr/>
          </w:p>
        </w:tc>
        <w:tc>
          <w:tcPr>
            <w:tcW w:w="96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0"/>
              <w:ind w:left="125" w:right="0"/>
              <w:jc w:val="center"/>
              <w:rPr>
                <w:rFonts w:ascii="Times New Roman" w:hAnsi="Times New Roman" w:cs="Times New Roman" w:eastAsia="Times New Roman" w:hint="default"/>
                <w:sz w:val="18"/>
                <w:szCs w:val="18"/>
              </w:rPr>
            </w:pPr>
            <w:r>
              <w:rPr>
                <w:rFonts w:ascii="Times New Roman"/>
                <w:sz w:val="18"/>
              </w:rPr>
              <w:t>8,512.00</w:t>
            </w:r>
          </w:p>
        </w:tc>
        <w:tc>
          <w:tcPr>
            <w:tcW w:w="876" w:type="dxa"/>
            <w:tcBorders>
              <w:top w:val="nil" w:sz="6" w:space="0" w:color="auto"/>
              <w:left w:val="single" w:sz="4" w:space="0" w:color="000000"/>
              <w:bottom w:val="single" w:sz="12" w:space="0" w:color="000000"/>
              <w:right w:val="single" w:sz="4" w:space="0" w:color="000000"/>
            </w:tcBorders>
          </w:tcPr>
          <w:p>
            <w:pPr/>
          </w:p>
        </w:tc>
        <w:tc>
          <w:tcPr>
            <w:tcW w:w="96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0"/>
              <w:ind w:left="125" w:right="0"/>
              <w:jc w:val="center"/>
              <w:rPr>
                <w:rFonts w:ascii="Times New Roman" w:hAnsi="Times New Roman" w:cs="Times New Roman" w:eastAsia="Times New Roman" w:hint="default"/>
                <w:sz w:val="18"/>
                <w:szCs w:val="18"/>
              </w:rPr>
            </w:pPr>
            <w:r>
              <w:rPr>
                <w:rFonts w:ascii="Times New Roman"/>
                <w:sz w:val="18"/>
              </w:rPr>
              <w:t>8,512.00</w:t>
            </w:r>
          </w:p>
        </w:tc>
        <w:tc>
          <w:tcPr>
            <w:tcW w:w="10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18"/>
                <w:szCs w:val="18"/>
              </w:rPr>
            </w:pPr>
            <w:r>
              <w:rPr>
                <w:rFonts w:ascii="Times New Roman"/>
                <w:spacing w:val="-1"/>
                <w:sz w:val="18"/>
              </w:rPr>
              <w:t>30,912.00</w:t>
            </w:r>
          </w:p>
        </w:tc>
        <w:tc>
          <w:tcPr>
            <w:tcW w:w="806" w:type="dxa"/>
            <w:tcBorders>
              <w:top w:val="nil" w:sz="6" w:space="0" w:color="auto"/>
              <w:left w:val="single" w:sz="4" w:space="0" w:color="000000"/>
              <w:bottom w:val="single" w:sz="12" w:space="0" w:color="000000"/>
              <w:right w:val="nil" w:sz="6" w:space="0" w:color="auto"/>
            </w:tcBorders>
          </w:tcPr>
          <w:p>
            <w:pPr>
              <w:pStyle w:val="TableParagraph"/>
              <w:spacing w:line="240" w:lineRule="auto" w:before="130"/>
              <w:ind w:right="2"/>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2"/>
        <w:rPr>
          <w:rFonts w:ascii="宋体" w:hAnsi="宋体" w:cs="宋体" w:eastAsia="宋体" w:hint="default"/>
          <w:sz w:val="8"/>
          <w:szCs w:val="8"/>
        </w:rPr>
      </w:pPr>
    </w:p>
    <w:p>
      <w:pPr>
        <w:pStyle w:val="BodyText"/>
        <w:spacing w:line="379" w:lineRule="auto" w:before="36"/>
        <w:ind w:left="233" w:right="210" w:firstLine="419"/>
        <w:jc w:val="both"/>
      </w:pPr>
      <w:r>
        <w:rPr/>
        <w:t>注：</w:t>
      </w: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根据公司</w:t>
      </w:r>
      <w:r>
        <w:rPr>
          <w:rFonts w:ascii="Times New Roman" w:hAnsi="Times New Roman" w:cs="Times New Roman" w:eastAsia="Times New Roman" w:hint="default"/>
        </w:rPr>
        <w:t>2010</w:t>
      </w:r>
      <w:r>
        <w:rPr/>
        <w:t>年年度股东大会决议，公司以资本公积金向全体股东每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3.8</w:t>
      </w:r>
      <w:r>
        <w:rPr/>
        <w:t>股；本次转</w:t>
      </w:r>
      <w:r>
        <w:rPr>
          <w:w w:val="100"/>
        </w:rPr>
        <w:t> </w:t>
      </w:r>
      <w:r>
        <w:rPr>
          <w:spacing w:val="-2"/>
        </w:rPr>
        <w:t>增完成后，公司总股本由</w:t>
      </w:r>
      <w:r>
        <w:rPr>
          <w:rFonts w:ascii="Times New Roman" w:hAnsi="Times New Roman" w:cs="Times New Roman" w:eastAsia="Times New Roman" w:hint="default"/>
          <w:spacing w:val="-2"/>
        </w:rPr>
        <w:t>22,400</w:t>
      </w:r>
      <w:r>
        <w:rPr>
          <w:spacing w:val="-2"/>
        </w:rPr>
        <w:t>万股增至</w:t>
      </w:r>
      <w:r>
        <w:rPr>
          <w:rFonts w:ascii="Times New Roman" w:hAnsi="Times New Roman" w:cs="Times New Roman" w:eastAsia="Times New Roman" w:hint="default"/>
          <w:spacing w:val="-2"/>
        </w:rPr>
        <w:t>30,912</w:t>
      </w:r>
      <w:r>
        <w:rPr>
          <w:spacing w:val="-2"/>
        </w:rPr>
        <w:t>万股，以上注册资本已经众环验字（</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041</w:t>
      </w:r>
      <w:r>
        <w:rPr>
          <w:spacing w:val="-2"/>
        </w:rPr>
        <w:t>号《验资报</w:t>
      </w:r>
      <w:r>
        <w:rPr>
          <w:spacing w:val="-29"/>
        </w:rPr>
        <w:t> </w:t>
      </w:r>
      <w:r>
        <w:rPr>
          <w:spacing w:val="-29"/>
        </w:rPr>
      </w:r>
      <w:r>
        <w:rPr/>
        <w:t>告》验证。</w:t>
      </w:r>
    </w:p>
    <w:p>
      <w:pPr>
        <w:pStyle w:val="BodyText"/>
        <w:spacing w:line="384" w:lineRule="auto" w:before="64"/>
        <w:ind w:left="233" w:right="0"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公司第三届董事会副董事长李殿坤先生于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日不再担任公司副董事长，根据《深圳证</w:t>
      </w:r>
      <w:r>
        <w:rPr>
          <w:w w:val="100"/>
        </w:rPr>
        <w:t> </w:t>
      </w:r>
      <w:r>
        <w:rPr/>
        <w:t>券交易所中小板上市公司规范运作指引》</w:t>
      </w:r>
      <w:r>
        <w:rPr>
          <w:rFonts w:ascii="Times New Roman" w:hAnsi="Times New Roman" w:cs="Times New Roman" w:eastAsia="Times New Roman" w:hint="default"/>
        </w:rPr>
        <w:t>3.8.13</w:t>
      </w:r>
      <w:r>
        <w:rPr/>
        <w:t>，上市公司董事、监事和高级管理人员离任并委托公司申</w:t>
      </w:r>
      <w:r>
        <w:rPr>
          <w:spacing w:val="-3"/>
          <w:w w:val="100"/>
        </w:rPr>
        <w:t> </w:t>
      </w:r>
      <w:r>
        <w:rPr>
          <w:spacing w:val="-2"/>
        </w:rPr>
        <w:t>报个人信息后，中国结算深圳分公司自其申报离任日起六个月内将其持有及新增的本公司股份全部锁定，</w:t>
      </w:r>
      <w:r>
        <w:rPr>
          <w:spacing w:val="-21"/>
        </w:rPr>
        <w:t> </w:t>
      </w:r>
      <w:r>
        <w:rPr>
          <w:spacing w:val="-21"/>
        </w:rPr>
      </w:r>
      <w:r>
        <w:rPr>
          <w:spacing w:val="-2"/>
        </w:rPr>
        <w:t>因此李殿坤先生</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日持有的</w:t>
      </w:r>
      <w:r>
        <w:rPr>
          <w:rFonts w:ascii="Times New Roman" w:hAnsi="Times New Roman" w:cs="Times New Roman" w:eastAsia="Times New Roman" w:hint="default"/>
          <w:spacing w:val="-2"/>
        </w:rPr>
        <w:t>2,288,284</w:t>
      </w:r>
      <w:r>
        <w:rPr>
          <w:spacing w:val="-2"/>
        </w:rPr>
        <w:t>股全部锁定。自离任人员的离任信息申报之日起六个月的</w:t>
      </w:r>
      <w:r>
        <w:rPr>
          <w:spacing w:val="-26"/>
        </w:rPr>
        <w:t> </w:t>
      </w:r>
      <w:r>
        <w:rPr>
          <w:spacing w:val="-26"/>
        </w:rPr>
      </w:r>
      <w:r>
        <w:rPr/>
        <w:t>第一个交易日，其持有的股份按</w:t>
      </w:r>
      <w:r>
        <w:rPr>
          <w:rFonts w:ascii="Times New Roman" w:hAnsi="Times New Roman" w:cs="Times New Roman" w:eastAsia="Times New Roman" w:hint="default"/>
        </w:rPr>
        <w:t>50%</w:t>
      </w:r>
      <w:r>
        <w:rPr/>
        <w:t>比例进行锁定。报告期内：李殿坤先生持有的限售股份减少：</w:t>
      </w:r>
      <w:r>
        <w:rPr>
          <w:w w:val="100"/>
        </w:rPr>
        <w:t> </w:t>
      </w:r>
      <w:r>
        <w:rPr>
          <w:rFonts w:ascii="Times New Roman" w:hAnsi="Times New Roman" w:cs="Times New Roman" w:eastAsia="Times New Roman" w:hint="default"/>
          <w:spacing w:val="-3"/>
        </w:rPr>
        <w:t>2288284*1.38/2=1,578,916(</w:t>
      </w:r>
      <w:r>
        <w:rPr>
          <w:spacing w:val="-3"/>
        </w:rPr>
        <w:t>股</w:t>
      </w:r>
      <w:r>
        <w:rPr>
          <w:rFonts w:ascii="Times New Roman" w:hAnsi="Times New Roman" w:cs="Times New Roman" w:eastAsia="Times New Roman" w:hint="default"/>
          <w:spacing w:val="-3"/>
        </w:rPr>
        <w:t>)</w:t>
      </w:r>
      <w:r>
        <w:rPr>
          <w:spacing w:val="-3"/>
        </w:rPr>
        <w:t>。公司于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24</w:t>
      </w:r>
      <w:r>
        <w:rPr>
          <w:spacing w:val="-3"/>
        </w:rPr>
        <w:t>日聘任的副总裁王敏敏女士于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30</w:t>
      </w:r>
      <w:r>
        <w:rPr>
          <w:spacing w:val="-3"/>
        </w:rPr>
        <w:t>日持有公司</w:t>
      </w:r>
      <w:r>
        <w:rPr>
          <w:spacing w:val="7"/>
        </w:rPr>
        <w:t> </w:t>
      </w:r>
      <w:r>
        <w:rPr>
          <w:spacing w:val="7"/>
        </w:rPr>
      </w:r>
      <w:r>
        <w:rPr/>
        <w:t>股份</w:t>
      </w:r>
      <w:r>
        <w:rPr>
          <w:rFonts w:ascii="Times New Roman" w:hAnsi="Times New Roman" w:cs="Times New Roman" w:eastAsia="Times New Roman" w:hint="default"/>
        </w:rPr>
        <w:t>9,650</w:t>
      </w:r>
      <w:r>
        <w:rPr/>
        <w:t>股，其中锁定股份</w:t>
      </w:r>
      <w:r>
        <w:rPr>
          <w:rFonts w:ascii="Times New Roman" w:hAnsi="Times New Roman" w:cs="Times New Roman" w:eastAsia="Times New Roman" w:hint="default"/>
        </w:rPr>
        <w:t>7,245</w:t>
      </w:r>
      <w:r>
        <w:rPr/>
        <w:t>股为本报告期增加的限售股份，合计限售股份减少为：</w:t>
      </w:r>
    </w:p>
    <w:p>
      <w:pPr>
        <w:pStyle w:val="BodyText"/>
        <w:spacing w:line="240" w:lineRule="auto" w:before="28"/>
        <w:ind w:left="233" w:right="5418"/>
        <w:jc w:val="left"/>
      </w:pPr>
      <w:r>
        <w:rPr>
          <w:rFonts w:ascii="Times New Roman" w:hAnsi="Times New Roman" w:cs="Times New Roman" w:eastAsia="Times New Roman" w:hint="default"/>
        </w:rPr>
        <w:t>1,578,915-7,245=1,571,671(</w:t>
      </w:r>
      <w:r>
        <w:rPr/>
        <w:t>股</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7"/>
          <w:szCs w:val="27"/>
        </w:rPr>
      </w:pPr>
    </w:p>
    <w:p>
      <w:pPr>
        <w:pStyle w:val="BodyText"/>
        <w:spacing w:line="240" w:lineRule="auto"/>
        <w:ind w:left="654" w:right="5418"/>
        <w:jc w:val="left"/>
      </w:pPr>
      <w:r>
        <w:rPr>
          <w:rFonts w:ascii="Times New Roman" w:hAnsi="Times New Roman" w:cs="Times New Roman" w:eastAsia="Times New Roman" w:hint="default"/>
        </w:rPr>
        <w:t>26</w:t>
      </w:r>
      <w:r>
        <w:rPr/>
        <w:t>．资本公积</w:t>
      </w:r>
    </w:p>
    <w:p>
      <w:pPr>
        <w:spacing w:after="0" w:line="240" w:lineRule="auto"/>
        <w:jc w:val="left"/>
        <w:sectPr>
          <w:pgSz w:w="11910" w:h="16840"/>
          <w:pgMar w:header="850" w:footer="979" w:top="1200" w:bottom="1160" w:left="900" w:right="920"/>
        </w:sectPr>
      </w:pPr>
    </w:p>
    <w:p>
      <w:pPr>
        <w:spacing w:line="240" w:lineRule="auto" w:before="10"/>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2316"/>
        <w:gridCol w:w="2184"/>
        <w:gridCol w:w="1884"/>
        <w:gridCol w:w="1685"/>
        <w:gridCol w:w="1786"/>
      </w:tblGrid>
      <w:tr>
        <w:trPr>
          <w:trHeight w:val="506" w:hRule="exact"/>
        </w:trPr>
        <w:tc>
          <w:tcPr>
            <w:tcW w:w="2316" w:type="dxa"/>
            <w:tcBorders>
              <w:top w:val="single" w:sz="17"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174"/>
              <w:ind w:right="72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8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72"/>
              <w:ind w:left="667"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88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72"/>
              <w:ind w:left="410"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8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72"/>
              <w:ind w:left="314"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786"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72"/>
              <w:ind w:left="470"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602" w:hRule="exact"/>
        </w:trPr>
        <w:tc>
          <w:tcPr>
            <w:tcW w:w="2316" w:type="dxa"/>
            <w:tcBorders>
              <w:top w:val="single" w:sz="4" w:space="0" w:color="000000"/>
              <w:left w:val="nil" w:sz="6" w:space="0" w:color="auto"/>
              <w:bottom w:val="nil" w:sz="6" w:space="0" w:color="auto"/>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21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86,262,108.98</w:t>
            </w:r>
          </w:p>
        </w:tc>
        <w:tc>
          <w:tcPr>
            <w:tcW w:w="1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69" w:right="0"/>
              <w:jc w:val="left"/>
              <w:rPr>
                <w:rFonts w:ascii="Times New Roman" w:hAnsi="Times New Roman" w:cs="Times New Roman" w:eastAsia="Times New Roman" w:hint="default"/>
                <w:sz w:val="21"/>
                <w:szCs w:val="21"/>
              </w:rPr>
            </w:pPr>
            <w:r>
              <w:rPr>
                <w:rFonts w:ascii="Times New Roman"/>
                <w:sz w:val="21"/>
              </w:rPr>
              <w:t>2,718,521.23</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67" w:right="0"/>
              <w:jc w:val="left"/>
              <w:rPr>
                <w:rFonts w:ascii="Times New Roman" w:hAnsi="Times New Roman" w:cs="Times New Roman" w:eastAsia="Times New Roman" w:hint="default"/>
                <w:sz w:val="21"/>
                <w:szCs w:val="21"/>
              </w:rPr>
            </w:pPr>
            <w:r>
              <w:rPr>
                <w:rFonts w:ascii="Times New Roman"/>
                <w:sz w:val="21"/>
              </w:rPr>
              <w:t>86,262,108.98</w:t>
            </w:r>
          </w:p>
        </w:tc>
        <w:tc>
          <w:tcPr>
            <w:tcW w:w="178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67" w:right="0"/>
              <w:jc w:val="left"/>
              <w:rPr>
                <w:rFonts w:ascii="Times New Roman" w:hAnsi="Times New Roman" w:cs="Times New Roman" w:eastAsia="Times New Roman" w:hint="default"/>
                <w:sz w:val="21"/>
                <w:szCs w:val="21"/>
              </w:rPr>
            </w:pPr>
            <w:r>
              <w:rPr>
                <w:rFonts w:ascii="Times New Roman"/>
                <w:sz w:val="21"/>
              </w:rPr>
              <w:t>10,320,876.40</w:t>
            </w:r>
          </w:p>
        </w:tc>
      </w:tr>
      <w:tr>
        <w:trPr>
          <w:trHeight w:val="370" w:hRule="exact"/>
        </w:trPr>
        <w:tc>
          <w:tcPr>
            <w:tcW w:w="2316" w:type="dxa"/>
            <w:tcBorders>
              <w:top w:val="nil" w:sz="6" w:space="0" w:color="auto"/>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1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7,602,355.17</w:t>
            </w:r>
          </w:p>
        </w:tc>
        <w:tc>
          <w:tcPr>
            <w:tcW w:w="1884"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786" w:type="dxa"/>
            <w:vMerge/>
            <w:tcBorders>
              <w:left w:val="single" w:sz="4" w:space="0" w:color="000000"/>
              <w:bottom w:val="single" w:sz="4" w:space="0" w:color="000000"/>
              <w:right w:val="nil" w:sz="6" w:space="0" w:color="auto"/>
            </w:tcBorders>
          </w:tcPr>
          <w:p>
            <w:pPr/>
          </w:p>
        </w:tc>
      </w:tr>
      <w:tr>
        <w:trPr>
          <w:trHeight w:val="499" w:hRule="exact"/>
        </w:trPr>
        <w:tc>
          <w:tcPr>
            <w:tcW w:w="2316"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174"/>
              <w:ind w:right="72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93,864,464.15</w:t>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69" w:right="0"/>
              <w:jc w:val="left"/>
              <w:rPr>
                <w:rFonts w:ascii="Times New Roman" w:hAnsi="Times New Roman" w:cs="Times New Roman" w:eastAsia="Times New Roman" w:hint="default"/>
                <w:sz w:val="21"/>
                <w:szCs w:val="21"/>
              </w:rPr>
            </w:pPr>
            <w:r>
              <w:rPr>
                <w:rFonts w:ascii="Times New Roman"/>
                <w:sz w:val="21"/>
              </w:rPr>
              <w:t>2,718,521.23</w:t>
            </w:r>
          </w:p>
        </w:tc>
        <w:tc>
          <w:tcPr>
            <w:tcW w:w="16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67" w:right="0"/>
              <w:jc w:val="left"/>
              <w:rPr>
                <w:rFonts w:ascii="Times New Roman" w:hAnsi="Times New Roman" w:cs="Times New Roman" w:eastAsia="Times New Roman" w:hint="default"/>
                <w:sz w:val="21"/>
                <w:szCs w:val="21"/>
              </w:rPr>
            </w:pPr>
            <w:r>
              <w:rPr>
                <w:rFonts w:ascii="Times New Roman"/>
                <w:sz w:val="21"/>
              </w:rPr>
              <w:t>86,262,108.98</w:t>
            </w:r>
          </w:p>
        </w:tc>
        <w:tc>
          <w:tcPr>
            <w:tcW w:w="17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67" w:right="0"/>
              <w:jc w:val="left"/>
              <w:rPr>
                <w:rFonts w:ascii="Times New Roman" w:hAnsi="Times New Roman" w:cs="Times New Roman" w:eastAsia="Times New Roman" w:hint="default"/>
                <w:sz w:val="21"/>
                <w:szCs w:val="21"/>
              </w:rPr>
            </w:pPr>
            <w:r>
              <w:rPr>
                <w:rFonts w:ascii="Times New Roman"/>
                <w:sz w:val="21"/>
              </w:rPr>
              <w:t>10,320,876.40</w:t>
            </w:r>
          </w:p>
        </w:tc>
      </w:tr>
    </w:tbl>
    <w:p>
      <w:pPr>
        <w:spacing w:line="240" w:lineRule="auto" w:before="8"/>
        <w:rPr>
          <w:rFonts w:ascii="宋体" w:hAnsi="宋体" w:cs="宋体" w:eastAsia="宋体" w:hint="default"/>
          <w:sz w:val="10"/>
          <w:szCs w:val="10"/>
        </w:rPr>
      </w:pPr>
    </w:p>
    <w:p>
      <w:pPr>
        <w:pStyle w:val="BodyText"/>
        <w:spacing w:line="396" w:lineRule="auto" w:before="36"/>
        <w:ind w:left="252" w:right="247" w:firstLine="419"/>
        <w:jc w:val="both"/>
        <w:rPr>
          <w:rFonts w:ascii="Times New Roman" w:hAnsi="Times New Roman" w:cs="Times New Roman" w:eastAsia="Times New Roman" w:hint="default"/>
        </w:rPr>
      </w:pPr>
      <w:r>
        <w:rPr/>
        <w:t>注</w:t>
      </w:r>
      <w:r>
        <w:rPr>
          <w:spacing w:val="-32"/>
        </w:rPr>
        <w:t> </w:t>
      </w:r>
      <w:r>
        <w:rPr>
          <w:rFonts w:ascii="Times New Roman" w:hAnsi="Times New Roman" w:cs="Times New Roman" w:eastAsia="Times New Roman" w:hint="default"/>
          <w:spacing w:val="-9"/>
        </w:rPr>
        <w:t>1</w:t>
      </w:r>
      <w:r>
        <w:rPr>
          <w:spacing w:val="-9"/>
        </w:rPr>
        <w:t>、经公司</w:t>
      </w:r>
      <w:r>
        <w:rPr>
          <w:spacing w:val="-3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1"/>
        </w:rPr>
        <w:t> </w:t>
      </w:r>
      <w:r>
        <w:rPr>
          <w:spacing w:val="-3"/>
        </w:rPr>
        <w:t>年度第一次临时股东会审议通过《北京中长石基信息技术股份有限公司股票期权激</w:t>
      </w:r>
      <w:r>
        <w:rPr>
          <w:w w:val="100"/>
        </w:rPr>
        <w:t> </w:t>
      </w:r>
      <w:r>
        <w:rPr>
          <w:spacing w:val="-16"/>
          <w:w w:val="100"/>
        </w:rPr>
        <w:t>励计划（草案）修订案》，公司对部份管理人员实施股票期权，公司在</w:t>
      </w:r>
      <w:r>
        <w:rPr>
          <w:spacing w:val="-55"/>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2"/>
          <w:w w:val="100"/>
        </w:rPr>
        <w:t> </w:t>
      </w:r>
      <w:r>
        <w:rPr>
          <w:w w:val="100"/>
        </w:rPr>
        <w:t>年</w:t>
      </w:r>
      <w:r>
        <w:rPr>
          <w:spacing w:val="-54"/>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1"/>
          <w:w w:val="100"/>
        </w:rPr>
        <w:t> </w:t>
      </w:r>
      <w:r>
        <w:rPr>
          <w:spacing w:val="-2"/>
          <w:w w:val="100"/>
        </w:rPr>
        <w:t>日授予激励对象</w:t>
      </w:r>
      <w:r>
        <w:rPr>
          <w:spacing w:val="-51"/>
          <w:w w:val="100"/>
        </w:rPr>
        <w:t> </w:t>
      </w:r>
      <w:r>
        <w:rPr>
          <w:rFonts w:ascii="Times New Roman" w:hAnsi="Times New Roman" w:cs="Times New Roman" w:eastAsia="Times New Roman" w:hint="default"/>
          <w:spacing w:val="-1"/>
          <w:w w:val="100"/>
        </w:rPr>
        <w:t>288.40</w:t>
      </w:r>
    </w:p>
    <w:p>
      <w:pPr>
        <w:pStyle w:val="BodyText"/>
        <w:spacing w:line="240" w:lineRule="auto" w:before="38"/>
        <w:ind w:left="253" w:right="0"/>
        <w:jc w:val="left"/>
      </w:pPr>
      <w:r>
        <w:rPr>
          <w:w w:val="100"/>
        </w:rPr>
        <w:t>万份</w:t>
      </w:r>
      <w:r>
        <w:rPr>
          <w:spacing w:val="-3"/>
          <w:w w:val="100"/>
        </w:rPr>
        <w:t>股</w:t>
      </w:r>
      <w:r>
        <w:rPr>
          <w:w w:val="100"/>
        </w:rPr>
        <w:t>票</w:t>
      </w:r>
      <w:r>
        <w:rPr>
          <w:spacing w:val="-3"/>
          <w:w w:val="100"/>
        </w:rPr>
        <w:t>期</w:t>
      </w:r>
      <w:r>
        <w:rPr>
          <w:spacing w:val="-5"/>
          <w:w w:val="100"/>
        </w:rPr>
        <w:t>权</w:t>
      </w:r>
      <w:r>
        <w:rPr>
          <w:spacing w:val="-3"/>
          <w:w w:val="100"/>
        </w:rPr>
        <w:t>（</w:t>
      </w:r>
      <w:r>
        <w:rPr>
          <w:w w:val="100"/>
        </w:rPr>
        <w:t>后</w:t>
      </w:r>
      <w:r>
        <w:rPr>
          <w:spacing w:val="-3"/>
          <w:w w:val="100"/>
        </w:rPr>
        <w:t>调</w:t>
      </w:r>
      <w:r>
        <w:rPr>
          <w:w w:val="100"/>
        </w:rPr>
        <w:t>整为</w:t>
      </w:r>
      <w:r>
        <w:rPr>
          <w:spacing w:val="-55"/>
        </w:rPr>
        <w:t> </w:t>
      </w:r>
      <w:r>
        <w:rPr>
          <w:rFonts w:ascii="Times New Roman" w:hAnsi="Times New Roman" w:cs="Times New Roman" w:eastAsia="Times New Roman" w:hint="default"/>
          <w:w w:val="100"/>
        </w:rPr>
        <w:t>287.60</w:t>
      </w:r>
      <w:r>
        <w:rPr>
          <w:rFonts w:ascii="Times New Roman" w:hAnsi="Times New Roman" w:cs="Times New Roman" w:eastAsia="Times New Roman" w:hint="default"/>
          <w:spacing w:val="-3"/>
        </w:rPr>
        <w:t> </w:t>
      </w:r>
      <w:r>
        <w:rPr>
          <w:w w:val="100"/>
        </w:rPr>
        <w:t>万</w:t>
      </w:r>
      <w:r>
        <w:rPr>
          <w:spacing w:val="-3"/>
          <w:w w:val="100"/>
        </w:rPr>
        <w:t>份</w:t>
      </w:r>
      <w:r>
        <w:rPr>
          <w:spacing w:val="-106"/>
          <w:w w:val="100"/>
        </w:rPr>
        <w:t>）</w:t>
      </w:r>
      <w:r>
        <w:rPr>
          <w:spacing w:val="-8"/>
          <w:w w:val="100"/>
        </w:rPr>
        <w:t>，</w:t>
      </w:r>
      <w:r>
        <w:rPr>
          <w:w w:val="100"/>
        </w:rPr>
        <w:t>期</w:t>
      </w:r>
      <w:r>
        <w:rPr>
          <w:spacing w:val="-3"/>
          <w:w w:val="100"/>
        </w:rPr>
        <w:t>权</w:t>
      </w:r>
      <w:r>
        <w:rPr>
          <w:w w:val="100"/>
        </w:rPr>
        <w:t>的</w:t>
      </w:r>
      <w:r>
        <w:rPr>
          <w:spacing w:val="-3"/>
          <w:w w:val="100"/>
        </w:rPr>
        <w:t>行权</w:t>
      </w:r>
      <w:r>
        <w:rPr>
          <w:w w:val="100"/>
        </w:rPr>
        <w:t>价为</w:t>
      </w:r>
      <w:r>
        <w:rPr>
          <w:spacing w:val="-53"/>
        </w:rPr>
        <w:t> </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8"/>
          <w:w w:val="100"/>
        </w:rPr>
        <w:t>元</w:t>
      </w:r>
      <w:r>
        <w:rPr>
          <w:w w:val="100"/>
        </w:rPr>
        <w:t>（</w:t>
      </w:r>
      <w:r>
        <w:rPr>
          <w:spacing w:val="-3"/>
          <w:w w:val="100"/>
        </w:rPr>
        <w:t>后</w:t>
      </w:r>
      <w:r>
        <w:rPr>
          <w:w w:val="100"/>
        </w:rPr>
        <w:t>修</w:t>
      </w:r>
      <w:r>
        <w:rPr>
          <w:spacing w:val="-3"/>
          <w:w w:val="100"/>
        </w:rPr>
        <w:t>改</w:t>
      </w:r>
      <w:r>
        <w:rPr>
          <w:w w:val="100"/>
        </w:rPr>
        <w:t>为</w:t>
      </w:r>
      <w:r>
        <w:rPr>
          <w:spacing w:val="-53"/>
        </w:rPr>
        <w:t> </w:t>
      </w:r>
      <w:r>
        <w:rPr>
          <w:rFonts w:ascii="Times New Roman" w:hAnsi="Times New Roman" w:cs="Times New Roman" w:eastAsia="Times New Roman" w:hint="default"/>
          <w:w w:val="100"/>
        </w:rPr>
        <w:t>44</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元</w:t>
      </w:r>
      <w:r>
        <w:rPr>
          <w:spacing w:val="-106"/>
          <w:w w:val="100"/>
        </w:rPr>
        <w:t>）</w:t>
      </w:r>
      <w:r>
        <w:rPr>
          <w:spacing w:val="-8"/>
          <w:w w:val="100"/>
        </w:rPr>
        <w:t>，</w:t>
      </w:r>
      <w:r>
        <w:rPr>
          <w:w w:val="100"/>
        </w:rPr>
        <w:t>分</w:t>
      </w:r>
      <w:r>
        <w:rPr>
          <w:spacing w:val="-3"/>
          <w:w w:val="100"/>
        </w:rPr>
        <w:t>三</w:t>
      </w:r>
      <w:r>
        <w:rPr>
          <w:w w:val="100"/>
        </w:rPr>
        <w:t>期</w:t>
      </w:r>
      <w:r>
        <w:rPr>
          <w:spacing w:val="-3"/>
          <w:w w:val="100"/>
        </w:rPr>
        <w:t>行</w:t>
      </w:r>
      <w:r>
        <w:rPr>
          <w:w w:val="100"/>
        </w:rPr>
        <w:t>权</w:t>
      </w:r>
      <w:r>
        <w:rPr>
          <w:spacing w:val="-8"/>
          <w:w w:val="100"/>
        </w:rPr>
        <w:t>。</w:t>
      </w:r>
      <w:r>
        <w:rPr>
          <w:w w:val="100"/>
        </w:rPr>
        <w:t>根</w:t>
      </w:r>
      <w:r>
        <w:rPr>
          <w:spacing w:val="-3"/>
          <w:w w:val="100"/>
        </w:rPr>
        <w:t>据</w:t>
      </w:r>
      <w:r>
        <w:rPr>
          <w:w w:val="100"/>
        </w:rPr>
        <w:t>布</w:t>
      </w:r>
    </w:p>
    <w:p>
      <w:pPr>
        <w:pStyle w:val="BodyText"/>
        <w:spacing w:line="240" w:lineRule="auto" w:before="189"/>
        <w:ind w:left="253" w:right="0"/>
        <w:jc w:val="left"/>
      </w:pPr>
      <w:r>
        <w:rPr/>
        <w:t>莱克－斯科尔期权定价模型计算，本次授予的</w:t>
      </w:r>
      <w:r>
        <w:rPr>
          <w:spacing w:val="-49"/>
        </w:rPr>
        <w:t> </w:t>
      </w:r>
      <w:r>
        <w:rPr>
          <w:rFonts w:ascii="Times New Roman" w:hAnsi="Times New Roman" w:cs="Times New Roman" w:eastAsia="Times New Roman" w:hint="default"/>
        </w:rPr>
        <w:t>288.4</w:t>
      </w:r>
      <w:r>
        <w:rPr>
          <w:rFonts w:ascii="Times New Roman" w:hAnsi="Times New Roman" w:cs="Times New Roman" w:eastAsia="Times New Roman" w:hint="default"/>
          <w:spacing w:val="6"/>
        </w:rPr>
        <w:t> </w:t>
      </w:r>
      <w:r>
        <w:rPr/>
        <w:t>万份股票期权的理论价值为</w:t>
      </w:r>
      <w:r>
        <w:rPr>
          <w:spacing w:val="-47"/>
        </w:rPr>
        <w:t> </w:t>
      </w:r>
      <w:r>
        <w:rPr>
          <w:rFonts w:ascii="Times New Roman" w:hAnsi="Times New Roman" w:cs="Times New Roman" w:eastAsia="Times New Roman" w:hint="default"/>
        </w:rPr>
        <w:t>2,895.81</w:t>
      </w:r>
      <w:r>
        <w:rPr>
          <w:rFonts w:ascii="Times New Roman" w:hAnsi="Times New Roman" w:cs="Times New Roman" w:eastAsia="Times New Roman" w:hint="default"/>
          <w:spacing w:val="6"/>
        </w:rPr>
        <w:t> </w:t>
      </w:r>
      <w:r>
        <w:rPr/>
        <w:t>万元。公司根据</w:t>
      </w:r>
    </w:p>
    <w:p>
      <w:pPr>
        <w:pStyle w:val="BodyText"/>
        <w:spacing w:line="420" w:lineRule="auto" w:before="189"/>
        <w:ind w:left="253" w:right="0"/>
        <w:jc w:val="left"/>
      </w:pPr>
      <w:r>
        <w:rPr>
          <w:spacing w:val="-2"/>
        </w:rPr>
        <w:t>《企业会计准则－股份支付》的规定，在每个等待期的每个资产负债表日对公司股权激励成本进行会计处</w:t>
      </w:r>
      <w:r>
        <w:rPr>
          <w:spacing w:val="-44"/>
        </w:rPr>
        <w:t> </w:t>
      </w:r>
      <w:r>
        <w:rPr>
          <w:spacing w:val="-44"/>
        </w:rPr>
      </w:r>
      <w:r>
        <w:rPr/>
        <w:t>理，按截止至</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日预计行权人数及数量计算</w:t>
      </w:r>
      <w:r>
        <w:rPr>
          <w:spacing w:val="-53"/>
        </w:rPr>
        <w:t> </w:t>
      </w:r>
      <w:r>
        <w:rPr>
          <w:rFonts w:ascii="Times New Roman" w:hAnsi="Times New Roman" w:cs="Times New Roman" w:eastAsia="Times New Roman" w:hint="default"/>
        </w:rPr>
        <w:t>2010 </w:t>
      </w:r>
      <w:r>
        <w:rPr/>
        <w:t>年度股权激励成本为</w:t>
      </w:r>
      <w:r>
        <w:rPr>
          <w:spacing w:val="-53"/>
        </w:rPr>
        <w:t> </w:t>
      </w:r>
      <w:r>
        <w:rPr>
          <w:rFonts w:ascii="Times New Roman" w:hAnsi="Times New Roman" w:cs="Times New Roman" w:eastAsia="Times New Roman" w:hint="default"/>
        </w:rPr>
        <w:t>7,602,355.17</w:t>
      </w:r>
      <w:r>
        <w:rPr>
          <w:rFonts w:ascii="Times New Roman" w:hAnsi="Times New Roman" w:cs="Times New Roman" w:eastAsia="Times New Roman" w:hint="default"/>
          <w:spacing w:val="-3"/>
        </w:rPr>
        <w:t> </w:t>
      </w:r>
      <w:r>
        <w:rPr/>
        <w:t>元。</w:t>
      </w:r>
    </w:p>
    <w:p>
      <w:pPr>
        <w:pStyle w:val="BodyText"/>
        <w:spacing w:line="396" w:lineRule="auto" w:before="15"/>
        <w:ind w:left="253" w:right="247" w:firstLine="424"/>
        <w:jc w:val="both"/>
      </w:pPr>
      <w:r>
        <w:rPr>
          <w:rFonts w:ascii="Times New Roman" w:hAnsi="Times New Roman" w:cs="Times New Roman" w:eastAsia="Times New Roman" w:hint="default"/>
          <w:spacing w:val="-3"/>
        </w:rPr>
        <w:t>2011</w:t>
      </w:r>
      <w:r>
        <w:rPr>
          <w:spacing w:val="-3"/>
        </w:rPr>
        <w:t>年度公司因离职和职务发生变动的激励对象合并所获授的</w:t>
      </w:r>
      <w:r>
        <w:rPr>
          <w:rFonts w:ascii="Times New Roman" w:hAnsi="Times New Roman" w:cs="Times New Roman" w:eastAsia="Times New Roman" w:hint="default"/>
          <w:spacing w:val="-3"/>
        </w:rPr>
        <w:t>1,383,000.00</w:t>
      </w:r>
      <w:r>
        <w:rPr>
          <w:spacing w:val="-3"/>
        </w:rPr>
        <w:t>份股票期权予以注销，根据</w:t>
      </w:r>
      <w:r>
        <w:rPr>
          <w:w w:val="100"/>
        </w:rPr>
        <w:t> </w:t>
      </w:r>
      <w:r>
        <w:rPr>
          <w:spacing w:val="-2"/>
        </w:rPr>
        <w:t>布莱克－斯科尔期权定价模型，按截止至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日预计行权人数及数量计算</w:t>
      </w:r>
      <w:r>
        <w:rPr>
          <w:rFonts w:ascii="Times New Roman" w:hAnsi="Times New Roman" w:cs="Times New Roman" w:eastAsia="Times New Roman" w:hint="default"/>
          <w:spacing w:val="-2"/>
        </w:rPr>
        <w:t>2011</w:t>
      </w:r>
      <w:r>
        <w:rPr>
          <w:spacing w:val="-2"/>
        </w:rPr>
        <w:t>年度股权激励成本</w:t>
      </w:r>
      <w:r>
        <w:rPr>
          <w:spacing w:val="-32"/>
        </w:rPr>
        <w:t> </w:t>
      </w:r>
      <w:r>
        <w:rPr>
          <w:spacing w:val="-32"/>
        </w:rPr>
      </w:r>
      <w:r>
        <w:rPr/>
        <w:t>为</w:t>
      </w:r>
      <w:r>
        <w:rPr>
          <w:rFonts w:ascii="Times New Roman" w:hAnsi="Times New Roman" w:cs="Times New Roman" w:eastAsia="Times New Roman" w:hint="default"/>
        </w:rPr>
        <w:t>2,718,521.23</w:t>
      </w:r>
      <w:r>
        <w:rPr/>
        <w:t>元，计入资本公积中。</w:t>
      </w:r>
    </w:p>
    <w:p>
      <w:pPr>
        <w:pStyle w:val="BodyText"/>
        <w:spacing w:line="240" w:lineRule="auto" w:before="38"/>
        <w:ind w:left="673" w:right="0"/>
        <w:jc w:val="left"/>
      </w:pPr>
      <w:r>
        <w:rPr/>
        <w:t>注</w:t>
      </w:r>
      <w:r>
        <w:rPr>
          <w:spacing w:val="-49"/>
        </w:rPr>
        <w:t> </w:t>
      </w:r>
      <w:r>
        <w:rPr>
          <w:rFonts w:ascii="Times New Roman" w:hAnsi="Times New Roman" w:cs="Times New Roman" w:eastAsia="Times New Roman" w:hint="default"/>
        </w:rPr>
        <w:t>2</w:t>
      </w:r>
      <w:r>
        <w:rPr/>
        <w:t>、根据</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年第四届董事会第二次会议决议，公司以</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日总股本</w:t>
      </w:r>
      <w:r>
        <w:rPr>
          <w:spacing w:val="-49"/>
        </w:rPr>
        <w:t> </w:t>
      </w:r>
      <w:r>
        <w:rPr>
          <w:rFonts w:ascii="Times New Roman" w:hAnsi="Times New Roman" w:cs="Times New Roman" w:eastAsia="Times New Roman" w:hint="default"/>
        </w:rPr>
        <w:t>22400</w:t>
      </w:r>
      <w:r>
        <w:rPr>
          <w:rFonts w:ascii="Times New Roman" w:hAnsi="Times New Roman" w:cs="Times New Roman" w:eastAsia="Times New Roman" w:hint="default"/>
          <w:spacing w:val="1"/>
        </w:rPr>
        <w:t> </w:t>
      </w:r>
      <w:r>
        <w:rPr/>
        <w:t>万股为基</w:t>
      </w:r>
    </w:p>
    <w:p>
      <w:pPr>
        <w:pStyle w:val="BodyText"/>
        <w:spacing w:line="240" w:lineRule="auto" w:before="189"/>
        <w:ind w:left="253" w:right="0"/>
        <w:jc w:val="left"/>
      </w:pPr>
      <w:r>
        <w:rPr/>
        <w:t>数，向全体股东每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w:t>
      </w:r>
      <w:r>
        <w:rPr>
          <w:spacing w:val="-54"/>
        </w:rPr>
        <w:t> </w:t>
      </w:r>
      <w:r>
        <w:rPr>
          <w:rFonts w:ascii="Times New Roman" w:hAnsi="Times New Roman" w:cs="Times New Roman" w:eastAsia="Times New Roman" w:hint="default"/>
        </w:rPr>
        <w:t>3.8</w:t>
      </w:r>
      <w:r>
        <w:rPr>
          <w:rFonts w:ascii="Times New Roman" w:hAnsi="Times New Roman" w:cs="Times New Roman" w:eastAsia="Times New Roman" w:hint="default"/>
          <w:spacing w:val="-4"/>
        </w:rPr>
        <w:t> </w:t>
      </w:r>
      <w:r>
        <w:rPr/>
        <w:t>股，合计以资本公积转增股本</w:t>
      </w:r>
      <w:r>
        <w:rPr>
          <w:spacing w:val="-54"/>
        </w:rPr>
        <w:t> </w:t>
      </w:r>
      <w:r>
        <w:rPr>
          <w:rFonts w:ascii="Times New Roman" w:hAnsi="Times New Roman" w:cs="Times New Roman" w:eastAsia="Times New Roman" w:hint="default"/>
        </w:rPr>
        <w:t>8,512.00</w:t>
      </w:r>
      <w:r>
        <w:rPr>
          <w:rFonts w:ascii="Times New Roman" w:hAnsi="Times New Roman" w:cs="Times New Roman" w:eastAsia="Times New Roman" w:hint="default"/>
          <w:spacing w:val="-4"/>
        </w:rPr>
        <w:t> </w:t>
      </w:r>
      <w:r>
        <w:rPr/>
        <w:t>万股。</w:t>
      </w:r>
    </w:p>
    <w:p>
      <w:pPr>
        <w:pStyle w:val="BodyText"/>
        <w:spacing w:line="240" w:lineRule="auto" w:before="189"/>
        <w:ind w:left="674" w:right="0"/>
        <w:jc w:val="left"/>
      </w:pPr>
      <w:r>
        <w:rPr>
          <w:w w:val="100"/>
        </w:rPr>
        <w:t>注</w:t>
      </w:r>
      <w:r>
        <w:rPr>
          <w:spacing w:val="-41"/>
        </w:rPr>
        <w:t> </w:t>
      </w:r>
      <w:r>
        <w:rPr>
          <w:rFonts w:ascii="Times New Roman" w:hAnsi="Times New Roman" w:cs="Times New Roman" w:eastAsia="Times New Roman" w:hint="default"/>
          <w:w w:val="100"/>
        </w:rPr>
        <w:t>3</w:t>
      </w:r>
      <w:r>
        <w:rPr>
          <w:spacing w:val="-3"/>
          <w:w w:val="100"/>
        </w:rPr>
        <w:t>、</w:t>
      </w:r>
      <w:r>
        <w:rPr>
          <w:w w:val="100"/>
        </w:rPr>
        <w:t>根据</w:t>
      </w:r>
      <w:r>
        <w:rPr>
          <w:spacing w:val="-41"/>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2"/>
        </w:rPr>
        <w:t> </w:t>
      </w:r>
      <w:r>
        <w:rPr>
          <w:spacing w:val="-3"/>
          <w:w w:val="100"/>
        </w:rPr>
        <w:t>年</w:t>
      </w:r>
      <w:r>
        <w:rPr>
          <w:w w:val="100"/>
        </w:rPr>
        <w:t>第</w:t>
      </w:r>
      <w:r>
        <w:rPr>
          <w:spacing w:val="-3"/>
          <w:w w:val="100"/>
        </w:rPr>
        <w:t>四届</w:t>
      </w:r>
      <w:r>
        <w:rPr>
          <w:w w:val="100"/>
        </w:rPr>
        <w:t>董事</w:t>
      </w:r>
      <w:r>
        <w:rPr>
          <w:spacing w:val="-3"/>
          <w:w w:val="100"/>
        </w:rPr>
        <w:t>会</w:t>
      </w:r>
      <w:r>
        <w:rPr>
          <w:w w:val="100"/>
        </w:rPr>
        <w:t>第</w:t>
      </w:r>
      <w:r>
        <w:rPr>
          <w:spacing w:val="-3"/>
          <w:w w:val="100"/>
        </w:rPr>
        <w:t>三</w:t>
      </w:r>
      <w:r>
        <w:rPr>
          <w:w w:val="100"/>
        </w:rPr>
        <w:t>次</w:t>
      </w:r>
      <w:r>
        <w:rPr>
          <w:spacing w:val="-3"/>
          <w:w w:val="100"/>
        </w:rPr>
        <w:t>临</w:t>
      </w:r>
      <w:r>
        <w:rPr>
          <w:w w:val="100"/>
        </w:rPr>
        <w:t>时</w:t>
      </w:r>
      <w:r>
        <w:rPr>
          <w:spacing w:val="-3"/>
          <w:w w:val="100"/>
        </w:rPr>
        <w:t>会</w:t>
      </w:r>
      <w:r>
        <w:rPr>
          <w:w w:val="100"/>
        </w:rPr>
        <w:t>议</w:t>
      </w:r>
      <w:r>
        <w:rPr>
          <w:spacing w:val="-3"/>
          <w:w w:val="100"/>
        </w:rPr>
        <w:t>决</w:t>
      </w:r>
      <w:r>
        <w:rPr>
          <w:w w:val="100"/>
        </w:rPr>
        <w:t>议，</w:t>
      </w:r>
      <w:r>
        <w:rPr>
          <w:spacing w:val="-3"/>
          <w:w w:val="100"/>
        </w:rPr>
        <w:t>公</w:t>
      </w:r>
      <w:r>
        <w:rPr>
          <w:w w:val="100"/>
        </w:rPr>
        <w:t>司</w:t>
      </w:r>
      <w:r>
        <w:rPr>
          <w:spacing w:val="-3"/>
          <w:w w:val="100"/>
        </w:rPr>
        <w:t>与</w:t>
      </w:r>
      <w:r>
        <w:rPr>
          <w:w w:val="100"/>
        </w:rPr>
        <w:t>杨</w:t>
      </w:r>
      <w:r>
        <w:rPr>
          <w:spacing w:val="-3"/>
          <w:w w:val="100"/>
        </w:rPr>
        <w:t>铭</w:t>
      </w:r>
      <w:r>
        <w:rPr>
          <w:w w:val="100"/>
        </w:rPr>
        <w:t>魁</w:t>
      </w:r>
      <w:r>
        <w:rPr>
          <w:spacing w:val="-3"/>
          <w:w w:val="100"/>
        </w:rPr>
        <w:t>签</w:t>
      </w:r>
      <w:r>
        <w:rPr>
          <w:w w:val="100"/>
        </w:rPr>
        <w:t>订</w:t>
      </w:r>
      <w:r>
        <w:rPr>
          <w:spacing w:val="-3"/>
          <w:w w:val="100"/>
        </w:rPr>
        <w:t>《</w:t>
      </w:r>
      <w:r>
        <w:rPr>
          <w:w w:val="100"/>
        </w:rPr>
        <w:t>股权</w:t>
      </w:r>
      <w:r>
        <w:rPr>
          <w:spacing w:val="-3"/>
          <w:w w:val="100"/>
        </w:rPr>
        <w:t>转</w:t>
      </w:r>
      <w:r>
        <w:rPr>
          <w:w w:val="100"/>
        </w:rPr>
        <w:t>让</w:t>
      </w:r>
      <w:r>
        <w:rPr>
          <w:spacing w:val="-3"/>
          <w:w w:val="100"/>
        </w:rPr>
        <w:t>协</w:t>
      </w:r>
      <w:r>
        <w:rPr>
          <w:w w:val="100"/>
        </w:rPr>
        <w:t>议</w:t>
      </w:r>
      <w:r>
        <w:rPr>
          <w:spacing w:val="-108"/>
          <w:w w:val="100"/>
        </w:rPr>
        <w:t>》</w:t>
      </w:r>
      <w:r>
        <w:rPr>
          <w:w w:val="100"/>
        </w:rPr>
        <w:t>，</w:t>
      </w:r>
      <w:r>
        <w:rPr>
          <w:spacing w:val="-3"/>
          <w:w w:val="100"/>
        </w:rPr>
        <w:t>公</w:t>
      </w:r>
      <w:r>
        <w:rPr>
          <w:w w:val="100"/>
        </w:rPr>
        <w:t>司以</w:t>
      </w:r>
    </w:p>
    <w:p>
      <w:pPr>
        <w:pStyle w:val="BodyText"/>
        <w:spacing w:line="240" w:lineRule="auto" w:before="189"/>
        <w:ind w:left="253" w:right="0"/>
        <w:jc w:val="left"/>
      </w:pPr>
      <w:r>
        <w:rPr>
          <w:rFonts w:ascii="Times New Roman" w:hAnsi="Times New Roman" w:cs="Times New Roman" w:eastAsia="Times New Roman" w:hint="default"/>
        </w:rPr>
        <w:t>3,000 </w:t>
      </w:r>
      <w:r>
        <w:rPr/>
        <w:t>万元的价格收购杨铭魁持有杭州西软 </w:t>
      </w:r>
      <w:r>
        <w:rPr>
          <w:rFonts w:ascii="Times New Roman" w:hAnsi="Times New Roman" w:cs="Times New Roman" w:eastAsia="Times New Roman" w:hint="default"/>
        </w:rPr>
        <w:t>18%</w:t>
      </w:r>
      <w:r>
        <w:rPr/>
        <w:t>的股权，股权收购款 </w:t>
      </w:r>
      <w:r>
        <w:rPr>
          <w:rFonts w:ascii="Times New Roman" w:hAnsi="Times New Roman" w:cs="Times New Roman" w:eastAsia="Times New Roman" w:hint="default"/>
        </w:rPr>
        <w:t>3,000 </w:t>
      </w:r>
      <w:r>
        <w:rPr/>
        <w:t>万元与股权日按</w:t>
      </w:r>
      <w:r>
        <w:rPr>
          <w:spacing w:val="-75"/>
        </w:rPr>
        <w:t> </w:t>
      </w:r>
      <w:r>
        <w:rPr>
          <w:rFonts w:ascii="Times New Roman" w:hAnsi="Times New Roman" w:cs="Times New Roman" w:eastAsia="Times New Roman" w:hint="default"/>
        </w:rPr>
        <w:t>18%</w:t>
      </w:r>
      <w:r>
        <w:rPr/>
        <w:t>计算应享</w:t>
      </w:r>
    </w:p>
    <w:p>
      <w:pPr>
        <w:pStyle w:val="BodyText"/>
        <w:spacing w:line="396" w:lineRule="auto" w:before="189"/>
        <w:ind w:left="253" w:right="0" w:hanging="1"/>
        <w:jc w:val="left"/>
      </w:pPr>
      <w:r>
        <w:rPr/>
        <w:t>有净资产</w:t>
      </w:r>
      <w:r>
        <w:rPr>
          <w:spacing w:val="-50"/>
        </w:rPr>
        <w:t> </w:t>
      </w:r>
      <w:r>
        <w:rPr>
          <w:rFonts w:ascii="Times New Roman" w:hAnsi="Times New Roman" w:cs="Times New Roman" w:eastAsia="Times New Roman" w:hint="default"/>
        </w:rPr>
        <w:t>11,181,154.05 </w:t>
      </w:r>
      <w:r>
        <w:rPr/>
        <w:t>元的差额</w:t>
      </w:r>
      <w:r>
        <w:rPr>
          <w:spacing w:val="-50"/>
        </w:rPr>
        <w:t> </w:t>
      </w:r>
      <w:r>
        <w:rPr>
          <w:rFonts w:ascii="Times New Roman" w:hAnsi="Times New Roman" w:cs="Times New Roman" w:eastAsia="Times New Roman" w:hint="default"/>
        </w:rPr>
        <w:t>18,818,845.95</w:t>
      </w:r>
      <w:r>
        <w:rPr>
          <w:rFonts w:ascii="Times New Roman" w:hAnsi="Times New Roman" w:cs="Times New Roman" w:eastAsia="Times New Roman" w:hint="default"/>
          <w:spacing w:val="3"/>
        </w:rPr>
        <w:t> </w:t>
      </w:r>
      <w:r>
        <w:rPr/>
        <w:t>元冲减资本公积</w:t>
      </w:r>
      <w:r>
        <w:rPr>
          <w:spacing w:val="-50"/>
        </w:rPr>
        <w:t> </w:t>
      </w:r>
      <w:r>
        <w:rPr>
          <w:rFonts w:ascii="Times New Roman" w:hAnsi="Times New Roman" w:cs="Times New Roman" w:eastAsia="Times New Roman" w:hint="default"/>
        </w:rPr>
        <w:t>1,142,108.98 </w:t>
      </w:r>
      <w:r>
        <w:rPr>
          <w:spacing w:val="-8"/>
        </w:rPr>
        <w:t>元，资本公积不足部分冲减盈</w:t>
      </w:r>
      <w:r>
        <w:rPr>
          <w:w w:val="100"/>
        </w:rPr>
        <w:t> </w:t>
      </w:r>
      <w:r>
        <w:rPr/>
        <w:t>余公积</w:t>
      </w:r>
      <w:r>
        <w:rPr>
          <w:spacing w:val="-56"/>
        </w:rPr>
        <w:t> </w:t>
      </w:r>
      <w:r>
        <w:rPr>
          <w:rFonts w:ascii="Times New Roman" w:hAnsi="Times New Roman" w:cs="Times New Roman" w:eastAsia="Times New Roman" w:hint="default"/>
        </w:rPr>
        <w:t>17,676,736.97</w:t>
      </w:r>
      <w:r>
        <w:rPr>
          <w:rFonts w:ascii="Times New Roman" w:hAnsi="Times New Roman" w:cs="Times New Roman" w:eastAsia="Times New Roman" w:hint="default"/>
          <w:spacing w:val="-3"/>
        </w:rPr>
        <w:t> </w:t>
      </w:r>
      <w:r>
        <w:rPr/>
        <w:t>元。本次收购后完成后公司持有杭州西软</w:t>
      </w:r>
      <w:r>
        <w:rPr>
          <w:spacing w:val="-56"/>
        </w:rPr>
        <w:t> </w:t>
      </w:r>
      <w:r>
        <w:rPr>
          <w:rFonts w:ascii="Times New Roman" w:hAnsi="Times New Roman" w:cs="Times New Roman" w:eastAsia="Times New Roman" w:hint="default"/>
        </w:rPr>
        <w:t>100%</w:t>
      </w:r>
      <w:r>
        <w:rPr/>
        <w:t>的股权。</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7"/>
          <w:szCs w:val="17"/>
        </w:rPr>
      </w:pPr>
    </w:p>
    <w:p>
      <w:pPr>
        <w:pStyle w:val="BodyText"/>
        <w:spacing w:line="240" w:lineRule="auto"/>
        <w:ind w:left="674" w:right="0"/>
        <w:jc w:val="left"/>
      </w:pPr>
      <w:r>
        <w:rPr>
          <w:rFonts w:ascii="Times New Roman" w:hAnsi="Times New Roman" w:cs="Times New Roman" w:eastAsia="Times New Roman" w:hint="default"/>
        </w:rPr>
        <w:t>27</w:t>
      </w:r>
      <w:r>
        <w:rPr/>
        <w:t>．盈余公积</w:t>
      </w:r>
    </w:p>
    <w:tbl>
      <w:tblPr>
        <w:tblW w:w="0" w:type="auto"/>
        <w:jc w:val="left"/>
        <w:tblInd w:w="116" w:type="dxa"/>
        <w:tblLayout w:type="fixed"/>
        <w:tblCellMar>
          <w:top w:w="0" w:type="dxa"/>
          <w:left w:w="0" w:type="dxa"/>
          <w:bottom w:w="0" w:type="dxa"/>
          <w:right w:w="0" w:type="dxa"/>
        </w:tblCellMar>
        <w:tblLook w:val="01E0"/>
      </w:tblPr>
      <w:tblGrid>
        <w:gridCol w:w="2316"/>
        <w:gridCol w:w="2246"/>
        <w:gridCol w:w="1769"/>
        <w:gridCol w:w="1766"/>
        <w:gridCol w:w="1771"/>
      </w:tblGrid>
      <w:tr>
        <w:trPr>
          <w:trHeight w:val="502" w:hRule="exact"/>
        </w:trPr>
        <w:tc>
          <w:tcPr>
            <w:tcW w:w="2316"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177"/>
              <w:ind w:right="72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2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5"/>
              <w:ind w:left="699"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7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5"/>
              <w:ind w:left="354"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7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5"/>
              <w:ind w:left="354"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7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5"/>
              <w:ind w:left="462"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490"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46,187,818.37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8,946,833.34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17,676,736.97</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21"/>
                <w:szCs w:val="21"/>
              </w:rPr>
            </w:pPr>
            <w:r>
              <w:rPr>
                <w:rFonts w:ascii="Times New Roman"/>
                <w:sz w:val="21"/>
              </w:rPr>
              <w:t>37,457,914.74</w:t>
            </w:r>
          </w:p>
        </w:tc>
      </w:tr>
      <w:tr>
        <w:trPr>
          <w:trHeight w:val="502" w:hRule="exact"/>
        </w:trPr>
        <w:tc>
          <w:tcPr>
            <w:tcW w:w="2316"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174"/>
              <w:ind w:right="72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46,187,818.37</w:t>
            </w:r>
          </w:p>
        </w:tc>
        <w:tc>
          <w:tcPr>
            <w:tcW w:w="1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8,946,833.34</w:t>
            </w:r>
          </w:p>
        </w:tc>
        <w:tc>
          <w:tcPr>
            <w:tcW w:w="17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17,676,736.97</w:t>
            </w:r>
          </w:p>
        </w:tc>
        <w:tc>
          <w:tcPr>
            <w:tcW w:w="17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21"/>
                <w:szCs w:val="21"/>
              </w:rPr>
            </w:pPr>
            <w:r>
              <w:rPr>
                <w:rFonts w:ascii="Times New Roman"/>
                <w:sz w:val="21"/>
              </w:rPr>
              <w:t>37,457,914.74</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36"/>
        <w:ind w:left="672" w:right="0"/>
        <w:jc w:val="left"/>
      </w:pPr>
      <w:r>
        <w:rPr>
          <w:rFonts w:ascii="Times New Roman" w:hAnsi="Times New Roman" w:cs="Times New Roman" w:eastAsia="Times New Roman" w:hint="default"/>
        </w:rPr>
        <w:t>28</w:t>
      </w:r>
      <w:r>
        <w:rPr/>
        <w:t>．未分配利润</w:t>
      </w:r>
    </w:p>
    <w:tbl>
      <w:tblPr>
        <w:tblW w:w="0" w:type="auto"/>
        <w:jc w:val="left"/>
        <w:tblInd w:w="130" w:type="dxa"/>
        <w:tblLayout w:type="fixed"/>
        <w:tblCellMar>
          <w:top w:w="0" w:type="dxa"/>
          <w:left w:w="0" w:type="dxa"/>
          <w:bottom w:w="0" w:type="dxa"/>
          <w:right w:w="0" w:type="dxa"/>
        </w:tblCellMar>
        <w:tblLook w:val="01E0"/>
      </w:tblPr>
      <w:tblGrid>
        <w:gridCol w:w="5062"/>
        <w:gridCol w:w="2405"/>
        <w:gridCol w:w="2402"/>
      </w:tblGrid>
      <w:tr>
        <w:trPr>
          <w:trHeight w:val="458" w:hRule="exact"/>
        </w:trPr>
        <w:tc>
          <w:tcPr>
            <w:tcW w:w="5062"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34"/>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05" w:type="dxa"/>
            <w:tcBorders>
              <w:top w:val="single" w:sz="12"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134"/>
              <w:ind w:left="5"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4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4"/>
              <w:ind w:left="461"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30" w:hRule="exact"/>
        </w:trPr>
        <w:tc>
          <w:tcPr>
            <w:tcW w:w="5062" w:type="dxa"/>
            <w:tcBorders>
              <w:top w:val="single" w:sz="4" w:space="0" w:color="000000"/>
              <w:left w:val="nil" w:sz="6" w:space="0" w:color="auto"/>
              <w:bottom w:val="nil" w:sz="6" w:space="0" w:color="auto"/>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调整前年初未分配利润</w:t>
            </w:r>
          </w:p>
        </w:tc>
        <w:tc>
          <w:tcPr>
            <w:tcW w:w="24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81" w:right="0"/>
              <w:jc w:val="left"/>
              <w:rPr>
                <w:rFonts w:ascii="Times New Roman" w:hAnsi="Times New Roman" w:cs="Times New Roman" w:eastAsia="Times New Roman" w:hint="default"/>
                <w:sz w:val="21"/>
                <w:szCs w:val="21"/>
              </w:rPr>
            </w:pPr>
            <w:r>
              <w:rPr>
                <w:rFonts w:ascii="Times New Roman"/>
                <w:sz w:val="21"/>
              </w:rPr>
              <w:t>512,092,207.37</w:t>
            </w:r>
          </w:p>
        </w:tc>
        <w:tc>
          <w:tcPr>
            <w:tcW w:w="2402" w:type="dxa"/>
            <w:vMerge w:val="restart"/>
            <w:tcBorders>
              <w:top w:val="single" w:sz="4" w:space="0" w:color="000000"/>
              <w:left w:val="single" w:sz="4" w:space="0" w:color="000000"/>
              <w:right w:val="nil" w:sz="6" w:space="0" w:color="auto"/>
            </w:tcBorders>
          </w:tcPr>
          <w:p>
            <w:pPr/>
          </w:p>
        </w:tc>
      </w:tr>
      <w:tr>
        <w:trPr>
          <w:trHeight w:val="372" w:hRule="exact"/>
        </w:trPr>
        <w:tc>
          <w:tcPr>
            <w:tcW w:w="5062"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加：年初未分配利润调整数</w:t>
            </w:r>
          </w:p>
        </w:tc>
        <w:tc>
          <w:tcPr>
            <w:tcW w:w="2405" w:type="dxa"/>
            <w:vMerge/>
            <w:tcBorders>
              <w:left w:val="single" w:sz="4" w:space="0" w:color="000000"/>
              <w:bottom w:val="single" w:sz="12" w:space="0" w:color="000000"/>
              <w:right w:val="single" w:sz="4" w:space="0" w:color="000000"/>
            </w:tcBorders>
          </w:tcPr>
          <w:p>
            <w:pPr/>
          </w:p>
        </w:tc>
        <w:tc>
          <w:tcPr>
            <w:tcW w:w="2402" w:type="dxa"/>
            <w:vMerge/>
            <w:tcBorders>
              <w:left w:val="single" w:sz="4" w:space="0" w:color="000000"/>
              <w:bottom w:val="single" w:sz="12" w:space="0" w:color="000000"/>
              <w:right w:val="nil" w:sz="6" w:space="0" w:color="auto"/>
            </w:tcBorders>
          </w:tcPr>
          <w:p>
            <w:pPr/>
          </w:p>
        </w:tc>
      </w:tr>
    </w:tbl>
    <w:p>
      <w:pPr>
        <w:spacing w:after="0"/>
        <w:sectPr>
          <w:pgSz w:w="11910" w:h="16840"/>
          <w:pgMar w:header="850" w:footer="979" w:top="1200" w:bottom="1160" w:left="880" w:right="880"/>
        </w:sectPr>
      </w:pPr>
    </w:p>
    <w:p>
      <w:pPr>
        <w:spacing w:line="240" w:lineRule="auto" w:before="9"/>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5062"/>
        <w:gridCol w:w="2405"/>
        <w:gridCol w:w="2402"/>
      </w:tblGrid>
      <w:tr>
        <w:trPr>
          <w:trHeight w:val="482" w:hRule="exact"/>
        </w:trPr>
        <w:tc>
          <w:tcPr>
            <w:tcW w:w="5062" w:type="dxa"/>
            <w:tcBorders>
              <w:top w:val="single" w:sz="17"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48"/>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05" w:type="dxa"/>
            <w:tcBorders>
              <w:top w:val="single" w:sz="17"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148"/>
              <w:ind w:left="4"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40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48"/>
              <w:ind w:left="460"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38" w:hRule="exact"/>
        </w:trPr>
        <w:tc>
          <w:tcPr>
            <w:tcW w:w="5062" w:type="dxa"/>
            <w:tcBorders>
              <w:top w:val="single" w:sz="4" w:space="0" w:color="000000"/>
              <w:left w:val="nil" w:sz="6" w:space="0" w:color="auto"/>
              <w:bottom w:val="nil" w:sz="6" w:space="0" w:color="auto"/>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24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512,092,207.37</w:t>
            </w:r>
          </w:p>
        </w:tc>
        <w:tc>
          <w:tcPr>
            <w:tcW w:w="240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10%</w:t>
            </w:r>
          </w:p>
        </w:tc>
      </w:tr>
      <w:tr>
        <w:trPr>
          <w:trHeight w:val="440" w:hRule="exact"/>
        </w:trPr>
        <w:tc>
          <w:tcPr>
            <w:tcW w:w="5062"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加：本年归属于母公司所有者的净利润</w:t>
            </w:r>
          </w:p>
        </w:tc>
        <w:tc>
          <w:tcPr>
            <w:tcW w:w="240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264,113,700.63</w:t>
            </w:r>
          </w:p>
        </w:tc>
        <w:tc>
          <w:tcPr>
            <w:tcW w:w="2402" w:type="dxa"/>
            <w:vMerge/>
            <w:tcBorders>
              <w:left w:val="single" w:sz="4" w:space="0" w:color="000000"/>
              <w:right w:val="nil" w:sz="6" w:space="0" w:color="auto"/>
            </w:tcBorders>
          </w:tcPr>
          <w:p>
            <w:pPr/>
          </w:p>
        </w:tc>
      </w:tr>
      <w:tr>
        <w:trPr>
          <w:trHeight w:val="440" w:hRule="exact"/>
        </w:trPr>
        <w:tc>
          <w:tcPr>
            <w:tcW w:w="5062"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405"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8,946,833.34</w:t>
            </w:r>
          </w:p>
        </w:tc>
        <w:tc>
          <w:tcPr>
            <w:tcW w:w="2402" w:type="dxa"/>
            <w:vMerge/>
            <w:tcBorders>
              <w:left w:val="single" w:sz="4" w:space="0" w:color="000000"/>
              <w:right w:val="nil" w:sz="6" w:space="0" w:color="auto"/>
            </w:tcBorders>
          </w:tcPr>
          <w:p>
            <w:pPr/>
          </w:p>
        </w:tc>
      </w:tr>
      <w:tr>
        <w:trPr>
          <w:trHeight w:val="439" w:hRule="exact"/>
        </w:trPr>
        <w:tc>
          <w:tcPr>
            <w:tcW w:w="5062"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5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40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22,400,000.00</w:t>
            </w:r>
          </w:p>
        </w:tc>
        <w:tc>
          <w:tcPr>
            <w:tcW w:w="2402" w:type="dxa"/>
            <w:vMerge/>
            <w:tcBorders>
              <w:left w:val="single" w:sz="4" w:space="0" w:color="000000"/>
              <w:right w:val="nil" w:sz="6" w:space="0" w:color="auto"/>
            </w:tcBorders>
          </w:tcPr>
          <w:p>
            <w:pPr/>
          </w:p>
        </w:tc>
      </w:tr>
      <w:tr>
        <w:trPr>
          <w:trHeight w:val="362" w:hRule="exact"/>
        </w:trPr>
        <w:tc>
          <w:tcPr>
            <w:tcW w:w="5062" w:type="dxa"/>
            <w:tcBorders>
              <w:top w:val="nil" w:sz="6" w:space="0" w:color="auto"/>
              <w:left w:val="nil" w:sz="6" w:space="0" w:color="auto"/>
              <w:bottom w:val="single" w:sz="12"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4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744,859,074.66</w:t>
            </w:r>
          </w:p>
        </w:tc>
        <w:tc>
          <w:tcPr>
            <w:tcW w:w="2402" w:type="dxa"/>
            <w:vMerge/>
            <w:tcBorders>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7"/>
          <w:szCs w:val="7"/>
        </w:rPr>
      </w:pPr>
    </w:p>
    <w:p>
      <w:pPr>
        <w:pStyle w:val="BodyText"/>
        <w:spacing w:line="362" w:lineRule="auto" w:before="36"/>
        <w:ind w:left="252" w:right="0" w:firstLine="420"/>
        <w:jc w:val="left"/>
      </w:pPr>
      <w:r>
        <w:rPr/>
        <w:t>注：根据公司</w:t>
      </w:r>
      <w:r>
        <w:rPr>
          <w:rFonts w:ascii="Times New Roman" w:hAnsi="Times New Roman" w:cs="Times New Roman" w:eastAsia="Times New Roman" w:hint="default"/>
        </w:rPr>
        <w:t>2011</w:t>
      </w:r>
      <w:r>
        <w:rPr/>
        <w:t>年度股东大会决议，本年度以</w:t>
      </w:r>
      <w:r>
        <w:rPr>
          <w:rFonts w:ascii="Times New Roman" w:hAnsi="Times New Roman" w:cs="Times New Roman" w:eastAsia="Times New Roman" w:hint="default"/>
        </w:rPr>
        <w:t>2010</w:t>
      </w:r>
      <w:r>
        <w:rPr/>
        <w:t>年末总股本为基数，按每</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1</w:t>
      </w:r>
      <w:r>
        <w:rPr/>
        <w:t>元（含税）向全</w:t>
      </w:r>
      <w:r>
        <w:rPr>
          <w:w w:val="100"/>
        </w:rPr>
        <w:t> </w:t>
      </w:r>
      <w:r>
        <w:rPr/>
        <w:t>体股东派发现金股利，该利润分配方案已在本年度实施完毕。</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left="672" w:right="0"/>
        <w:jc w:val="left"/>
      </w:pPr>
      <w:r>
        <w:rPr>
          <w:rFonts w:ascii="Times New Roman" w:hAnsi="Times New Roman" w:cs="Times New Roman" w:eastAsia="Times New Roman" w:hint="default"/>
        </w:rPr>
        <w:t>29</w:t>
      </w:r>
      <w:r>
        <w:rPr/>
        <w:t>．营业收入及营业成本</w:t>
      </w:r>
    </w:p>
    <w:p>
      <w:pPr>
        <w:pStyle w:val="BodyText"/>
        <w:spacing w:line="240" w:lineRule="auto" w:before="148"/>
        <w:ind w:left="672" w:right="0"/>
        <w:jc w:val="left"/>
      </w:pPr>
      <w:r>
        <w:rPr/>
        <w:t>（</w:t>
      </w:r>
      <w:r>
        <w:rPr>
          <w:rFonts w:ascii="Times New Roman" w:hAnsi="Times New Roman" w:cs="Times New Roman" w:eastAsia="Times New Roman" w:hint="default"/>
        </w:rPr>
        <w:t>1</w:t>
      </w:r>
      <w:r>
        <w:rPr/>
        <w:t>）营业收入及成本</w:t>
      </w:r>
    </w:p>
    <w:tbl>
      <w:tblPr>
        <w:tblW w:w="0" w:type="auto"/>
        <w:jc w:val="left"/>
        <w:tblInd w:w="130" w:type="dxa"/>
        <w:tblLayout w:type="fixed"/>
        <w:tblCellMar>
          <w:top w:w="0" w:type="dxa"/>
          <w:left w:w="0" w:type="dxa"/>
          <w:bottom w:w="0" w:type="dxa"/>
          <w:right w:w="0" w:type="dxa"/>
        </w:tblCellMar>
        <w:tblLook w:val="01E0"/>
      </w:tblPr>
      <w:tblGrid>
        <w:gridCol w:w="3298"/>
        <w:gridCol w:w="3286"/>
        <w:gridCol w:w="3286"/>
      </w:tblGrid>
      <w:tr>
        <w:trPr>
          <w:trHeight w:val="461" w:hRule="exact"/>
        </w:trPr>
        <w:tc>
          <w:tcPr>
            <w:tcW w:w="3298"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40" w:lineRule="auto" w:before="134"/>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4"/>
              <w:ind w:left="5"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38" w:hRule="exact"/>
        </w:trPr>
        <w:tc>
          <w:tcPr>
            <w:tcW w:w="3298" w:type="dxa"/>
            <w:tcBorders>
              <w:top w:val="single" w:sz="4" w:space="0" w:color="000000"/>
              <w:left w:val="nil" w:sz="6" w:space="0" w:color="auto"/>
              <w:bottom w:val="nil" w:sz="6" w:space="0" w:color="auto"/>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717,767,642.49</w:t>
            </w:r>
          </w:p>
        </w:tc>
        <w:tc>
          <w:tcPr>
            <w:tcW w:w="3286"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608,549,473.05</w:t>
            </w:r>
          </w:p>
        </w:tc>
      </w:tr>
      <w:tr>
        <w:trPr>
          <w:trHeight w:val="439" w:hRule="exact"/>
        </w:trPr>
        <w:tc>
          <w:tcPr>
            <w:tcW w:w="3298"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86"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3,104,081.60</w:t>
            </w:r>
          </w:p>
        </w:tc>
        <w:tc>
          <w:tcPr>
            <w:tcW w:w="3286"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1,697,892.94</w:t>
            </w:r>
          </w:p>
        </w:tc>
      </w:tr>
      <w:tr>
        <w:trPr>
          <w:trHeight w:val="362" w:hRule="exact"/>
        </w:trPr>
        <w:tc>
          <w:tcPr>
            <w:tcW w:w="3298" w:type="dxa"/>
            <w:tcBorders>
              <w:top w:val="nil" w:sz="6" w:space="0" w:color="auto"/>
              <w:left w:val="nil" w:sz="6" w:space="0" w:color="auto"/>
              <w:bottom w:val="single" w:sz="12"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249,352,665.79</w:t>
            </w:r>
          </w:p>
        </w:tc>
        <w:tc>
          <w:tcPr>
            <w:tcW w:w="3286" w:type="dxa"/>
            <w:tcBorders>
              <w:top w:val="nil" w:sz="6" w:space="0" w:color="auto"/>
              <w:left w:val="single" w:sz="4" w:space="0" w:color="000000"/>
              <w:bottom w:val="single" w:sz="12" w:space="0" w:color="000000"/>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188,026,887.02</w:t>
            </w:r>
          </w:p>
        </w:tc>
      </w:tr>
    </w:tbl>
    <w:p>
      <w:pPr>
        <w:spacing w:line="240" w:lineRule="auto" w:before="10"/>
        <w:rPr>
          <w:rFonts w:ascii="宋体" w:hAnsi="宋体" w:cs="宋体" w:eastAsia="宋体" w:hint="default"/>
          <w:sz w:val="8"/>
          <w:szCs w:val="8"/>
        </w:rPr>
      </w:pPr>
    </w:p>
    <w:p>
      <w:pPr>
        <w:pStyle w:val="BodyText"/>
        <w:spacing w:line="240" w:lineRule="auto" w:before="36"/>
        <w:ind w:left="706" w:right="0"/>
        <w:jc w:val="left"/>
      </w:pPr>
      <w:r>
        <w:rPr/>
        <w:t>（</w:t>
      </w:r>
      <w:r>
        <w:rPr>
          <w:rFonts w:ascii="Times New Roman" w:hAnsi="Times New Roman" w:cs="Times New Roman" w:eastAsia="Times New Roman" w:hint="default"/>
        </w:rPr>
        <w:t>2</w:t>
      </w:r>
      <w:r>
        <w:rPr/>
        <w:t>）主营业务（分行业）：</w:t>
      </w:r>
    </w:p>
    <w:tbl>
      <w:tblPr>
        <w:tblW w:w="0" w:type="auto"/>
        <w:jc w:val="left"/>
        <w:tblInd w:w="116" w:type="dxa"/>
        <w:tblLayout w:type="fixed"/>
        <w:tblCellMar>
          <w:top w:w="0" w:type="dxa"/>
          <w:left w:w="0" w:type="dxa"/>
          <w:bottom w:w="0" w:type="dxa"/>
          <w:right w:w="0" w:type="dxa"/>
        </w:tblCellMar>
        <w:tblLook w:val="01E0"/>
      </w:tblPr>
      <w:tblGrid>
        <w:gridCol w:w="3127"/>
        <w:gridCol w:w="1687"/>
        <w:gridCol w:w="1685"/>
        <w:gridCol w:w="1685"/>
        <w:gridCol w:w="1685"/>
      </w:tblGrid>
      <w:tr>
        <w:trPr>
          <w:trHeight w:val="458" w:hRule="exact"/>
        </w:trPr>
        <w:tc>
          <w:tcPr>
            <w:tcW w:w="3127"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行业、产品或地区类别</w:t>
            </w:r>
          </w:p>
        </w:tc>
        <w:tc>
          <w:tcPr>
            <w:tcW w:w="3372"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34"/>
              <w:ind w:left="5"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0"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34"/>
              <w:ind w:right="2"/>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51" w:hRule="exact"/>
        </w:trPr>
        <w:tc>
          <w:tcPr>
            <w:tcW w:w="3127" w:type="dxa"/>
            <w:vMerge/>
            <w:tcBorders>
              <w:left w:val="nil" w:sz="6" w:space="0" w:color="auto"/>
              <w:bottom w:val="single" w:sz="4" w:space="0" w:color="000000"/>
              <w:right w:val="single" w:sz="6" w:space="0" w:color="000000"/>
            </w:tcBorders>
          </w:tcPr>
          <w:p>
            <w:pPr/>
          </w:p>
        </w:tc>
        <w:tc>
          <w:tcPr>
            <w:tcW w:w="1687"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36"/>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36"/>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36"/>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36"/>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49" w:hRule="exact"/>
        </w:trPr>
        <w:tc>
          <w:tcPr>
            <w:tcW w:w="3127" w:type="dxa"/>
            <w:tcBorders>
              <w:top w:val="single" w:sz="4" w:space="0" w:color="000000"/>
              <w:left w:val="nil" w:sz="6" w:space="0" w:color="auto"/>
              <w:bottom w:val="single" w:sz="4" w:space="0" w:color="000000"/>
              <w:right w:val="single" w:sz="6" w:space="0" w:color="000000"/>
            </w:tcBorders>
          </w:tcPr>
          <w:p>
            <w:pPr>
              <w:pStyle w:val="TableParagraph"/>
              <w:spacing w:line="240" w:lineRule="auto" w:before="134"/>
              <w:ind w:right="1101"/>
              <w:jc w:val="right"/>
              <w:rPr>
                <w:rFonts w:ascii="宋体" w:hAnsi="宋体" w:cs="宋体" w:eastAsia="宋体" w:hint="default"/>
                <w:sz w:val="21"/>
                <w:szCs w:val="21"/>
              </w:rPr>
            </w:pPr>
            <w:r>
              <w:rPr>
                <w:rFonts w:ascii="宋体" w:hAnsi="宋体" w:cs="宋体" w:eastAsia="宋体" w:hint="default"/>
                <w:spacing w:val="-1"/>
                <w:sz w:val="21"/>
                <w:szCs w:val="21"/>
              </w:rPr>
              <w:t>计算机服务和软件业</w:t>
            </w:r>
          </w:p>
        </w:tc>
        <w:tc>
          <w:tcPr>
            <w:tcW w:w="1687"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717,767,642.49</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248,546,245.03</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608,549,473.05</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187,018,002.82</w:t>
            </w:r>
          </w:p>
        </w:tc>
      </w:tr>
      <w:tr>
        <w:trPr>
          <w:trHeight w:val="461" w:hRule="exact"/>
        </w:trPr>
        <w:tc>
          <w:tcPr>
            <w:tcW w:w="3127" w:type="dxa"/>
            <w:tcBorders>
              <w:top w:val="single" w:sz="4" w:space="0" w:color="000000"/>
              <w:left w:val="nil" w:sz="6" w:space="0" w:color="auto"/>
              <w:bottom w:val="single" w:sz="12" w:space="0" w:color="000000"/>
              <w:right w:val="single" w:sz="6" w:space="0" w:color="000000"/>
            </w:tcBorders>
          </w:tcPr>
          <w:p>
            <w:pPr>
              <w:pStyle w:val="TableParagraph"/>
              <w:tabs>
                <w:tab w:pos="631" w:val="left" w:leader="none"/>
              </w:tabs>
              <w:spacing w:line="240" w:lineRule="auto" w:before="136"/>
              <w:ind w:right="112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687"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717,767,642.49</w:t>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248,546,245.03</w:t>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608,549,473.05</w:t>
            </w:r>
          </w:p>
        </w:tc>
        <w:tc>
          <w:tcPr>
            <w:tcW w:w="168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187,018,002.82</w:t>
            </w:r>
          </w:p>
        </w:tc>
      </w:tr>
    </w:tbl>
    <w:p>
      <w:pPr>
        <w:spacing w:line="240" w:lineRule="auto" w:before="10"/>
        <w:rPr>
          <w:rFonts w:ascii="宋体" w:hAnsi="宋体" w:cs="宋体" w:eastAsia="宋体" w:hint="default"/>
          <w:sz w:val="8"/>
          <w:szCs w:val="8"/>
        </w:rPr>
      </w:pPr>
    </w:p>
    <w:p>
      <w:pPr>
        <w:pStyle w:val="BodyText"/>
        <w:spacing w:line="240" w:lineRule="auto" w:before="36"/>
        <w:ind w:left="706" w:right="0"/>
        <w:jc w:val="left"/>
      </w:pPr>
      <w:r>
        <w:rPr/>
        <w:t>（</w:t>
      </w:r>
      <w:r>
        <w:rPr>
          <w:rFonts w:ascii="Times New Roman" w:hAnsi="Times New Roman" w:cs="Times New Roman" w:eastAsia="Times New Roman" w:hint="default"/>
        </w:rPr>
        <w:t>3</w:t>
      </w:r>
      <w:r>
        <w:rPr/>
        <w:t>）主营业务（分产品）：</w:t>
      </w:r>
    </w:p>
    <w:tbl>
      <w:tblPr>
        <w:tblW w:w="0" w:type="auto"/>
        <w:jc w:val="left"/>
        <w:tblInd w:w="130" w:type="dxa"/>
        <w:tblLayout w:type="fixed"/>
        <w:tblCellMar>
          <w:top w:w="0" w:type="dxa"/>
          <w:left w:w="0" w:type="dxa"/>
          <w:bottom w:w="0" w:type="dxa"/>
          <w:right w:w="0" w:type="dxa"/>
        </w:tblCellMar>
        <w:tblLook w:val="01E0"/>
      </w:tblPr>
      <w:tblGrid>
        <w:gridCol w:w="2827"/>
        <w:gridCol w:w="1762"/>
        <w:gridCol w:w="1764"/>
        <w:gridCol w:w="1754"/>
        <w:gridCol w:w="1762"/>
      </w:tblGrid>
      <w:tr>
        <w:trPr>
          <w:trHeight w:val="461" w:hRule="exact"/>
        </w:trPr>
        <w:tc>
          <w:tcPr>
            <w:tcW w:w="2827"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行业、产品或地区类别</w:t>
            </w:r>
          </w:p>
        </w:tc>
        <w:tc>
          <w:tcPr>
            <w:tcW w:w="3526"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516"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34"/>
              <w:ind w:right="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49" w:hRule="exact"/>
        </w:trPr>
        <w:tc>
          <w:tcPr>
            <w:tcW w:w="2827" w:type="dxa"/>
            <w:vMerge/>
            <w:tcBorders>
              <w:left w:val="nil" w:sz="6" w:space="0" w:color="auto"/>
              <w:bottom w:val="single" w:sz="4" w:space="0" w:color="000000"/>
              <w:right w:val="single" w:sz="6" w:space="0" w:color="000000"/>
            </w:tcBorders>
          </w:tcPr>
          <w:p>
            <w:pPr/>
          </w:p>
        </w:tc>
        <w:tc>
          <w:tcPr>
            <w:tcW w:w="176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34"/>
              <w:ind w:left="4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4"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34"/>
              <w:ind w:left="45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54"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34"/>
              <w:ind w:left="44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2"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34"/>
              <w:ind w:left="45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39" w:hRule="exact"/>
        </w:trPr>
        <w:tc>
          <w:tcPr>
            <w:tcW w:w="2827" w:type="dxa"/>
            <w:tcBorders>
              <w:top w:val="single" w:sz="4" w:space="0" w:color="000000"/>
              <w:left w:val="nil" w:sz="6" w:space="0" w:color="auto"/>
              <w:bottom w:val="nil" w:sz="6" w:space="0" w:color="auto"/>
              <w:right w:val="single" w:sz="6"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、酒店信息管理系统业务</w:t>
            </w:r>
          </w:p>
        </w:tc>
        <w:tc>
          <w:tcPr>
            <w:tcW w:w="1762"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692,758,653.18</w:t>
            </w:r>
          </w:p>
        </w:tc>
        <w:tc>
          <w:tcPr>
            <w:tcW w:w="1764"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348,974,173.97</w:t>
            </w:r>
          </w:p>
        </w:tc>
        <w:tc>
          <w:tcPr>
            <w:tcW w:w="1754"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594,857,631.84</w:t>
            </w:r>
          </w:p>
        </w:tc>
        <w:tc>
          <w:tcPr>
            <w:tcW w:w="1762" w:type="dxa"/>
            <w:tcBorders>
              <w:top w:val="single" w:sz="4" w:space="0" w:color="000000"/>
              <w:left w:val="single" w:sz="6"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277,425,501.62</w:t>
            </w:r>
          </w:p>
        </w:tc>
      </w:tr>
      <w:tr>
        <w:trPr>
          <w:trHeight w:val="440" w:hRule="exact"/>
        </w:trPr>
        <w:tc>
          <w:tcPr>
            <w:tcW w:w="2827" w:type="dxa"/>
            <w:tcBorders>
              <w:top w:val="nil" w:sz="6" w:space="0" w:color="auto"/>
              <w:left w:val="nil" w:sz="6" w:space="0" w:color="auto"/>
              <w:bottom w:val="nil" w:sz="6" w:space="0" w:color="auto"/>
              <w:right w:val="single" w:sz="6"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、餐饮信息管理系统业务</w:t>
            </w:r>
          </w:p>
        </w:tc>
        <w:tc>
          <w:tcPr>
            <w:tcW w:w="1762"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126,155,543.56</w:t>
            </w:r>
          </w:p>
        </w:tc>
        <w:tc>
          <w:tcPr>
            <w:tcW w:w="1764"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44,685,851.88</w:t>
            </w:r>
          </w:p>
        </w:tc>
        <w:tc>
          <w:tcPr>
            <w:tcW w:w="1754"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2"/>
                <w:sz w:val="21"/>
              </w:rPr>
              <w:t>113,333,354.43</w:t>
            </w:r>
          </w:p>
        </w:tc>
        <w:tc>
          <w:tcPr>
            <w:tcW w:w="1762" w:type="dxa"/>
            <w:tcBorders>
              <w:top w:val="nil" w:sz="6" w:space="0" w:color="auto"/>
              <w:left w:val="single" w:sz="6" w:space="0" w:color="000000"/>
              <w:bottom w:val="nil" w:sz="6" w:space="0" w:color="auto"/>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38,298,943.30</w:t>
            </w:r>
          </w:p>
        </w:tc>
      </w:tr>
      <w:tr>
        <w:trPr>
          <w:trHeight w:val="439" w:hRule="exact"/>
        </w:trPr>
        <w:tc>
          <w:tcPr>
            <w:tcW w:w="2827"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、支付系统业务</w:t>
            </w:r>
          </w:p>
        </w:tc>
        <w:tc>
          <w:tcPr>
            <w:tcW w:w="1762"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92,926,730.93</w:t>
            </w:r>
          </w:p>
        </w:tc>
        <w:tc>
          <w:tcPr>
            <w:tcW w:w="1764"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35,988,045.64</w:t>
            </w:r>
          </w:p>
        </w:tc>
        <w:tc>
          <w:tcPr>
            <w:tcW w:w="1754"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48,546,823.89</w:t>
            </w:r>
          </w:p>
        </w:tc>
        <w:tc>
          <w:tcPr>
            <w:tcW w:w="1762"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spacing w:val="-1"/>
                <w:sz w:val="21"/>
              </w:rPr>
              <w:t>9,520,407.14</w:t>
            </w:r>
          </w:p>
        </w:tc>
      </w:tr>
      <w:tr>
        <w:trPr>
          <w:trHeight w:val="352" w:hRule="exact"/>
        </w:trPr>
        <w:tc>
          <w:tcPr>
            <w:tcW w:w="2827" w:type="dxa"/>
            <w:tcBorders>
              <w:top w:val="nil" w:sz="6" w:space="0" w:color="auto"/>
              <w:left w:val="nil" w:sz="6" w:space="0" w:color="auto"/>
              <w:bottom w:val="single" w:sz="4"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抵消数</w:t>
            </w:r>
          </w:p>
        </w:tc>
        <w:tc>
          <w:tcPr>
            <w:tcW w:w="1762"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-194,073,285.18</w:t>
            </w:r>
          </w:p>
        </w:tc>
        <w:tc>
          <w:tcPr>
            <w:tcW w:w="1764"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-181,101,826.46</w:t>
            </w:r>
          </w:p>
        </w:tc>
        <w:tc>
          <w:tcPr>
            <w:tcW w:w="1754"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-148,188,337.11</w:t>
            </w:r>
          </w:p>
        </w:tc>
        <w:tc>
          <w:tcPr>
            <w:tcW w:w="1762" w:type="dxa"/>
            <w:tcBorders>
              <w:top w:val="nil" w:sz="6" w:space="0" w:color="auto"/>
              <w:left w:val="single" w:sz="6"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spacing w:val="-1"/>
                <w:sz w:val="21"/>
              </w:rPr>
              <w:t>-138,226,849.24</w:t>
            </w:r>
          </w:p>
        </w:tc>
      </w:tr>
      <w:tr>
        <w:trPr>
          <w:trHeight w:val="461" w:hRule="exact"/>
        </w:trPr>
        <w:tc>
          <w:tcPr>
            <w:tcW w:w="2827" w:type="dxa"/>
            <w:tcBorders>
              <w:top w:val="single" w:sz="4" w:space="0" w:color="000000"/>
              <w:left w:val="nil" w:sz="6" w:space="0" w:color="auto"/>
              <w:bottom w:val="single" w:sz="12" w:space="0" w:color="000000"/>
              <w:right w:val="single" w:sz="6" w:space="0" w:color="000000"/>
            </w:tcBorders>
          </w:tcPr>
          <w:p>
            <w:pPr>
              <w:pStyle w:val="TableParagraph"/>
              <w:tabs>
                <w:tab w:pos="655" w:val="left" w:leader="none"/>
              </w:tabs>
              <w:spacing w:line="240" w:lineRule="auto" w:before="134"/>
              <w:ind w:left="2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62"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717,767,642.49</w:t>
            </w:r>
          </w:p>
        </w:tc>
        <w:tc>
          <w:tcPr>
            <w:tcW w:w="1764"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248,546,245.03</w:t>
            </w:r>
          </w:p>
        </w:tc>
        <w:tc>
          <w:tcPr>
            <w:tcW w:w="1754"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608,549,473.05</w:t>
            </w:r>
          </w:p>
        </w:tc>
        <w:tc>
          <w:tcPr>
            <w:tcW w:w="1762"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187,018,002.82</w:t>
            </w:r>
          </w:p>
        </w:tc>
      </w:tr>
    </w:tbl>
    <w:p>
      <w:pPr>
        <w:spacing w:line="240" w:lineRule="auto" w:before="3"/>
        <w:rPr>
          <w:rFonts w:ascii="宋体" w:hAnsi="宋体" w:cs="宋体" w:eastAsia="宋体" w:hint="default"/>
          <w:sz w:val="10"/>
          <w:szCs w:val="10"/>
        </w:rPr>
      </w:pPr>
    </w:p>
    <w:p>
      <w:pPr>
        <w:pStyle w:val="BodyText"/>
        <w:spacing w:line="240" w:lineRule="auto" w:before="36"/>
        <w:ind w:left="706" w:right="0"/>
        <w:jc w:val="left"/>
      </w:pPr>
      <w:r>
        <w:rPr/>
        <w:t>（</w:t>
      </w:r>
      <w:r>
        <w:rPr>
          <w:rFonts w:ascii="Times New Roman" w:hAnsi="Times New Roman" w:cs="Times New Roman" w:eastAsia="Times New Roman" w:hint="default"/>
        </w:rPr>
        <w:t>4</w:t>
      </w:r>
      <w:r>
        <w:rPr/>
        <w:t>）主营业务（分地区）：</w:t>
      </w:r>
    </w:p>
    <w:tbl>
      <w:tblPr>
        <w:tblW w:w="0" w:type="auto"/>
        <w:jc w:val="left"/>
        <w:tblInd w:w="140" w:type="dxa"/>
        <w:tblLayout w:type="fixed"/>
        <w:tblCellMar>
          <w:top w:w="0" w:type="dxa"/>
          <w:left w:w="0" w:type="dxa"/>
          <w:bottom w:w="0" w:type="dxa"/>
          <w:right w:w="0" w:type="dxa"/>
        </w:tblCellMar>
        <w:tblLook w:val="01E0"/>
      </w:tblPr>
      <w:tblGrid>
        <w:gridCol w:w="2726"/>
        <w:gridCol w:w="1783"/>
        <w:gridCol w:w="1786"/>
        <w:gridCol w:w="1776"/>
        <w:gridCol w:w="1783"/>
      </w:tblGrid>
      <w:tr>
        <w:trPr>
          <w:trHeight w:val="480" w:hRule="exact"/>
        </w:trPr>
        <w:tc>
          <w:tcPr>
            <w:tcW w:w="2726" w:type="dxa"/>
            <w:vMerge w:val="restart"/>
            <w:tcBorders>
              <w:top w:val="single" w:sz="12"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行业、产品或地区类别</w:t>
            </w:r>
          </w:p>
        </w:tc>
        <w:tc>
          <w:tcPr>
            <w:tcW w:w="3569"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559"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55"/>
              <w:ind w:right="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70" w:hRule="exact"/>
        </w:trPr>
        <w:tc>
          <w:tcPr>
            <w:tcW w:w="2726" w:type="dxa"/>
            <w:vMerge/>
            <w:tcBorders>
              <w:left w:val="nil" w:sz="6" w:space="0" w:color="auto"/>
              <w:bottom w:val="single" w:sz="4" w:space="0" w:color="000000"/>
              <w:right w:val="single" w:sz="6" w:space="0" w:color="000000"/>
            </w:tcBorders>
          </w:tcPr>
          <w:p>
            <w:pPr/>
          </w:p>
        </w:tc>
        <w:tc>
          <w:tcPr>
            <w:tcW w:w="178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5"/>
              <w:ind w:left="46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5"/>
              <w:ind w:left="46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7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5"/>
              <w:ind w:left="46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3"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55"/>
              <w:ind w:left="463" w:right="0"/>
              <w:jc w:val="left"/>
              <w:rPr>
                <w:rFonts w:ascii="宋体" w:hAnsi="宋体" w:cs="宋体" w:eastAsia="宋体" w:hint="default"/>
                <w:sz w:val="21"/>
                <w:szCs w:val="21"/>
              </w:rPr>
            </w:pPr>
            <w:r>
              <w:rPr>
                <w:rFonts w:ascii="宋体" w:hAnsi="宋体" w:cs="宋体" w:eastAsia="宋体" w:hint="default"/>
                <w:sz w:val="21"/>
                <w:szCs w:val="21"/>
              </w:rPr>
              <w:t>营业成本</w:t>
            </w:r>
          </w:p>
        </w:tc>
      </w:tr>
    </w:tbl>
    <w:p>
      <w:pPr>
        <w:spacing w:after="0" w:line="240" w:lineRule="auto"/>
        <w:jc w:val="left"/>
        <w:rPr>
          <w:rFonts w:ascii="宋体" w:hAnsi="宋体" w:cs="宋体" w:eastAsia="宋体" w:hint="default"/>
          <w:sz w:val="21"/>
          <w:szCs w:val="21"/>
        </w:rPr>
        <w:sectPr>
          <w:pgSz w:w="11910" w:h="16840"/>
          <w:pgMar w:header="850" w:footer="979" w:top="1200" w:bottom="1160" w:left="880" w:right="88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741"/>
        <w:gridCol w:w="1783"/>
        <w:gridCol w:w="1786"/>
        <w:gridCol w:w="1776"/>
        <w:gridCol w:w="1783"/>
      </w:tblGrid>
      <w:tr>
        <w:trPr>
          <w:trHeight w:val="585" w:hRule="exact"/>
        </w:trPr>
        <w:tc>
          <w:tcPr>
            <w:tcW w:w="2741" w:type="dxa"/>
            <w:tcBorders>
              <w:top w:val="single" w:sz="17" w:space="0" w:color="000000"/>
              <w:left w:val="nil" w:sz="6" w:space="0" w:color="auto"/>
              <w:bottom w:val="nil" w:sz="6" w:space="0" w:color="auto"/>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大陆地区</w:t>
            </w:r>
          </w:p>
        </w:tc>
        <w:tc>
          <w:tcPr>
            <w:tcW w:w="1783" w:type="dxa"/>
            <w:tcBorders>
              <w:top w:val="single" w:sz="17" w:space="0" w:color="000000"/>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794,432,286.40</w:t>
            </w:r>
          </w:p>
        </w:tc>
        <w:tc>
          <w:tcPr>
            <w:tcW w:w="1786" w:type="dxa"/>
            <w:tcBorders>
              <w:top w:val="single" w:sz="17" w:space="0" w:color="000000"/>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389,717,794.56</w:t>
            </w:r>
          </w:p>
        </w:tc>
        <w:tc>
          <w:tcPr>
            <w:tcW w:w="1776" w:type="dxa"/>
            <w:tcBorders>
              <w:top w:val="single" w:sz="17" w:space="0" w:color="000000"/>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650,137,912.23</w:t>
            </w:r>
          </w:p>
        </w:tc>
        <w:tc>
          <w:tcPr>
            <w:tcW w:w="1783" w:type="dxa"/>
            <w:tcBorders>
              <w:top w:val="single" w:sz="17" w:space="0" w:color="000000"/>
              <w:left w:val="single" w:sz="6"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289,600,702.44</w:t>
            </w:r>
          </w:p>
        </w:tc>
      </w:tr>
      <w:tr>
        <w:trPr>
          <w:trHeight w:val="461" w:hRule="exact"/>
        </w:trPr>
        <w:tc>
          <w:tcPr>
            <w:tcW w:w="2741" w:type="dxa"/>
            <w:tcBorders>
              <w:top w:val="nil" w:sz="6" w:space="0" w:color="auto"/>
              <w:left w:val="nil" w:sz="6" w:space="0" w:color="auto"/>
              <w:bottom w:val="nil" w:sz="6" w:space="0" w:color="auto"/>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海外地区</w:t>
            </w:r>
          </w:p>
        </w:tc>
        <w:tc>
          <w:tcPr>
            <w:tcW w:w="1783"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117,408,641.27</w:t>
            </w:r>
          </w:p>
        </w:tc>
        <w:tc>
          <w:tcPr>
            <w:tcW w:w="17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39,930,276.93</w:t>
            </w:r>
          </w:p>
        </w:tc>
        <w:tc>
          <w:tcPr>
            <w:tcW w:w="17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106,599,897.93</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35,644,149.62</w:t>
            </w:r>
          </w:p>
        </w:tc>
      </w:tr>
      <w:tr>
        <w:trPr>
          <w:trHeight w:val="361" w:hRule="exact"/>
        </w:trPr>
        <w:tc>
          <w:tcPr>
            <w:tcW w:w="2741" w:type="dxa"/>
            <w:tcBorders>
              <w:top w:val="nil" w:sz="6" w:space="0" w:color="auto"/>
              <w:left w:val="nil" w:sz="6" w:space="0" w:color="auto"/>
              <w:bottom w:val="single" w:sz="4"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抵消数</w:t>
            </w:r>
          </w:p>
        </w:tc>
        <w:tc>
          <w:tcPr>
            <w:tcW w:w="1783"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-194,073,285.18</w:t>
            </w:r>
          </w:p>
        </w:tc>
        <w:tc>
          <w:tcPr>
            <w:tcW w:w="1786"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-181,101,826.46</w:t>
            </w:r>
          </w:p>
        </w:tc>
        <w:tc>
          <w:tcPr>
            <w:tcW w:w="1776"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-148,188,337.11</w:t>
            </w:r>
          </w:p>
        </w:tc>
        <w:tc>
          <w:tcPr>
            <w:tcW w:w="1783" w:type="dxa"/>
            <w:tcBorders>
              <w:top w:val="nil" w:sz="6" w:space="0" w:color="auto"/>
              <w:left w:val="single" w:sz="6" w:space="0" w:color="000000"/>
              <w:bottom w:val="single" w:sz="4" w:space="0" w:color="000000"/>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-138,226,849.24</w:t>
            </w:r>
          </w:p>
        </w:tc>
      </w:tr>
      <w:tr>
        <w:trPr>
          <w:trHeight w:val="482" w:hRule="exact"/>
        </w:trPr>
        <w:tc>
          <w:tcPr>
            <w:tcW w:w="2741" w:type="dxa"/>
            <w:tcBorders>
              <w:top w:val="single" w:sz="4" w:space="0" w:color="000000"/>
              <w:left w:val="nil" w:sz="6" w:space="0" w:color="auto"/>
              <w:bottom w:val="single" w:sz="12" w:space="0" w:color="000000"/>
              <w:right w:val="single" w:sz="6" w:space="0" w:color="000000"/>
            </w:tcBorders>
          </w:tcPr>
          <w:p>
            <w:pPr>
              <w:pStyle w:val="TableParagraph"/>
              <w:tabs>
                <w:tab w:pos="655" w:val="left" w:leader="none"/>
              </w:tabs>
              <w:spacing w:line="240" w:lineRule="auto" w:before="155"/>
              <w:ind w:left="2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83"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717,767,642.49</w:t>
            </w:r>
          </w:p>
        </w:tc>
        <w:tc>
          <w:tcPr>
            <w:tcW w:w="17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248,546,245.03</w:t>
            </w:r>
          </w:p>
        </w:tc>
        <w:tc>
          <w:tcPr>
            <w:tcW w:w="177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608,549,473.05</w:t>
            </w:r>
          </w:p>
        </w:tc>
        <w:tc>
          <w:tcPr>
            <w:tcW w:w="1783"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187,018,002.82</w:t>
            </w:r>
          </w:p>
        </w:tc>
      </w:tr>
    </w:tbl>
    <w:p>
      <w:pPr>
        <w:spacing w:line="240" w:lineRule="auto" w:before="12"/>
        <w:rPr>
          <w:rFonts w:ascii="宋体" w:hAnsi="宋体" w:cs="宋体" w:eastAsia="宋体" w:hint="default"/>
          <w:sz w:val="8"/>
          <w:szCs w:val="8"/>
        </w:rPr>
      </w:pPr>
    </w:p>
    <w:p>
      <w:pPr>
        <w:pStyle w:val="BodyText"/>
        <w:spacing w:line="240" w:lineRule="auto" w:before="36"/>
        <w:ind w:left="652" w:right="5418"/>
        <w:jc w:val="left"/>
      </w:pPr>
      <w:r>
        <w:rPr/>
        <w:t>（</w:t>
      </w:r>
      <w:r>
        <w:rPr>
          <w:rFonts w:ascii="Times New Roman" w:hAnsi="Times New Roman" w:cs="Times New Roman" w:eastAsia="Times New Roman" w:hint="default"/>
        </w:rPr>
        <w:t>5</w:t>
      </w:r>
      <w:r>
        <w:rPr/>
        <w:t>）公司前五名客户的营业收入情况</w:t>
      </w:r>
    </w:p>
    <w:tbl>
      <w:tblPr>
        <w:tblW w:w="0" w:type="auto"/>
        <w:jc w:val="left"/>
        <w:tblInd w:w="110" w:type="dxa"/>
        <w:tblLayout w:type="fixed"/>
        <w:tblCellMar>
          <w:top w:w="0" w:type="dxa"/>
          <w:left w:w="0" w:type="dxa"/>
          <w:bottom w:w="0" w:type="dxa"/>
          <w:right w:w="0" w:type="dxa"/>
        </w:tblCellMar>
        <w:tblLook w:val="01E0"/>
      </w:tblPr>
      <w:tblGrid>
        <w:gridCol w:w="5201"/>
        <w:gridCol w:w="1570"/>
        <w:gridCol w:w="3098"/>
      </w:tblGrid>
      <w:tr>
        <w:trPr>
          <w:trHeight w:val="482" w:hRule="exact"/>
        </w:trPr>
        <w:tc>
          <w:tcPr>
            <w:tcW w:w="52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5"/>
              <w:ind w:left="1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5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5"/>
              <w:ind w:left="36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0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5"/>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567" w:hRule="exact"/>
        </w:trPr>
        <w:tc>
          <w:tcPr>
            <w:tcW w:w="5201"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中国银行股份有限公司江苏省分行</w:t>
            </w:r>
          </w:p>
        </w:tc>
        <w:tc>
          <w:tcPr>
            <w:tcW w:w="15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10,489,100.50</w:t>
            </w:r>
          </w:p>
        </w:tc>
        <w:tc>
          <w:tcPr>
            <w:tcW w:w="3098"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1.46</w:t>
            </w:r>
          </w:p>
        </w:tc>
      </w:tr>
      <w:tr>
        <w:trPr>
          <w:trHeight w:val="460" w:hRule="exact"/>
        </w:trPr>
        <w:tc>
          <w:tcPr>
            <w:tcW w:w="5201"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6,330,000.00</w:t>
            </w:r>
          </w:p>
        </w:tc>
        <w:tc>
          <w:tcPr>
            <w:tcW w:w="3098"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0.88</w:t>
            </w:r>
          </w:p>
        </w:tc>
      </w:tr>
      <w:tr>
        <w:trPr>
          <w:trHeight w:val="461" w:hRule="exact"/>
        </w:trPr>
        <w:tc>
          <w:tcPr>
            <w:tcW w:w="5201"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中国银行股份有限公司北京市分行</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5,914,231.12</w:t>
            </w:r>
          </w:p>
        </w:tc>
        <w:tc>
          <w:tcPr>
            <w:tcW w:w="309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sz w:val="21"/>
              </w:rPr>
              <w:t>0.82</w:t>
            </w:r>
          </w:p>
        </w:tc>
      </w:tr>
      <w:tr>
        <w:trPr>
          <w:trHeight w:val="460" w:hRule="exact"/>
        </w:trPr>
        <w:tc>
          <w:tcPr>
            <w:tcW w:w="5201"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佛山益康置业有限公司</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4,997,542.00</w:t>
            </w:r>
          </w:p>
        </w:tc>
        <w:tc>
          <w:tcPr>
            <w:tcW w:w="309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sz w:val="21"/>
              </w:rPr>
              <w:t>0.69</w:t>
            </w:r>
          </w:p>
        </w:tc>
      </w:tr>
      <w:tr>
        <w:trPr>
          <w:trHeight w:val="362" w:hRule="exact"/>
        </w:trPr>
        <w:tc>
          <w:tcPr>
            <w:tcW w:w="5201" w:type="dxa"/>
            <w:tcBorders>
              <w:top w:val="nil" w:sz="6" w:space="0" w:color="auto"/>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广州中环鼎业信息系统有限公司</w:t>
            </w:r>
          </w:p>
        </w:tc>
        <w:tc>
          <w:tcPr>
            <w:tcW w:w="15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4,615,384.60</w:t>
            </w:r>
          </w:p>
        </w:tc>
        <w:tc>
          <w:tcPr>
            <w:tcW w:w="3098" w:type="dxa"/>
            <w:tcBorders>
              <w:top w:val="nil" w:sz="6" w:space="0" w:color="auto"/>
              <w:left w:val="single" w:sz="4" w:space="0" w:color="000000"/>
              <w:bottom w:val="single" w:sz="4" w:space="0" w:color="000000"/>
              <w:right w:val="nil" w:sz="6" w:space="0" w:color="auto"/>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0.64</w:t>
            </w:r>
          </w:p>
        </w:tc>
      </w:tr>
      <w:tr>
        <w:trPr>
          <w:trHeight w:val="480" w:hRule="exact"/>
        </w:trPr>
        <w:tc>
          <w:tcPr>
            <w:tcW w:w="5201"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32,346,258.22</w:t>
            </w:r>
          </w:p>
        </w:tc>
        <w:tc>
          <w:tcPr>
            <w:tcW w:w="30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4.49</w:t>
            </w:r>
          </w:p>
        </w:tc>
      </w:tr>
    </w:tbl>
    <w:p>
      <w:pPr>
        <w:spacing w:line="240" w:lineRule="auto" w:before="1"/>
        <w:rPr>
          <w:rFonts w:ascii="宋体" w:hAnsi="宋体" w:cs="宋体" w:eastAsia="宋体" w:hint="default"/>
          <w:sz w:val="10"/>
          <w:szCs w:val="10"/>
        </w:rPr>
      </w:pPr>
    </w:p>
    <w:p>
      <w:pPr>
        <w:pStyle w:val="BodyText"/>
        <w:spacing w:line="391" w:lineRule="auto" w:before="36"/>
        <w:ind w:left="232" w:right="206" w:firstLine="42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2011 </w:t>
      </w:r>
      <w:r>
        <w:rPr/>
        <w:t>年度营业成本比 </w:t>
      </w:r>
      <w:r>
        <w:rPr>
          <w:rFonts w:ascii="Times New Roman" w:hAnsi="Times New Roman" w:cs="Times New Roman" w:eastAsia="Times New Roman" w:hint="default"/>
        </w:rPr>
        <w:t>2010 </w:t>
      </w:r>
      <w:r>
        <w:rPr/>
        <w:t>年度增加了</w:t>
      </w:r>
      <w:r>
        <w:rPr>
          <w:spacing w:val="-83"/>
        </w:rPr>
        <w:t> </w:t>
      </w:r>
      <w:r>
        <w:rPr>
          <w:rFonts w:ascii="Times New Roman" w:hAnsi="Times New Roman" w:cs="Times New Roman" w:eastAsia="Times New Roman" w:hint="default"/>
        </w:rPr>
        <w:t>32.62</w:t>
      </w:r>
      <w:r>
        <w:rPr/>
        <w:t>％，主要系公司上年度收购南京银石的股权，并将</w:t>
      </w:r>
      <w:r>
        <w:rPr>
          <w:w w:val="100"/>
        </w:rPr>
        <w:t> </w:t>
      </w:r>
      <w:r>
        <w:rPr>
          <w:spacing w:val="-2"/>
        </w:rPr>
        <w:t>其纳入合并报表范围，上年度合并期间为股权收购日之后，本年度合并其全年度利润表，合并期间不同使</w:t>
      </w:r>
      <w:r>
        <w:rPr>
          <w:spacing w:val="-43"/>
        </w:rPr>
        <w:t> </w:t>
      </w:r>
      <w:r>
        <w:rPr>
          <w:spacing w:val="-43"/>
        </w:rPr>
      </w:r>
      <w:r>
        <w:rPr/>
        <w:t>得营业成本较上期有所增加。</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ind w:left="652" w:right="5418"/>
        <w:jc w:val="left"/>
      </w:pPr>
      <w:r>
        <w:rPr>
          <w:rFonts w:ascii="Times New Roman" w:hAnsi="Times New Roman" w:cs="Times New Roman" w:eastAsia="Times New Roman" w:hint="default"/>
        </w:rPr>
        <w:t>30</w:t>
      </w:r>
      <w:r>
        <w:rPr/>
        <w:t>．营业税金及附加</w:t>
      </w:r>
    </w:p>
    <w:tbl>
      <w:tblPr>
        <w:tblW w:w="0" w:type="auto"/>
        <w:jc w:val="left"/>
        <w:tblInd w:w="110" w:type="dxa"/>
        <w:tblLayout w:type="fixed"/>
        <w:tblCellMar>
          <w:top w:w="0" w:type="dxa"/>
          <w:left w:w="0" w:type="dxa"/>
          <w:bottom w:w="0" w:type="dxa"/>
          <w:right w:w="0" w:type="dxa"/>
        </w:tblCellMar>
        <w:tblLook w:val="01E0"/>
      </w:tblPr>
      <w:tblGrid>
        <w:gridCol w:w="3110"/>
        <w:gridCol w:w="2182"/>
        <w:gridCol w:w="2182"/>
        <w:gridCol w:w="2395"/>
      </w:tblGrid>
      <w:tr>
        <w:trPr>
          <w:trHeight w:val="480" w:hRule="exact"/>
        </w:trPr>
        <w:tc>
          <w:tcPr>
            <w:tcW w:w="3110"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0"/>
              <w:ind w:left="55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0"/>
              <w:ind w:left="559"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3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68" w:hRule="exact"/>
        </w:trPr>
        <w:tc>
          <w:tcPr>
            <w:tcW w:w="3110"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1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9,723,482.04</w:t>
            </w:r>
          </w:p>
        </w:tc>
        <w:tc>
          <w:tcPr>
            <w:tcW w:w="21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7,829,222.35</w:t>
            </w:r>
          </w:p>
        </w:tc>
        <w:tc>
          <w:tcPr>
            <w:tcW w:w="2395" w:type="dxa"/>
            <w:tcBorders>
              <w:top w:val="single" w:sz="4" w:space="0" w:color="000000"/>
              <w:left w:val="single" w:sz="4" w:space="0" w:color="000000"/>
              <w:bottom w:val="nil" w:sz="6" w:space="0" w:color="auto"/>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见附注（三）</w:t>
            </w:r>
          </w:p>
        </w:tc>
      </w:tr>
      <w:tr>
        <w:trPr>
          <w:trHeight w:val="460" w:hRule="exact"/>
        </w:trPr>
        <w:tc>
          <w:tcPr>
            <w:tcW w:w="311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21"/>
                <w:szCs w:val="21"/>
              </w:rPr>
            </w:pPr>
            <w:r>
              <w:rPr>
                <w:rFonts w:ascii="Times New Roman"/>
                <w:spacing w:val="-1"/>
                <w:sz w:val="21"/>
              </w:rPr>
              <w:t>3,934,640.90</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3,737,720.81</w:t>
            </w:r>
          </w:p>
        </w:tc>
        <w:tc>
          <w:tcPr>
            <w:tcW w:w="2395"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sz w:val="21"/>
                <w:szCs w:val="21"/>
              </w:rPr>
              <w:t>见附注（三）</w:t>
            </w:r>
          </w:p>
        </w:tc>
      </w:tr>
      <w:tr>
        <w:trPr>
          <w:trHeight w:val="460" w:hRule="exact"/>
        </w:trPr>
        <w:tc>
          <w:tcPr>
            <w:tcW w:w="3110"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教育附加费</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21"/>
                <w:szCs w:val="21"/>
              </w:rPr>
            </w:pPr>
            <w:r>
              <w:rPr>
                <w:rFonts w:ascii="Times New Roman"/>
                <w:spacing w:val="-1"/>
                <w:sz w:val="21"/>
              </w:rPr>
              <w:t>1,710,034.47</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1,695,338.19</w:t>
            </w:r>
          </w:p>
        </w:tc>
        <w:tc>
          <w:tcPr>
            <w:tcW w:w="2395"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2"/>
              <w:jc w:val="center"/>
              <w:rPr>
                <w:rFonts w:ascii="宋体" w:hAnsi="宋体" w:cs="宋体" w:eastAsia="宋体" w:hint="default"/>
                <w:sz w:val="21"/>
                <w:szCs w:val="21"/>
              </w:rPr>
            </w:pPr>
            <w:r>
              <w:rPr>
                <w:rFonts w:ascii="宋体" w:hAnsi="宋体" w:cs="宋体" w:eastAsia="宋体" w:hint="default"/>
                <w:sz w:val="21"/>
                <w:szCs w:val="21"/>
              </w:rPr>
              <w:t>见附注（三）</w:t>
            </w:r>
          </w:p>
        </w:tc>
      </w:tr>
      <w:tr>
        <w:trPr>
          <w:trHeight w:val="461" w:hRule="exact"/>
        </w:trPr>
        <w:tc>
          <w:tcPr>
            <w:tcW w:w="311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河道工程修建维护管理费</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21"/>
                <w:szCs w:val="21"/>
              </w:rPr>
            </w:pPr>
            <w:r>
              <w:rPr>
                <w:rFonts w:ascii="Times New Roman"/>
                <w:spacing w:val="-1"/>
                <w:sz w:val="21"/>
              </w:rPr>
              <w:t>272,533.68</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133,701.52</w:t>
            </w:r>
          </w:p>
        </w:tc>
        <w:tc>
          <w:tcPr>
            <w:tcW w:w="2395" w:type="dxa"/>
            <w:tcBorders>
              <w:top w:val="nil" w:sz="6" w:space="0" w:color="auto"/>
              <w:left w:val="single" w:sz="4" w:space="0" w:color="000000"/>
              <w:bottom w:val="nil" w:sz="6" w:space="0" w:color="auto"/>
              <w:right w:val="nil" w:sz="6" w:space="0" w:color="auto"/>
            </w:tcBorders>
          </w:tcPr>
          <w:p>
            <w:pPr/>
          </w:p>
        </w:tc>
      </w:tr>
      <w:tr>
        <w:trPr>
          <w:trHeight w:val="460" w:hRule="exact"/>
        </w:trPr>
        <w:tc>
          <w:tcPr>
            <w:tcW w:w="311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21"/>
                <w:szCs w:val="21"/>
              </w:rPr>
            </w:pPr>
            <w:r>
              <w:rPr>
                <w:rFonts w:ascii="Times New Roman"/>
                <w:spacing w:val="-1"/>
                <w:sz w:val="21"/>
              </w:rPr>
              <w:t>291,039.90</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272,717.37</w:t>
            </w:r>
          </w:p>
        </w:tc>
        <w:tc>
          <w:tcPr>
            <w:tcW w:w="2395" w:type="dxa"/>
            <w:tcBorders>
              <w:top w:val="nil" w:sz="6" w:space="0" w:color="auto"/>
              <w:left w:val="single" w:sz="4" w:space="0" w:color="000000"/>
              <w:bottom w:val="nil" w:sz="6" w:space="0" w:color="auto"/>
              <w:right w:val="nil" w:sz="6" w:space="0" w:color="auto"/>
            </w:tcBorders>
          </w:tcPr>
          <w:p>
            <w:pPr/>
          </w:p>
        </w:tc>
      </w:tr>
      <w:tr>
        <w:trPr>
          <w:trHeight w:val="362" w:hRule="exact"/>
        </w:trPr>
        <w:tc>
          <w:tcPr>
            <w:tcW w:w="3110" w:type="dxa"/>
            <w:tcBorders>
              <w:top w:val="nil" w:sz="6" w:space="0" w:color="auto"/>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182" w:type="dxa"/>
            <w:tcBorders>
              <w:top w:val="nil" w:sz="6" w:space="0" w:color="auto"/>
              <w:left w:val="single" w:sz="4" w:space="0" w:color="000000"/>
              <w:bottom w:val="single" w:sz="4" w:space="0" w:color="000000"/>
              <w:right w:val="single" w:sz="4" w:space="0" w:color="000000"/>
            </w:tcBorders>
          </w:tcPr>
          <w:p>
            <w:pPr/>
          </w:p>
        </w:tc>
        <w:tc>
          <w:tcPr>
            <w:tcW w:w="21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70,887.92</w:t>
            </w:r>
          </w:p>
        </w:tc>
        <w:tc>
          <w:tcPr>
            <w:tcW w:w="2395" w:type="dxa"/>
            <w:tcBorders>
              <w:top w:val="nil" w:sz="6" w:space="0" w:color="auto"/>
              <w:left w:val="single" w:sz="4" w:space="0" w:color="000000"/>
              <w:bottom w:val="single" w:sz="4" w:space="0" w:color="000000"/>
              <w:right w:val="nil" w:sz="6" w:space="0" w:color="auto"/>
            </w:tcBorders>
          </w:tcPr>
          <w:p>
            <w:pPr/>
          </w:p>
        </w:tc>
      </w:tr>
      <w:tr>
        <w:trPr>
          <w:trHeight w:val="480" w:hRule="exact"/>
        </w:trPr>
        <w:tc>
          <w:tcPr>
            <w:tcW w:w="3110"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15,931,730.99</w:t>
            </w:r>
          </w:p>
        </w:tc>
        <w:tc>
          <w:tcPr>
            <w:tcW w:w="21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13,739,588.16</w:t>
            </w:r>
          </w:p>
        </w:tc>
        <w:tc>
          <w:tcPr>
            <w:tcW w:w="239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8"/>
          <w:szCs w:val="8"/>
        </w:rPr>
      </w:pPr>
    </w:p>
    <w:p>
      <w:pPr>
        <w:pStyle w:val="BodyText"/>
        <w:spacing w:line="240" w:lineRule="auto" w:before="36"/>
        <w:ind w:left="652" w:right="5418"/>
        <w:jc w:val="left"/>
      </w:pPr>
      <w:r>
        <w:rPr>
          <w:rFonts w:ascii="Times New Roman" w:hAnsi="Times New Roman" w:cs="Times New Roman" w:eastAsia="Times New Roman" w:hint="default"/>
        </w:rPr>
        <w:t>31</w:t>
      </w:r>
      <w:r>
        <w:rPr/>
        <w:t>．销售费用</w:t>
      </w:r>
    </w:p>
    <w:tbl>
      <w:tblPr>
        <w:tblW w:w="0" w:type="auto"/>
        <w:jc w:val="left"/>
        <w:tblInd w:w="110" w:type="dxa"/>
        <w:tblLayout w:type="fixed"/>
        <w:tblCellMar>
          <w:top w:w="0" w:type="dxa"/>
          <w:left w:w="0" w:type="dxa"/>
          <w:bottom w:w="0" w:type="dxa"/>
          <w:right w:w="0" w:type="dxa"/>
        </w:tblCellMar>
        <w:tblLook w:val="01E0"/>
      </w:tblPr>
      <w:tblGrid>
        <w:gridCol w:w="4666"/>
        <w:gridCol w:w="2498"/>
        <w:gridCol w:w="2705"/>
      </w:tblGrid>
      <w:tr>
        <w:trPr>
          <w:trHeight w:val="461" w:hRule="exact"/>
        </w:trPr>
        <w:tc>
          <w:tcPr>
            <w:tcW w:w="4666" w:type="dxa"/>
            <w:tcBorders>
              <w:top w:val="single" w:sz="12" w:space="0" w:color="000000"/>
              <w:left w:val="nil" w:sz="6" w:space="0" w:color="auto"/>
              <w:bottom w:val="single" w:sz="4" w:space="0" w:color="000000"/>
              <w:right w:val="single" w:sz="6" w:space="0" w:color="000000"/>
            </w:tcBorders>
          </w:tcPr>
          <w:p>
            <w:pPr>
              <w:pStyle w:val="TableParagraph"/>
              <w:tabs>
                <w:tab w:pos="655" w:val="left" w:leader="none"/>
              </w:tabs>
              <w:spacing w:line="240" w:lineRule="auto" w:before="134"/>
              <w:ind w:left="2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98"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34"/>
              <w:ind w:left="71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05"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34"/>
              <w:ind w:left="82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38" w:hRule="exact"/>
        </w:trPr>
        <w:tc>
          <w:tcPr>
            <w:tcW w:w="4666" w:type="dxa"/>
            <w:tcBorders>
              <w:top w:val="single" w:sz="4" w:space="0" w:color="000000"/>
              <w:left w:val="nil" w:sz="6" w:space="0" w:color="auto"/>
              <w:bottom w:val="nil" w:sz="6" w:space="0" w:color="auto"/>
              <w:right w:val="single" w:sz="6"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、职工薪酬</w:t>
            </w:r>
          </w:p>
        </w:tc>
        <w:tc>
          <w:tcPr>
            <w:tcW w:w="249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24,083,210.88</w:t>
            </w:r>
          </w:p>
        </w:tc>
        <w:tc>
          <w:tcPr>
            <w:tcW w:w="2705" w:type="dxa"/>
            <w:tcBorders>
              <w:top w:val="single" w:sz="4" w:space="0" w:color="000000"/>
              <w:left w:val="single" w:sz="6"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20,791,041.58</w:t>
            </w:r>
          </w:p>
        </w:tc>
      </w:tr>
      <w:tr>
        <w:trPr>
          <w:trHeight w:val="439"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、差旅费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14,105,463.59</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10,113,945.35</w:t>
            </w:r>
          </w:p>
        </w:tc>
      </w:tr>
      <w:tr>
        <w:trPr>
          <w:trHeight w:val="362" w:hRule="exact"/>
        </w:trPr>
        <w:tc>
          <w:tcPr>
            <w:tcW w:w="4666" w:type="dxa"/>
            <w:tcBorders>
              <w:top w:val="nil" w:sz="6" w:space="0" w:color="auto"/>
              <w:left w:val="nil" w:sz="6" w:space="0" w:color="auto"/>
              <w:bottom w:val="single" w:sz="12"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、运费</w:t>
            </w:r>
          </w:p>
        </w:tc>
        <w:tc>
          <w:tcPr>
            <w:tcW w:w="249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1,315,324.21</w:t>
            </w:r>
          </w:p>
        </w:tc>
        <w:tc>
          <w:tcPr>
            <w:tcW w:w="2705" w:type="dxa"/>
            <w:tcBorders>
              <w:top w:val="nil" w:sz="6" w:space="0" w:color="auto"/>
              <w:left w:val="single" w:sz="6" w:space="0" w:color="000000"/>
              <w:bottom w:val="single" w:sz="12" w:space="0" w:color="000000"/>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1,551,246.56</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200" w:bottom="1160" w:left="900" w:right="920"/>
        </w:sectPr>
      </w:pPr>
    </w:p>
    <w:p>
      <w:pPr>
        <w:spacing w:line="240" w:lineRule="auto" w:before="9"/>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666"/>
        <w:gridCol w:w="2498"/>
        <w:gridCol w:w="2705"/>
      </w:tblGrid>
      <w:tr>
        <w:trPr>
          <w:trHeight w:val="482" w:hRule="exact"/>
        </w:trPr>
        <w:tc>
          <w:tcPr>
            <w:tcW w:w="4666" w:type="dxa"/>
            <w:tcBorders>
              <w:top w:val="single" w:sz="17" w:space="0" w:color="000000"/>
              <w:left w:val="nil" w:sz="6" w:space="0" w:color="auto"/>
              <w:bottom w:val="single" w:sz="4" w:space="0" w:color="000000"/>
              <w:right w:val="single" w:sz="6" w:space="0" w:color="000000"/>
            </w:tcBorders>
          </w:tcPr>
          <w:p>
            <w:pPr>
              <w:pStyle w:val="TableParagraph"/>
              <w:tabs>
                <w:tab w:pos="631" w:val="left" w:leader="none"/>
              </w:tabs>
              <w:spacing w:line="240" w:lineRule="auto" w:before="148"/>
              <w:ind w:right="189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498" w:type="dxa"/>
            <w:tcBorders>
              <w:top w:val="single" w:sz="17" w:space="0" w:color="000000"/>
              <w:left w:val="single" w:sz="6" w:space="0" w:color="000000"/>
              <w:bottom w:val="single" w:sz="4" w:space="0" w:color="000000"/>
              <w:right w:val="single" w:sz="6" w:space="0" w:color="000000"/>
            </w:tcBorders>
          </w:tcPr>
          <w:p>
            <w:pPr>
              <w:pStyle w:val="TableParagraph"/>
              <w:spacing w:line="240" w:lineRule="auto" w:before="148"/>
              <w:ind w:left="71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05" w:type="dxa"/>
            <w:tcBorders>
              <w:top w:val="single" w:sz="17" w:space="0" w:color="000000"/>
              <w:left w:val="single" w:sz="6" w:space="0" w:color="000000"/>
              <w:bottom w:val="single" w:sz="4" w:space="0" w:color="000000"/>
              <w:right w:val="nil" w:sz="6" w:space="0" w:color="auto"/>
            </w:tcBorders>
          </w:tcPr>
          <w:p>
            <w:pPr>
              <w:pStyle w:val="TableParagraph"/>
              <w:spacing w:line="240" w:lineRule="auto" w:before="148"/>
              <w:ind w:left="82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38" w:hRule="exact"/>
        </w:trPr>
        <w:tc>
          <w:tcPr>
            <w:tcW w:w="4666" w:type="dxa"/>
            <w:tcBorders>
              <w:top w:val="single" w:sz="4" w:space="0" w:color="000000"/>
              <w:left w:val="nil" w:sz="6" w:space="0" w:color="auto"/>
              <w:bottom w:val="nil" w:sz="6" w:space="0" w:color="auto"/>
              <w:right w:val="single" w:sz="6"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、交通费</w:t>
            </w:r>
          </w:p>
        </w:tc>
        <w:tc>
          <w:tcPr>
            <w:tcW w:w="249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779,691.67</w:t>
            </w:r>
          </w:p>
        </w:tc>
        <w:tc>
          <w:tcPr>
            <w:tcW w:w="2705" w:type="dxa"/>
            <w:tcBorders>
              <w:top w:val="single" w:sz="4" w:space="0" w:color="000000"/>
              <w:left w:val="single" w:sz="6"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474,841.50</w:t>
            </w:r>
          </w:p>
        </w:tc>
      </w:tr>
      <w:tr>
        <w:trPr>
          <w:trHeight w:val="44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、办公费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953,401.87</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848,356.83</w:t>
            </w:r>
          </w:p>
        </w:tc>
      </w:tr>
      <w:tr>
        <w:trPr>
          <w:trHeight w:val="44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、通讯费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777,522.04</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635,296.41</w:t>
            </w:r>
          </w:p>
        </w:tc>
      </w:tr>
      <w:tr>
        <w:trPr>
          <w:trHeight w:val="439"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、业务招待费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1,984,157.97</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1,499,369.95</w:t>
            </w:r>
          </w:p>
        </w:tc>
      </w:tr>
      <w:tr>
        <w:trPr>
          <w:trHeight w:val="44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、业务宣传费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2,902,253.18</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3,023,057.22</w:t>
            </w:r>
          </w:p>
        </w:tc>
      </w:tr>
      <w:tr>
        <w:trPr>
          <w:trHeight w:val="44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、租赁费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928,304.57</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1,480,211.81</w:t>
            </w:r>
          </w:p>
        </w:tc>
      </w:tr>
      <w:tr>
        <w:trPr>
          <w:trHeight w:val="439"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、水电费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42,201.20</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39,720.01</w:t>
            </w:r>
          </w:p>
        </w:tc>
      </w:tr>
      <w:tr>
        <w:trPr>
          <w:trHeight w:val="44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、折旧费</w:t>
            </w:r>
            <w:r>
              <w:rPr>
                <w:rFonts w:ascii="宋体" w:hAnsi="宋体" w:cs="宋体" w:eastAsia="宋体" w:hint="default"/>
                <w:sz w:val="21"/>
                <w:szCs w:val="21"/>
              </w:rPr>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19,652.83</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3,442.96</w:t>
            </w:r>
          </w:p>
        </w:tc>
      </w:tr>
      <w:tr>
        <w:trPr>
          <w:trHeight w:val="44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、修理费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805,190.27</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485,197.02</w:t>
            </w:r>
          </w:p>
        </w:tc>
      </w:tr>
      <w:tr>
        <w:trPr>
          <w:trHeight w:val="350" w:hRule="exact"/>
        </w:trPr>
        <w:tc>
          <w:tcPr>
            <w:tcW w:w="4666" w:type="dxa"/>
            <w:tcBorders>
              <w:top w:val="nil" w:sz="6" w:space="0" w:color="auto"/>
              <w:left w:val="nil" w:sz="6" w:space="0" w:color="auto"/>
              <w:bottom w:val="single" w:sz="4"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、其他</w:t>
            </w:r>
          </w:p>
        </w:tc>
        <w:tc>
          <w:tcPr>
            <w:tcW w:w="2498"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4,552,093.50</w:t>
            </w:r>
          </w:p>
        </w:tc>
        <w:tc>
          <w:tcPr>
            <w:tcW w:w="2705" w:type="dxa"/>
            <w:tcBorders>
              <w:top w:val="nil" w:sz="6" w:space="0" w:color="auto"/>
              <w:left w:val="single" w:sz="6" w:space="0" w:color="000000"/>
              <w:bottom w:val="single" w:sz="4" w:space="0" w:color="000000"/>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3,757,436.74</w:t>
            </w:r>
          </w:p>
        </w:tc>
      </w:tr>
      <w:tr>
        <w:trPr>
          <w:trHeight w:val="461" w:hRule="exact"/>
        </w:trPr>
        <w:tc>
          <w:tcPr>
            <w:tcW w:w="4666" w:type="dxa"/>
            <w:tcBorders>
              <w:top w:val="single" w:sz="4" w:space="0" w:color="000000"/>
              <w:left w:val="nil" w:sz="6" w:space="0" w:color="auto"/>
              <w:bottom w:val="single" w:sz="12" w:space="0" w:color="000000"/>
              <w:right w:val="single" w:sz="6" w:space="0" w:color="000000"/>
            </w:tcBorders>
          </w:tcPr>
          <w:p>
            <w:pPr>
              <w:pStyle w:val="TableParagraph"/>
              <w:tabs>
                <w:tab w:pos="631" w:val="left" w:leader="none"/>
              </w:tabs>
              <w:spacing w:line="240" w:lineRule="auto" w:before="134"/>
              <w:ind w:right="189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49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53,248,467.78</w:t>
            </w:r>
          </w:p>
        </w:tc>
        <w:tc>
          <w:tcPr>
            <w:tcW w:w="270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44,703,163.94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6"/>
        <w:ind w:left="652" w:right="5418"/>
        <w:jc w:val="left"/>
      </w:pPr>
      <w:r>
        <w:rPr>
          <w:rFonts w:ascii="Times New Roman" w:hAnsi="Times New Roman" w:cs="Times New Roman" w:eastAsia="Times New Roman" w:hint="default"/>
        </w:rPr>
        <w:t>32</w:t>
      </w:r>
      <w:r>
        <w:rPr/>
        <w:t>．管理费用</w:t>
      </w:r>
    </w:p>
    <w:tbl>
      <w:tblPr>
        <w:tblW w:w="0" w:type="auto"/>
        <w:jc w:val="left"/>
        <w:tblInd w:w="110" w:type="dxa"/>
        <w:tblLayout w:type="fixed"/>
        <w:tblCellMar>
          <w:top w:w="0" w:type="dxa"/>
          <w:left w:w="0" w:type="dxa"/>
          <w:bottom w:w="0" w:type="dxa"/>
          <w:right w:w="0" w:type="dxa"/>
        </w:tblCellMar>
        <w:tblLook w:val="01E0"/>
      </w:tblPr>
      <w:tblGrid>
        <w:gridCol w:w="4666"/>
        <w:gridCol w:w="2498"/>
        <w:gridCol w:w="2705"/>
      </w:tblGrid>
      <w:tr>
        <w:trPr>
          <w:trHeight w:val="461" w:hRule="exact"/>
        </w:trPr>
        <w:tc>
          <w:tcPr>
            <w:tcW w:w="4666" w:type="dxa"/>
            <w:tcBorders>
              <w:top w:val="single" w:sz="12" w:space="0" w:color="000000"/>
              <w:left w:val="nil" w:sz="6" w:space="0" w:color="auto"/>
              <w:bottom w:val="single" w:sz="4" w:space="0" w:color="000000"/>
              <w:right w:val="single" w:sz="6" w:space="0" w:color="000000"/>
            </w:tcBorders>
          </w:tcPr>
          <w:p>
            <w:pPr>
              <w:pStyle w:val="TableParagraph"/>
              <w:tabs>
                <w:tab w:pos="631" w:val="left" w:leader="none"/>
              </w:tabs>
              <w:spacing w:line="240" w:lineRule="auto" w:before="134"/>
              <w:ind w:right="189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498"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34"/>
              <w:ind w:left="71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05"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34"/>
              <w:ind w:left="82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38" w:hRule="exact"/>
        </w:trPr>
        <w:tc>
          <w:tcPr>
            <w:tcW w:w="4666" w:type="dxa"/>
            <w:tcBorders>
              <w:top w:val="single" w:sz="4" w:space="0" w:color="000000"/>
              <w:left w:val="nil" w:sz="6" w:space="0" w:color="auto"/>
              <w:bottom w:val="nil" w:sz="6" w:space="0" w:color="auto"/>
              <w:right w:val="single" w:sz="6"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、职工薪酬</w:t>
            </w:r>
          </w:p>
        </w:tc>
        <w:tc>
          <w:tcPr>
            <w:tcW w:w="249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75,392,339.09</w:t>
            </w:r>
          </w:p>
        </w:tc>
        <w:tc>
          <w:tcPr>
            <w:tcW w:w="2705" w:type="dxa"/>
            <w:tcBorders>
              <w:top w:val="single" w:sz="4" w:space="0" w:color="000000"/>
              <w:left w:val="single" w:sz="6"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68,224,795.94</w:t>
            </w:r>
          </w:p>
        </w:tc>
      </w:tr>
      <w:tr>
        <w:trPr>
          <w:trHeight w:val="44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、研发支出</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24,235,482.75</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2"/>
                <w:sz w:val="21"/>
              </w:rPr>
              <w:t>32,317,850.11</w:t>
            </w:r>
          </w:p>
        </w:tc>
      </w:tr>
      <w:tr>
        <w:trPr>
          <w:trHeight w:val="44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、无形资产摊销</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13,415,993.67</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15,187,123.14</w:t>
            </w:r>
          </w:p>
        </w:tc>
      </w:tr>
      <w:tr>
        <w:trPr>
          <w:trHeight w:val="439"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、交通费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333,834.14</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684,865.81</w:t>
            </w:r>
          </w:p>
        </w:tc>
      </w:tr>
      <w:tr>
        <w:trPr>
          <w:trHeight w:val="44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、办公费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4,312,580.60</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2,664,306.44</w:t>
            </w:r>
          </w:p>
        </w:tc>
      </w:tr>
      <w:tr>
        <w:trPr>
          <w:trHeight w:val="44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、通讯费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1,408,715.32</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1,203,860.71</w:t>
            </w:r>
          </w:p>
        </w:tc>
      </w:tr>
      <w:tr>
        <w:trPr>
          <w:trHeight w:val="439"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、业务招待费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876,398.28</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885,683.66</w:t>
            </w:r>
          </w:p>
        </w:tc>
      </w:tr>
      <w:tr>
        <w:trPr>
          <w:trHeight w:val="44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、业务宣传费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101,149.34</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158,128.72</w:t>
            </w:r>
          </w:p>
        </w:tc>
      </w:tr>
      <w:tr>
        <w:trPr>
          <w:trHeight w:val="44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、差旅费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4,373,145.58</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4,820,545.68</w:t>
            </w:r>
          </w:p>
        </w:tc>
      </w:tr>
      <w:tr>
        <w:trPr>
          <w:trHeight w:val="439"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、水电费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793,198.95</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765,610.63</w:t>
            </w:r>
          </w:p>
        </w:tc>
      </w:tr>
      <w:tr>
        <w:trPr>
          <w:trHeight w:val="44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、税费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954,899.98</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976,815.83</w:t>
            </w:r>
          </w:p>
        </w:tc>
      </w:tr>
      <w:tr>
        <w:trPr>
          <w:trHeight w:val="44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、租赁费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6,514,630.66</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6,166,353.96</w:t>
            </w:r>
          </w:p>
        </w:tc>
      </w:tr>
      <w:tr>
        <w:trPr>
          <w:trHeight w:val="439"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、修理费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1,292,841.17</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308,823.40</w:t>
            </w:r>
          </w:p>
        </w:tc>
      </w:tr>
      <w:tr>
        <w:trPr>
          <w:trHeight w:val="44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宋体" w:hAnsi="宋体" w:cs="宋体" w:eastAsia="宋体" w:hint="default"/>
                <w:sz w:val="21"/>
                <w:szCs w:val="21"/>
              </w:rPr>
              <w:t>、折旧费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8,351,009.98</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9,443,131.64</w:t>
            </w:r>
          </w:p>
        </w:tc>
      </w:tr>
      <w:tr>
        <w:trPr>
          <w:trHeight w:val="44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、股权激励成本</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99"/>
              <w:ind w:right="96"/>
              <w:jc w:val="right"/>
              <w:rPr>
                <w:rFonts w:ascii="Times New Roman" w:hAnsi="Times New Roman" w:cs="Times New Roman" w:eastAsia="Times New Roman" w:hint="default"/>
                <w:sz w:val="21"/>
                <w:szCs w:val="21"/>
              </w:rPr>
            </w:pPr>
            <w:r>
              <w:rPr>
                <w:rFonts w:ascii="Times New Roman"/>
                <w:spacing w:val="-1"/>
                <w:sz w:val="21"/>
              </w:rPr>
              <w:t>2,718,521.23</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7,602,355.17</w:t>
            </w:r>
          </w:p>
        </w:tc>
      </w:tr>
      <w:tr>
        <w:trPr>
          <w:trHeight w:val="350" w:hRule="exact"/>
        </w:trPr>
        <w:tc>
          <w:tcPr>
            <w:tcW w:w="4666" w:type="dxa"/>
            <w:tcBorders>
              <w:top w:val="nil" w:sz="6" w:space="0" w:color="auto"/>
              <w:left w:val="nil" w:sz="6" w:space="0" w:color="auto"/>
              <w:bottom w:val="single" w:sz="4"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、其他</w:t>
            </w:r>
          </w:p>
        </w:tc>
        <w:tc>
          <w:tcPr>
            <w:tcW w:w="2498"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3,341,010.49</w:t>
            </w:r>
          </w:p>
        </w:tc>
        <w:tc>
          <w:tcPr>
            <w:tcW w:w="2705" w:type="dxa"/>
            <w:tcBorders>
              <w:top w:val="nil" w:sz="6" w:space="0" w:color="auto"/>
              <w:left w:val="single" w:sz="6" w:space="0" w:color="000000"/>
              <w:bottom w:val="single" w:sz="4" w:space="0" w:color="000000"/>
              <w:right w:val="nil" w:sz="6" w:space="0" w:color="auto"/>
            </w:tcBorders>
          </w:tcPr>
          <w:p>
            <w:pPr>
              <w:pStyle w:val="TableParagraph"/>
              <w:spacing w:line="240" w:lineRule="auto" w:before="98"/>
              <w:ind w:right="101"/>
              <w:jc w:val="right"/>
              <w:rPr>
                <w:rFonts w:ascii="Times New Roman" w:hAnsi="Times New Roman" w:cs="Times New Roman" w:eastAsia="Times New Roman" w:hint="default"/>
                <w:sz w:val="21"/>
                <w:szCs w:val="21"/>
              </w:rPr>
            </w:pPr>
            <w:r>
              <w:rPr>
                <w:rFonts w:ascii="Times New Roman"/>
                <w:spacing w:val="-1"/>
                <w:sz w:val="21"/>
              </w:rPr>
              <w:t>5,325,158.24</w:t>
            </w:r>
          </w:p>
        </w:tc>
      </w:tr>
      <w:tr>
        <w:trPr>
          <w:trHeight w:val="461" w:hRule="exact"/>
        </w:trPr>
        <w:tc>
          <w:tcPr>
            <w:tcW w:w="4666" w:type="dxa"/>
            <w:tcBorders>
              <w:top w:val="single" w:sz="4" w:space="0" w:color="000000"/>
              <w:left w:val="nil" w:sz="6" w:space="0" w:color="auto"/>
              <w:bottom w:val="single" w:sz="12" w:space="0" w:color="000000"/>
              <w:right w:val="single" w:sz="6" w:space="0" w:color="000000"/>
            </w:tcBorders>
          </w:tcPr>
          <w:p>
            <w:pPr>
              <w:pStyle w:val="TableParagraph"/>
              <w:tabs>
                <w:tab w:pos="631" w:val="left" w:leader="none"/>
              </w:tabs>
              <w:spacing w:line="240" w:lineRule="auto" w:before="134"/>
              <w:ind w:right="189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49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148,415,751.23</w:t>
            </w:r>
          </w:p>
        </w:tc>
        <w:tc>
          <w:tcPr>
            <w:tcW w:w="270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156,735,409.08</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200" w:bottom="1160" w:left="900" w:right="920"/>
        </w:sectPr>
      </w:pPr>
    </w:p>
    <w:p>
      <w:pPr>
        <w:spacing w:line="240" w:lineRule="auto" w:before="10"/>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before="36"/>
        <w:ind w:left="652" w:right="5418"/>
        <w:jc w:val="left"/>
      </w:pPr>
      <w:r>
        <w:rPr>
          <w:rFonts w:ascii="Times New Roman" w:hAnsi="Times New Roman" w:cs="Times New Roman" w:eastAsia="Times New Roman" w:hint="default"/>
        </w:rPr>
        <w:t>33</w:t>
      </w:r>
      <w:r>
        <w:rPr/>
        <w:t>．财务费用</w:t>
      </w:r>
    </w:p>
    <w:tbl>
      <w:tblPr>
        <w:tblW w:w="0" w:type="auto"/>
        <w:jc w:val="left"/>
        <w:tblInd w:w="110" w:type="dxa"/>
        <w:tblLayout w:type="fixed"/>
        <w:tblCellMar>
          <w:top w:w="0" w:type="dxa"/>
          <w:left w:w="0" w:type="dxa"/>
          <w:bottom w:w="0" w:type="dxa"/>
          <w:right w:w="0" w:type="dxa"/>
        </w:tblCellMar>
        <w:tblLook w:val="01E0"/>
      </w:tblPr>
      <w:tblGrid>
        <w:gridCol w:w="5292"/>
        <w:gridCol w:w="2184"/>
        <w:gridCol w:w="2393"/>
      </w:tblGrid>
      <w:tr>
        <w:trPr>
          <w:trHeight w:val="458" w:hRule="exact"/>
        </w:trPr>
        <w:tc>
          <w:tcPr>
            <w:tcW w:w="5292"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134"/>
              <w:ind w:right="221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4"/>
              <w:ind w:left="56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9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4"/>
              <w:ind w:left="66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41" w:hRule="exact"/>
        </w:trPr>
        <w:tc>
          <w:tcPr>
            <w:tcW w:w="5292" w:type="dxa"/>
            <w:tcBorders>
              <w:top w:val="single" w:sz="4" w:space="0" w:color="000000"/>
              <w:left w:val="nil" w:sz="6" w:space="0" w:color="auto"/>
              <w:bottom w:val="nil" w:sz="6" w:space="0" w:color="auto"/>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1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-12,368,309.91</w:t>
            </w:r>
          </w:p>
        </w:tc>
        <w:tc>
          <w:tcPr>
            <w:tcW w:w="2393" w:type="dxa"/>
            <w:tcBorders>
              <w:top w:val="single" w:sz="4"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-3,674,612.89</w:t>
            </w:r>
          </w:p>
        </w:tc>
      </w:tr>
      <w:tr>
        <w:trPr>
          <w:trHeight w:val="439" w:hRule="exact"/>
        </w:trPr>
        <w:tc>
          <w:tcPr>
            <w:tcW w:w="5292"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184"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-225,313.06</w:t>
            </w:r>
          </w:p>
        </w:tc>
        <w:tc>
          <w:tcPr>
            <w:tcW w:w="2393"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-654,086.10</w:t>
            </w:r>
          </w:p>
        </w:tc>
      </w:tr>
      <w:tr>
        <w:trPr>
          <w:trHeight w:val="352" w:hRule="exact"/>
        </w:trPr>
        <w:tc>
          <w:tcPr>
            <w:tcW w:w="5292" w:type="dxa"/>
            <w:tcBorders>
              <w:top w:val="nil" w:sz="6" w:space="0" w:color="auto"/>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186,878.70</w:t>
            </w:r>
          </w:p>
        </w:tc>
        <w:tc>
          <w:tcPr>
            <w:tcW w:w="2393" w:type="dxa"/>
            <w:tcBorders>
              <w:top w:val="nil" w:sz="6" w:space="0" w:color="auto"/>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146,697.75</w:t>
            </w:r>
          </w:p>
        </w:tc>
      </w:tr>
      <w:tr>
        <w:trPr>
          <w:trHeight w:val="461" w:hRule="exact"/>
        </w:trPr>
        <w:tc>
          <w:tcPr>
            <w:tcW w:w="5292"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134"/>
              <w:ind w:right="221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-12,406,744.27</w:t>
            </w:r>
          </w:p>
        </w:tc>
        <w:tc>
          <w:tcPr>
            <w:tcW w:w="23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-4,182,001.24</w:t>
            </w:r>
          </w:p>
        </w:tc>
      </w:tr>
    </w:tbl>
    <w:p>
      <w:pPr>
        <w:spacing w:line="240" w:lineRule="auto" w:before="10"/>
        <w:rPr>
          <w:rFonts w:ascii="宋体" w:hAnsi="宋体" w:cs="宋体" w:eastAsia="宋体" w:hint="default"/>
          <w:sz w:val="8"/>
          <w:szCs w:val="8"/>
        </w:rPr>
      </w:pPr>
    </w:p>
    <w:p>
      <w:pPr>
        <w:pStyle w:val="BodyText"/>
        <w:spacing w:line="240" w:lineRule="auto" w:before="36"/>
        <w:ind w:left="652" w:right="0"/>
        <w:jc w:val="left"/>
      </w:pPr>
      <w:r>
        <w:rPr/>
        <w:t>注：</w:t>
      </w:r>
      <w:r>
        <w:rPr>
          <w:rFonts w:ascii="Times New Roman" w:hAnsi="Times New Roman" w:cs="Times New Roman" w:eastAsia="Times New Roman" w:hint="default"/>
        </w:rPr>
        <w:t>2011</w:t>
      </w:r>
      <w:r>
        <w:rPr/>
        <w:t>年度财务费用比</w:t>
      </w:r>
      <w:r>
        <w:rPr>
          <w:rFonts w:ascii="Times New Roman" w:hAnsi="Times New Roman" w:cs="Times New Roman" w:eastAsia="Times New Roman" w:hint="default"/>
        </w:rPr>
        <w:t>2010</w:t>
      </w:r>
      <w:r>
        <w:rPr/>
        <w:t>年度下降了</w:t>
      </w:r>
      <w:r>
        <w:rPr>
          <w:rFonts w:ascii="Times New Roman" w:hAnsi="Times New Roman" w:cs="Times New Roman" w:eastAsia="Times New Roman" w:hint="default"/>
        </w:rPr>
        <w:t>196.67%</w:t>
      </w:r>
      <w:r>
        <w:rPr/>
        <w:t>，主要系本期定期存款利息增加所致。</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2"/>
          <w:szCs w:val="22"/>
        </w:rPr>
      </w:pPr>
    </w:p>
    <w:p>
      <w:pPr>
        <w:pStyle w:val="BodyText"/>
        <w:spacing w:line="240" w:lineRule="auto"/>
        <w:ind w:left="653" w:right="5418"/>
        <w:jc w:val="left"/>
      </w:pPr>
      <w:r>
        <w:rPr>
          <w:rFonts w:ascii="Times New Roman" w:hAnsi="Times New Roman" w:cs="Times New Roman" w:eastAsia="Times New Roman" w:hint="default"/>
        </w:rPr>
        <w:t>34</w:t>
      </w:r>
      <w:r>
        <w:rPr/>
        <w:t>．资产减值损失</w:t>
      </w:r>
    </w:p>
    <w:tbl>
      <w:tblPr>
        <w:tblW w:w="0" w:type="auto"/>
        <w:jc w:val="left"/>
        <w:tblInd w:w="110" w:type="dxa"/>
        <w:tblLayout w:type="fixed"/>
        <w:tblCellMar>
          <w:top w:w="0" w:type="dxa"/>
          <w:left w:w="0" w:type="dxa"/>
          <w:bottom w:w="0" w:type="dxa"/>
          <w:right w:w="0" w:type="dxa"/>
        </w:tblCellMar>
        <w:tblLook w:val="01E0"/>
      </w:tblPr>
      <w:tblGrid>
        <w:gridCol w:w="4697"/>
        <w:gridCol w:w="2585"/>
        <w:gridCol w:w="2587"/>
      </w:tblGrid>
      <w:tr>
        <w:trPr>
          <w:trHeight w:val="458" w:hRule="exact"/>
        </w:trPr>
        <w:tc>
          <w:tcPr>
            <w:tcW w:w="4697"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134"/>
              <w:ind w:right="191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4"/>
              <w:ind w:left="76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4"/>
              <w:ind w:left="766"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41" w:hRule="exact"/>
        </w:trPr>
        <w:tc>
          <w:tcPr>
            <w:tcW w:w="4697" w:type="dxa"/>
            <w:tcBorders>
              <w:top w:val="single" w:sz="4" w:space="0" w:color="000000"/>
              <w:left w:val="nil" w:sz="6" w:space="0" w:color="auto"/>
              <w:bottom w:val="nil" w:sz="6" w:space="0" w:color="auto"/>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5,345,042.20</w:t>
            </w:r>
          </w:p>
        </w:tc>
        <w:tc>
          <w:tcPr>
            <w:tcW w:w="2587" w:type="dxa"/>
            <w:tcBorders>
              <w:top w:val="single" w:sz="4"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4,264,470.32</w:t>
            </w:r>
          </w:p>
        </w:tc>
      </w:tr>
      <w:tr>
        <w:trPr>
          <w:trHeight w:val="350" w:hRule="exact"/>
        </w:trPr>
        <w:tc>
          <w:tcPr>
            <w:tcW w:w="4697" w:type="dxa"/>
            <w:tcBorders>
              <w:top w:val="nil" w:sz="6" w:space="0" w:color="auto"/>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47,590.78</w:t>
            </w:r>
          </w:p>
        </w:tc>
        <w:tc>
          <w:tcPr>
            <w:tcW w:w="2587" w:type="dxa"/>
            <w:tcBorders>
              <w:top w:val="nil" w:sz="6" w:space="0" w:color="auto"/>
              <w:left w:val="single" w:sz="4" w:space="0" w:color="000000"/>
              <w:bottom w:val="single" w:sz="4" w:space="0" w:color="000000"/>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21"/>
                <w:szCs w:val="21"/>
              </w:rPr>
            </w:pPr>
            <w:r>
              <w:rPr>
                <w:rFonts w:ascii="Times New Roman"/>
                <w:spacing w:val="-1"/>
                <w:sz w:val="21"/>
              </w:rPr>
              <w:t>94,605.84</w:t>
            </w:r>
          </w:p>
        </w:tc>
      </w:tr>
      <w:tr>
        <w:trPr>
          <w:trHeight w:val="461" w:hRule="exact"/>
        </w:trPr>
        <w:tc>
          <w:tcPr>
            <w:tcW w:w="4697"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134"/>
              <w:ind w:right="191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5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5,392,632.98</w:t>
            </w:r>
          </w:p>
        </w:tc>
        <w:tc>
          <w:tcPr>
            <w:tcW w:w="25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4,359,076.16</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before="36"/>
        <w:ind w:left="652" w:right="5418"/>
        <w:jc w:val="left"/>
      </w:pPr>
      <w:r>
        <w:rPr>
          <w:rFonts w:ascii="Times New Roman" w:hAnsi="Times New Roman" w:cs="Times New Roman" w:eastAsia="Times New Roman" w:hint="default"/>
        </w:rPr>
        <w:t>35</w:t>
      </w:r>
      <w:r>
        <w:rPr/>
        <w:t>．投资收益</w:t>
      </w:r>
    </w:p>
    <w:tbl>
      <w:tblPr>
        <w:tblW w:w="0" w:type="auto"/>
        <w:jc w:val="left"/>
        <w:tblInd w:w="110" w:type="dxa"/>
        <w:tblLayout w:type="fixed"/>
        <w:tblCellMar>
          <w:top w:w="0" w:type="dxa"/>
          <w:left w:w="0" w:type="dxa"/>
          <w:bottom w:w="0" w:type="dxa"/>
          <w:right w:w="0" w:type="dxa"/>
        </w:tblCellMar>
        <w:tblLook w:val="01E0"/>
      </w:tblPr>
      <w:tblGrid>
        <w:gridCol w:w="4697"/>
        <w:gridCol w:w="2585"/>
        <w:gridCol w:w="2587"/>
      </w:tblGrid>
      <w:tr>
        <w:trPr>
          <w:trHeight w:val="461" w:hRule="exact"/>
        </w:trPr>
        <w:tc>
          <w:tcPr>
            <w:tcW w:w="4697"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34"/>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4"/>
              <w:ind w:left="76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4"/>
              <w:ind w:left="76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38" w:hRule="exact"/>
        </w:trPr>
        <w:tc>
          <w:tcPr>
            <w:tcW w:w="4697" w:type="dxa"/>
            <w:tcBorders>
              <w:top w:val="single" w:sz="4" w:space="0" w:color="000000"/>
              <w:left w:val="nil" w:sz="6" w:space="0" w:color="auto"/>
              <w:bottom w:val="nil" w:sz="6" w:space="0" w:color="auto"/>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一、持有至到期投资收益</w:t>
            </w:r>
          </w:p>
        </w:tc>
        <w:tc>
          <w:tcPr>
            <w:tcW w:w="25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36,255.56</w:t>
            </w:r>
          </w:p>
        </w:tc>
        <w:tc>
          <w:tcPr>
            <w:tcW w:w="2587"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15,744.44</w:t>
            </w:r>
          </w:p>
        </w:tc>
      </w:tr>
      <w:tr>
        <w:trPr>
          <w:trHeight w:val="440" w:hRule="exact"/>
        </w:trPr>
        <w:tc>
          <w:tcPr>
            <w:tcW w:w="4697"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二、处置可供出售金融资产取得的投资收益</w:t>
            </w:r>
          </w:p>
        </w:tc>
        <w:tc>
          <w:tcPr>
            <w:tcW w:w="258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-8,308.00</w:t>
            </w:r>
          </w:p>
        </w:tc>
        <w:tc>
          <w:tcPr>
            <w:tcW w:w="2587" w:type="dxa"/>
            <w:tcBorders>
              <w:top w:val="nil" w:sz="6" w:space="0" w:color="auto"/>
              <w:left w:val="single" w:sz="4" w:space="0" w:color="000000"/>
              <w:bottom w:val="nil" w:sz="6" w:space="0" w:color="auto"/>
              <w:right w:val="nil" w:sz="6" w:space="0" w:color="auto"/>
            </w:tcBorders>
          </w:tcPr>
          <w:p>
            <w:pPr/>
          </w:p>
        </w:tc>
      </w:tr>
      <w:tr>
        <w:trPr>
          <w:trHeight w:val="440" w:hRule="exact"/>
        </w:trPr>
        <w:tc>
          <w:tcPr>
            <w:tcW w:w="4697"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宋体" w:hAnsi="宋体" w:cs="宋体" w:eastAsia="宋体" w:hint="default"/>
                <w:sz w:val="21"/>
                <w:szCs w:val="21"/>
              </w:rPr>
              <w:t>三、理财产品投资收益</w:t>
            </w:r>
          </w:p>
        </w:tc>
        <w:tc>
          <w:tcPr>
            <w:tcW w:w="2585"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4,241,900.34</w:t>
            </w:r>
          </w:p>
        </w:tc>
        <w:tc>
          <w:tcPr>
            <w:tcW w:w="2587" w:type="dxa"/>
            <w:tcBorders>
              <w:top w:val="nil" w:sz="6" w:space="0" w:color="auto"/>
              <w:left w:val="single" w:sz="4" w:space="0" w:color="000000"/>
              <w:bottom w:val="nil" w:sz="6" w:space="0" w:color="auto"/>
              <w:right w:val="nil" w:sz="6" w:space="0" w:color="auto"/>
            </w:tcBorders>
          </w:tcPr>
          <w:p>
            <w:pPr/>
          </w:p>
        </w:tc>
      </w:tr>
      <w:tr>
        <w:trPr>
          <w:trHeight w:val="434" w:hRule="exact"/>
        </w:trPr>
        <w:tc>
          <w:tcPr>
            <w:tcW w:w="4697"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tc>
        <w:tc>
          <w:tcPr>
            <w:tcW w:w="2585"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pacing w:val="-1"/>
                <w:sz w:val="21"/>
              </w:rPr>
              <w:t>-500,000.00</w:t>
            </w:r>
          </w:p>
        </w:tc>
        <w:tc>
          <w:tcPr>
            <w:tcW w:w="2587" w:type="dxa"/>
            <w:tcBorders>
              <w:top w:val="nil" w:sz="6" w:space="0" w:color="auto"/>
              <w:left w:val="single" w:sz="4" w:space="0" w:color="000000"/>
              <w:bottom w:val="nil" w:sz="6" w:space="0" w:color="auto"/>
              <w:right w:val="nil" w:sz="6" w:space="0" w:color="auto"/>
            </w:tcBorders>
          </w:tcPr>
          <w:p>
            <w:pPr/>
          </w:p>
        </w:tc>
      </w:tr>
      <w:tr>
        <w:trPr>
          <w:trHeight w:val="357" w:hRule="exact"/>
        </w:trPr>
        <w:tc>
          <w:tcPr>
            <w:tcW w:w="4697" w:type="dxa"/>
            <w:tcBorders>
              <w:top w:val="nil" w:sz="6" w:space="0" w:color="auto"/>
              <w:left w:val="nil" w:sz="6" w:space="0" w:color="auto"/>
              <w:bottom w:val="single" w:sz="4"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五、处置交易性金融资产取得的投资收益</w:t>
            </w:r>
          </w:p>
        </w:tc>
        <w:tc>
          <w:tcPr>
            <w:tcW w:w="2585" w:type="dxa"/>
            <w:tcBorders>
              <w:top w:val="nil" w:sz="6" w:space="0" w:color="auto"/>
              <w:left w:val="single" w:sz="4" w:space="0" w:color="000000"/>
              <w:bottom w:val="single" w:sz="4" w:space="0" w:color="000000"/>
              <w:right w:val="single" w:sz="4" w:space="0" w:color="000000"/>
            </w:tcBorders>
          </w:tcPr>
          <w:p>
            <w:pPr/>
          </w:p>
        </w:tc>
        <w:tc>
          <w:tcPr>
            <w:tcW w:w="2587" w:type="dxa"/>
            <w:tcBorders>
              <w:top w:val="nil" w:sz="6" w:space="0" w:color="auto"/>
              <w:left w:val="single" w:sz="4" w:space="0" w:color="000000"/>
              <w:bottom w:val="single" w:sz="4" w:space="0" w:color="000000"/>
              <w:right w:val="nil" w:sz="6" w:space="0" w:color="auto"/>
            </w:tcBorders>
          </w:tcPr>
          <w:p>
            <w:pPr>
              <w:pStyle w:val="TableParagraph"/>
              <w:spacing w:line="240" w:lineRule="auto" w:before="103"/>
              <w:ind w:right="101"/>
              <w:jc w:val="right"/>
              <w:rPr>
                <w:rFonts w:ascii="Times New Roman" w:hAnsi="Times New Roman" w:cs="Times New Roman" w:eastAsia="Times New Roman" w:hint="default"/>
                <w:sz w:val="21"/>
                <w:szCs w:val="21"/>
              </w:rPr>
            </w:pPr>
            <w:r>
              <w:rPr>
                <w:rFonts w:ascii="Times New Roman"/>
                <w:spacing w:val="-1"/>
                <w:sz w:val="21"/>
              </w:rPr>
              <w:t>3,231.93</w:t>
            </w:r>
          </w:p>
        </w:tc>
      </w:tr>
      <w:tr>
        <w:trPr>
          <w:trHeight w:val="461" w:hRule="exact"/>
        </w:trPr>
        <w:tc>
          <w:tcPr>
            <w:tcW w:w="4697"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34"/>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3,769,847.90</w:t>
            </w:r>
          </w:p>
        </w:tc>
        <w:tc>
          <w:tcPr>
            <w:tcW w:w="25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18,976.37</w:t>
            </w:r>
          </w:p>
        </w:tc>
      </w:tr>
    </w:tbl>
    <w:p>
      <w:pPr>
        <w:spacing w:line="240" w:lineRule="auto" w:before="8"/>
        <w:rPr>
          <w:rFonts w:ascii="宋体" w:hAnsi="宋体" w:cs="宋体" w:eastAsia="宋体" w:hint="default"/>
          <w:sz w:val="8"/>
          <w:szCs w:val="8"/>
        </w:rPr>
      </w:pPr>
    </w:p>
    <w:p>
      <w:pPr>
        <w:pStyle w:val="BodyText"/>
        <w:spacing w:line="240" w:lineRule="auto" w:before="36"/>
        <w:ind w:left="652" w:right="0"/>
        <w:jc w:val="left"/>
      </w:pPr>
      <w:r>
        <w:rPr/>
        <w:t>注：</w:t>
      </w:r>
      <w:r>
        <w:rPr>
          <w:rFonts w:ascii="Times New Roman" w:hAnsi="Times New Roman" w:cs="Times New Roman" w:eastAsia="Times New Roman" w:hint="default"/>
        </w:rPr>
        <w:t>2011</w:t>
      </w:r>
      <w:r>
        <w:rPr/>
        <w:t>年度投资收益比</w:t>
      </w:r>
      <w:r>
        <w:rPr>
          <w:rFonts w:ascii="Times New Roman" w:hAnsi="Times New Roman" w:cs="Times New Roman" w:eastAsia="Times New Roman" w:hint="default"/>
        </w:rPr>
        <w:t>2010</w:t>
      </w:r>
      <w:r>
        <w:rPr/>
        <w:t>年度增长了</w:t>
      </w:r>
      <w:r>
        <w:rPr>
          <w:rFonts w:ascii="Times New Roman" w:hAnsi="Times New Roman" w:cs="Times New Roman" w:eastAsia="Times New Roman" w:hint="default"/>
        </w:rPr>
        <w:t>19766.01%</w:t>
      </w:r>
      <w:r>
        <w:rPr/>
        <w:t>，主要系本期新增理财产品收益所致。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BodyText"/>
        <w:spacing w:line="240" w:lineRule="auto"/>
        <w:ind w:left="652" w:right="5418"/>
        <w:jc w:val="left"/>
      </w:pPr>
      <w:r>
        <w:rPr>
          <w:rFonts w:ascii="Times New Roman" w:hAnsi="Times New Roman" w:cs="Times New Roman" w:eastAsia="Times New Roman" w:hint="default"/>
        </w:rPr>
        <w:t>36</w:t>
      </w:r>
      <w:r>
        <w:rPr/>
        <w:t>．营业外收入</w:t>
      </w:r>
    </w:p>
    <w:tbl>
      <w:tblPr>
        <w:tblW w:w="0" w:type="auto"/>
        <w:jc w:val="left"/>
        <w:tblInd w:w="110" w:type="dxa"/>
        <w:tblLayout w:type="fixed"/>
        <w:tblCellMar>
          <w:top w:w="0" w:type="dxa"/>
          <w:left w:w="0" w:type="dxa"/>
          <w:bottom w:w="0" w:type="dxa"/>
          <w:right w:w="0" w:type="dxa"/>
        </w:tblCellMar>
        <w:tblLook w:val="01E0"/>
      </w:tblPr>
      <w:tblGrid>
        <w:gridCol w:w="2640"/>
        <w:gridCol w:w="1776"/>
        <w:gridCol w:w="1776"/>
        <w:gridCol w:w="3677"/>
      </w:tblGrid>
      <w:tr>
        <w:trPr>
          <w:trHeight w:val="480" w:hRule="exact"/>
        </w:trPr>
        <w:tc>
          <w:tcPr>
            <w:tcW w:w="2640"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40" w:lineRule="auto" w:before="155"/>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5"/>
              <w:ind w:left="36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7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5"/>
              <w:ind w:left="360"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36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5"/>
              <w:ind w:left="470"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568" w:hRule="exact"/>
        </w:trPr>
        <w:tc>
          <w:tcPr>
            <w:tcW w:w="2640"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．补贴收入</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40,707,574.10</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40,485,818.45</w:t>
            </w:r>
          </w:p>
        </w:tc>
        <w:tc>
          <w:tcPr>
            <w:tcW w:w="3677"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5,602,647.05</w:t>
            </w:r>
          </w:p>
        </w:tc>
      </w:tr>
      <w:tr>
        <w:trPr>
          <w:trHeight w:val="461" w:hRule="exact"/>
        </w:trPr>
        <w:tc>
          <w:tcPr>
            <w:tcW w:w="2640"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其中：增值税返还</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35,104,927.05</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35,846,425.81</w:t>
            </w:r>
          </w:p>
        </w:tc>
        <w:tc>
          <w:tcPr>
            <w:tcW w:w="3677" w:type="dxa"/>
            <w:tcBorders>
              <w:top w:val="nil" w:sz="6" w:space="0" w:color="auto"/>
              <w:left w:val="single" w:sz="4" w:space="0" w:color="000000"/>
              <w:bottom w:val="nil" w:sz="6" w:space="0" w:color="auto"/>
              <w:right w:val="nil" w:sz="6" w:space="0" w:color="auto"/>
            </w:tcBorders>
          </w:tcPr>
          <w:p>
            <w:pPr/>
          </w:p>
        </w:tc>
      </w:tr>
      <w:tr>
        <w:trPr>
          <w:trHeight w:val="460" w:hRule="exact"/>
        </w:trPr>
        <w:tc>
          <w:tcPr>
            <w:tcW w:w="264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753" w:right="0"/>
              <w:jc w:val="left"/>
              <w:rPr>
                <w:rFonts w:ascii="宋体" w:hAnsi="宋体" w:cs="宋体" w:eastAsia="宋体" w:hint="default"/>
                <w:sz w:val="21"/>
                <w:szCs w:val="21"/>
              </w:rPr>
            </w:pPr>
            <w:r>
              <w:rPr>
                <w:rFonts w:ascii="宋体" w:hAnsi="宋体" w:cs="宋体" w:eastAsia="宋体" w:hint="default"/>
                <w:sz w:val="21"/>
                <w:szCs w:val="21"/>
              </w:rPr>
              <w:t>财政补贴</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2,620,000.00</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2,453,474.54</w:t>
            </w:r>
          </w:p>
        </w:tc>
        <w:tc>
          <w:tcPr>
            <w:tcW w:w="3677"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1"/>
              <w:jc w:val="right"/>
              <w:rPr>
                <w:rFonts w:ascii="Times New Roman" w:hAnsi="Times New Roman" w:cs="Times New Roman" w:eastAsia="Times New Roman" w:hint="default"/>
                <w:sz w:val="21"/>
                <w:szCs w:val="21"/>
              </w:rPr>
            </w:pPr>
            <w:r>
              <w:rPr>
                <w:rFonts w:ascii="Times New Roman"/>
                <w:spacing w:val="-1"/>
                <w:sz w:val="21"/>
              </w:rPr>
              <w:t>2,620,000.00</w:t>
            </w:r>
          </w:p>
        </w:tc>
      </w:tr>
      <w:tr>
        <w:trPr>
          <w:trHeight w:val="374" w:hRule="exact"/>
        </w:trPr>
        <w:tc>
          <w:tcPr>
            <w:tcW w:w="2640" w:type="dxa"/>
            <w:tcBorders>
              <w:top w:val="nil" w:sz="6" w:space="0" w:color="auto"/>
              <w:left w:val="nil" w:sz="6" w:space="0" w:color="auto"/>
              <w:bottom w:val="single" w:sz="12" w:space="0" w:color="000000"/>
              <w:right w:val="single" w:sz="4" w:space="0" w:color="000000"/>
            </w:tcBorders>
          </w:tcPr>
          <w:p>
            <w:pPr>
              <w:pStyle w:val="TableParagraph"/>
              <w:spacing w:line="240" w:lineRule="auto" w:before="49"/>
              <w:ind w:left="753" w:right="0"/>
              <w:jc w:val="left"/>
              <w:rPr>
                <w:rFonts w:ascii="宋体" w:hAnsi="宋体" w:cs="宋体" w:eastAsia="宋体" w:hint="default"/>
                <w:sz w:val="21"/>
                <w:szCs w:val="21"/>
              </w:rPr>
            </w:pPr>
            <w:r>
              <w:rPr>
                <w:rFonts w:ascii="宋体" w:hAnsi="宋体" w:cs="宋体" w:eastAsia="宋体" w:hint="default"/>
                <w:sz w:val="21"/>
                <w:szCs w:val="21"/>
              </w:rPr>
              <w:t>其他税收返还</w:t>
            </w:r>
          </w:p>
        </w:tc>
        <w:tc>
          <w:tcPr>
            <w:tcW w:w="17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pacing w:val="-1"/>
                <w:sz w:val="21"/>
              </w:rPr>
              <w:t>2,982,647.05</w:t>
            </w:r>
          </w:p>
        </w:tc>
        <w:tc>
          <w:tcPr>
            <w:tcW w:w="17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96"/>
              <w:jc w:val="right"/>
              <w:rPr>
                <w:rFonts w:ascii="Times New Roman" w:hAnsi="Times New Roman" w:cs="Times New Roman" w:eastAsia="Times New Roman" w:hint="default"/>
                <w:sz w:val="21"/>
                <w:szCs w:val="21"/>
              </w:rPr>
            </w:pPr>
            <w:r>
              <w:rPr>
                <w:rFonts w:ascii="Times New Roman"/>
                <w:spacing w:val="-1"/>
                <w:sz w:val="21"/>
              </w:rPr>
              <w:t>2,185,918.10</w:t>
            </w:r>
          </w:p>
        </w:tc>
        <w:tc>
          <w:tcPr>
            <w:tcW w:w="3677" w:type="dxa"/>
            <w:tcBorders>
              <w:top w:val="nil" w:sz="6" w:space="0" w:color="auto"/>
              <w:left w:val="single" w:sz="4" w:space="0" w:color="000000"/>
              <w:bottom w:val="single" w:sz="12" w:space="0" w:color="000000"/>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21"/>
                <w:szCs w:val="21"/>
              </w:rPr>
            </w:pPr>
            <w:r>
              <w:rPr>
                <w:rFonts w:ascii="Times New Roman"/>
                <w:spacing w:val="-1"/>
                <w:sz w:val="21"/>
              </w:rPr>
              <w:t>2,982,647.05</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200" w:bottom="1160" w:left="900" w:right="920"/>
        </w:sectPr>
      </w:pP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640"/>
        <w:gridCol w:w="1776"/>
        <w:gridCol w:w="1776"/>
        <w:gridCol w:w="3677"/>
      </w:tblGrid>
      <w:tr>
        <w:trPr>
          <w:trHeight w:val="473" w:hRule="exact"/>
        </w:trPr>
        <w:tc>
          <w:tcPr>
            <w:tcW w:w="2640" w:type="dxa"/>
            <w:tcBorders>
              <w:top w:val="single" w:sz="6"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w:t>
            </w:r>
          </w:p>
        </w:tc>
        <w:tc>
          <w:tcPr>
            <w:tcW w:w="177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310,471.80</w:t>
            </w:r>
          </w:p>
        </w:tc>
        <w:tc>
          <w:tcPr>
            <w:tcW w:w="177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575,028.26</w:t>
            </w:r>
          </w:p>
        </w:tc>
        <w:tc>
          <w:tcPr>
            <w:tcW w:w="3677"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310,471.68</w:t>
            </w:r>
          </w:p>
        </w:tc>
      </w:tr>
      <w:tr>
        <w:trPr>
          <w:trHeight w:val="480" w:hRule="exact"/>
        </w:trPr>
        <w:tc>
          <w:tcPr>
            <w:tcW w:w="2640"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41,018,045.90</w:t>
            </w:r>
          </w:p>
        </w:tc>
        <w:tc>
          <w:tcPr>
            <w:tcW w:w="17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41,060,846.71</w:t>
            </w:r>
          </w:p>
        </w:tc>
        <w:tc>
          <w:tcPr>
            <w:tcW w:w="36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5,913,118.73</w:t>
            </w:r>
          </w:p>
        </w:tc>
      </w:tr>
    </w:tbl>
    <w:p>
      <w:pPr>
        <w:spacing w:line="240" w:lineRule="auto" w:before="12"/>
        <w:rPr>
          <w:rFonts w:ascii="宋体" w:hAnsi="宋体" w:cs="宋体" w:eastAsia="宋体" w:hint="default"/>
          <w:sz w:val="8"/>
          <w:szCs w:val="8"/>
        </w:rPr>
      </w:pPr>
    </w:p>
    <w:p>
      <w:pPr>
        <w:pStyle w:val="BodyText"/>
        <w:spacing w:line="379" w:lineRule="auto" w:before="36"/>
        <w:ind w:left="252" w:right="249" w:firstLine="419"/>
        <w:jc w:val="both"/>
      </w:pPr>
      <w:r>
        <w:rPr>
          <w:spacing w:val="-5"/>
          <w:w w:val="100"/>
        </w:rPr>
        <w:t>注：（</w:t>
      </w:r>
      <w:r>
        <w:rPr>
          <w:rFonts w:ascii="Times New Roman" w:hAnsi="Times New Roman" w:cs="Times New Roman" w:eastAsia="Times New Roman" w:hint="default"/>
          <w:spacing w:val="-5"/>
          <w:w w:val="100"/>
        </w:rPr>
        <w:t>1</w:t>
      </w:r>
      <w:r>
        <w:rPr>
          <w:spacing w:val="-5"/>
          <w:w w:val="100"/>
        </w:rPr>
        <w:t>）增值税返还系公司根据国务院“国发</w:t>
      </w:r>
      <w:r>
        <w:rPr>
          <w:rFonts w:ascii="Times New Roman" w:hAnsi="Times New Roman" w:cs="Times New Roman" w:eastAsia="Times New Roman" w:hint="default"/>
          <w:spacing w:val="-5"/>
          <w:w w:val="100"/>
        </w:rPr>
        <w:t>[2000]18</w:t>
      </w:r>
      <w:r>
        <w:rPr>
          <w:rFonts w:ascii="Times New Roman" w:hAnsi="Times New Roman" w:cs="Times New Roman" w:eastAsia="Times New Roman" w:hint="default"/>
          <w:spacing w:val="8"/>
          <w:w w:val="100"/>
        </w:rPr>
        <w:t> </w:t>
      </w:r>
      <w:r>
        <w:rPr>
          <w:spacing w:val="-2"/>
          <w:w w:val="100"/>
        </w:rPr>
        <w:t>号”《鼓励软件产业和集成电路产业发展的若</w:t>
      </w:r>
      <w:r>
        <w:rPr>
          <w:w w:val="100"/>
        </w:rPr>
        <w:t> </w:t>
      </w:r>
      <w:r>
        <w:rPr>
          <w:spacing w:val="-2"/>
          <w:w w:val="100"/>
        </w:rPr>
        <w:t>干政策》及“国发</w:t>
      </w:r>
      <w:r>
        <w:rPr>
          <w:rFonts w:ascii="Times New Roman" w:hAnsi="Times New Roman" w:cs="Times New Roman" w:eastAsia="Times New Roman" w:hint="default"/>
          <w:spacing w:val="-2"/>
          <w:w w:val="100"/>
        </w:rPr>
        <w:t>[2011]4</w:t>
      </w:r>
      <w:r>
        <w:rPr>
          <w:rFonts w:ascii="Times New Roman" w:hAnsi="Times New Roman" w:cs="Times New Roman" w:eastAsia="Times New Roman" w:hint="default"/>
          <w:w w:val="100"/>
        </w:rPr>
        <w:t> </w:t>
      </w:r>
      <w:r>
        <w:rPr>
          <w:spacing w:val="-5"/>
          <w:w w:val="100"/>
        </w:rPr>
        <w:t>号”《关于印发进一步鼓励软件产业和集成电路产业发展若干政策的通知》的规</w:t>
      </w:r>
      <w:r>
        <w:rPr>
          <w:spacing w:val="-80"/>
          <w:w w:val="100"/>
        </w:rPr>
        <w:t> </w:t>
      </w:r>
      <w:r>
        <w:rPr>
          <w:spacing w:val="-80"/>
          <w:w w:val="100"/>
        </w:rPr>
      </w:r>
      <w:r>
        <w:rPr/>
        <w:t>定，报告期内应收到的自行开发软件销售增值税退税收入。</w:t>
      </w:r>
    </w:p>
    <w:p>
      <w:pPr>
        <w:pStyle w:val="BodyText"/>
        <w:spacing w:line="240" w:lineRule="auto" w:before="64"/>
        <w:ind w:left="673" w:right="0"/>
        <w:jc w:val="left"/>
      </w:pPr>
      <w:r>
        <w:rPr/>
        <w:t>（</w:t>
      </w:r>
      <w:r>
        <w:rPr>
          <w:rFonts w:ascii="Times New Roman" w:hAnsi="Times New Roman" w:cs="Times New Roman" w:eastAsia="Times New Roman" w:hint="default"/>
        </w:rPr>
        <w:t>2</w:t>
      </w:r>
      <w:r>
        <w:rPr/>
        <w:t>）财政补贴明细</w:t>
      </w:r>
    </w:p>
    <w:tbl>
      <w:tblPr>
        <w:tblW w:w="0" w:type="auto"/>
        <w:jc w:val="left"/>
        <w:tblInd w:w="130" w:type="dxa"/>
        <w:tblLayout w:type="fixed"/>
        <w:tblCellMar>
          <w:top w:w="0" w:type="dxa"/>
          <w:left w:w="0" w:type="dxa"/>
          <w:bottom w:w="0" w:type="dxa"/>
          <w:right w:w="0" w:type="dxa"/>
        </w:tblCellMar>
        <w:tblLook w:val="01E0"/>
      </w:tblPr>
      <w:tblGrid>
        <w:gridCol w:w="1541"/>
        <w:gridCol w:w="4529"/>
        <w:gridCol w:w="2033"/>
        <w:gridCol w:w="1766"/>
      </w:tblGrid>
      <w:tr>
        <w:trPr>
          <w:trHeight w:val="480" w:hRule="exact"/>
        </w:trPr>
        <w:tc>
          <w:tcPr>
            <w:tcW w:w="6070" w:type="dxa"/>
            <w:gridSpan w:val="2"/>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50"/>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0"/>
              <w:ind w:left="48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7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0"/>
              <w:ind w:left="35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68" w:hRule="exact"/>
        </w:trPr>
        <w:tc>
          <w:tcPr>
            <w:tcW w:w="15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403" w:lineRule="auto"/>
              <w:ind w:left="251" w:right="228"/>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的政府补助</w:t>
            </w:r>
          </w:p>
        </w:tc>
        <w:tc>
          <w:tcPr>
            <w:tcW w:w="45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3"/>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．广西自治区承接产业转移专项资金补贴</w:t>
            </w:r>
          </w:p>
        </w:tc>
        <w:tc>
          <w:tcPr>
            <w:tcW w:w="203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20" w:right="0"/>
              <w:jc w:val="left"/>
              <w:rPr>
                <w:rFonts w:ascii="Times New Roman" w:hAnsi="Times New Roman" w:cs="Times New Roman" w:eastAsia="Times New Roman" w:hint="default"/>
                <w:sz w:val="21"/>
                <w:szCs w:val="21"/>
              </w:rPr>
            </w:pPr>
            <w:r>
              <w:rPr>
                <w:rFonts w:ascii="Times New Roman"/>
                <w:sz w:val="21"/>
              </w:rPr>
              <w:t>2,620,000.00</w:t>
            </w:r>
          </w:p>
        </w:tc>
        <w:tc>
          <w:tcPr>
            <w:tcW w:w="1766"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460" w:hRule="exact"/>
        </w:trPr>
        <w:tc>
          <w:tcPr>
            <w:tcW w:w="1541" w:type="dxa"/>
            <w:vMerge/>
            <w:tcBorders>
              <w:left w:val="nil" w:sz="6" w:space="0" w:color="auto"/>
              <w:right w:val="single" w:sz="4" w:space="0" w:color="000000"/>
            </w:tcBorders>
          </w:tcPr>
          <w:p>
            <w:pPr/>
          </w:p>
        </w:tc>
        <w:tc>
          <w:tcPr>
            <w:tcW w:w="452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．北海市投资补贴</w:t>
            </w:r>
          </w:p>
        </w:tc>
        <w:tc>
          <w:tcPr>
            <w:tcW w:w="2033"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920" w:hRule="exact"/>
        </w:trPr>
        <w:tc>
          <w:tcPr>
            <w:tcW w:w="1541" w:type="dxa"/>
            <w:vMerge/>
            <w:tcBorders>
              <w:left w:val="nil" w:sz="6" w:space="0" w:color="auto"/>
              <w:right w:val="single" w:sz="4" w:space="0" w:color="000000"/>
            </w:tcBorders>
          </w:tcPr>
          <w:p>
            <w:pPr/>
          </w:p>
        </w:tc>
        <w:tc>
          <w:tcPr>
            <w:tcW w:w="4529" w:type="dxa"/>
            <w:tcBorders>
              <w:top w:val="nil" w:sz="6" w:space="0" w:color="auto"/>
              <w:left w:val="single" w:sz="4" w:space="0" w:color="000000"/>
              <w:bottom w:val="nil" w:sz="6" w:space="0" w:color="auto"/>
              <w:right w:val="single" w:sz="4" w:space="0" w:color="000000"/>
            </w:tcBorders>
          </w:tcPr>
          <w:p>
            <w:pPr>
              <w:pStyle w:val="TableParagraph"/>
              <w:spacing w:line="381" w:lineRule="auto" w:before="49"/>
              <w:ind w:left="105" w:right="102"/>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．北海市科学研究与技术开发计划项目经费补</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贴</w:t>
            </w:r>
          </w:p>
        </w:tc>
        <w:tc>
          <w:tcPr>
            <w:tcW w:w="2033"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60,000.00</w:t>
            </w:r>
          </w:p>
        </w:tc>
      </w:tr>
      <w:tr>
        <w:trPr>
          <w:trHeight w:val="460" w:hRule="exact"/>
        </w:trPr>
        <w:tc>
          <w:tcPr>
            <w:tcW w:w="1541" w:type="dxa"/>
            <w:vMerge/>
            <w:tcBorders>
              <w:left w:val="nil" w:sz="6" w:space="0" w:color="auto"/>
              <w:right w:val="single" w:sz="4" w:space="0" w:color="000000"/>
            </w:tcBorders>
          </w:tcPr>
          <w:p>
            <w:pPr/>
          </w:p>
        </w:tc>
        <w:tc>
          <w:tcPr>
            <w:tcW w:w="452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．西软酒店集团物流管理系统专项补贴</w:t>
            </w:r>
          </w:p>
        </w:tc>
        <w:tc>
          <w:tcPr>
            <w:tcW w:w="2033"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460" w:hRule="exact"/>
        </w:trPr>
        <w:tc>
          <w:tcPr>
            <w:tcW w:w="1541" w:type="dxa"/>
            <w:vMerge/>
            <w:tcBorders>
              <w:left w:val="nil" w:sz="6" w:space="0" w:color="auto"/>
              <w:right w:val="single" w:sz="4" w:space="0" w:color="000000"/>
            </w:tcBorders>
          </w:tcPr>
          <w:p>
            <w:pPr/>
          </w:p>
        </w:tc>
        <w:tc>
          <w:tcPr>
            <w:tcW w:w="452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．西软旅业集团化网络信息平台专项补贴</w:t>
            </w:r>
          </w:p>
        </w:tc>
        <w:tc>
          <w:tcPr>
            <w:tcW w:w="2033" w:type="dxa"/>
            <w:vMerge/>
            <w:tcBorders>
              <w:left w:val="single" w:sz="4" w:space="0" w:color="000000"/>
              <w:right w:val="single" w:sz="4" w:space="0" w:color="000000"/>
            </w:tcBorders>
          </w:tcPr>
          <w:p>
            <w:pPr/>
          </w:p>
        </w:tc>
        <w:tc>
          <w:tcPr>
            <w:tcW w:w="1766"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65,000.00</w:t>
            </w:r>
          </w:p>
        </w:tc>
      </w:tr>
      <w:tr>
        <w:trPr>
          <w:trHeight w:val="363" w:hRule="exact"/>
        </w:trPr>
        <w:tc>
          <w:tcPr>
            <w:tcW w:w="1541" w:type="dxa"/>
            <w:vMerge/>
            <w:tcBorders>
              <w:left w:val="nil" w:sz="6" w:space="0" w:color="auto"/>
              <w:bottom w:val="single" w:sz="4" w:space="0" w:color="000000"/>
              <w:right w:val="single" w:sz="4" w:space="0" w:color="000000"/>
            </w:tcBorders>
          </w:tcPr>
          <w:p>
            <w:pPr/>
          </w:p>
        </w:tc>
        <w:tc>
          <w:tcPr>
            <w:tcW w:w="45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．西软社会保险补贴</w:t>
            </w:r>
          </w:p>
        </w:tc>
        <w:tc>
          <w:tcPr>
            <w:tcW w:w="2033" w:type="dxa"/>
            <w:vMerge/>
            <w:tcBorders>
              <w:left w:val="single" w:sz="4" w:space="0" w:color="000000"/>
              <w:bottom w:val="single" w:sz="4" w:space="0" w:color="000000"/>
              <w:right w:val="single" w:sz="4" w:space="0" w:color="000000"/>
            </w:tcBorders>
          </w:tcPr>
          <w:p>
            <w:pPr/>
          </w:p>
        </w:tc>
        <w:tc>
          <w:tcPr>
            <w:tcW w:w="1766" w:type="dxa"/>
            <w:tcBorders>
              <w:top w:val="nil" w:sz="6" w:space="0" w:color="auto"/>
              <w:left w:val="single" w:sz="4" w:space="0" w:color="000000"/>
              <w:bottom w:val="single" w:sz="4" w:space="0" w:color="000000"/>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28,474.54</w:t>
            </w:r>
          </w:p>
        </w:tc>
      </w:tr>
      <w:tr>
        <w:trPr>
          <w:trHeight w:val="480" w:hRule="exact"/>
        </w:trPr>
        <w:tc>
          <w:tcPr>
            <w:tcW w:w="6070" w:type="dxa"/>
            <w:gridSpan w:val="2"/>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820" w:right="0"/>
              <w:jc w:val="left"/>
              <w:rPr>
                <w:rFonts w:ascii="Times New Roman" w:hAnsi="Times New Roman" w:cs="Times New Roman" w:eastAsia="Times New Roman" w:hint="default"/>
                <w:sz w:val="21"/>
                <w:szCs w:val="21"/>
              </w:rPr>
            </w:pPr>
            <w:r>
              <w:rPr>
                <w:rFonts w:ascii="Times New Roman"/>
                <w:sz w:val="21"/>
              </w:rPr>
              <w:t>2,620,000.00</w:t>
            </w:r>
          </w:p>
        </w:tc>
        <w:tc>
          <w:tcPr>
            <w:tcW w:w="17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2,453,474.54</w:t>
            </w:r>
          </w:p>
        </w:tc>
      </w:tr>
    </w:tbl>
    <w:p>
      <w:pPr>
        <w:spacing w:line="240" w:lineRule="auto" w:before="3"/>
        <w:rPr>
          <w:rFonts w:ascii="宋体" w:hAnsi="宋体" w:cs="宋体" w:eastAsia="宋体" w:hint="default"/>
          <w:sz w:val="10"/>
          <w:szCs w:val="10"/>
        </w:rPr>
      </w:pPr>
    </w:p>
    <w:p>
      <w:pPr>
        <w:pStyle w:val="BodyText"/>
        <w:spacing w:line="381" w:lineRule="auto" w:before="36"/>
        <w:ind w:left="252" w:right="0" w:firstLine="420"/>
        <w:jc w:val="left"/>
      </w:pPr>
      <w:r>
        <w:rPr>
          <w:spacing w:val="-2"/>
        </w:rPr>
        <w:t>（</w:t>
      </w:r>
      <w:r>
        <w:rPr>
          <w:rFonts w:ascii="Times New Roman" w:hAnsi="Times New Roman" w:cs="Times New Roman" w:eastAsia="Times New Roman" w:hint="default"/>
          <w:spacing w:val="-2"/>
        </w:rPr>
        <w:t>3</w:t>
      </w:r>
      <w:r>
        <w:rPr>
          <w:spacing w:val="-2"/>
        </w:rPr>
        <w:t>）其他税收返还主要系根据</w:t>
      </w:r>
      <w:r>
        <w:rPr>
          <w:rFonts w:ascii="Times New Roman" w:hAnsi="Times New Roman" w:cs="Times New Roman" w:eastAsia="Times New Roman" w:hint="default"/>
          <w:spacing w:val="-2"/>
        </w:rPr>
        <w:t>“</w:t>
      </w:r>
      <w:r>
        <w:rPr>
          <w:spacing w:val="-2"/>
        </w:rPr>
        <w:t>桂发</w:t>
      </w:r>
      <w:r>
        <w:rPr>
          <w:rFonts w:ascii="Times New Roman" w:hAnsi="Times New Roman" w:cs="Times New Roman" w:eastAsia="Times New Roman" w:hint="default"/>
          <w:spacing w:val="-2"/>
        </w:rPr>
        <w:t>[2007]18</w:t>
      </w:r>
      <w:r>
        <w:rPr>
          <w:spacing w:val="-2"/>
        </w:rPr>
        <w:t>号</w:t>
      </w:r>
      <w:r>
        <w:rPr>
          <w:rFonts w:ascii="Times New Roman" w:hAnsi="Times New Roman" w:cs="Times New Roman" w:eastAsia="Times New Roman" w:hint="default"/>
          <w:spacing w:val="-2"/>
        </w:rPr>
        <w:t>”</w:t>
      </w:r>
      <w:r>
        <w:rPr>
          <w:spacing w:val="-2"/>
        </w:rPr>
        <w:t>广西壮族自治区党委自治区人民政府关于推进承接产</w:t>
      </w:r>
      <w:r>
        <w:rPr>
          <w:spacing w:val="-3"/>
          <w:w w:val="100"/>
        </w:rPr>
        <w:t> </w:t>
      </w:r>
      <w:r>
        <w:rPr/>
        <w:t>业转移工作的决定于本期收到北海市高新技术产业园区管理委员会转来地方性税金返还。</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672" w:right="0"/>
        <w:jc w:val="left"/>
      </w:pPr>
      <w:r>
        <w:rPr>
          <w:rFonts w:ascii="Times New Roman" w:hAnsi="Times New Roman" w:cs="Times New Roman" w:eastAsia="Times New Roman" w:hint="default"/>
        </w:rPr>
        <w:t>37</w:t>
      </w:r>
      <w:r>
        <w:rPr/>
        <w:t>．营业外支出</w:t>
      </w:r>
    </w:p>
    <w:tbl>
      <w:tblPr>
        <w:tblW w:w="0" w:type="auto"/>
        <w:jc w:val="left"/>
        <w:tblInd w:w="130" w:type="dxa"/>
        <w:tblLayout w:type="fixed"/>
        <w:tblCellMar>
          <w:top w:w="0" w:type="dxa"/>
          <w:left w:w="0" w:type="dxa"/>
          <w:bottom w:w="0" w:type="dxa"/>
          <w:right w:w="0" w:type="dxa"/>
        </w:tblCellMar>
        <w:tblLook w:val="01E0"/>
      </w:tblPr>
      <w:tblGrid>
        <w:gridCol w:w="3358"/>
        <w:gridCol w:w="1490"/>
        <w:gridCol w:w="1553"/>
        <w:gridCol w:w="3468"/>
      </w:tblGrid>
      <w:tr>
        <w:trPr>
          <w:trHeight w:val="480" w:hRule="exact"/>
        </w:trPr>
        <w:tc>
          <w:tcPr>
            <w:tcW w:w="3358"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21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5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247"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34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364"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568" w:hRule="exact"/>
        </w:trPr>
        <w:tc>
          <w:tcPr>
            <w:tcW w:w="3358"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．非流动资产处置损失合计</w:t>
            </w:r>
          </w:p>
        </w:tc>
        <w:tc>
          <w:tcPr>
            <w:tcW w:w="14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42,107.79</w:t>
            </w:r>
          </w:p>
        </w:tc>
        <w:tc>
          <w:tcPr>
            <w:tcW w:w="15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66,122.46</w:t>
            </w:r>
          </w:p>
        </w:tc>
        <w:tc>
          <w:tcPr>
            <w:tcW w:w="3468"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42,107.79</w:t>
            </w:r>
          </w:p>
        </w:tc>
      </w:tr>
      <w:tr>
        <w:trPr>
          <w:trHeight w:val="460" w:hRule="exact"/>
        </w:trPr>
        <w:tc>
          <w:tcPr>
            <w:tcW w:w="3358"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42,107.79</w:t>
            </w: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66,122.46</w:t>
            </w:r>
          </w:p>
        </w:tc>
        <w:tc>
          <w:tcPr>
            <w:tcW w:w="346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1"/>
              <w:jc w:val="right"/>
              <w:rPr>
                <w:rFonts w:ascii="Times New Roman" w:hAnsi="Times New Roman" w:cs="Times New Roman" w:eastAsia="Times New Roman" w:hint="default"/>
                <w:sz w:val="21"/>
                <w:szCs w:val="21"/>
              </w:rPr>
            </w:pPr>
            <w:r>
              <w:rPr>
                <w:rFonts w:ascii="Times New Roman"/>
                <w:spacing w:val="-1"/>
                <w:sz w:val="21"/>
              </w:rPr>
              <w:t>42,107.79</w:t>
            </w:r>
          </w:p>
        </w:tc>
      </w:tr>
      <w:tr>
        <w:trPr>
          <w:trHeight w:val="460" w:hRule="exact"/>
        </w:trPr>
        <w:tc>
          <w:tcPr>
            <w:tcW w:w="3358"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．罚款损失</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35,207.50</w:t>
            </w:r>
          </w:p>
        </w:tc>
        <w:tc>
          <w:tcPr>
            <w:tcW w:w="1553" w:type="dxa"/>
            <w:tcBorders>
              <w:top w:val="nil" w:sz="6" w:space="0" w:color="auto"/>
              <w:left w:val="single" w:sz="4" w:space="0" w:color="000000"/>
              <w:bottom w:val="nil" w:sz="6" w:space="0" w:color="auto"/>
              <w:right w:val="single" w:sz="4" w:space="0" w:color="000000"/>
            </w:tcBorders>
          </w:tcPr>
          <w:p>
            <w:pPr/>
          </w:p>
        </w:tc>
        <w:tc>
          <w:tcPr>
            <w:tcW w:w="3468"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1"/>
              <w:jc w:val="right"/>
              <w:rPr>
                <w:rFonts w:ascii="Times New Roman" w:hAnsi="Times New Roman" w:cs="Times New Roman" w:eastAsia="Times New Roman" w:hint="default"/>
                <w:sz w:val="21"/>
                <w:szCs w:val="21"/>
              </w:rPr>
            </w:pPr>
            <w:r>
              <w:rPr>
                <w:rFonts w:ascii="Times New Roman"/>
                <w:spacing w:val="-1"/>
                <w:sz w:val="21"/>
              </w:rPr>
              <w:t>35,207.50</w:t>
            </w:r>
          </w:p>
        </w:tc>
      </w:tr>
      <w:tr>
        <w:trPr>
          <w:trHeight w:val="461" w:hRule="exact"/>
        </w:trPr>
        <w:tc>
          <w:tcPr>
            <w:tcW w:w="3358"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．税款滞纳金</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5,163.38</w:t>
            </w: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3,002,304.74</w:t>
            </w:r>
          </w:p>
        </w:tc>
        <w:tc>
          <w:tcPr>
            <w:tcW w:w="346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1"/>
              <w:jc w:val="right"/>
              <w:rPr>
                <w:rFonts w:ascii="Times New Roman" w:hAnsi="Times New Roman" w:cs="Times New Roman" w:eastAsia="Times New Roman" w:hint="default"/>
                <w:sz w:val="21"/>
                <w:szCs w:val="21"/>
              </w:rPr>
            </w:pPr>
            <w:r>
              <w:rPr>
                <w:rFonts w:ascii="Times New Roman"/>
                <w:spacing w:val="-1"/>
                <w:sz w:val="21"/>
              </w:rPr>
              <w:t>5,163.38</w:t>
            </w:r>
          </w:p>
        </w:tc>
      </w:tr>
      <w:tr>
        <w:trPr>
          <w:trHeight w:val="460" w:hRule="exact"/>
        </w:trPr>
        <w:tc>
          <w:tcPr>
            <w:tcW w:w="3358"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．存货盘亏</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24,650.00</w:t>
            </w:r>
          </w:p>
        </w:tc>
        <w:tc>
          <w:tcPr>
            <w:tcW w:w="1553" w:type="dxa"/>
            <w:tcBorders>
              <w:top w:val="nil" w:sz="6" w:space="0" w:color="auto"/>
              <w:left w:val="single" w:sz="4" w:space="0" w:color="000000"/>
              <w:bottom w:val="nil" w:sz="6" w:space="0" w:color="auto"/>
              <w:right w:val="single" w:sz="4" w:space="0" w:color="000000"/>
            </w:tcBorders>
          </w:tcPr>
          <w:p>
            <w:pPr/>
          </w:p>
        </w:tc>
        <w:tc>
          <w:tcPr>
            <w:tcW w:w="346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1"/>
              <w:jc w:val="right"/>
              <w:rPr>
                <w:rFonts w:ascii="Times New Roman" w:hAnsi="Times New Roman" w:cs="Times New Roman" w:eastAsia="Times New Roman" w:hint="default"/>
                <w:sz w:val="21"/>
                <w:szCs w:val="21"/>
              </w:rPr>
            </w:pPr>
            <w:r>
              <w:rPr>
                <w:rFonts w:ascii="Times New Roman"/>
                <w:spacing w:val="-1"/>
                <w:sz w:val="21"/>
              </w:rPr>
              <w:t>24,650.00</w:t>
            </w:r>
          </w:p>
        </w:tc>
      </w:tr>
      <w:tr>
        <w:trPr>
          <w:trHeight w:val="362" w:hRule="exact"/>
        </w:trPr>
        <w:tc>
          <w:tcPr>
            <w:tcW w:w="3358" w:type="dxa"/>
            <w:tcBorders>
              <w:top w:val="nil" w:sz="6" w:space="0" w:color="auto"/>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7,996.80</w:t>
            </w:r>
          </w:p>
        </w:tc>
        <w:tc>
          <w:tcPr>
            <w:tcW w:w="15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5,746.89</w:t>
            </w:r>
          </w:p>
        </w:tc>
        <w:tc>
          <w:tcPr>
            <w:tcW w:w="3468" w:type="dxa"/>
            <w:tcBorders>
              <w:top w:val="nil" w:sz="6" w:space="0" w:color="auto"/>
              <w:left w:val="single" w:sz="4" w:space="0" w:color="000000"/>
              <w:bottom w:val="single" w:sz="4"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7,996.80</w:t>
            </w:r>
            <w:r>
              <w:rPr>
                <w:rFonts w:ascii="Times New Roman"/>
                <w:sz w:val="21"/>
              </w:rPr>
            </w:r>
          </w:p>
        </w:tc>
      </w:tr>
      <w:tr>
        <w:trPr>
          <w:trHeight w:val="480" w:hRule="exact"/>
        </w:trPr>
        <w:tc>
          <w:tcPr>
            <w:tcW w:w="3358"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2"/>
                <w:sz w:val="21"/>
              </w:rPr>
              <w:t>115,125.47</w:t>
            </w:r>
          </w:p>
        </w:tc>
        <w:tc>
          <w:tcPr>
            <w:tcW w:w="15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3,074,174.09</w:t>
            </w:r>
          </w:p>
        </w:tc>
        <w:tc>
          <w:tcPr>
            <w:tcW w:w="34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115,125.47</w:t>
            </w:r>
          </w:p>
        </w:tc>
      </w:tr>
    </w:tbl>
    <w:p>
      <w:pPr>
        <w:spacing w:line="240" w:lineRule="auto" w:before="3"/>
        <w:rPr>
          <w:rFonts w:ascii="宋体" w:hAnsi="宋体" w:cs="宋体" w:eastAsia="宋体" w:hint="default"/>
          <w:sz w:val="10"/>
          <w:szCs w:val="10"/>
        </w:rPr>
      </w:pPr>
    </w:p>
    <w:p>
      <w:pPr>
        <w:pStyle w:val="BodyText"/>
        <w:spacing w:line="381" w:lineRule="auto" w:before="36"/>
        <w:ind w:left="253" w:right="0" w:firstLine="419"/>
        <w:jc w:val="left"/>
      </w:pPr>
      <w:r>
        <w:rPr>
          <w:spacing w:val="-2"/>
        </w:rPr>
        <w:t>注：</w:t>
      </w:r>
      <w:r>
        <w:rPr>
          <w:rFonts w:ascii="Times New Roman" w:hAnsi="Times New Roman" w:cs="Times New Roman" w:eastAsia="Times New Roman" w:hint="default"/>
          <w:spacing w:val="-2"/>
        </w:rPr>
        <w:t>2011</w:t>
      </w:r>
      <w:r>
        <w:rPr>
          <w:spacing w:val="-2"/>
        </w:rPr>
        <w:t>年度营业外支出比</w:t>
      </w:r>
      <w:r>
        <w:rPr>
          <w:rFonts w:ascii="Times New Roman" w:hAnsi="Times New Roman" w:cs="Times New Roman" w:eastAsia="Times New Roman" w:hint="default"/>
          <w:spacing w:val="-2"/>
        </w:rPr>
        <w:t>2010</w:t>
      </w:r>
      <w:r>
        <w:rPr>
          <w:spacing w:val="-2"/>
        </w:rPr>
        <w:t>年度减少了</w:t>
      </w:r>
      <w:r>
        <w:rPr>
          <w:rFonts w:ascii="Times New Roman" w:hAnsi="Times New Roman" w:cs="Times New Roman" w:eastAsia="Times New Roman" w:hint="default"/>
          <w:spacing w:val="-2"/>
        </w:rPr>
        <w:t>96.26%</w:t>
      </w:r>
      <w:r>
        <w:rPr>
          <w:spacing w:val="-2"/>
        </w:rPr>
        <w:t>，主要系软件分公司</w:t>
      </w:r>
      <w:r>
        <w:rPr>
          <w:rFonts w:ascii="Times New Roman" w:hAnsi="Times New Roman" w:cs="Times New Roman" w:eastAsia="Times New Roman" w:hint="default"/>
          <w:spacing w:val="-2"/>
        </w:rPr>
        <w:t>2010</w:t>
      </w:r>
      <w:r>
        <w:rPr>
          <w:spacing w:val="-2"/>
        </w:rPr>
        <w:t>年度缴纳</w:t>
      </w:r>
      <w:r>
        <w:rPr>
          <w:rFonts w:ascii="Times New Roman" w:hAnsi="Times New Roman" w:cs="Times New Roman" w:eastAsia="Times New Roman" w:hint="default"/>
          <w:spacing w:val="-2"/>
        </w:rPr>
        <w:t>2008</w:t>
      </w:r>
      <w:r>
        <w:rPr>
          <w:spacing w:val="-2"/>
        </w:rPr>
        <w:t>年度税款滞</w:t>
      </w:r>
      <w:r>
        <w:rPr>
          <w:w w:val="100"/>
        </w:rPr>
        <w:t> </w:t>
      </w:r>
      <w:r>
        <w:rPr/>
        <w:t>纳金所致。</w:t>
      </w:r>
    </w:p>
    <w:p>
      <w:pPr>
        <w:spacing w:after="0" w:line="381" w:lineRule="auto"/>
        <w:jc w:val="left"/>
        <w:sectPr>
          <w:pgSz w:w="11910" w:h="16840"/>
          <w:pgMar w:header="850" w:footer="979" w:top="1200" w:bottom="1160" w:left="880" w:right="880"/>
        </w:sectPr>
      </w:pPr>
    </w:p>
    <w:p>
      <w:pPr>
        <w:spacing w:line="240" w:lineRule="auto" w:before="10"/>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8"/>
          <w:szCs w:val="8"/>
        </w:rPr>
      </w:pPr>
    </w:p>
    <w:p>
      <w:pPr>
        <w:pStyle w:val="BodyText"/>
        <w:spacing w:line="240" w:lineRule="auto" w:before="36"/>
        <w:ind w:left="652" w:right="0"/>
        <w:jc w:val="left"/>
      </w:pPr>
      <w:r>
        <w:rPr>
          <w:rFonts w:ascii="Times New Roman" w:hAnsi="Times New Roman" w:cs="Times New Roman" w:eastAsia="Times New Roman" w:hint="default"/>
        </w:rPr>
        <w:t>38</w:t>
      </w:r>
      <w:r>
        <w:rPr/>
        <w:t>．所得税费用</w:t>
      </w:r>
    </w:p>
    <w:tbl>
      <w:tblPr>
        <w:tblW w:w="0" w:type="auto"/>
        <w:jc w:val="left"/>
        <w:tblInd w:w="110" w:type="dxa"/>
        <w:tblLayout w:type="fixed"/>
        <w:tblCellMar>
          <w:top w:w="0" w:type="dxa"/>
          <w:left w:w="0" w:type="dxa"/>
          <w:bottom w:w="0" w:type="dxa"/>
          <w:right w:w="0" w:type="dxa"/>
        </w:tblCellMar>
        <w:tblLook w:val="01E0"/>
      </w:tblPr>
      <w:tblGrid>
        <w:gridCol w:w="4498"/>
        <w:gridCol w:w="2597"/>
        <w:gridCol w:w="2774"/>
      </w:tblGrid>
      <w:tr>
        <w:trPr>
          <w:trHeight w:val="478" w:hRule="exact"/>
        </w:trPr>
        <w:tc>
          <w:tcPr>
            <w:tcW w:w="4498" w:type="dxa"/>
            <w:tcBorders>
              <w:top w:val="single" w:sz="12" w:space="0" w:color="000000"/>
              <w:left w:val="nil" w:sz="6" w:space="0" w:color="auto"/>
              <w:bottom w:val="single" w:sz="2" w:space="0" w:color="000000"/>
              <w:right w:val="single" w:sz="2" w:space="0" w:color="000000"/>
            </w:tcBorders>
          </w:tcPr>
          <w:p>
            <w:pPr>
              <w:pStyle w:val="TableParagraph"/>
              <w:tabs>
                <w:tab w:pos="65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3"/>
              <w:ind w:left="77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3"/>
              <w:ind w:left="85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66" w:hRule="exact"/>
        </w:trPr>
        <w:tc>
          <w:tcPr>
            <w:tcW w:w="4498" w:type="dxa"/>
            <w:tcBorders>
              <w:top w:val="single" w:sz="2" w:space="0" w:color="000000"/>
              <w:left w:val="nil" w:sz="6" w:space="0" w:color="auto"/>
              <w:bottom w:val="nil" w:sz="6" w:space="0" w:color="auto"/>
              <w:right w:val="single" w:sz="2"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597"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31,471,614.99</w:t>
            </w:r>
          </w:p>
        </w:tc>
        <w:tc>
          <w:tcPr>
            <w:tcW w:w="2774" w:type="dxa"/>
            <w:tcBorders>
              <w:top w:val="single" w:sz="2" w:space="0" w:color="000000"/>
              <w:left w:val="single" w:sz="2"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15,639,419.03</w:t>
            </w:r>
          </w:p>
        </w:tc>
      </w:tr>
      <w:tr>
        <w:trPr>
          <w:trHeight w:val="460" w:hRule="exact"/>
        </w:trPr>
        <w:tc>
          <w:tcPr>
            <w:tcW w:w="4498" w:type="dxa"/>
            <w:tcBorders>
              <w:top w:val="nil" w:sz="6" w:space="0" w:color="auto"/>
              <w:left w:val="nil" w:sz="6" w:space="0" w:color="auto"/>
              <w:bottom w:val="nil" w:sz="6" w:space="0" w:color="auto"/>
              <w:right w:val="single" w:sz="2"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加：递延所得税费用（收益以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列示）</w:t>
            </w:r>
          </w:p>
        </w:tc>
        <w:tc>
          <w:tcPr>
            <w:tcW w:w="2597" w:type="dxa"/>
            <w:tcBorders>
              <w:top w:val="nil" w:sz="6" w:space="0" w:color="auto"/>
              <w:left w:val="single" w:sz="2" w:space="0" w:color="000000"/>
              <w:bottom w:val="nil" w:sz="6" w:space="0" w:color="auto"/>
              <w:right w:val="single" w:sz="2" w:space="0" w:color="000000"/>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-195,643.23</w:t>
            </w:r>
          </w:p>
        </w:tc>
        <w:tc>
          <w:tcPr>
            <w:tcW w:w="2774" w:type="dxa"/>
            <w:tcBorders>
              <w:top w:val="nil" w:sz="6" w:space="0" w:color="auto"/>
              <w:left w:val="single" w:sz="2"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582,086.53</w:t>
            </w:r>
          </w:p>
        </w:tc>
      </w:tr>
      <w:tr>
        <w:trPr>
          <w:trHeight w:val="371" w:hRule="exact"/>
        </w:trPr>
        <w:tc>
          <w:tcPr>
            <w:tcW w:w="4498" w:type="dxa"/>
            <w:tcBorders>
              <w:top w:val="nil" w:sz="6" w:space="0" w:color="auto"/>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597"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08"/>
              <w:ind w:right="101"/>
              <w:jc w:val="right"/>
              <w:rPr>
                <w:rFonts w:ascii="Times New Roman" w:hAnsi="Times New Roman" w:cs="Times New Roman" w:eastAsia="Times New Roman" w:hint="default"/>
                <w:sz w:val="21"/>
                <w:szCs w:val="21"/>
              </w:rPr>
            </w:pPr>
            <w:r>
              <w:rPr>
                <w:rFonts w:ascii="Times New Roman"/>
                <w:spacing w:val="-1"/>
                <w:sz w:val="21"/>
              </w:rPr>
              <w:t>31,275,971.76</w:t>
            </w:r>
          </w:p>
        </w:tc>
        <w:tc>
          <w:tcPr>
            <w:tcW w:w="2774" w:type="dxa"/>
            <w:tcBorders>
              <w:top w:val="nil" w:sz="6" w:space="0" w:color="auto"/>
              <w:left w:val="single" w:sz="2" w:space="0" w:color="000000"/>
              <w:bottom w:val="single" w:sz="12"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16,221,505.56</w:t>
            </w:r>
          </w:p>
        </w:tc>
      </w:tr>
    </w:tbl>
    <w:p>
      <w:pPr>
        <w:spacing w:line="240" w:lineRule="auto" w:before="3"/>
        <w:rPr>
          <w:rFonts w:ascii="宋体" w:hAnsi="宋体" w:cs="宋体" w:eastAsia="宋体" w:hint="default"/>
          <w:sz w:val="10"/>
          <w:szCs w:val="10"/>
        </w:rPr>
      </w:pPr>
    </w:p>
    <w:p>
      <w:pPr>
        <w:pStyle w:val="BodyText"/>
        <w:spacing w:line="381" w:lineRule="auto" w:before="36"/>
        <w:ind w:left="233" w:right="225" w:firstLine="419"/>
        <w:jc w:val="left"/>
      </w:pPr>
      <w:r>
        <w:rPr>
          <w:spacing w:val="-5"/>
        </w:rPr>
        <w:t>注：</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4"/>
        </w:rPr>
        <w:t> </w:t>
      </w:r>
      <w:r>
        <w:rPr/>
        <w:t>年度所得税费用比</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年度增加了</w:t>
      </w:r>
      <w:r>
        <w:rPr>
          <w:spacing w:val="-59"/>
        </w:rPr>
        <w:t> </w:t>
      </w:r>
      <w:r>
        <w:rPr>
          <w:rFonts w:ascii="Times New Roman" w:hAnsi="Times New Roman" w:cs="Times New Roman" w:eastAsia="Times New Roman" w:hint="default"/>
        </w:rPr>
        <w:t>92.81%</w:t>
      </w:r>
      <w:r>
        <w:rPr/>
        <w:t>，主要系公司全资子公司北京中长石基软件有限</w:t>
      </w:r>
      <w:r>
        <w:rPr>
          <w:w w:val="100"/>
        </w:rPr>
        <w:t> </w:t>
      </w:r>
      <w:r>
        <w:rPr/>
        <w:t>公司</w:t>
      </w:r>
      <w:r>
        <w:rPr>
          <w:spacing w:val="-53"/>
        </w:rPr>
        <w:t> </w:t>
      </w:r>
      <w:r>
        <w:rPr>
          <w:rFonts w:ascii="Times New Roman" w:hAnsi="Times New Roman" w:cs="Times New Roman" w:eastAsia="Times New Roman" w:hint="default"/>
          <w:spacing w:val="-3"/>
        </w:rPr>
        <w:t>2011 </w:t>
      </w:r>
      <w:r>
        <w:rPr/>
        <w:t>年度开始按</w:t>
      </w:r>
      <w:r>
        <w:rPr>
          <w:spacing w:val="-53"/>
        </w:rPr>
        <w:t> </w:t>
      </w:r>
      <w:r>
        <w:rPr>
          <w:rFonts w:ascii="Times New Roman" w:hAnsi="Times New Roman" w:cs="Times New Roman" w:eastAsia="Times New Roman" w:hint="default"/>
        </w:rPr>
        <w:t>12.5%</w:t>
      </w:r>
      <w:r>
        <w:rPr/>
        <w:t>的所得税率缴纳所得税所致。</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pStyle w:val="BodyText"/>
        <w:spacing w:line="240" w:lineRule="auto"/>
        <w:ind w:left="653" w:right="0"/>
        <w:jc w:val="left"/>
      </w:pPr>
      <w:r>
        <w:rPr>
          <w:rFonts w:ascii="Times New Roman" w:hAnsi="Times New Roman" w:cs="Times New Roman" w:eastAsia="Times New Roman" w:hint="default"/>
        </w:rPr>
        <w:t>39</w:t>
      </w:r>
      <w:r>
        <w:rPr/>
        <w:t>．每股收益</w:t>
      </w:r>
    </w:p>
    <w:tbl>
      <w:tblPr>
        <w:tblW w:w="0" w:type="auto"/>
        <w:jc w:val="left"/>
        <w:tblInd w:w="110" w:type="dxa"/>
        <w:tblLayout w:type="fixed"/>
        <w:tblCellMar>
          <w:top w:w="0" w:type="dxa"/>
          <w:left w:w="0" w:type="dxa"/>
          <w:bottom w:w="0" w:type="dxa"/>
          <w:right w:w="0" w:type="dxa"/>
        </w:tblCellMar>
        <w:tblLook w:val="01E0"/>
      </w:tblPr>
      <w:tblGrid>
        <w:gridCol w:w="2995"/>
        <w:gridCol w:w="2978"/>
        <w:gridCol w:w="2981"/>
      </w:tblGrid>
      <w:tr>
        <w:trPr>
          <w:trHeight w:val="485" w:hRule="exact"/>
        </w:trPr>
        <w:tc>
          <w:tcPr>
            <w:tcW w:w="2995" w:type="dxa"/>
            <w:tcBorders>
              <w:top w:val="single" w:sz="12" w:space="0" w:color="000000"/>
              <w:left w:val="nil" w:sz="6" w:space="0" w:color="auto"/>
              <w:bottom w:val="single" w:sz="8" w:space="0" w:color="000000"/>
              <w:right w:val="single" w:sz="8" w:space="0" w:color="000000"/>
            </w:tcBorders>
          </w:tcPr>
          <w:p>
            <w:pPr>
              <w:pStyle w:val="TableParagraph"/>
              <w:tabs>
                <w:tab w:pos="658" w:val="left" w:leader="none"/>
              </w:tabs>
              <w:spacing w:line="240" w:lineRule="auto" w:before="155"/>
              <w:ind w:left="2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7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55"/>
              <w:ind w:left="850" w:right="0"/>
              <w:jc w:val="left"/>
              <w:rPr>
                <w:rFonts w:ascii="宋体" w:hAnsi="宋体" w:cs="宋体" w:eastAsia="宋体" w:hint="default"/>
                <w:sz w:val="21"/>
                <w:szCs w:val="21"/>
              </w:rPr>
            </w:pPr>
            <w:r>
              <w:rPr>
                <w:rFonts w:ascii="宋体" w:hAnsi="宋体" w:cs="宋体" w:eastAsia="宋体" w:hint="default"/>
                <w:sz w:val="21"/>
                <w:szCs w:val="21"/>
              </w:rPr>
              <w:t>本年每股收益</w:t>
            </w:r>
          </w:p>
        </w:tc>
        <w:tc>
          <w:tcPr>
            <w:tcW w:w="2981"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55"/>
              <w:ind w:left="852" w:right="0"/>
              <w:jc w:val="left"/>
              <w:rPr>
                <w:rFonts w:ascii="宋体" w:hAnsi="宋体" w:cs="宋体" w:eastAsia="宋体" w:hint="default"/>
                <w:sz w:val="21"/>
                <w:szCs w:val="21"/>
              </w:rPr>
            </w:pPr>
            <w:r>
              <w:rPr>
                <w:rFonts w:ascii="宋体" w:hAnsi="宋体" w:cs="宋体" w:eastAsia="宋体" w:hint="default"/>
                <w:sz w:val="21"/>
                <w:szCs w:val="21"/>
              </w:rPr>
              <w:t>上年每股收益</w:t>
            </w:r>
          </w:p>
        </w:tc>
      </w:tr>
      <w:tr>
        <w:trPr>
          <w:trHeight w:val="574" w:hRule="exact"/>
        </w:trPr>
        <w:tc>
          <w:tcPr>
            <w:tcW w:w="2995" w:type="dxa"/>
            <w:tcBorders>
              <w:top w:val="single" w:sz="8" w:space="0" w:color="000000"/>
              <w:left w:val="nil" w:sz="6" w:space="0" w:color="auto"/>
              <w:bottom w:val="nil" w:sz="6" w:space="0" w:color="auto"/>
              <w:right w:val="single" w:sz="8"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97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0.85</w:t>
            </w:r>
          </w:p>
        </w:tc>
        <w:tc>
          <w:tcPr>
            <w:tcW w:w="2981" w:type="dxa"/>
            <w:tcBorders>
              <w:top w:val="single" w:sz="8" w:space="0" w:color="000000"/>
              <w:left w:val="single" w:sz="8"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0.69</w:t>
            </w:r>
          </w:p>
        </w:tc>
      </w:tr>
      <w:tr>
        <w:trPr>
          <w:trHeight w:val="371" w:hRule="exact"/>
        </w:trPr>
        <w:tc>
          <w:tcPr>
            <w:tcW w:w="2995" w:type="dxa"/>
            <w:tcBorders>
              <w:top w:val="nil" w:sz="6" w:space="0" w:color="auto"/>
              <w:left w:val="nil" w:sz="6" w:space="0" w:color="auto"/>
              <w:bottom w:val="single" w:sz="12"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2978" w:type="dxa"/>
            <w:tcBorders>
              <w:top w:val="nil" w:sz="6" w:space="0" w:color="auto"/>
              <w:left w:val="single" w:sz="8" w:space="0" w:color="000000"/>
              <w:bottom w:val="single" w:sz="12" w:space="0" w:color="000000"/>
              <w:right w:val="single" w:sz="8" w:space="0" w:color="000000"/>
            </w:tcBorders>
          </w:tcPr>
          <w:p>
            <w:pPr>
              <w:pStyle w:val="TableParagraph"/>
              <w:spacing w:line="240" w:lineRule="auto" w:before="108"/>
              <w:ind w:right="91"/>
              <w:jc w:val="right"/>
              <w:rPr>
                <w:rFonts w:ascii="Times New Roman" w:hAnsi="Times New Roman" w:cs="Times New Roman" w:eastAsia="Times New Roman" w:hint="default"/>
                <w:sz w:val="21"/>
                <w:szCs w:val="21"/>
              </w:rPr>
            </w:pPr>
            <w:r>
              <w:rPr>
                <w:rFonts w:ascii="Times New Roman"/>
                <w:sz w:val="21"/>
              </w:rPr>
              <w:t>0.85</w:t>
            </w:r>
          </w:p>
        </w:tc>
        <w:tc>
          <w:tcPr>
            <w:tcW w:w="2981" w:type="dxa"/>
            <w:tcBorders>
              <w:top w:val="nil" w:sz="6" w:space="0" w:color="auto"/>
              <w:left w:val="single" w:sz="8" w:space="0" w:color="000000"/>
              <w:bottom w:val="single" w:sz="12" w:space="0" w:color="000000"/>
              <w:right w:val="nil" w:sz="6" w:space="0" w:color="auto"/>
            </w:tcBorders>
          </w:tcPr>
          <w:p>
            <w:pPr>
              <w:pStyle w:val="TableParagraph"/>
              <w:spacing w:line="240" w:lineRule="auto" w:before="108"/>
              <w:ind w:right="101"/>
              <w:jc w:val="right"/>
              <w:rPr>
                <w:rFonts w:ascii="Times New Roman" w:hAnsi="Times New Roman" w:cs="Times New Roman" w:eastAsia="Times New Roman" w:hint="default"/>
                <w:sz w:val="21"/>
                <w:szCs w:val="21"/>
              </w:rPr>
            </w:pPr>
            <w:r>
              <w:rPr>
                <w:rFonts w:ascii="Times New Roman"/>
                <w:sz w:val="21"/>
              </w:rPr>
              <w:t>0.69</w:t>
            </w:r>
          </w:p>
        </w:tc>
      </w:tr>
    </w:tbl>
    <w:p>
      <w:pPr>
        <w:spacing w:line="240" w:lineRule="auto" w:before="3"/>
        <w:rPr>
          <w:rFonts w:ascii="宋体" w:hAnsi="宋体" w:cs="宋体" w:eastAsia="宋体" w:hint="default"/>
          <w:sz w:val="10"/>
          <w:szCs w:val="10"/>
        </w:rPr>
      </w:pPr>
    </w:p>
    <w:p>
      <w:pPr>
        <w:pStyle w:val="BodyText"/>
        <w:spacing w:line="240" w:lineRule="auto" w:before="36"/>
        <w:ind w:left="232" w:right="0"/>
        <w:jc w:val="left"/>
      </w:pPr>
      <w:r>
        <w:rPr/>
        <w:t>注：基本每股收益和稀释每股收益的计算方法</w:t>
      </w:r>
    </w:p>
    <w:p>
      <w:pPr>
        <w:spacing w:line="240" w:lineRule="auto" w:before="3"/>
        <w:rPr>
          <w:rFonts w:ascii="宋体" w:hAnsi="宋体" w:cs="宋体" w:eastAsia="宋体" w:hint="default"/>
          <w:sz w:val="14"/>
          <w:szCs w:val="14"/>
        </w:rPr>
      </w:pPr>
    </w:p>
    <w:p>
      <w:pPr>
        <w:pStyle w:val="BodyText"/>
        <w:spacing w:line="240" w:lineRule="auto"/>
        <w:ind w:left="652" w:right="0"/>
        <w:jc w:val="left"/>
        <w:rPr>
          <w:rFonts w:ascii="Times New Roman" w:hAnsi="Times New Roman" w:cs="Times New Roman" w:eastAsia="Times New Roman" w:hint="default"/>
        </w:rPr>
      </w:pPr>
      <w:r>
        <w:rPr>
          <w:rFonts w:ascii="Times New Roman" w:hAnsi="Times New Roman" w:cs="Times New Roman" w:eastAsia="Times New Roman" w:hint="default"/>
        </w:rPr>
        <w:t>A</w:t>
      </w:r>
      <w:r>
        <w:rPr/>
        <w:t>．基本每股收益</w:t>
      </w:r>
      <w:r>
        <w:rPr>
          <w:rFonts w:ascii="Times New Roman" w:hAnsi="Times New Roman" w:cs="Times New Roman" w:eastAsia="Times New Roman" w:hint="default"/>
        </w:rPr>
        <w:t>=P0÷S</w:t>
      </w:r>
    </w:p>
    <w:p>
      <w:pPr>
        <w:pStyle w:val="BodyText"/>
        <w:spacing w:line="240" w:lineRule="auto" w:before="170"/>
        <w:ind w:left="758" w:right="0"/>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13"/>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p>
    <w:p>
      <w:pPr>
        <w:pStyle w:val="BodyText"/>
        <w:spacing w:line="379" w:lineRule="auto" w:before="167"/>
        <w:ind w:left="232" w:right="227" w:firstLine="420"/>
        <w:jc w:val="both"/>
      </w:pPr>
      <w:r>
        <w:rPr>
          <w:spacing w:val="-2"/>
        </w:rPr>
        <w:t>其中：</w:t>
      </w:r>
      <w:r>
        <w:rPr>
          <w:rFonts w:ascii="Times New Roman" w:hAnsi="Times New Roman" w:cs="Times New Roman" w:eastAsia="Times New Roman" w:hint="default"/>
          <w:spacing w:val="-2"/>
        </w:rPr>
        <w:t>P0</w:t>
      </w:r>
      <w:r>
        <w:rPr>
          <w:spacing w:val="-2"/>
        </w:rPr>
        <w:t>为归属于公司普通股股东的净利润或扣除非经常性损益后归属于普通股股东的净利润；</w:t>
      </w:r>
      <w:r>
        <w:rPr>
          <w:rFonts w:ascii="Times New Roman" w:hAnsi="Times New Roman" w:cs="Times New Roman" w:eastAsia="Times New Roman" w:hint="default"/>
          <w:spacing w:val="-2"/>
        </w:rPr>
        <w:t>S</w:t>
      </w:r>
      <w:r>
        <w:rPr>
          <w:spacing w:val="-2"/>
        </w:rPr>
        <w:t>为</w:t>
      </w:r>
      <w:r>
        <w:rPr>
          <w:w w:val="100"/>
        </w:rPr>
        <w:t> </w:t>
      </w:r>
      <w:r>
        <w:rPr>
          <w:spacing w:val="-3"/>
        </w:rPr>
        <w:t>发行在外的普通股加权平均数；</w:t>
      </w:r>
      <w:r>
        <w:rPr>
          <w:rFonts w:ascii="Times New Roman" w:hAnsi="Times New Roman" w:cs="Times New Roman" w:eastAsia="Times New Roman" w:hint="default"/>
          <w:spacing w:val="-3"/>
        </w:rPr>
        <w:t>S0</w:t>
      </w:r>
      <w:r>
        <w:rPr>
          <w:spacing w:val="-3"/>
        </w:rPr>
        <w:t>为期初股份总数；</w:t>
      </w:r>
      <w:r>
        <w:rPr>
          <w:rFonts w:ascii="Times New Roman" w:hAnsi="Times New Roman" w:cs="Times New Roman" w:eastAsia="Times New Roman" w:hint="default"/>
          <w:spacing w:val="-3"/>
        </w:rPr>
        <w:t>S1</w:t>
      </w:r>
      <w:r>
        <w:rPr>
          <w:spacing w:val="-3"/>
        </w:rPr>
        <w:t>为报告期因公积金转增股本或股票股利分配等增加</w:t>
      </w:r>
      <w:r>
        <w:rPr>
          <w:spacing w:val="-16"/>
        </w:rPr>
        <w:t> </w:t>
      </w:r>
      <w:r>
        <w:rPr>
          <w:spacing w:val="-16"/>
        </w:rPr>
      </w:r>
      <w:r>
        <w:rPr>
          <w:spacing w:val="-2"/>
        </w:rPr>
        <w:t>股份数；</w:t>
      </w:r>
      <w:r>
        <w:rPr>
          <w:rFonts w:ascii="Times New Roman" w:hAnsi="Times New Roman" w:cs="Times New Roman" w:eastAsia="Times New Roman" w:hint="default"/>
          <w:spacing w:val="-2"/>
        </w:rPr>
        <w:t>Si</w:t>
      </w:r>
      <w:r>
        <w:rPr>
          <w:spacing w:val="-2"/>
        </w:rPr>
        <w:t>为报告期因发行新股或债转股等增加股份数；</w:t>
      </w:r>
      <w:r>
        <w:rPr>
          <w:rFonts w:ascii="Times New Roman" w:hAnsi="Times New Roman" w:cs="Times New Roman" w:eastAsia="Times New Roman" w:hint="default"/>
          <w:spacing w:val="-2"/>
        </w:rPr>
        <w:t>Sj</w:t>
      </w:r>
      <w:r>
        <w:rPr>
          <w:spacing w:val="-2"/>
        </w:rPr>
        <w:t>为报告期因回购等减少股份数；</w:t>
      </w:r>
      <w:r>
        <w:rPr>
          <w:rFonts w:ascii="Times New Roman" w:hAnsi="Times New Roman" w:cs="Times New Roman" w:eastAsia="Times New Roman" w:hint="default"/>
          <w:spacing w:val="-2"/>
        </w:rPr>
        <w:t>Sk</w:t>
      </w:r>
      <w:r>
        <w:rPr>
          <w:spacing w:val="-2"/>
        </w:rPr>
        <w:t>为报告期缩</w:t>
      </w:r>
      <w:r>
        <w:rPr>
          <w:spacing w:val="-20"/>
        </w:rPr>
        <w:t> </w:t>
      </w:r>
      <w:r>
        <w:rPr>
          <w:spacing w:val="-20"/>
        </w:rPr>
      </w:r>
      <w:r>
        <w:rPr>
          <w:spacing w:val="-2"/>
        </w:rPr>
        <w:t>股数；</w:t>
      </w:r>
      <w:r>
        <w:rPr>
          <w:rFonts w:ascii="Times New Roman" w:hAnsi="Times New Roman" w:cs="Times New Roman" w:eastAsia="Times New Roman" w:hint="default"/>
          <w:spacing w:val="-2"/>
        </w:rPr>
        <w:t>M0</w:t>
      </w:r>
      <w:r>
        <w:rPr>
          <w:spacing w:val="-2"/>
        </w:rPr>
        <w:t>报告期月份数；</w:t>
      </w:r>
      <w:r>
        <w:rPr>
          <w:rFonts w:ascii="Times New Roman" w:hAnsi="Times New Roman" w:cs="Times New Roman" w:eastAsia="Times New Roman" w:hint="default"/>
          <w:spacing w:val="-2"/>
        </w:rPr>
        <w:t>Mi</w:t>
      </w:r>
      <w:r>
        <w:rPr>
          <w:spacing w:val="-2"/>
        </w:rPr>
        <w:t>为增加股份次月起至报告期期末的累计月数；</w:t>
      </w:r>
      <w:r>
        <w:rPr>
          <w:rFonts w:ascii="Times New Roman" w:hAnsi="Times New Roman" w:cs="Times New Roman" w:eastAsia="Times New Roman" w:hint="default"/>
          <w:spacing w:val="-2"/>
        </w:rPr>
        <w:t>Mj</w:t>
      </w:r>
      <w:r>
        <w:rPr>
          <w:spacing w:val="-2"/>
        </w:rPr>
        <w:t>为减少股份次月起至报告期</w:t>
      </w:r>
      <w:r>
        <w:rPr>
          <w:spacing w:val="-21"/>
        </w:rPr>
        <w:t> </w:t>
      </w:r>
      <w:r>
        <w:rPr>
          <w:spacing w:val="-21"/>
        </w:rPr>
      </w:r>
      <w:r>
        <w:rPr/>
        <w:t>期末的累计月数。</w:t>
      </w:r>
    </w:p>
    <w:p>
      <w:pPr>
        <w:pStyle w:val="BodyText"/>
        <w:spacing w:line="379" w:lineRule="auto" w:before="64"/>
        <w:ind w:left="232" w:right="285"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2"/>
        </w:rPr>
        <w:t>B</w:t>
      </w:r>
      <w:r>
        <w:rPr>
          <w:spacing w:val="-2"/>
        </w:rPr>
        <w:t>．稀释每股收益</w:t>
      </w:r>
      <w:r>
        <w:rPr>
          <w:rFonts w:ascii="Times New Roman" w:hAnsi="Times New Roman" w:cs="Times New Roman" w:eastAsia="Times New Roman" w:hint="default"/>
          <w:spacing w:val="-2"/>
        </w:rPr>
        <w:t>=P1/(S0</w:t>
      </w:r>
      <w:r>
        <w:rPr>
          <w:spacing w:val="-2"/>
        </w:rPr>
        <w:t>＋</w:t>
      </w:r>
      <w:r>
        <w:rPr>
          <w:rFonts w:ascii="Times New Roman" w:hAnsi="Times New Roman" w:cs="Times New Roman" w:eastAsia="Times New Roman" w:hint="default"/>
          <w:spacing w:val="-2"/>
        </w:rPr>
        <w:t>S1</w:t>
      </w:r>
      <w:r>
        <w:rPr>
          <w:spacing w:val="-2"/>
        </w:rPr>
        <w:t>＋</w:t>
      </w:r>
      <w:r>
        <w:rPr>
          <w:rFonts w:ascii="Times New Roman" w:hAnsi="Times New Roman" w:cs="Times New Roman" w:eastAsia="Times New Roman" w:hint="default"/>
          <w:spacing w:val="-2"/>
        </w:rPr>
        <w:t>Si×Mi÷M0–Sj×Mj÷M0–Sk+</w:t>
      </w:r>
      <w:r>
        <w:rPr>
          <w:spacing w:val="-2"/>
        </w:rPr>
        <w:t>认股权证、股份期权、可转换债券等增加</w:t>
      </w:r>
      <w:r>
        <w:rPr>
          <w:spacing w:val="-3"/>
          <w:w w:val="100"/>
        </w:rPr>
        <w:t> </w:t>
      </w:r>
      <w:r>
        <w:rPr/>
        <w:t>的普通股加权平均数</w:t>
      </w:r>
      <w:r>
        <w:rPr>
          <w:rFonts w:ascii="Times New Roman" w:hAnsi="Times New Roman" w:cs="Times New Roman" w:eastAsia="Times New Roman" w:hint="default"/>
        </w:rPr>
        <w:t>)</w:t>
      </w:r>
    </w:p>
    <w:p>
      <w:pPr>
        <w:pStyle w:val="BodyText"/>
        <w:spacing w:line="396" w:lineRule="auto" w:before="35"/>
        <w:ind w:left="232" w:right="196" w:firstLine="420"/>
        <w:jc w:val="both"/>
      </w:pPr>
      <w:r>
        <w:rPr>
          <w:spacing w:val="-2"/>
        </w:rPr>
        <w:t>其中，</w:t>
      </w:r>
      <w:r>
        <w:rPr>
          <w:rFonts w:ascii="Times New Roman" w:hAnsi="Times New Roman" w:cs="Times New Roman" w:eastAsia="Times New Roman" w:hint="default"/>
          <w:spacing w:val="-2"/>
        </w:rPr>
        <w:t>P1</w:t>
      </w:r>
      <w:r>
        <w:rPr>
          <w:spacing w:val="-2"/>
        </w:rPr>
        <w:t>为归属于公司普通股股东的净利润或扣除非经常性损益后归属于公司普通股股东的净利润，</w:t>
      </w:r>
      <w:r>
        <w:rPr>
          <w:w w:val="100"/>
        </w:rPr>
        <w:t> </w:t>
      </w:r>
      <w:r>
        <w:rPr>
          <w:spacing w:val="-2"/>
        </w:rPr>
        <w:t>并考虑稀释性潜在普通股对其影响，按《企业会计准则》及有关规定进行调整。公司在计算稀释每股收益</w:t>
      </w:r>
      <w:r>
        <w:rPr>
          <w:spacing w:val="-47"/>
        </w:rPr>
        <w:t> </w:t>
      </w:r>
      <w:r>
        <w:rPr>
          <w:spacing w:val="-47"/>
        </w:rPr>
      </w:r>
      <w:r>
        <w:rPr>
          <w:spacing w:val="-2"/>
        </w:rPr>
        <w:t>时，应考虑所有稀释性潜在普通股对归属于公司普通股股东的净利润或扣除非经常性损益后归属于公司普</w:t>
      </w:r>
      <w:r>
        <w:rPr>
          <w:spacing w:val="-43"/>
        </w:rPr>
        <w:t> </w:t>
      </w:r>
      <w:r>
        <w:rPr>
          <w:spacing w:val="-43"/>
        </w:rPr>
      </w:r>
      <w:r>
        <w:rPr>
          <w:spacing w:val="-2"/>
        </w:rPr>
        <w:t>通股股东的净利润和加权平均股数的影响，按照其稀释程度从大到小的顺序计入稀释每股收益，直至稀释</w:t>
      </w:r>
      <w:r>
        <w:rPr>
          <w:spacing w:val="-43"/>
        </w:rPr>
        <w:t> </w:t>
      </w:r>
      <w:r>
        <w:rPr>
          <w:spacing w:val="-43"/>
        </w:rPr>
      </w:r>
      <w:r>
        <w:rPr/>
        <w:t>每股收益达到最小值。</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left="652" w:right="0"/>
        <w:jc w:val="left"/>
      </w:pPr>
      <w:r>
        <w:rPr>
          <w:rFonts w:ascii="Times New Roman" w:hAnsi="Times New Roman" w:cs="Times New Roman" w:eastAsia="Times New Roman" w:hint="default"/>
        </w:rPr>
        <w:t>40</w:t>
      </w:r>
      <w:r>
        <w:rPr/>
        <w:t>．其他综合收益</w:t>
      </w:r>
    </w:p>
    <w:tbl>
      <w:tblPr>
        <w:tblW w:w="0" w:type="auto"/>
        <w:jc w:val="left"/>
        <w:tblInd w:w="105" w:type="dxa"/>
        <w:tblLayout w:type="fixed"/>
        <w:tblCellMar>
          <w:top w:w="0" w:type="dxa"/>
          <w:left w:w="0" w:type="dxa"/>
          <w:bottom w:w="0" w:type="dxa"/>
          <w:right w:w="0" w:type="dxa"/>
        </w:tblCellMar>
        <w:tblLook w:val="01E0"/>
      </w:tblPr>
      <w:tblGrid>
        <w:gridCol w:w="4896"/>
        <w:gridCol w:w="2578"/>
        <w:gridCol w:w="2395"/>
      </w:tblGrid>
      <w:tr>
        <w:trPr>
          <w:trHeight w:val="480" w:hRule="exact"/>
        </w:trPr>
        <w:tc>
          <w:tcPr>
            <w:tcW w:w="4896" w:type="dxa"/>
            <w:tcBorders>
              <w:top w:val="single" w:sz="12" w:space="0" w:color="000000"/>
              <w:left w:val="nil" w:sz="6" w:space="0" w:color="auto"/>
              <w:bottom w:val="single" w:sz="4" w:space="0" w:color="000000"/>
              <w:right w:val="single" w:sz="4" w:space="0" w:color="000000"/>
            </w:tcBorders>
          </w:tcPr>
          <w:p>
            <w:pPr>
              <w:pStyle w:val="TableParagraph"/>
              <w:tabs>
                <w:tab w:pos="651" w:val="left" w:leader="none"/>
              </w:tabs>
              <w:spacing w:line="240" w:lineRule="auto" w:before="153"/>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75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666"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bl>
    <w:p>
      <w:pPr>
        <w:spacing w:after="0" w:line="240" w:lineRule="auto"/>
        <w:jc w:val="left"/>
        <w:rPr>
          <w:rFonts w:ascii="宋体" w:hAnsi="宋体" w:cs="宋体" w:eastAsia="宋体" w:hint="default"/>
          <w:sz w:val="21"/>
          <w:szCs w:val="21"/>
        </w:rPr>
        <w:sectPr>
          <w:pgSz w:w="11910" w:h="16840"/>
          <w:pgMar w:header="850" w:footer="979" w:top="1200" w:bottom="1160" w:left="900" w:right="900"/>
        </w:sectPr>
      </w:pPr>
    </w:p>
    <w:p>
      <w:pPr>
        <w:spacing w:line="240" w:lineRule="auto" w:before="9"/>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896"/>
        <w:gridCol w:w="2578"/>
        <w:gridCol w:w="2395"/>
      </w:tblGrid>
      <w:tr>
        <w:trPr>
          <w:trHeight w:val="502" w:hRule="exact"/>
        </w:trPr>
        <w:tc>
          <w:tcPr>
            <w:tcW w:w="4896" w:type="dxa"/>
            <w:tcBorders>
              <w:top w:val="single" w:sz="17"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167"/>
              <w:ind w:right="201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7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67"/>
              <w:ind w:left="75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95"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67"/>
              <w:ind w:left="66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70" w:hRule="exact"/>
        </w:trPr>
        <w:tc>
          <w:tcPr>
            <w:tcW w:w="4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-4,498,674.71</w:t>
            </w:r>
          </w:p>
        </w:tc>
        <w:tc>
          <w:tcPr>
            <w:tcW w:w="2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-2,157,144.14</w:t>
            </w:r>
          </w:p>
        </w:tc>
      </w:tr>
      <w:tr>
        <w:trPr>
          <w:trHeight w:val="480" w:hRule="exact"/>
        </w:trPr>
        <w:tc>
          <w:tcPr>
            <w:tcW w:w="4896"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153"/>
              <w:ind w:right="201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5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-4,498,674.71</w:t>
            </w:r>
          </w:p>
        </w:tc>
        <w:tc>
          <w:tcPr>
            <w:tcW w:w="23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-2,157,144.14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672" w:right="0"/>
        <w:jc w:val="left"/>
      </w:pPr>
      <w:r>
        <w:rPr>
          <w:rFonts w:ascii="Times New Roman" w:hAnsi="Times New Roman" w:cs="Times New Roman" w:eastAsia="Times New Roman" w:hint="default"/>
        </w:rPr>
        <w:t>41</w:t>
      </w:r>
      <w:r>
        <w:rPr/>
        <w:t>．现金流量表相关信息</w:t>
      </w:r>
    </w:p>
    <w:p>
      <w:pPr>
        <w:pStyle w:val="BodyText"/>
        <w:spacing w:line="240" w:lineRule="auto" w:before="170"/>
        <w:ind w:left="672" w:right="0"/>
        <w:jc w:val="left"/>
      </w:pPr>
      <w:r>
        <w:rPr/>
        <w:t>（</w:t>
      </w:r>
      <w:r>
        <w:rPr>
          <w:rFonts w:ascii="Times New Roman" w:hAnsi="Times New Roman" w:cs="Times New Roman" w:eastAsia="Times New Roman" w:hint="default"/>
        </w:rPr>
        <w:t>1</w:t>
      </w:r>
      <w:r>
        <w:rPr/>
        <w:t>）收到的其他与经营活动有关的现金</w:t>
      </w:r>
    </w:p>
    <w:tbl>
      <w:tblPr>
        <w:tblW w:w="0" w:type="auto"/>
        <w:jc w:val="left"/>
        <w:tblInd w:w="209" w:type="dxa"/>
        <w:tblLayout w:type="fixed"/>
        <w:tblCellMar>
          <w:top w:w="0" w:type="dxa"/>
          <w:left w:w="0" w:type="dxa"/>
          <w:bottom w:w="0" w:type="dxa"/>
          <w:right w:w="0" w:type="dxa"/>
        </w:tblCellMar>
        <w:tblLook w:val="01E0"/>
      </w:tblPr>
      <w:tblGrid>
        <w:gridCol w:w="4817"/>
        <w:gridCol w:w="2582"/>
        <w:gridCol w:w="2311"/>
      </w:tblGrid>
      <w:tr>
        <w:trPr>
          <w:trHeight w:val="480" w:hRule="exact"/>
        </w:trPr>
        <w:tc>
          <w:tcPr>
            <w:tcW w:w="4817"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55"/>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5"/>
              <w:ind w:left="76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1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5"/>
              <w:ind w:left="626"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69" w:hRule="exact"/>
        </w:trPr>
        <w:tc>
          <w:tcPr>
            <w:tcW w:w="4817" w:type="dxa"/>
            <w:tcBorders>
              <w:top w:val="single" w:sz="4" w:space="0" w:color="000000"/>
              <w:left w:val="nil" w:sz="6" w:space="0" w:color="auto"/>
              <w:bottom w:val="nil" w:sz="6" w:space="0" w:color="auto"/>
              <w:right w:val="single" w:sz="4" w:space="0" w:color="000000"/>
            </w:tcBorders>
          </w:tcPr>
          <w:p>
            <w:pPr>
              <w:pStyle w:val="TableParagraph"/>
              <w:spacing w:line="240" w:lineRule="auto" w:before="155"/>
              <w:ind w:left="43" w:right="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w:t>
            </w:r>
          </w:p>
        </w:tc>
        <w:tc>
          <w:tcPr>
            <w:tcW w:w="25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18,544,550.06</w:t>
            </w:r>
          </w:p>
        </w:tc>
        <w:tc>
          <w:tcPr>
            <w:tcW w:w="2311"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7,018,396.21</w:t>
            </w:r>
          </w:p>
        </w:tc>
      </w:tr>
      <w:tr>
        <w:trPr>
          <w:trHeight w:val="460" w:hRule="exact"/>
        </w:trPr>
        <w:tc>
          <w:tcPr>
            <w:tcW w:w="4817"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43" w:right="0"/>
              <w:jc w:val="left"/>
              <w:rPr>
                <w:rFonts w:ascii="宋体" w:hAnsi="宋体" w:cs="宋体" w:eastAsia="宋体" w:hint="default"/>
                <w:sz w:val="21"/>
                <w:szCs w:val="21"/>
              </w:rPr>
            </w:pPr>
            <w:r>
              <w:rPr>
                <w:rFonts w:ascii="宋体" w:hAnsi="宋体" w:cs="宋体" w:eastAsia="宋体" w:hint="default"/>
                <w:sz w:val="21"/>
                <w:szCs w:val="21"/>
              </w:rPr>
              <w:t>其中：财政补贴</w:t>
            </w:r>
          </w:p>
        </w:tc>
        <w:tc>
          <w:tcPr>
            <w:tcW w:w="2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7"/>
              <w:jc w:val="right"/>
              <w:rPr>
                <w:rFonts w:ascii="Times New Roman" w:hAnsi="Times New Roman" w:cs="Times New Roman" w:eastAsia="Times New Roman" w:hint="default"/>
                <w:sz w:val="21"/>
                <w:szCs w:val="21"/>
              </w:rPr>
            </w:pPr>
            <w:r>
              <w:rPr>
                <w:rFonts w:ascii="Times New Roman"/>
                <w:spacing w:val="-1"/>
                <w:sz w:val="21"/>
              </w:rPr>
              <w:t>3,070,000.00</w:t>
            </w:r>
          </w:p>
        </w:tc>
        <w:tc>
          <w:tcPr>
            <w:tcW w:w="2311"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24"/>
              <w:jc w:val="right"/>
              <w:rPr>
                <w:rFonts w:ascii="Times New Roman" w:hAnsi="Times New Roman" w:cs="Times New Roman" w:eastAsia="Times New Roman" w:hint="default"/>
                <w:sz w:val="21"/>
                <w:szCs w:val="21"/>
              </w:rPr>
            </w:pPr>
            <w:r>
              <w:rPr>
                <w:rFonts w:ascii="Times New Roman"/>
                <w:spacing w:val="-1"/>
                <w:sz w:val="21"/>
              </w:rPr>
              <w:t>2,060,000.00</w:t>
            </w:r>
          </w:p>
        </w:tc>
      </w:tr>
      <w:tr>
        <w:trPr>
          <w:trHeight w:val="373" w:hRule="exact"/>
        </w:trPr>
        <w:tc>
          <w:tcPr>
            <w:tcW w:w="4817"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left="67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5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17"/>
              <w:jc w:val="right"/>
              <w:rPr>
                <w:rFonts w:ascii="Times New Roman" w:hAnsi="Times New Roman" w:cs="Times New Roman" w:eastAsia="Times New Roman" w:hint="default"/>
                <w:sz w:val="21"/>
                <w:szCs w:val="21"/>
              </w:rPr>
            </w:pPr>
            <w:r>
              <w:rPr>
                <w:rFonts w:ascii="Times New Roman"/>
                <w:spacing w:val="-1"/>
                <w:sz w:val="21"/>
              </w:rPr>
              <w:t>12,368,309.91</w:t>
            </w:r>
          </w:p>
        </w:tc>
        <w:tc>
          <w:tcPr>
            <w:tcW w:w="2311" w:type="dxa"/>
            <w:tcBorders>
              <w:top w:val="nil" w:sz="6" w:space="0" w:color="auto"/>
              <w:left w:val="single" w:sz="4" w:space="0" w:color="000000"/>
              <w:bottom w:val="single" w:sz="12" w:space="0" w:color="000000"/>
              <w:right w:val="nil" w:sz="6" w:space="0" w:color="auto"/>
            </w:tcBorders>
          </w:tcPr>
          <w:p>
            <w:pPr>
              <w:pStyle w:val="TableParagraph"/>
              <w:spacing w:line="240" w:lineRule="auto" w:before="109"/>
              <w:ind w:right="24"/>
              <w:jc w:val="right"/>
              <w:rPr>
                <w:rFonts w:ascii="Times New Roman" w:hAnsi="Times New Roman" w:cs="Times New Roman" w:eastAsia="Times New Roman" w:hint="default"/>
                <w:sz w:val="21"/>
                <w:szCs w:val="21"/>
              </w:rPr>
            </w:pPr>
            <w:r>
              <w:rPr>
                <w:rFonts w:ascii="Times New Roman"/>
                <w:spacing w:val="-1"/>
                <w:sz w:val="21"/>
              </w:rPr>
              <w:t>3,674,612.89</w:t>
            </w:r>
          </w:p>
        </w:tc>
      </w:tr>
    </w:tbl>
    <w:p>
      <w:pPr>
        <w:spacing w:line="240" w:lineRule="auto" w:before="1"/>
        <w:rPr>
          <w:rFonts w:ascii="宋体" w:hAnsi="宋体" w:cs="宋体" w:eastAsia="宋体" w:hint="default"/>
          <w:sz w:val="10"/>
          <w:szCs w:val="10"/>
        </w:rPr>
      </w:pPr>
    </w:p>
    <w:p>
      <w:pPr>
        <w:pStyle w:val="BodyText"/>
        <w:spacing w:line="240" w:lineRule="auto" w:before="36"/>
        <w:ind w:left="672" w:right="0"/>
        <w:jc w:val="left"/>
      </w:pPr>
      <w:r>
        <w:rPr/>
        <w:t>（</w:t>
      </w:r>
      <w:r>
        <w:rPr>
          <w:rFonts w:ascii="Times New Roman" w:hAnsi="Times New Roman" w:cs="Times New Roman" w:eastAsia="Times New Roman" w:hint="default"/>
        </w:rPr>
        <w:t>2</w:t>
      </w:r>
      <w:r>
        <w:rPr/>
        <w:t>）支付的其他与经营活动有关的现金</w:t>
      </w:r>
    </w:p>
    <w:tbl>
      <w:tblPr>
        <w:tblW w:w="0" w:type="auto"/>
        <w:jc w:val="left"/>
        <w:tblInd w:w="209" w:type="dxa"/>
        <w:tblLayout w:type="fixed"/>
        <w:tblCellMar>
          <w:top w:w="0" w:type="dxa"/>
          <w:left w:w="0" w:type="dxa"/>
          <w:bottom w:w="0" w:type="dxa"/>
          <w:right w:w="0" w:type="dxa"/>
        </w:tblCellMar>
        <w:tblLook w:val="01E0"/>
      </w:tblPr>
      <w:tblGrid>
        <w:gridCol w:w="4817"/>
        <w:gridCol w:w="2582"/>
        <w:gridCol w:w="2311"/>
      </w:tblGrid>
      <w:tr>
        <w:trPr>
          <w:trHeight w:val="480" w:hRule="exact"/>
        </w:trPr>
        <w:tc>
          <w:tcPr>
            <w:tcW w:w="4817"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76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1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626"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68" w:hRule="exact"/>
        </w:trPr>
        <w:tc>
          <w:tcPr>
            <w:tcW w:w="4817"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tc>
        <w:tc>
          <w:tcPr>
            <w:tcW w:w="25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93,961,361.77</w:t>
            </w:r>
          </w:p>
        </w:tc>
        <w:tc>
          <w:tcPr>
            <w:tcW w:w="2311"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88,463,929.72</w:t>
            </w:r>
          </w:p>
        </w:tc>
      </w:tr>
      <w:tr>
        <w:trPr>
          <w:trHeight w:val="460" w:hRule="exact"/>
        </w:trPr>
        <w:tc>
          <w:tcPr>
            <w:tcW w:w="4817"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43" w:right="0"/>
              <w:jc w:val="left"/>
              <w:rPr>
                <w:rFonts w:ascii="宋体" w:hAnsi="宋体" w:cs="宋体" w:eastAsia="宋体" w:hint="default"/>
                <w:sz w:val="21"/>
                <w:szCs w:val="21"/>
              </w:rPr>
            </w:pPr>
            <w:r>
              <w:rPr>
                <w:rFonts w:ascii="宋体" w:hAnsi="宋体" w:cs="宋体" w:eastAsia="宋体" w:hint="default"/>
                <w:sz w:val="21"/>
                <w:szCs w:val="21"/>
              </w:rPr>
              <w:t>其中：专有技术转让及许可费</w:t>
            </w:r>
          </w:p>
        </w:tc>
        <w:tc>
          <w:tcPr>
            <w:tcW w:w="2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21"/>
                <w:szCs w:val="21"/>
              </w:rPr>
            </w:pPr>
            <w:r>
              <w:rPr>
                <w:rFonts w:ascii="Times New Roman"/>
                <w:spacing w:val="-1"/>
                <w:sz w:val="21"/>
              </w:rPr>
              <w:t>18,592,482.39</w:t>
            </w:r>
          </w:p>
        </w:tc>
        <w:tc>
          <w:tcPr>
            <w:tcW w:w="2311"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21"/>
                <w:szCs w:val="21"/>
              </w:rPr>
            </w:pPr>
            <w:r>
              <w:rPr>
                <w:rFonts w:ascii="Times New Roman"/>
                <w:spacing w:val="-1"/>
                <w:sz w:val="21"/>
              </w:rPr>
              <w:t>19,898,533.81</w:t>
            </w:r>
          </w:p>
        </w:tc>
      </w:tr>
      <w:tr>
        <w:trPr>
          <w:trHeight w:val="460" w:hRule="exact"/>
        </w:trPr>
        <w:tc>
          <w:tcPr>
            <w:tcW w:w="4817"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674" w:right="0"/>
              <w:jc w:val="left"/>
              <w:rPr>
                <w:rFonts w:ascii="宋体" w:hAnsi="宋体" w:cs="宋体" w:eastAsia="宋体" w:hint="default"/>
                <w:sz w:val="21"/>
                <w:szCs w:val="21"/>
              </w:rPr>
            </w:pPr>
            <w:r>
              <w:rPr>
                <w:rFonts w:ascii="宋体" w:hAnsi="宋体" w:cs="宋体" w:eastAsia="宋体" w:hint="default"/>
                <w:sz w:val="21"/>
                <w:szCs w:val="21"/>
              </w:rPr>
              <w:t>办公及差旅费</w:t>
            </w:r>
          </w:p>
        </w:tc>
        <w:tc>
          <w:tcPr>
            <w:tcW w:w="2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21"/>
                <w:szCs w:val="21"/>
              </w:rPr>
            </w:pPr>
            <w:r>
              <w:rPr>
                <w:rFonts w:ascii="Times New Roman"/>
                <w:spacing w:val="-1"/>
                <w:sz w:val="21"/>
              </w:rPr>
              <w:t>23,744,591.64</w:t>
            </w:r>
          </w:p>
        </w:tc>
        <w:tc>
          <w:tcPr>
            <w:tcW w:w="2311"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21"/>
              <w:jc w:val="right"/>
              <w:rPr>
                <w:rFonts w:ascii="Times New Roman" w:hAnsi="Times New Roman" w:cs="Times New Roman" w:eastAsia="Times New Roman" w:hint="default"/>
                <w:sz w:val="21"/>
                <w:szCs w:val="21"/>
              </w:rPr>
            </w:pPr>
            <w:r>
              <w:rPr>
                <w:rFonts w:ascii="Times New Roman"/>
                <w:spacing w:val="-1"/>
                <w:sz w:val="21"/>
              </w:rPr>
              <w:t>18,924,348.20</w:t>
            </w:r>
          </w:p>
        </w:tc>
      </w:tr>
      <w:tr>
        <w:trPr>
          <w:trHeight w:val="461" w:hRule="exact"/>
        </w:trPr>
        <w:tc>
          <w:tcPr>
            <w:tcW w:w="4817"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674"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21"/>
                <w:szCs w:val="21"/>
              </w:rPr>
            </w:pPr>
            <w:r>
              <w:rPr>
                <w:rFonts w:ascii="Times New Roman"/>
                <w:spacing w:val="-1"/>
                <w:sz w:val="21"/>
              </w:rPr>
              <w:t>2,186,237.36</w:t>
            </w:r>
          </w:p>
        </w:tc>
        <w:tc>
          <w:tcPr>
            <w:tcW w:w="2311"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21"/>
                <w:szCs w:val="21"/>
              </w:rPr>
            </w:pPr>
            <w:r>
              <w:rPr>
                <w:rFonts w:ascii="Times New Roman"/>
                <w:spacing w:val="-1"/>
                <w:sz w:val="21"/>
              </w:rPr>
              <w:t>1,547,155.18</w:t>
            </w:r>
          </w:p>
        </w:tc>
      </w:tr>
      <w:tr>
        <w:trPr>
          <w:trHeight w:val="460" w:hRule="exact"/>
        </w:trPr>
        <w:tc>
          <w:tcPr>
            <w:tcW w:w="4817"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674"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21"/>
                <w:szCs w:val="21"/>
              </w:rPr>
            </w:pPr>
            <w:r>
              <w:rPr>
                <w:rFonts w:ascii="Times New Roman"/>
                <w:spacing w:val="-1"/>
                <w:sz w:val="21"/>
              </w:rPr>
              <w:t>2,428,850.02</w:t>
            </w:r>
          </w:p>
        </w:tc>
        <w:tc>
          <w:tcPr>
            <w:tcW w:w="2311"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21"/>
                <w:szCs w:val="21"/>
              </w:rPr>
            </w:pPr>
            <w:r>
              <w:rPr>
                <w:rFonts w:ascii="Times New Roman"/>
                <w:spacing w:val="-1"/>
                <w:sz w:val="21"/>
              </w:rPr>
              <w:t>2,453,201.28</w:t>
            </w:r>
          </w:p>
        </w:tc>
      </w:tr>
      <w:tr>
        <w:trPr>
          <w:trHeight w:val="460" w:hRule="exact"/>
        </w:trPr>
        <w:tc>
          <w:tcPr>
            <w:tcW w:w="4817"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674"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2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21"/>
                <w:szCs w:val="21"/>
              </w:rPr>
            </w:pPr>
            <w:r>
              <w:rPr>
                <w:rFonts w:ascii="Times New Roman"/>
                <w:spacing w:val="-1"/>
                <w:sz w:val="21"/>
              </w:rPr>
              <w:t>9,508,240.01</w:t>
            </w:r>
          </w:p>
        </w:tc>
        <w:tc>
          <w:tcPr>
            <w:tcW w:w="2311"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21"/>
              <w:jc w:val="right"/>
              <w:rPr>
                <w:rFonts w:ascii="Times New Roman" w:hAnsi="Times New Roman" w:cs="Times New Roman" w:eastAsia="Times New Roman" w:hint="default"/>
                <w:sz w:val="21"/>
                <w:szCs w:val="21"/>
              </w:rPr>
            </w:pPr>
            <w:r>
              <w:rPr>
                <w:rFonts w:ascii="Times New Roman"/>
                <w:spacing w:val="-1"/>
                <w:sz w:val="21"/>
              </w:rPr>
              <w:t>13,464,760.22</w:t>
            </w:r>
          </w:p>
        </w:tc>
      </w:tr>
      <w:tr>
        <w:trPr>
          <w:trHeight w:val="461" w:hRule="exact"/>
        </w:trPr>
        <w:tc>
          <w:tcPr>
            <w:tcW w:w="4817"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67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21"/>
                <w:szCs w:val="21"/>
              </w:rPr>
            </w:pPr>
            <w:r>
              <w:rPr>
                <w:rFonts w:ascii="Times New Roman"/>
                <w:spacing w:val="-1"/>
                <w:sz w:val="21"/>
              </w:rPr>
              <w:t>8,396,513.43</w:t>
            </w:r>
          </w:p>
        </w:tc>
        <w:tc>
          <w:tcPr>
            <w:tcW w:w="2311"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21"/>
                <w:szCs w:val="21"/>
              </w:rPr>
            </w:pPr>
            <w:r>
              <w:rPr>
                <w:rFonts w:ascii="Times New Roman"/>
                <w:spacing w:val="-1"/>
                <w:sz w:val="21"/>
              </w:rPr>
              <w:t>7,018,635.48</w:t>
            </w:r>
          </w:p>
        </w:tc>
      </w:tr>
      <w:tr>
        <w:trPr>
          <w:trHeight w:val="373" w:hRule="exact"/>
        </w:trPr>
        <w:tc>
          <w:tcPr>
            <w:tcW w:w="4817"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left="67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5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21"/>
                <w:szCs w:val="21"/>
              </w:rPr>
            </w:pPr>
            <w:r>
              <w:rPr>
                <w:rFonts w:ascii="Times New Roman"/>
                <w:spacing w:val="-1"/>
                <w:sz w:val="21"/>
              </w:rPr>
              <w:t>2,860,556.25</w:t>
            </w:r>
          </w:p>
        </w:tc>
        <w:tc>
          <w:tcPr>
            <w:tcW w:w="2311" w:type="dxa"/>
            <w:tcBorders>
              <w:top w:val="nil" w:sz="6" w:space="0" w:color="auto"/>
              <w:left w:val="single" w:sz="4" w:space="0" w:color="000000"/>
              <w:bottom w:val="single" w:sz="12" w:space="0" w:color="000000"/>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21"/>
                <w:szCs w:val="21"/>
              </w:rPr>
            </w:pPr>
            <w:r>
              <w:rPr>
                <w:rFonts w:ascii="Times New Roman"/>
                <w:spacing w:val="-1"/>
                <w:sz w:val="21"/>
              </w:rPr>
              <w:t>2,385,053.61</w:t>
            </w:r>
          </w:p>
        </w:tc>
      </w:tr>
    </w:tbl>
    <w:p>
      <w:pPr>
        <w:spacing w:line="240" w:lineRule="auto" w:before="3"/>
        <w:rPr>
          <w:rFonts w:ascii="宋体" w:hAnsi="宋体" w:cs="宋体" w:eastAsia="宋体" w:hint="default"/>
          <w:sz w:val="10"/>
          <w:szCs w:val="10"/>
        </w:rPr>
      </w:pPr>
    </w:p>
    <w:p>
      <w:pPr>
        <w:pStyle w:val="BodyText"/>
        <w:spacing w:line="240" w:lineRule="auto" w:before="36"/>
        <w:ind w:left="672" w:right="0"/>
        <w:jc w:val="left"/>
      </w:pPr>
      <w:r>
        <w:rPr/>
        <w:t>（</w:t>
      </w:r>
      <w:r>
        <w:rPr>
          <w:rFonts w:ascii="Times New Roman" w:hAnsi="Times New Roman" w:cs="Times New Roman" w:eastAsia="Times New Roman" w:hint="default"/>
        </w:rPr>
        <w:t>3</w:t>
      </w:r>
      <w:r>
        <w:rPr/>
        <w:t>）现金流量表补充资料</w:t>
      </w:r>
    </w:p>
    <w:tbl>
      <w:tblPr>
        <w:tblW w:w="0" w:type="auto"/>
        <w:jc w:val="left"/>
        <w:tblInd w:w="130" w:type="dxa"/>
        <w:tblLayout w:type="fixed"/>
        <w:tblCellMar>
          <w:top w:w="0" w:type="dxa"/>
          <w:left w:w="0" w:type="dxa"/>
          <w:bottom w:w="0" w:type="dxa"/>
          <w:right w:w="0" w:type="dxa"/>
        </w:tblCellMar>
        <w:tblLook w:val="01E0"/>
      </w:tblPr>
      <w:tblGrid>
        <w:gridCol w:w="6499"/>
        <w:gridCol w:w="1685"/>
        <w:gridCol w:w="1685"/>
      </w:tblGrid>
      <w:tr>
        <w:trPr>
          <w:trHeight w:val="480" w:hRule="exact"/>
        </w:trPr>
        <w:tc>
          <w:tcPr>
            <w:tcW w:w="64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31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6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312"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63" w:hRule="exact"/>
        </w:trPr>
        <w:tc>
          <w:tcPr>
            <w:tcW w:w="6499"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1685" w:type="dxa"/>
            <w:tcBorders>
              <w:top w:val="single" w:sz="4" w:space="0" w:color="000000"/>
              <w:left w:val="single" w:sz="4" w:space="0" w:color="000000"/>
              <w:bottom w:val="nil" w:sz="6" w:space="0" w:color="auto"/>
              <w:right w:val="single" w:sz="4" w:space="0" w:color="000000"/>
            </w:tcBorders>
          </w:tcPr>
          <w:p>
            <w:pPr/>
          </w:p>
        </w:tc>
        <w:tc>
          <w:tcPr>
            <w:tcW w:w="1685" w:type="dxa"/>
            <w:tcBorders>
              <w:top w:val="single" w:sz="4" w:space="0" w:color="000000"/>
              <w:left w:val="single" w:sz="4" w:space="0" w:color="000000"/>
              <w:bottom w:val="nil" w:sz="6" w:space="0" w:color="auto"/>
              <w:right w:val="nil" w:sz="6" w:space="0" w:color="auto"/>
            </w:tcBorders>
          </w:tcPr>
          <w:p>
            <w:pPr/>
          </w:p>
        </w:tc>
      </w:tr>
      <w:tr>
        <w:trPr>
          <w:trHeight w:val="464"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21"/>
                <w:szCs w:val="21"/>
              </w:rPr>
            </w:pPr>
            <w:r>
              <w:rPr>
                <w:rFonts w:ascii="Times New Roman"/>
                <w:spacing w:val="-1"/>
                <w:sz w:val="21"/>
              </w:rPr>
              <w:t>274,334,016.16</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21"/>
                <w:szCs w:val="21"/>
              </w:rPr>
            </w:pPr>
            <w:r>
              <w:rPr>
                <w:rFonts w:ascii="Times New Roman"/>
                <w:spacing w:val="-1"/>
                <w:sz w:val="21"/>
              </w:rPr>
              <w:t>228,649,386.30</w:t>
            </w:r>
          </w:p>
        </w:tc>
      </w:tr>
      <w:tr>
        <w:trPr>
          <w:trHeight w:val="460"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5,392,632.98</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4,359,076.16</w:t>
            </w:r>
          </w:p>
        </w:tc>
      </w:tr>
      <w:tr>
        <w:trPr>
          <w:trHeight w:val="910"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403" w:lineRule="auto" w:before="50"/>
              <w:ind w:left="122" w:right="98"/>
              <w:jc w:val="left"/>
              <w:rPr>
                <w:rFonts w:ascii="宋体" w:hAnsi="宋体" w:cs="宋体" w:eastAsia="宋体" w:hint="default"/>
                <w:sz w:val="21"/>
                <w:szCs w:val="21"/>
              </w:rPr>
            </w:pPr>
            <w:r>
              <w:rPr>
                <w:rFonts w:ascii="宋体" w:hAnsi="宋体" w:cs="宋体" w:eastAsia="宋体" w:hint="default"/>
                <w:spacing w:val="-3"/>
                <w:sz w:val="21"/>
                <w:szCs w:val="21"/>
              </w:rPr>
              <w:t>固定资产折旧、油气资产折耗、生产性生物资产折旧、投资性房地产</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摊销等</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9,062,934.74</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9,446,574.60</w:t>
            </w:r>
          </w:p>
        </w:tc>
      </w:tr>
      <w:tr>
        <w:trPr>
          <w:trHeight w:val="470"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spacing w:val="-1"/>
                <w:sz w:val="21"/>
              </w:rPr>
              <w:t>14,563,769.60</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spacing w:val="-1"/>
                <w:sz w:val="21"/>
              </w:rPr>
              <w:t>15,187,123.14</w:t>
            </w:r>
          </w:p>
        </w:tc>
      </w:tr>
      <w:tr>
        <w:trPr>
          <w:trHeight w:val="461"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71,336.17</w:t>
            </w:r>
          </w:p>
        </w:tc>
        <w:tc>
          <w:tcPr>
            <w:tcW w:w="1685" w:type="dxa"/>
            <w:tcBorders>
              <w:top w:val="nil" w:sz="6" w:space="0" w:color="auto"/>
              <w:left w:val="single" w:sz="4" w:space="0" w:color="000000"/>
              <w:bottom w:val="nil" w:sz="6" w:space="0" w:color="auto"/>
              <w:right w:val="nil" w:sz="6" w:space="0" w:color="auto"/>
            </w:tcBorders>
          </w:tcPr>
          <w:p>
            <w:pPr/>
          </w:p>
        </w:tc>
      </w:tr>
      <w:tr>
        <w:trPr>
          <w:trHeight w:val="373" w:hRule="exact"/>
        </w:trPr>
        <w:tc>
          <w:tcPr>
            <w:tcW w:w="6499"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left="122" w:right="-5"/>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处置固定资产、无形资产和其他长期资产的损失（收益以</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号填列）</w:t>
            </w:r>
          </w:p>
        </w:tc>
        <w:tc>
          <w:tcPr>
            <w:tcW w:w="16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42,107.79</w:t>
            </w:r>
          </w:p>
        </w:tc>
        <w:tc>
          <w:tcPr>
            <w:tcW w:w="1685" w:type="dxa"/>
            <w:tcBorders>
              <w:top w:val="nil" w:sz="6" w:space="0" w:color="auto"/>
              <w:left w:val="single" w:sz="4" w:space="0" w:color="000000"/>
              <w:bottom w:val="single" w:sz="12" w:space="0" w:color="000000"/>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66,122.46</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200" w:bottom="1160" w:left="880" w:right="880"/>
        </w:sectPr>
      </w:pPr>
    </w:p>
    <w:tbl>
      <w:tblPr>
        <w:tblW w:w="0" w:type="auto"/>
        <w:jc w:val="left"/>
        <w:tblInd w:w="110" w:type="dxa"/>
        <w:tblLayout w:type="fixed"/>
        <w:tblCellMar>
          <w:top w:w="0" w:type="dxa"/>
          <w:left w:w="0" w:type="dxa"/>
          <w:bottom w:w="0" w:type="dxa"/>
          <w:right w:w="0" w:type="dxa"/>
        </w:tblCellMar>
        <w:tblLook w:val="01E0"/>
      </w:tblPr>
      <w:tblGrid>
        <w:gridCol w:w="6499"/>
        <w:gridCol w:w="1685"/>
        <w:gridCol w:w="1685"/>
      </w:tblGrid>
      <w:tr>
        <w:trPr>
          <w:trHeight w:val="487" w:hRule="exact"/>
        </w:trPr>
        <w:tc>
          <w:tcPr>
            <w:tcW w:w="6499"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8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53"/>
              <w:ind w:left="31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685"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53"/>
              <w:ind w:left="31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63" w:hRule="exact"/>
        </w:trPr>
        <w:tc>
          <w:tcPr>
            <w:tcW w:w="6499"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5" w:type="dxa"/>
            <w:tcBorders>
              <w:top w:val="single" w:sz="4" w:space="0" w:color="000000"/>
              <w:left w:val="single" w:sz="4" w:space="0" w:color="000000"/>
              <w:bottom w:val="nil" w:sz="6" w:space="0" w:color="auto"/>
              <w:right w:val="single" w:sz="4" w:space="0" w:color="000000"/>
            </w:tcBorders>
          </w:tcPr>
          <w:p>
            <w:pPr/>
          </w:p>
        </w:tc>
        <w:tc>
          <w:tcPr>
            <w:tcW w:w="1685" w:type="dxa"/>
            <w:tcBorders>
              <w:top w:val="single" w:sz="4" w:space="0" w:color="000000"/>
              <w:left w:val="single" w:sz="4" w:space="0" w:color="000000"/>
              <w:bottom w:val="nil" w:sz="6" w:space="0" w:color="auto"/>
              <w:right w:val="nil" w:sz="6" w:space="0" w:color="auto"/>
            </w:tcBorders>
          </w:tcPr>
          <w:p>
            <w:pPr/>
          </w:p>
        </w:tc>
      </w:tr>
      <w:tr>
        <w:trPr>
          <w:trHeight w:val="461"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5"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5"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
        </w:tc>
      </w:tr>
      <w:tr>
        <w:trPr>
          <w:trHeight w:val="464"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-3,769,847.90</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3"/>
              <w:ind w:right="103"/>
              <w:jc w:val="right"/>
              <w:rPr>
                <w:rFonts w:ascii="Times New Roman" w:hAnsi="Times New Roman" w:cs="Times New Roman" w:eastAsia="Times New Roman" w:hint="default"/>
                <w:sz w:val="21"/>
                <w:szCs w:val="21"/>
              </w:rPr>
            </w:pPr>
            <w:r>
              <w:rPr>
                <w:rFonts w:ascii="Times New Roman"/>
                <w:spacing w:val="-1"/>
                <w:sz w:val="21"/>
              </w:rPr>
              <w:t>-18,976.37</w:t>
            </w:r>
          </w:p>
        </w:tc>
      </w:tr>
      <w:tr>
        <w:trPr>
          <w:trHeight w:val="461"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-283,873.84</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-151,823.89</w:t>
            </w:r>
          </w:p>
        </w:tc>
      </w:tr>
      <w:tr>
        <w:trPr>
          <w:trHeight w:val="460"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88,230.61</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516,867.29</w:t>
            </w:r>
          </w:p>
        </w:tc>
      </w:tr>
      <w:tr>
        <w:trPr>
          <w:trHeight w:val="460"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17,728,420.27</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21"/>
                <w:szCs w:val="21"/>
              </w:rPr>
            </w:pPr>
            <w:r>
              <w:rPr>
                <w:rFonts w:ascii="Times New Roman"/>
                <w:spacing w:val="-1"/>
                <w:sz w:val="21"/>
              </w:rPr>
              <w:t>4,454,194.55</w:t>
            </w:r>
            <w:r>
              <w:rPr>
                <w:rFonts w:ascii="Times New Roman"/>
                <w:sz w:val="21"/>
              </w:rPr>
            </w:r>
          </w:p>
        </w:tc>
      </w:tr>
      <w:tr>
        <w:trPr>
          <w:trHeight w:val="461"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-41,985,522.40</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-67,300,625.40</w:t>
            </w:r>
          </w:p>
        </w:tc>
      </w:tr>
      <w:tr>
        <w:trPr>
          <w:trHeight w:val="460"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-2,755,561.76</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456,150.32</w:t>
            </w:r>
          </w:p>
        </w:tc>
      </w:tr>
      <w:tr>
        <w:trPr>
          <w:trHeight w:val="460"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2,718,521.23</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7,602,355.17</w:t>
            </w:r>
          </w:p>
        </w:tc>
      </w:tr>
      <w:tr>
        <w:trPr>
          <w:trHeight w:val="461"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275,207,163.65</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203,266,424.33</w:t>
            </w:r>
          </w:p>
        </w:tc>
      </w:tr>
      <w:tr>
        <w:trPr>
          <w:trHeight w:val="455"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1685"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
        </w:tc>
      </w:tr>
      <w:tr>
        <w:trPr>
          <w:trHeight w:val="454"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685"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
        </w:tc>
      </w:tr>
      <w:tr>
        <w:trPr>
          <w:trHeight w:val="461"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685"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685"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
        </w:tc>
      </w:tr>
      <w:tr>
        <w:trPr>
          <w:trHeight w:val="465"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1685"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
        </w:tc>
      </w:tr>
      <w:tr>
        <w:trPr>
          <w:trHeight w:val="466"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21"/>
                <w:szCs w:val="21"/>
              </w:rPr>
            </w:pPr>
            <w:r>
              <w:rPr>
                <w:rFonts w:ascii="Times New Roman"/>
                <w:spacing w:val="-2"/>
                <w:sz w:val="21"/>
              </w:rPr>
              <w:t>437,931,113.59</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21"/>
                <w:szCs w:val="21"/>
              </w:rPr>
            </w:pPr>
            <w:r>
              <w:rPr>
                <w:rFonts w:ascii="Times New Roman"/>
                <w:spacing w:val="-1"/>
                <w:sz w:val="21"/>
              </w:rPr>
              <w:t>491,511,005.02</w:t>
            </w:r>
          </w:p>
        </w:tc>
      </w:tr>
      <w:tr>
        <w:trPr>
          <w:trHeight w:val="460"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2"/>
                <w:sz w:val="21"/>
              </w:rPr>
              <w:t>491,511,005.02</w:t>
            </w:r>
          </w:p>
        </w:tc>
        <w:tc>
          <w:tcPr>
            <w:tcW w:w="1685"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412,609,448.89</w:t>
            </w:r>
          </w:p>
        </w:tc>
      </w:tr>
      <w:tr>
        <w:trPr>
          <w:trHeight w:val="449"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685"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
        </w:tc>
      </w:tr>
      <w:tr>
        <w:trPr>
          <w:trHeight w:val="461" w:hRule="exact"/>
        </w:trPr>
        <w:tc>
          <w:tcPr>
            <w:tcW w:w="6499"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685" w:type="dxa"/>
            <w:tcBorders>
              <w:top w:val="nil" w:sz="6" w:space="0" w:color="auto"/>
              <w:left w:val="single" w:sz="4" w:space="0" w:color="000000"/>
              <w:bottom w:val="nil" w:sz="6" w:space="0" w:color="auto"/>
              <w:right w:val="single" w:sz="4" w:space="0" w:color="000000"/>
            </w:tcBorders>
          </w:tcPr>
          <w:p>
            <w:pPr/>
          </w:p>
        </w:tc>
        <w:tc>
          <w:tcPr>
            <w:tcW w:w="1685" w:type="dxa"/>
            <w:tcBorders>
              <w:top w:val="nil" w:sz="6" w:space="0" w:color="auto"/>
              <w:left w:val="single" w:sz="4" w:space="0" w:color="000000"/>
              <w:bottom w:val="nil" w:sz="6" w:space="0" w:color="auto"/>
              <w:right w:val="nil" w:sz="6" w:space="0" w:color="auto"/>
            </w:tcBorders>
          </w:tcPr>
          <w:p>
            <w:pPr/>
          </w:p>
        </w:tc>
      </w:tr>
      <w:tr>
        <w:trPr>
          <w:trHeight w:val="383" w:hRule="exact"/>
        </w:trPr>
        <w:tc>
          <w:tcPr>
            <w:tcW w:w="6499" w:type="dxa"/>
            <w:tcBorders>
              <w:top w:val="nil" w:sz="6" w:space="0" w:color="auto"/>
              <w:left w:val="nil" w:sz="6" w:space="0" w:color="auto"/>
              <w:bottom w:val="single" w:sz="12"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-53,579,891.43</w:t>
            </w:r>
          </w:p>
        </w:tc>
        <w:tc>
          <w:tcPr>
            <w:tcW w:w="1685" w:type="dxa"/>
            <w:tcBorders>
              <w:top w:val="nil" w:sz="6" w:space="0" w:color="auto"/>
              <w:left w:val="single" w:sz="4" w:space="0" w:color="000000"/>
              <w:bottom w:val="single" w:sz="12"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78,901,556.13</w:t>
            </w:r>
          </w:p>
        </w:tc>
      </w:tr>
    </w:tbl>
    <w:p>
      <w:pPr>
        <w:spacing w:line="240" w:lineRule="auto" w:before="12"/>
        <w:rPr>
          <w:rFonts w:ascii="宋体" w:hAnsi="宋体" w:cs="宋体" w:eastAsia="宋体" w:hint="default"/>
          <w:sz w:val="8"/>
          <w:szCs w:val="8"/>
        </w:rPr>
      </w:pPr>
    </w:p>
    <w:p>
      <w:pPr>
        <w:pStyle w:val="BodyText"/>
        <w:spacing w:line="240" w:lineRule="auto" w:before="36"/>
        <w:ind w:left="652" w:right="0"/>
        <w:jc w:val="left"/>
      </w:pPr>
      <w:r>
        <w:rPr/>
        <w:t>（</w:t>
      </w:r>
      <w:r>
        <w:rPr>
          <w:rFonts w:ascii="Times New Roman" w:hAnsi="Times New Roman" w:cs="Times New Roman" w:eastAsia="Times New Roman" w:hint="default"/>
        </w:rPr>
        <w:t>4</w:t>
      </w:r>
      <w:r>
        <w:rPr/>
        <w:t>）当期取得或处置子公司及其他营业单位的有关信息：</w:t>
      </w:r>
    </w:p>
    <w:tbl>
      <w:tblPr>
        <w:tblW w:w="0" w:type="auto"/>
        <w:jc w:val="left"/>
        <w:tblInd w:w="110" w:type="dxa"/>
        <w:tblLayout w:type="fixed"/>
        <w:tblCellMar>
          <w:top w:w="0" w:type="dxa"/>
          <w:left w:w="0" w:type="dxa"/>
          <w:bottom w:w="0" w:type="dxa"/>
          <w:right w:w="0" w:type="dxa"/>
        </w:tblCellMar>
        <w:tblLook w:val="01E0"/>
      </w:tblPr>
      <w:tblGrid>
        <w:gridCol w:w="6535"/>
        <w:gridCol w:w="1730"/>
        <w:gridCol w:w="1603"/>
      </w:tblGrid>
      <w:tr>
        <w:trPr>
          <w:trHeight w:val="482" w:hRule="exact"/>
        </w:trPr>
        <w:tc>
          <w:tcPr>
            <w:tcW w:w="6535"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55"/>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5"/>
              <w:ind w:left="33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6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5"/>
              <w:ind w:left="27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56" w:hRule="exact"/>
        </w:trPr>
        <w:tc>
          <w:tcPr>
            <w:tcW w:w="6535"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730" w:type="dxa"/>
            <w:tcBorders>
              <w:top w:val="single" w:sz="4" w:space="0" w:color="000000"/>
              <w:left w:val="single" w:sz="4" w:space="0" w:color="000000"/>
              <w:bottom w:val="nil" w:sz="6" w:space="0" w:color="auto"/>
              <w:right w:val="single" w:sz="4" w:space="0" w:color="000000"/>
            </w:tcBorders>
          </w:tcPr>
          <w:p>
            <w:pPr/>
          </w:p>
        </w:tc>
        <w:tc>
          <w:tcPr>
            <w:tcW w:w="1603" w:type="dxa"/>
            <w:tcBorders>
              <w:top w:val="single" w:sz="4" w:space="0" w:color="000000"/>
              <w:left w:val="single" w:sz="4" w:space="0" w:color="000000"/>
              <w:bottom w:val="nil" w:sz="6" w:space="0" w:color="auto"/>
              <w:right w:val="nil" w:sz="6" w:space="0" w:color="auto"/>
            </w:tcBorders>
          </w:tcPr>
          <w:p>
            <w:pPr/>
          </w:p>
        </w:tc>
      </w:tr>
      <w:tr>
        <w:trPr>
          <w:trHeight w:val="470" w:hRule="exact"/>
        </w:trPr>
        <w:tc>
          <w:tcPr>
            <w:tcW w:w="6535"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73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96"/>
              <w:jc w:val="right"/>
              <w:rPr>
                <w:rFonts w:ascii="Times New Roman" w:hAnsi="Times New Roman" w:cs="Times New Roman" w:eastAsia="Times New Roman" w:hint="default"/>
                <w:sz w:val="21"/>
                <w:szCs w:val="21"/>
              </w:rPr>
            </w:pPr>
            <w:r>
              <w:rPr>
                <w:rFonts w:ascii="Times New Roman"/>
                <w:spacing w:val="-1"/>
                <w:sz w:val="21"/>
              </w:rPr>
              <w:t>30,660,000.00</w:t>
            </w:r>
          </w:p>
        </w:tc>
        <w:tc>
          <w:tcPr>
            <w:tcW w:w="1603"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461" w:hRule="exact"/>
        </w:trPr>
        <w:tc>
          <w:tcPr>
            <w:tcW w:w="6535"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7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19,929,000.00</w:t>
            </w:r>
          </w:p>
        </w:tc>
        <w:tc>
          <w:tcPr>
            <w:tcW w:w="1603"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1"/>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460" w:hRule="exact"/>
        </w:trPr>
        <w:tc>
          <w:tcPr>
            <w:tcW w:w="6535"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7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6,582,516.76</w:t>
            </w:r>
          </w:p>
        </w:tc>
        <w:tc>
          <w:tcPr>
            <w:tcW w:w="1603"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1"/>
              <w:jc w:val="right"/>
              <w:rPr>
                <w:rFonts w:ascii="Times New Roman" w:hAnsi="Times New Roman" w:cs="Times New Roman" w:eastAsia="Times New Roman" w:hint="default"/>
                <w:sz w:val="21"/>
                <w:szCs w:val="21"/>
              </w:rPr>
            </w:pPr>
            <w:r>
              <w:rPr>
                <w:rFonts w:ascii="Times New Roman"/>
                <w:spacing w:val="-1"/>
                <w:sz w:val="21"/>
              </w:rPr>
              <w:t>5,509,581.03</w:t>
            </w:r>
          </w:p>
        </w:tc>
      </w:tr>
      <w:tr>
        <w:trPr>
          <w:trHeight w:val="460" w:hRule="exact"/>
        </w:trPr>
        <w:tc>
          <w:tcPr>
            <w:tcW w:w="6535"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7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13,346,483.24</w:t>
            </w:r>
          </w:p>
        </w:tc>
        <w:tc>
          <w:tcPr>
            <w:tcW w:w="1603"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1"/>
              <w:jc w:val="right"/>
              <w:rPr>
                <w:rFonts w:ascii="Times New Roman" w:hAnsi="Times New Roman" w:cs="Times New Roman" w:eastAsia="Times New Roman" w:hint="default"/>
                <w:sz w:val="21"/>
                <w:szCs w:val="21"/>
              </w:rPr>
            </w:pPr>
            <w:r>
              <w:rPr>
                <w:rFonts w:ascii="Times New Roman"/>
                <w:spacing w:val="-1"/>
                <w:sz w:val="21"/>
              </w:rPr>
              <w:t>24,490,418.97</w:t>
            </w:r>
          </w:p>
        </w:tc>
      </w:tr>
      <w:tr>
        <w:trPr>
          <w:trHeight w:val="373" w:hRule="exact"/>
        </w:trPr>
        <w:tc>
          <w:tcPr>
            <w:tcW w:w="6535"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7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581,213.42</w:t>
            </w:r>
          </w:p>
        </w:tc>
        <w:tc>
          <w:tcPr>
            <w:tcW w:w="1603" w:type="dxa"/>
            <w:tcBorders>
              <w:top w:val="nil" w:sz="6" w:space="0" w:color="auto"/>
              <w:left w:val="single" w:sz="4" w:space="0" w:color="000000"/>
              <w:bottom w:val="single" w:sz="12" w:space="0" w:color="000000"/>
              <w:right w:val="nil" w:sz="6" w:space="0" w:color="auto"/>
            </w:tcBorders>
          </w:tcPr>
          <w:p>
            <w:pPr>
              <w:pStyle w:val="TableParagraph"/>
              <w:spacing w:line="240" w:lineRule="auto" w:before="109"/>
              <w:ind w:right="101"/>
              <w:jc w:val="right"/>
              <w:rPr>
                <w:rFonts w:ascii="Times New Roman" w:hAnsi="Times New Roman" w:cs="Times New Roman" w:eastAsia="Times New Roman" w:hint="default"/>
                <w:sz w:val="21"/>
                <w:szCs w:val="21"/>
              </w:rPr>
            </w:pPr>
            <w:r>
              <w:rPr>
                <w:rFonts w:ascii="Times New Roman"/>
                <w:spacing w:val="-1"/>
                <w:sz w:val="21"/>
              </w:rPr>
              <w:t>12,257,812.70</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260" w:bottom="1160" w:left="900" w:right="92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6535"/>
        <w:gridCol w:w="1730"/>
        <w:gridCol w:w="1603"/>
      </w:tblGrid>
      <w:tr>
        <w:trPr>
          <w:trHeight w:val="487" w:hRule="exact"/>
        </w:trPr>
        <w:tc>
          <w:tcPr>
            <w:tcW w:w="6535" w:type="dxa"/>
            <w:tcBorders>
              <w:top w:val="single" w:sz="17"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3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53"/>
              <w:ind w:left="33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603"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53"/>
              <w:ind w:left="27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68" w:hRule="exact"/>
        </w:trPr>
        <w:tc>
          <w:tcPr>
            <w:tcW w:w="6535"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8,326,234.00</w:t>
            </w:r>
            <w:r>
              <w:rPr>
                <w:rFonts w:ascii="Times New Roman"/>
                <w:sz w:val="21"/>
              </w:rPr>
            </w:r>
          </w:p>
        </w:tc>
        <w:tc>
          <w:tcPr>
            <w:tcW w:w="1603"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15,214,313.53</w:t>
            </w:r>
          </w:p>
        </w:tc>
      </w:tr>
      <w:tr>
        <w:trPr>
          <w:trHeight w:val="461" w:hRule="exact"/>
        </w:trPr>
        <w:tc>
          <w:tcPr>
            <w:tcW w:w="6535"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152,914.44</w:t>
            </w:r>
          </w:p>
        </w:tc>
        <w:tc>
          <w:tcPr>
            <w:tcW w:w="1603"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1"/>
              <w:jc w:val="right"/>
              <w:rPr>
                <w:rFonts w:ascii="Times New Roman" w:hAnsi="Times New Roman" w:cs="Times New Roman" w:eastAsia="Times New Roman" w:hint="default"/>
                <w:sz w:val="21"/>
                <w:szCs w:val="21"/>
              </w:rPr>
            </w:pPr>
            <w:r>
              <w:rPr>
                <w:rFonts w:ascii="Times New Roman"/>
                <w:spacing w:val="-1"/>
                <w:sz w:val="21"/>
              </w:rPr>
              <w:t>1,005,134.42</w:t>
            </w:r>
          </w:p>
        </w:tc>
      </w:tr>
      <w:tr>
        <w:trPr>
          <w:trHeight w:val="449" w:hRule="exact"/>
        </w:trPr>
        <w:tc>
          <w:tcPr>
            <w:tcW w:w="6535"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7,897,935.02</w:t>
            </w:r>
          </w:p>
        </w:tc>
        <w:tc>
          <w:tcPr>
            <w:tcW w:w="1603"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1"/>
              <w:jc w:val="right"/>
              <w:rPr>
                <w:rFonts w:ascii="Times New Roman" w:hAnsi="Times New Roman" w:cs="Times New Roman" w:eastAsia="Times New Roman" w:hint="default"/>
                <w:sz w:val="21"/>
                <w:szCs w:val="21"/>
              </w:rPr>
            </w:pPr>
            <w:r>
              <w:rPr>
                <w:rFonts w:ascii="Times New Roman"/>
                <w:spacing w:val="-1"/>
                <w:sz w:val="21"/>
              </w:rPr>
              <w:t>3,961,635.25</w:t>
            </w:r>
          </w:p>
        </w:tc>
      </w:tr>
      <w:tr>
        <w:trPr>
          <w:trHeight w:val="460" w:hRule="exact"/>
        </w:trPr>
        <w:tc>
          <w:tcPr>
            <w:tcW w:w="6535"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30"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461" w:hRule="exact"/>
        </w:trPr>
        <w:tc>
          <w:tcPr>
            <w:tcW w:w="6535"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处置子公司及其他营业单位的有关信息：</w:t>
            </w:r>
          </w:p>
        </w:tc>
        <w:tc>
          <w:tcPr>
            <w:tcW w:w="1730"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465" w:hRule="exact"/>
        </w:trPr>
        <w:tc>
          <w:tcPr>
            <w:tcW w:w="6535"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730"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535"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730"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455" w:hRule="exact"/>
        </w:trPr>
        <w:tc>
          <w:tcPr>
            <w:tcW w:w="6535"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730"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465" w:hRule="exact"/>
        </w:trPr>
        <w:tc>
          <w:tcPr>
            <w:tcW w:w="6535"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730"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535"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730"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455" w:hRule="exact"/>
        </w:trPr>
        <w:tc>
          <w:tcPr>
            <w:tcW w:w="6535"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30"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535"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30"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535"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30" w:type="dxa"/>
            <w:tcBorders>
              <w:top w:val="nil" w:sz="6" w:space="0" w:color="auto"/>
              <w:left w:val="single" w:sz="4" w:space="0" w:color="000000"/>
              <w:bottom w:val="nil" w:sz="6" w:space="0" w:color="auto"/>
              <w:right w:val="single" w:sz="4" w:space="0" w:color="000000"/>
            </w:tcBorders>
          </w:tcPr>
          <w:p>
            <w:pPr/>
          </w:p>
        </w:tc>
        <w:tc>
          <w:tcPr>
            <w:tcW w:w="1603" w:type="dxa"/>
            <w:tcBorders>
              <w:top w:val="nil" w:sz="6" w:space="0" w:color="auto"/>
              <w:left w:val="single" w:sz="4" w:space="0" w:color="000000"/>
              <w:bottom w:val="nil" w:sz="6" w:space="0" w:color="auto"/>
              <w:right w:val="nil" w:sz="6" w:space="0" w:color="auto"/>
            </w:tcBorders>
          </w:tcPr>
          <w:p>
            <w:pPr/>
          </w:p>
        </w:tc>
      </w:tr>
      <w:tr>
        <w:trPr>
          <w:trHeight w:val="383" w:hRule="exact"/>
        </w:trPr>
        <w:tc>
          <w:tcPr>
            <w:tcW w:w="6535" w:type="dxa"/>
            <w:tcBorders>
              <w:top w:val="nil" w:sz="6" w:space="0" w:color="auto"/>
              <w:left w:val="nil" w:sz="6" w:space="0" w:color="auto"/>
              <w:bottom w:val="single" w:sz="12"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30" w:type="dxa"/>
            <w:tcBorders>
              <w:top w:val="nil" w:sz="6" w:space="0" w:color="auto"/>
              <w:left w:val="single" w:sz="4" w:space="0" w:color="000000"/>
              <w:bottom w:val="single" w:sz="12" w:space="0" w:color="000000"/>
              <w:right w:val="single" w:sz="4" w:space="0" w:color="000000"/>
            </w:tcBorders>
          </w:tcPr>
          <w:p>
            <w:pPr/>
          </w:p>
        </w:tc>
        <w:tc>
          <w:tcPr>
            <w:tcW w:w="1603" w:type="dxa"/>
            <w:tcBorders>
              <w:top w:val="nil" w:sz="6" w:space="0" w:color="auto"/>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pStyle w:val="BodyText"/>
        <w:spacing w:line="240" w:lineRule="auto" w:before="36"/>
        <w:ind w:left="652" w:right="0"/>
        <w:jc w:val="left"/>
      </w:pPr>
      <w:r>
        <w:rPr/>
        <w:t>注：本期取得子公司系购买上海正品贵德股东持有的</w:t>
      </w:r>
      <w:r>
        <w:rPr>
          <w:rFonts w:ascii="Times New Roman" w:hAnsi="Times New Roman" w:cs="Times New Roman" w:eastAsia="Times New Roman" w:hint="default"/>
        </w:rPr>
        <w:t>70</w:t>
      </w:r>
      <w:r>
        <w:rPr/>
        <w:t>％股权。</w:t>
      </w:r>
    </w:p>
    <w:p>
      <w:pPr>
        <w:pStyle w:val="BodyText"/>
        <w:spacing w:line="240" w:lineRule="auto" w:before="170"/>
        <w:ind w:left="652" w:right="5418"/>
        <w:jc w:val="left"/>
      </w:pPr>
      <w:r>
        <w:rPr/>
        <w:t>（</w:t>
      </w:r>
      <w:r>
        <w:rPr>
          <w:rFonts w:ascii="Times New Roman" w:hAnsi="Times New Roman" w:cs="Times New Roman" w:eastAsia="Times New Roman" w:hint="default"/>
        </w:rPr>
        <w:t>5</w:t>
      </w:r>
      <w:r>
        <w:rPr/>
        <w:t>）现金和现金等价物：</w:t>
      </w:r>
    </w:p>
    <w:tbl>
      <w:tblPr>
        <w:tblW w:w="0" w:type="auto"/>
        <w:jc w:val="left"/>
        <w:tblInd w:w="110" w:type="dxa"/>
        <w:tblLayout w:type="fixed"/>
        <w:tblCellMar>
          <w:top w:w="0" w:type="dxa"/>
          <w:left w:w="0" w:type="dxa"/>
          <w:bottom w:w="0" w:type="dxa"/>
          <w:right w:w="0" w:type="dxa"/>
        </w:tblCellMar>
        <w:tblLook w:val="01E0"/>
      </w:tblPr>
      <w:tblGrid>
        <w:gridCol w:w="5844"/>
        <w:gridCol w:w="1582"/>
        <w:gridCol w:w="1529"/>
      </w:tblGrid>
      <w:tr>
        <w:trPr>
          <w:trHeight w:val="482" w:hRule="exact"/>
        </w:trPr>
        <w:tc>
          <w:tcPr>
            <w:tcW w:w="5844"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55"/>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5"/>
              <w:ind w:left="364"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5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5"/>
              <w:ind w:left="338"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567" w:hRule="exact"/>
        </w:trPr>
        <w:tc>
          <w:tcPr>
            <w:tcW w:w="5844"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5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437,931,113.59</w:t>
            </w:r>
          </w:p>
        </w:tc>
        <w:tc>
          <w:tcPr>
            <w:tcW w:w="1529"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491,511,005.02</w:t>
            </w:r>
          </w:p>
        </w:tc>
      </w:tr>
      <w:tr>
        <w:trPr>
          <w:trHeight w:val="460"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481,674.15</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412,655.58</w:t>
            </w:r>
          </w:p>
        </w:tc>
      </w:tr>
      <w:tr>
        <w:trPr>
          <w:trHeight w:val="461"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436,718,729.94</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482,712,522.46</w:t>
            </w:r>
          </w:p>
        </w:tc>
      </w:tr>
      <w:tr>
        <w:trPr>
          <w:trHeight w:val="460"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730,709.50</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8,385,826.98</w:t>
            </w:r>
          </w:p>
        </w:tc>
      </w:tr>
      <w:tr>
        <w:trPr>
          <w:trHeight w:val="449"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582"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461"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582"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460"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437,931,113.59</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spacing w:val="-1"/>
                <w:sz w:val="21"/>
              </w:rPr>
              <w:t>491,511,005.02</w:t>
            </w:r>
          </w:p>
        </w:tc>
      </w:tr>
      <w:tr>
        <w:trPr>
          <w:trHeight w:val="384" w:hRule="exact"/>
        </w:trPr>
        <w:tc>
          <w:tcPr>
            <w:tcW w:w="5844" w:type="dxa"/>
            <w:tcBorders>
              <w:top w:val="nil" w:sz="6" w:space="0" w:color="auto"/>
              <w:left w:val="nil" w:sz="6" w:space="0" w:color="auto"/>
              <w:bottom w:val="single" w:sz="12"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pacing w:val="-4"/>
                <w:sz w:val="21"/>
                <w:szCs w:val="21"/>
              </w:rPr>
              <w:t>其中：母公司或集团内子公司使用受限制的现金和现金等价物</w:t>
            </w:r>
          </w:p>
        </w:tc>
        <w:tc>
          <w:tcPr>
            <w:tcW w:w="1582" w:type="dxa"/>
            <w:tcBorders>
              <w:top w:val="nil" w:sz="6" w:space="0" w:color="auto"/>
              <w:left w:val="single" w:sz="4" w:space="0" w:color="000000"/>
              <w:bottom w:val="single" w:sz="12" w:space="0" w:color="000000"/>
              <w:right w:val="single" w:sz="4" w:space="0" w:color="000000"/>
            </w:tcBorders>
          </w:tcPr>
          <w:p>
            <w:pPr/>
          </w:p>
        </w:tc>
        <w:tc>
          <w:tcPr>
            <w:tcW w:w="1529"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4"/>
        <w:spacing w:line="240" w:lineRule="auto" w:before="36"/>
        <w:ind w:left="655" w:right="5418"/>
        <w:jc w:val="left"/>
        <w:rPr>
          <w:b w:val="0"/>
          <w:bCs w:val="0"/>
        </w:rPr>
      </w:pPr>
      <w:r>
        <w:rPr/>
        <w:t>（六）关联方关系及其交易</w:t>
      </w:r>
      <w:r>
        <w:rPr>
          <w:b w:val="0"/>
          <w:bCs w:val="0"/>
        </w:rPr>
      </w:r>
    </w:p>
    <w:p>
      <w:pPr>
        <w:spacing w:line="240" w:lineRule="auto" w:before="3"/>
        <w:rPr>
          <w:rFonts w:ascii="宋体" w:hAnsi="宋体" w:cs="宋体" w:eastAsia="宋体" w:hint="default"/>
          <w:b/>
          <w:bCs/>
          <w:sz w:val="14"/>
          <w:szCs w:val="14"/>
        </w:rPr>
      </w:pPr>
    </w:p>
    <w:p>
      <w:pPr>
        <w:pStyle w:val="BodyText"/>
        <w:spacing w:line="381" w:lineRule="auto"/>
        <w:ind w:left="652" w:right="0" w:hanging="1"/>
        <w:jc w:val="left"/>
      </w:pPr>
      <w:r>
        <w:rPr>
          <w:rFonts w:ascii="Times New Roman" w:hAnsi="Times New Roman" w:cs="Times New Roman" w:eastAsia="Times New Roman" w:hint="default"/>
        </w:rPr>
        <w:t>1</w:t>
      </w:r>
      <w:r>
        <w:rPr/>
        <w:t>．本公司关联方的认定标准：</w:t>
      </w:r>
      <w:r>
        <w:rPr>
          <w:w w:val="100"/>
        </w:rPr>
        <w:t> </w:t>
      </w:r>
      <w:r>
        <w:rPr>
          <w:spacing w:val="-2"/>
        </w:rPr>
        <w:t>本公司按照《企业会计准则》和中国证监会的相关规定，确定关联方的认定标准为：一方控制、共同</w:t>
      </w:r>
    </w:p>
    <w:p>
      <w:pPr>
        <w:spacing w:after="0" w:line="381" w:lineRule="auto"/>
        <w:jc w:val="left"/>
        <w:sectPr>
          <w:pgSz w:w="11910" w:h="16840"/>
          <w:pgMar w:header="850" w:footer="979" w:top="1200" w:bottom="1160" w:left="900" w:right="920"/>
        </w:sectPr>
      </w:pPr>
    </w:p>
    <w:p>
      <w:pPr>
        <w:spacing w:line="240" w:lineRule="auto" w:before="10"/>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8"/>
          <w:szCs w:val="8"/>
        </w:rPr>
      </w:pPr>
    </w:p>
    <w:p>
      <w:pPr>
        <w:pStyle w:val="BodyText"/>
        <w:spacing w:line="403" w:lineRule="auto" w:before="36"/>
        <w:ind w:left="252" w:right="0"/>
        <w:jc w:val="left"/>
      </w:pPr>
      <w:r>
        <w:rPr>
          <w:spacing w:val="-2"/>
        </w:rPr>
        <w:t>控制另一方或对另一方施加重大影响，以及两方或两方以上同受一方控制、共同控制或重大影响的，构成</w:t>
      </w:r>
      <w:r>
        <w:rPr>
          <w:spacing w:val="-42"/>
        </w:rPr>
        <w:t> </w:t>
      </w:r>
      <w:r>
        <w:rPr>
          <w:spacing w:val="-42"/>
        </w:rPr>
      </w:r>
      <w:r>
        <w:rPr/>
        <w:t>关联方。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ind w:left="672" w:right="0"/>
        <w:jc w:val="left"/>
      </w:pPr>
      <w:r>
        <w:rPr>
          <w:rFonts w:ascii="Times New Roman" w:hAnsi="Times New Roman" w:cs="Times New Roman" w:eastAsia="Times New Roman" w:hint="default"/>
        </w:rPr>
        <w:t>2</w:t>
      </w:r>
      <w:r>
        <w:rPr/>
        <w:t>．本企业的母公司（控制人）有关信息：</w:t>
      </w:r>
    </w:p>
    <w:tbl>
      <w:tblPr>
        <w:tblW w:w="0" w:type="auto"/>
        <w:jc w:val="left"/>
        <w:tblInd w:w="116" w:type="dxa"/>
        <w:tblLayout w:type="fixed"/>
        <w:tblCellMar>
          <w:top w:w="0" w:type="dxa"/>
          <w:left w:w="0" w:type="dxa"/>
          <w:bottom w:w="0" w:type="dxa"/>
          <w:right w:w="0" w:type="dxa"/>
        </w:tblCellMar>
        <w:tblLook w:val="01E0"/>
      </w:tblPr>
      <w:tblGrid>
        <w:gridCol w:w="2832"/>
        <w:gridCol w:w="2294"/>
        <w:gridCol w:w="2330"/>
        <w:gridCol w:w="2412"/>
      </w:tblGrid>
      <w:tr>
        <w:trPr>
          <w:trHeight w:val="480" w:hRule="exact"/>
        </w:trPr>
        <w:tc>
          <w:tcPr>
            <w:tcW w:w="28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583" w:right="0"/>
              <w:jc w:val="left"/>
              <w:rPr>
                <w:rFonts w:ascii="宋体" w:hAnsi="宋体" w:cs="宋体" w:eastAsia="宋体" w:hint="default"/>
                <w:sz w:val="21"/>
                <w:szCs w:val="21"/>
              </w:rPr>
            </w:pPr>
            <w:r>
              <w:rPr>
                <w:rFonts w:ascii="宋体" w:hAnsi="宋体" w:cs="宋体" w:eastAsia="宋体" w:hint="default"/>
                <w:sz w:val="21"/>
                <w:szCs w:val="21"/>
              </w:rPr>
              <w:t>控制人或企业名称</w:t>
            </w:r>
          </w:p>
        </w:tc>
        <w:tc>
          <w:tcPr>
            <w:tcW w:w="22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c>
          <w:tcPr>
            <w:tcW w:w="23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24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享有的表决权比例</w:t>
            </w:r>
          </w:p>
        </w:tc>
      </w:tr>
      <w:tr>
        <w:trPr>
          <w:trHeight w:val="480" w:hRule="exact"/>
        </w:trPr>
        <w:tc>
          <w:tcPr>
            <w:tcW w:w="28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李仲初</w:t>
            </w:r>
          </w:p>
        </w:tc>
        <w:tc>
          <w:tcPr>
            <w:tcW w:w="2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第一大股东</w:t>
            </w:r>
          </w:p>
        </w:tc>
        <w:tc>
          <w:tcPr>
            <w:tcW w:w="2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63.00%</w:t>
            </w:r>
          </w:p>
        </w:tc>
        <w:tc>
          <w:tcPr>
            <w:tcW w:w="24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63.00%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6"/>
        <w:ind w:left="672" w:right="0"/>
        <w:jc w:val="left"/>
      </w:pPr>
      <w:r>
        <w:rPr>
          <w:rFonts w:ascii="Times New Roman" w:hAnsi="Times New Roman" w:cs="Times New Roman" w:eastAsia="Times New Roman" w:hint="default"/>
        </w:rPr>
        <w:t>3</w:t>
      </w:r>
      <w:r>
        <w:rPr/>
        <w:t>．本企业的子公司有关信息披露：</w:t>
      </w:r>
    </w:p>
    <w:tbl>
      <w:tblPr>
        <w:tblW w:w="0" w:type="auto"/>
        <w:jc w:val="left"/>
        <w:tblInd w:w="130" w:type="dxa"/>
        <w:tblLayout w:type="fixed"/>
        <w:tblCellMar>
          <w:top w:w="0" w:type="dxa"/>
          <w:left w:w="0" w:type="dxa"/>
          <w:bottom w:w="0" w:type="dxa"/>
          <w:right w:w="0" w:type="dxa"/>
        </w:tblCellMar>
        <w:tblLook w:val="01E0"/>
      </w:tblPr>
      <w:tblGrid>
        <w:gridCol w:w="1692"/>
        <w:gridCol w:w="768"/>
        <w:gridCol w:w="766"/>
        <w:gridCol w:w="571"/>
        <w:gridCol w:w="766"/>
        <w:gridCol w:w="965"/>
        <w:gridCol w:w="1032"/>
        <w:gridCol w:w="962"/>
        <w:gridCol w:w="1104"/>
        <w:gridCol w:w="1243"/>
      </w:tblGrid>
      <w:tr>
        <w:trPr>
          <w:trHeight w:val="1099" w:hRule="exact"/>
        </w:trPr>
        <w:tc>
          <w:tcPr>
            <w:tcW w:w="1692"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01" w:right="107"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88" w:right="105"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5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92" w:right="187"/>
              <w:jc w:val="both"/>
              <w:rPr>
                <w:rFonts w:ascii="宋体" w:hAnsi="宋体" w:cs="宋体" w:eastAsia="宋体" w:hint="default"/>
                <w:sz w:val="18"/>
                <w:szCs w:val="18"/>
              </w:rPr>
            </w:pPr>
            <w:r>
              <w:rPr>
                <w:rFonts w:ascii="宋体" w:hAnsi="宋体" w:cs="宋体" w:eastAsia="宋体" w:hint="default"/>
                <w:sz w:val="18"/>
                <w:szCs w:val="18"/>
              </w:rPr>
              <w:t>注 册 地</w:t>
            </w:r>
          </w:p>
        </w:tc>
        <w:tc>
          <w:tcPr>
            <w:tcW w:w="7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88" w:right="105"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9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300" w:right="29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32" w:type="dxa"/>
            <w:tcBorders>
              <w:top w:val="single" w:sz="12" w:space="0" w:color="000000"/>
              <w:left w:val="single" w:sz="4" w:space="0" w:color="000000"/>
              <w:bottom w:val="single" w:sz="4" w:space="0" w:color="000000"/>
              <w:right w:val="single" w:sz="4" w:space="0" w:color="000000"/>
            </w:tcBorders>
          </w:tcPr>
          <w:p>
            <w:pPr>
              <w:pStyle w:val="TableParagraph"/>
              <w:spacing w:line="234" w:lineRule="exact" w:before="161"/>
              <w:ind w:left="153"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2" w:lineRule="exact" w:before="23"/>
              <w:ind w:left="333" w:right="98" w:hanging="229"/>
              <w:jc w:val="left"/>
              <w:rPr>
                <w:rFonts w:ascii="宋体" w:hAnsi="宋体" w:cs="宋体" w:eastAsia="宋体" w:hint="default"/>
                <w:sz w:val="18"/>
                <w:szCs w:val="18"/>
              </w:rPr>
            </w:pPr>
            <w:r>
              <w:rPr>
                <w:rFonts w:ascii="宋体" w:hAnsi="宋体" w:cs="宋体" w:eastAsia="宋体" w:hint="default"/>
                <w:spacing w:val="-17"/>
                <w:sz w:val="18"/>
                <w:szCs w:val="18"/>
              </w:rPr>
              <w:t>（单位：万</w:t>
            </w:r>
            <w:r>
              <w:rPr>
                <w:rFonts w:ascii="宋体" w:hAnsi="宋体" w:cs="宋体" w:eastAsia="宋体" w:hint="default"/>
                <w:sz w:val="18"/>
                <w:szCs w:val="18"/>
              </w:rPr>
              <w:t> 元）</w:t>
            </w:r>
          </w:p>
        </w:tc>
        <w:tc>
          <w:tcPr>
            <w:tcW w:w="9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17" w:right="113"/>
              <w:jc w:val="center"/>
              <w:rPr>
                <w:rFonts w:ascii="宋体" w:hAnsi="宋体" w:cs="宋体" w:eastAsia="宋体" w:hint="default"/>
                <w:sz w:val="18"/>
                <w:szCs w:val="18"/>
              </w:rPr>
            </w:pPr>
            <w:r>
              <w:rPr>
                <w:rFonts w:ascii="宋体" w:hAnsi="宋体" w:cs="宋体" w:eastAsia="宋体" w:hint="default"/>
                <w:sz w:val="18"/>
                <w:szCs w:val="18"/>
              </w:rPr>
              <w:t>本企业合 计持股比 例</w:t>
            </w:r>
          </w:p>
        </w:tc>
        <w:tc>
          <w:tcPr>
            <w:tcW w:w="1104"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46"/>
              <w:ind w:left="189" w:right="182"/>
              <w:jc w:val="center"/>
              <w:rPr>
                <w:rFonts w:ascii="宋体" w:hAnsi="宋体" w:cs="宋体" w:eastAsia="宋体" w:hint="default"/>
                <w:sz w:val="18"/>
                <w:szCs w:val="18"/>
              </w:rPr>
            </w:pPr>
            <w:r>
              <w:rPr>
                <w:rFonts w:ascii="宋体" w:hAnsi="宋体" w:cs="宋体" w:eastAsia="宋体" w:hint="default"/>
                <w:sz w:val="18"/>
                <w:szCs w:val="18"/>
              </w:rPr>
              <w:t>本企业合 计享有的 表决权比 例</w:t>
            </w:r>
          </w:p>
        </w:tc>
        <w:tc>
          <w:tcPr>
            <w:tcW w:w="12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439" w:right="257"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611" w:hRule="exact"/>
        </w:trPr>
        <w:tc>
          <w:tcPr>
            <w:tcW w:w="1692" w:type="dxa"/>
            <w:tcBorders>
              <w:top w:val="single" w:sz="4" w:space="0" w:color="000000"/>
              <w:left w:val="nil" w:sz="6" w:space="0" w:color="auto"/>
              <w:bottom w:val="nil" w:sz="6" w:space="0" w:color="auto"/>
              <w:right w:val="single" w:sz="4" w:space="0" w:color="000000"/>
            </w:tcBorders>
          </w:tcPr>
          <w:p>
            <w:pPr>
              <w:pStyle w:val="TableParagraph"/>
              <w:spacing w:line="232" w:lineRule="exact" w:before="66"/>
              <w:ind w:left="122" w:right="101"/>
              <w:jc w:val="left"/>
              <w:rPr>
                <w:rFonts w:ascii="宋体" w:hAnsi="宋体" w:cs="宋体" w:eastAsia="宋体" w:hint="default"/>
                <w:sz w:val="18"/>
                <w:szCs w:val="18"/>
              </w:rPr>
            </w:pPr>
            <w:r>
              <w:rPr>
                <w:rFonts w:ascii="宋体" w:hAnsi="宋体" w:cs="宋体" w:eastAsia="宋体" w:hint="default"/>
                <w:spacing w:val="2"/>
                <w:sz w:val="18"/>
                <w:szCs w:val="18"/>
              </w:rPr>
              <w:t>上海石基信息技术 </w:t>
            </w:r>
            <w:r>
              <w:rPr>
                <w:rFonts w:ascii="宋体" w:hAnsi="宋体" w:cs="宋体" w:eastAsia="宋体" w:hint="default"/>
                <w:sz w:val="18"/>
                <w:szCs w:val="18"/>
              </w:rPr>
              <w:t>有限公司</w:t>
            </w:r>
          </w:p>
        </w:tc>
        <w:tc>
          <w:tcPr>
            <w:tcW w:w="768" w:type="dxa"/>
            <w:tcBorders>
              <w:top w:val="single" w:sz="4" w:space="0" w:color="000000"/>
              <w:left w:val="single" w:sz="4" w:space="0" w:color="000000"/>
              <w:bottom w:val="nil" w:sz="6" w:space="0" w:color="auto"/>
              <w:right w:val="single" w:sz="4" w:space="0" w:color="000000"/>
            </w:tcBorders>
          </w:tcPr>
          <w:p>
            <w:pPr>
              <w:pStyle w:val="TableParagraph"/>
              <w:spacing w:line="232" w:lineRule="exact" w:before="66"/>
              <w:ind w:left="201" w:right="107"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66" w:type="dxa"/>
            <w:tcBorders>
              <w:top w:val="single" w:sz="4" w:space="0" w:color="000000"/>
              <w:left w:val="single" w:sz="4" w:space="0" w:color="000000"/>
              <w:bottom w:val="nil" w:sz="6" w:space="0" w:color="auto"/>
              <w:right w:val="single" w:sz="4" w:space="0" w:color="000000"/>
            </w:tcBorders>
          </w:tcPr>
          <w:p>
            <w:pPr>
              <w:pStyle w:val="TableParagraph"/>
              <w:spacing w:line="232" w:lineRule="exact" w:before="66"/>
              <w:ind w:left="108"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71" w:type="dxa"/>
            <w:tcBorders>
              <w:top w:val="single" w:sz="4" w:space="0" w:color="000000"/>
              <w:left w:val="single" w:sz="4" w:space="0" w:color="000000"/>
              <w:bottom w:val="nil" w:sz="6" w:space="0" w:color="auto"/>
              <w:right w:val="single" w:sz="4" w:space="0" w:color="000000"/>
            </w:tcBorders>
          </w:tcPr>
          <w:p>
            <w:pPr>
              <w:pStyle w:val="TableParagraph"/>
              <w:spacing w:line="232" w:lineRule="exact" w:before="66"/>
              <w:ind w:left="192" w:right="187"/>
              <w:jc w:val="center"/>
              <w:rPr>
                <w:rFonts w:ascii="宋体" w:hAnsi="宋体" w:cs="宋体" w:eastAsia="宋体" w:hint="default"/>
                <w:sz w:val="18"/>
                <w:szCs w:val="18"/>
              </w:rPr>
            </w:pPr>
            <w:r>
              <w:rPr>
                <w:rFonts w:ascii="宋体" w:hAnsi="宋体" w:cs="宋体" w:eastAsia="宋体" w:hint="default"/>
                <w:sz w:val="18"/>
                <w:szCs w:val="18"/>
              </w:rPr>
              <w:t>上 海</w:t>
            </w:r>
          </w:p>
        </w:tc>
        <w:tc>
          <w:tcPr>
            <w:tcW w:w="7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9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left="5"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10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9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left="153" w:right="0"/>
              <w:jc w:val="left"/>
              <w:rPr>
                <w:rFonts w:ascii="Times New Roman" w:hAnsi="Times New Roman" w:cs="Times New Roman" w:eastAsia="Times New Roman" w:hint="default"/>
                <w:sz w:val="18"/>
                <w:szCs w:val="18"/>
              </w:rPr>
            </w:pPr>
            <w:r>
              <w:rPr>
                <w:rFonts w:ascii="Times New Roman"/>
                <w:sz w:val="18"/>
              </w:rPr>
              <w:t>100.00%</w:t>
            </w:r>
          </w:p>
        </w:tc>
        <w:tc>
          <w:tcPr>
            <w:tcW w:w="1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left="5" w:right="0"/>
              <w:jc w:val="center"/>
              <w:rPr>
                <w:rFonts w:ascii="Times New Roman" w:hAnsi="Times New Roman" w:cs="Times New Roman" w:eastAsia="Times New Roman" w:hint="default"/>
                <w:sz w:val="18"/>
                <w:szCs w:val="18"/>
              </w:rPr>
            </w:pPr>
            <w:r>
              <w:rPr>
                <w:rFonts w:ascii="Times New Roman"/>
                <w:sz w:val="18"/>
              </w:rPr>
              <w:t>100.00%</w:t>
            </w:r>
          </w:p>
        </w:tc>
        <w:tc>
          <w:tcPr>
            <w:tcW w:w="1243" w:type="dxa"/>
            <w:tcBorders>
              <w:top w:val="single" w:sz="4" w:space="0" w:color="000000"/>
              <w:left w:val="single" w:sz="4" w:space="0" w:color="000000"/>
              <w:bottom w:val="nil" w:sz="6" w:space="0" w:color="auto"/>
              <w:right w:val="nil" w:sz="6" w:space="0" w:color="auto"/>
            </w:tcBorders>
          </w:tcPr>
          <w:p>
            <w:pPr>
              <w:pStyle w:val="TableParagraph"/>
              <w:spacing w:line="240" w:lineRule="auto" w:before="67"/>
              <w:ind w:left="182" w:right="0"/>
              <w:jc w:val="left"/>
              <w:rPr>
                <w:rFonts w:ascii="Times New Roman" w:hAnsi="Times New Roman" w:cs="Times New Roman" w:eastAsia="Times New Roman" w:hint="default"/>
                <w:sz w:val="18"/>
                <w:szCs w:val="18"/>
              </w:rPr>
            </w:pPr>
            <w:r>
              <w:rPr>
                <w:rFonts w:ascii="Times New Roman"/>
                <w:sz w:val="18"/>
              </w:rPr>
              <w:t>70341945-7</w:t>
            </w:r>
          </w:p>
        </w:tc>
      </w:tr>
      <w:tr>
        <w:trPr>
          <w:trHeight w:val="611" w:hRule="exact"/>
        </w:trPr>
        <w:tc>
          <w:tcPr>
            <w:tcW w:w="1692" w:type="dxa"/>
            <w:tcBorders>
              <w:top w:val="nil" w:sz="6" w:space="0" w:color="auto"/>
              <w:left w:val="nil" w:sz="6" w:space="0" w:color="auto"/>
              <w:bottom w:val="nil" w:sz="6" w:space="0" w:color="auto"/>
              <w:right w:val="single" w:sz="4" w:space="0" w:color="000000"/>
            </w:tcBorders>
          </w:tcPr>
          <w:p>
            <w:pPr>
              <w:pStyle w:val="TableParagraph"/>
              <w:spacing w:line="232" w:lineRule="exact" w:before="72"/>
              <w:ind w:left="122" w:right="101"/>
              <w:jc w:val="left"/>
              <w:rPr>
                <w:rFonts w:ascii="宋体" w:hAnsi="宋体" w:cs="宋体" w:eastAsia="宋体" w:hint="default"/>
                <w:sz w:val="18"/>
                <w:szCs w:val="18"/>
              </w:rPr>
            </w:pPr>
            <w:r>
              <w:rPr>
                <w:rFonts w:ascii="宋体" w:hAnsi="宋体" w:cs="宋体" w:eastAsia="宋体" w:hint="default"/>
                <w:spacing w:val="2"/>
                <w:sz w:val="18"/>
                <w:szCs w:val="18"/>
              </w:rPr>
              <w:t>北京石基昆仑软件 </w:t>
            </w:r>
            <w:r>
              <w:rPr>
                <w:rFonts w:ascii="宋体" w:hAnsi="宋体" w:cs="宋体" w:eastAsia="宋体" w:hint="default"/>
                <w:sz w:val="18"/>
                <w:szCs w:val="18"/>
              </w:rPr>
              <w:t>有限公司</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32" w:lineRule="exact" w:before="72"/>
              <w:ind w:left="201" w:right="107" w:hanging="92"/>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32" w:lineRule="exact" w:before="72"/>
              <w:ind w:left="108"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71" w:type="dxa"/>
            <w:tcBorders>
              <w:top w:val="nil" w:sz="6" w:space="0" w:color="auto"/>
              <w:left w:val="single" w:sz="4" w:space="0" w:color="000000"/>
              <w:bottom w:val="nil" w:sz="6" w:space="0" w:color="auto"/>
              <w:right w:val="single" w:sz="4" w:space="0" w:color="000000"/>
            </w:tcBorders>
          </w:tcPr>
          <w:p>
            <w:pPr>
              <w:pStyle w:val="TableParagraph"/>
              <w:spacing w:line="232" w:lineRule="exact" w:before="72"/>
              <w:ind w:left="192" w:right="187"/>
              <w:jc w:val="center"/>
              <w:rPr>
                <w:rFonts w:ascii="宋体" w:hAnsi="宋体" w:cs="宋体" w:eastAsia="宋体" w:hint="default"/>
                <w:sz w:val="18"/>
                <w:szCs w:val="18"/>
              </w:rPr>
            </w:pPr>
            <w:r>
              <w:rPr>
                <w:rFonts w:ascii="宋体" w:hAnsi="宋体" w:cs="宋体" w:eastAsia="宋体" w:hint="default"/>
                <w:sz w:val="18"/>
                <w:szCs w:val="18"/>
              </w:rPr>
              <w:t>北 京</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5"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98"/>
              <w:jc w:val="right"/>
              <w:rPr>
                <w:rFonts w:ascii="Times New Roman" w:hAnsi="Times New Roman" w:cs="Times New Roman" w:eastAsia="Times New Roman" w:hint="default"/>
                <w:sz w:val="18"/>
                <w:szCs w:val="18"/>
              </w:rPr>
            </w:pPr>
            <w:r>
              <w:rPr>
                <w:rFonts w:ascii="Times New Roman"/>
                <w:spacing w:val="-1"/>
                <w:sz w:val="18"/>
              </w:rPr>
              <w:t>428.00</w:t>
            </w:r>
            <w:r>
              <w:rPr>
                <w:rFonts w:ascii="Times New Roman"/>
                <w:sz w:val="18"/>
              </w:rPr>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99" w:right="0"/>
              <w:jc w:val="left"/>
              <w:rPr>
                <w:rFonts w:ascii="Times New Roman" w:hAnsi="Times New Roman" w:cs="Times New Roman" w:eastAsia="Times New Roman" w:hint="default"/>
                <w:sz w:val="18"/>
                <w:szCs w:val="18"/>
              </w:rPr>
            </w:pPr>
            <w:r>
              <w:rPr>
                <w:rFonts w:ascii="Times New Roman"/>
                <w:sz w:val="18"/>
              </w:rPr>
              <w:t>82.40%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8" w:right="0"/>
              <w:jc w:val="center"/>
              <w:rPr>
                <w:rFonts w:ascii="Times New Roman" w:hAnsi="Times New Roman" w:cs="Times New Roman" w:eastAsia="Times New Roman" w:hint="default"/>
                <w:sz w:val="18"/>
                <w:szCs w:val="18"/>
              </w:rPr>
            </w:pPr>
            <w:r>
              <w:rPr>
                <w:rFonts w:ascii="Times New Roman"/>
                <w:sz w:val="18"/>
              </w:rPr>
              <w:t>82.40%</w:t>
            </w:r>
          </w:p>
        </w:tc>
        <w:tc>
          <w:tcPr>
            <w:tcW w:w="1243"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left="182" w:right="0"/>
              <w:jc w:val="left"/>
              <w:rPr>
                <w:rFonts w:ascii="Times New Roman" w:hAnsi="Times New Roman" w:cs="Times New Roman" w:eastAsia="Times New Roman" w:hint="default"/>
                <w:sz w:val="18"/>
                <w:szCs w:val="18"/>
              </w:rPr>
            </w:pPr>
            <w:r>
              <w:rPr>
                <w:rFonts w:ascii="Times New Roman"/>
                <w:sz w:val="18"/>
              </w:rPr>
              <w:t>77708076-7</w:t>
            </w:r>
          </w:p>
        </w:tc>
      </w:tr>
      <w:tr>
        <w:trPr>
          <w:trHeight w:val="612" w:hRule="exact"/>
        </w:trPr>
        <w:tc>
          <w:tcPr>
            <w:tcW w:w="1692"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101"/>
              <w:jc w:val="left"/>
              <w:rPr>
                <w:rFonts w:ascii="宋体" w:hAnsi="宋体" w:cs="宋体" w:eastAsia="宋体" w:hint="default"/>
                <w:sz w:val="18"/>
                <w:szCs w:val="18"/>
              </w:rPr>
            </w:pPr>
            <w:r>
              <w:rPr>
                <w:rFonts w:ascii="宋体" w:hAnsi="宋体" w:cs="宋体" w:eastAsia="宋体" w:hint="default"/>
                <w:spacing w:val="2"/>
                <w:sz w:val="18"/>
                <w:szCs w:val="18"/>
              </w:rPr>
              <w:t>杭州西软科技有限 </w:t>
            </w:r>
            <w:r>
              <w:rPr>
                <w:rFonts w:ascii="宋体" w:hAnsi="宋体" w:cs="宋体" w:eastAsia="宋体" w:hint="default"/>
                <w:sz w:val="18"/>
                <w:szCs w:val="18"/>
              </w:rPr>
              <w:t>公司</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01" w:right="107"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92" w:right="187"/>
              <w:jc w:val="center"/>
              <w:rPr>
                <w:rFonts w:ascii="宋体" w:hAnsi="宋体" w:cs="宋体" w:eastAsia="宋体" w:hint="default"/>
                <w:sz w:val="18"/>
                <w:szCs w:val="18"/>
              </w:rPr>
            </w:pPr>
            <w:r>
              <w:rPr>
                <w:rFonts w:ascii="宋体" w:hAnsi="宋体" w:cs="宋体" w:eastAsia="宋体" w:hint="default"/>
                <w:sz w:val="18"/>
                <w:szCs w:val="18"/>
              </w:rPr>
              <w:t>杭 州</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5"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5"/>
              <w:jc w:val="right"/>
              <w:rPr>
                <w:rFonts w:ascii="Times New Roman" w:hAnsi="Times New Roman" w:cs="Times New Roman" w:eastAsia="Times New Roman" w:hint="default"/>
                <w:sz w:val="18"/>
                <w:szCs w:val="18"/>
              </w:rPr>
            </w:pPr>
            <w:r>
              <w:rPr>
                <w:rFonts w:ascii="Times New Roman"/>
                <w:sz w:val="18"/>
              </w:rPr>
              <w:t>1,970.00</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53" w:right="0"/>
              <w:jc w:val="left"/>
              <w:rPr>
                <w:rFonts w:ascii="Times New Roman" w:hAnsi="Times New Roman" w:cs="Times New Roman" w:eastAsia="Times New Roman" w:hint="default"/>
                <w:sz w:val="18"/>
                <w:szCs w:val="18"/>
              </w:rPr>
            </w:pPr>
            <w:r>
              <w:rPr>
                <w:rFonts w:ascii="Times New Roman"/>
                <w:sz w:val="18"/>
              </w:rPr>
              <w:t>100.00%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4" w:right="0"/>
              <w:jc w:val="center"/>
              <w:rPr>
                <w:rFonts w:ascii="Times New Roman" w:hAnsi="Times New Roman" w:cs="Times New Roman" w:eastAsia="Times New Roman" w:hint="default"/>
                <w:sz w:val="18"/>
                <w:szCs w:val="18"/>
              </w:rPr>
            </w:pPr>
            <w:r>
              <w:rPr>
                <w:rFonts w:ascii="Times New Roman"/>
                <w:sz w:val="18"/>
              </w:rPr>
              <w:t>100.00%</w:t>
            </w:r>
          </w:p>
        </w:tc>
        <w:tc>
          <w:tcPr>
            <w:tcW w:w="1243"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left="182" w:right="0"/>
              <w:jc w:val="left"/>
              <w:rPr>
                <w:rFonts w:ascii="Times New Roman" w:hAnsi="Times New Roman" w:cs="Times New Roman" w:eastAsia="Times New Roman" w:hint="default"/>
                <w:sz w:val="18"/>
                <w:szCs w:val="18"/>
              </w:rPr>
            </w:pPr>
            <w:r>
              <w:rPr>
                <w:rFonts w:ascii="Times New Roman"/>
                <w:sz w:val="18"/>
              </w:rPr>
              <w:t>72718100-9</w:t>
            </w:r>
          </w:p>
        </w:tc>
      </w:tr>
      <w:tr>
        <w:trPr>
          <w:trHeight w:val="610" w:hRule="exact"/>
        </w:trPr>
        <w:tc>
          <w:tcPr>
            <w:tcW w:w="1692" w:type="dxa"/>
            <w:tcBorders>
              <w:top w:val="nil" w:sz="6" w:space="0" w:color="auto"/>
              <w:left w:val="nil" w:sz="6" w:space="0" w:color="auto"/>
              <w:bottom w:val="nil" w:sz="6" w:space="0" w:color="auto"/>
              <w:right w:val="single" w:sz="4" w:space="0" w:color="000000"/>
            </w:tcBorders>
          </w:tcPr>
          <w:p>
            <w:pPr>
              <w:pStyle w:val="TableParagraph"/>
              <w:spacing w:line="232" w:lineRule="exact" w:before="71"/>
              <w:ind w:left="122" w:right="101"/>
              <w:jc w:val="left"/>
              <w:rPr>
                <w:rFonts w:ascii="宋体" w:hAnsi="宋体" w:cs="宋体" w:eastAsia="宋体" w:hint="default"/>
                <w:sz w:val="18"/>
                <w:szCs w:val="18"/>
              </w:rPr>
            </w:pPr>
            <w:r>
              <w:rPr>
                <w:rFonts w:ascii="宋体" w:hAnsi="宋体" w:cs="宋体" w:eastAsia="宋体" w:hint="default"/>
                <w:spacing w:val="2"/>
                <w:sz w:val="18"/>
                <w:szCs w:val="18"/>
              </w:rPr>
              <w:t>杭州西软信息技术 </w:t>
            </w:r>
            <w:r>
              <w:rPr>
                <w:rFonts w:ascii="宋体" w:hAnsi="宋体" w:cs="宋体" w:eastAsia="宋体" w:hint="default"/>
                <w:sz w:val="18"/>
                <w:szCs w:val="18"/>
              </w:rPr>
              <w:t>有限公司</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201" w:right="107"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108"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71"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192" w:right="187"/>
              <w:jc w:val="center"/>
              <w:rPr>
                <w:rFonts w:ascii="宋体" w:hAnsi="宋体" w:cs="宋体" w:eastAsia="宋体" w:hint="default"/>
                <w:sz w:val="18"/>
                <w:szCs w:val="18"/>
              </w:rPr>
            </w:pPr>
            <w:r>
              <w:rPr>
                <w:rFonts w:ascii="宋体" w:hAnsi="宋体" w:cs="宋体" w:eastAsia="宋体" w:hint="default"/>
                <w:sz w:val="18"/>
                <w:szCs w:val="18"/>
              </w:rPr>
              <w:t>杭 州</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5"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18"/>
                <w:szCs w:val="18"/>
              </w:rPr>
            </w:pPr>
            <w:r>
              <w:rPr>
                <w:rFonts w:ascii="Times New Roman"/>
                <w:spacing w:val="-1"/>
                <w:sz w:val="18"/>
              </w:rPr>
              <w:t>666.00</w:t>
            </w:r>
            <w:r>
              <w:rPr>
                <w:rFonts w:ascii="Times New Roman"/>
                <w:sz w:val="18"/>
              </w:rPr>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53" w:right="0"/>
              <w:jc w:val="left"/>
              <w:rPr>
                <w:rFonts w:ascii="Times New Roman" w:hAnsi="Times New Roman" w:cs="Times New Roman" w:eastAsia="Times New Roman" w:hint="default"/>
                <w:sz w:val="18"/>
                <w:szCs w:val="18"/>
              </w:rPr>
            </w:pPr>
            <w:r>
              <w:rPr>
                <w:rFonts w:ascii="Times New Roman"/>
                <w:sz w:val="18"/>
              </w:rPr>
              <w:t>100.00%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4" w:right="0"/>
              <w:jc w:val="center"/>
              <w:rPr>
                <w:rFonts w:ascii="Times New Roman" w:hAnsi="Times New Roman" w:cs="Times New Roman" w:eastAsia="Times New Roman" w:hint="default"/>
                <w:sz w:val="18"/>
                <w:szCs w:val="18"/>
              </w:rPr>
            </w:pPr>
            <w:r>
              <w:rPr>
                <w:rFonts w:ascii="Times New Roman"/>
                <w:sz w:val="18"/>
              </w:rPr>
              <w:t>100.00%</w:t>
            </w:r>
          </w:p>
        </w:tc>
        <w:tc>
          <w:tcPr>
            <w:tcW w:w="1243"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left="182" w:right="0"/>
              <w:jc w:val="left"/>
              <w:rPr>
                <w:rFonts w:ascii="Times New Roman" w:hAnsi="Times New Roman" w:cs="Times New Roman" w:eastAsia="Times New Roman" w:hint="default"/>
                <w:sz w:val="18"/>
                <w:szCs w:val="18"/>
              </w:rPr>
            </w:pPr>
            <w:r>
              <w:rPr>
                <w:rFonts w:ascii="Times New Roman"/>
                <w:sz w:val="18"/>
              </w:rPr>
              <w:t>57436615-9</w:t>
            </w:r>
          </w:p>
        </w:tc>
      </w:tr>
      <w:tr>
        <w:trPr>
          <w:trHeight w:val="612" w:hRule="exact"/>
        </w:trPr>
        <w:tc>
          <w:tcPr>
            <w:tcW w:w="1692"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101"/>
              <w:jc w:val="left"/>
              <w:rPr>
                <w:rFonts w:ascii="宋体" w:hAnsi="宋体" w:cs="宋体" w:eastAsia="宋体" w:hint="default"/>
                <w:sz w:val="18"/>
                <w:szCs w:val="18"/>
              </w:rPr>
            </w:pPr>
            <w:r>
              <w:rPr>
                <w:rFonts w:ascii="宋体" w:hAnsi="宋体" w:cs="宋体" w:eastAsia="宋体" w:hint="default"/>
                <w:spacing w:val="2"/>
                <w:sz w:val="18"/>
                <w:szCs w:val="18"/>
              </w:rPr>
              <w:t>北京中长石基软件 </w:t>
            </w:r>
            <w:r>
              <w:rPr>
                <w:rFonts w:ascii="宋体" w:hAnsi="宋体" w:cs="宋体" w:eastAsia="宋体" w:hint="default"/>
                <w:sz w:val="18"/>
                <w:szCs w:val="18"/>
              </w:rPr>
              <w:t>有限公司</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01" w:right="107"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92" w:right="187"/>
              <w:jc w:val="center"/>
              <w:rPr>
                <w:rFonts w:ascii="宋体" w:hAnsi="宋体" w:cs="宋体" w:eastAsia="宋体" w:hint="default"/>
                <w:sz w:val="18"/>
                <w:szCs w:val="18"/>
              </w:rPr>
            </w:pPr>
            <w:r>
              <w:rPr>
                <w:rFonts w:ascii="宋体" w:hAnsi="宋体" w:cs="宋体" w:eastAsia="宋体" w:hint="default"/>
                <w:sz w:val="18"/>
                <w:szCs w:val="18"/>
              </w:rPr>
              <w:t>北 京</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20" w:right="113"/>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5"/>
              <w:jc w:val="right"/>
              <w:rPr>
                <w:rFonts w:ascii="Times New Roman" w:hAnsi="Times New Roman" w:cs="Times New Roman" w:eastAsia="Times New Roman" w:hint="default"/>
                <w:sz w:val="18"/>
                <w:szCs w:val="18"/>
              </w:rPr>
            </w:pPr>
            <w:r>
              <w:rPr>
                <w:rFonts w:ascii="Times New Roman"/>
                <w:sz w:val="18"/>
              </w:rPr>
              <w:t>1,000.00</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53" w:right="0"/>
              <w:jc w:val="left"/>
              <w:rPr>
                <w:rFonts w:ascii="Times New Roman" w:hAnsi="Times New Roman" w:cs="Times New Roman" w:eastAsia="Times New Roman" w:hint="default"/>
                <w:sz w:val="18"/>
                <w:szCs w:val="18"/>
              </w:rPr>
            </w:pPr>
            <w:r>
              <w:rPr>
                <w:rFonts w:ascii="Times New Roman"/>
                <w:sz w:val="18"/>
              </w:rPr>
              <w:t>100.00%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5" w:right="0"/>
              <w:jc w:val="center"/>
              <w:rPr>
                <w:rFonts w:ascii="Times New Roman" w:hAnsi="Times New Roman" w:cs="Times New Roman" w:eastAsia="Times New Roman" w:hint="default"/>
                <w:sz w:val="18"/>
                <w:szCs w:val="18"/>
              </w:rPr>
            </w:pPr>
            <w:r>
              <w:rPr>
                <w:rFonts w:ascii="Times New Roman"/>
                <w:sz w:val="18"/>
              </w:rPr>
              <w:t>100.00%</w:t>
            </w:r>
          </w:p>
        </w:tc>
        <w:tc>
          <w:tcPr>
            <w:tcW w:w="1243"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left="182" w:right="0"/>
              <w:jc w:val="left"/>
              <w:rPr>
                <w:rFonts w:ascii="Times New Roman" w:hAnsi="Times New Roman" w:cs="Times New Roman" w:eastAsia="Times New Roman" w:hint="default"/>
                <w:sz w:val="18"/>
                <w:szCs w:val="18"/>
              </w:rPr>
            </w:pPr>
            <w:r>
              <w:rPr>
                <w:rFonts w:ascii="Times New Roman"/>
                <w:sz w:val="18"/>
              </w:rPr>
              <w:t>68046194-2</w:t>
            </w:r>
          </w:p>
        </w:tc>
      </w:tr>
      <w:tr>
        <w:trPr>
          <w:trHeight w:val="610" w:hRule="exact"/>
        </w:trPr>
        <w:tc>
          <w:tcPr>
            <w:tcW w:w="1692" w:type="dxa"/>
            <w:tcBorders>
              <w:top w:val="nil" w:sz="6" w:space="0" w:color="auto"/>
              <w:left w:val="nil" w:sz="6" w:space="0" w:color="auto"/>
              <w:bottom w:val="nil" w:sz="6" w:space="0" w:color="auto"/>
              <w:right w:val="single" w:sz="4" w:space="0" w:color="000000"/>
            </w:tcBorders>
          </w:tcPr>
          <w:p>
            <w:pPr>
              <w:pStyle w:val="TableParagraph"/>
              <w:spacing w:line="232" w:lineRule="exact" w:before="71"/>
              <w:ind w:left="122" w:right="101"/>
              <w:jc w:val="left"/>
              <w:rPr>
                <w:rFonts w:ascii="宋体" w:hAnsi="宋体" w:cs="宋体" w:eastAsia="宋体" w:hint="default"/>
                <w:sz w:val="18"/>
                <w:szCs w:val="18"/>
              </w:rPr>
            </w:pPr>
            <w:r>
              <w:rPr>
                <w:rFonts w:ascii="宋体" w:hAnsi="宋体" w:cs="宋体" w:eastAsia="宋体" w:hint="default"/>
                <w:spacing w:val="2"/>
                <w:sz w:val="18"/>
                <w:szCs w:val="18"/>
              </w:rPr>
              <w:t>北海石基信息技术 </w:t>
            </w:r>
            <w:r>
              <w:rPr>
                <w:rFonts w:ascii="宋体" w:hAnsi="宋体" w:cs="宋体" w:eastAsia="宋体" w:hint="default"/>
                <w:sz w:val="18"/>
                <w:szCs w:val="18"/>
              </w:rPr>
              <w:t>有限公司</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201" w:right="107"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108"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71"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192" w:right="187"/>
              <w:jc w:val="center"/>
              <w:rPr>
                <w:rFonts w:ascii="宋体" w:hAnsi="宋体" w:cs="宋体" w:eastAsia="宋体" w:hint="default"/>
                <w:sz w:val="18"/>
                <w:szCs w:val="18"/>
              </w:rPr>
            </w:pPr>
            <w:r>
              <w:rPr>
                <w:rFonts w:ascii="宋体" w:hAnsi="宋体" w:cs="宋体" w:eastAsia="宋体" w:hint="default"/>
                <w:sz w:val="18"/>
                <w:szCs w:val="18"/>
              </w:rPr>
              <w:t>北 海</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120" w:right="113"/>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18"/>
                <w:szCs w:val="18"/>
              </w:rPr>
            </w:pPr>
            <w:r>
              <w:rPr>
                <w:rFonts w:ascii="Times New Roman"/>
                <w:spacing w:val="-1"/>
                <w:sz w:val="18"/>
              </w:rPr>
              <w:t>11,000.00</w:t>
            </w:r>
            <w:r>
              <w:rPr>
                <w:rFonts w:ascii="Times New Roman"/>
                <w:sz w:val="18"/>
              </w:rPr>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53" w:right="0"/>
              <w:jc w:val="left"/>
              <w:rPr>
                <w:rFonts w:ascii="Times New Roman" w:hAnsi="Times New Roman" w:cs="Times New Roman" w:eastAsia="Times New Roman" w:hint="default"/>
                <w:sz w:val="18"/>
                <w:szCs w:val="18"/>
              </w:rPr>
            </w:pPr>
            <w:r>
              <w:rPr>
                <w:rFonts w:ascii="Times New Roman"/>
                <w:sz w:val="18"/>
              </w:rPr>
              <w:t>100.00%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5" w:right="0"/>
              <w:jc w:val="center"/>
              <w:rPr>
                <w:rFonts w:ascii="Times New Roman" w:hAnsi="Times New Roman" w:cs="Times New Roman" w:eastAsia="Times New Roman" w:hint="default"/>
                <w:sz w:val="18"/>
                <w:szCs w:val="18"/>
              </w:rPr>
            </w:pPr>
            <w:r>
              <w:rPr>
                <w:rFonts w:ascii="Times New Roman"/>
                <w:sz w:val="18"/>
              </w:rPr>
              <w:t>100.00%</w:t>
            </w:r>
          </w:p>
        </w:tc>
        <w:tc>
          <w:tcPr>
            <w:tcW w:w="1243"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left="182" w:right="0"/>
              <w:jc w:val="left"/>
              <w:rPr>
                <w:rFonts w:ascii="Times New Roman" w:hAnsi="Times New Roman" w:cs="Times New Roman" w:eastAsia="Times New Roman" w:hint="default"/>
                <w:sz w:val="18"/>
                <w:szCs w:val="18"/>
              </w:rPr>
            </w:pPr>
            <w:r>
              <w:rPr>
                <w:rFonts w:ascii="Times New Roman"/>
                <w:sz w:val="18"/>
              </w:rPr>
              <w:t>66972768-2</w:t>
            </w:r>
          </w:p>
        </w:tc>
      </w:tr>
      <w:tr>
        <w:trPr>
          <w:trHeight w:val="612" w:hRule="exact"/>
        </w:trPr>
        <w:tc>
          <w:tcPr>
            <w:tcW w:w="1692"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101"/>
              <w:jc w:val="left"/>
              <w:rPr>
                <w:rFonts w:ascii="宋体" w:hAnsi="宋体" w:cs="宋体" w:eastAsia="宋体" w:hint="default"/>
                <w:sz w:val="18"/>
                <w:szCs w:val="18"/>
              </w:rPr>
            </w:pPr>
            <w:r>
              <w:rPr>
                <w:rFonts w:ascii="宋体" w:hAnsi="宋体" w:cs="宋体" w:eastAsia="宋体" w:hint="default"/>
                <w:spacing w:val="2"/>
                <w:sz w:val="18"/>
                <w:szCs w:val="18"/>
              </w:rPr>
              <w:t>南京银石计算机系 </w:t>
            </w:r>
            <w:r>
              <w:rPr>
                <w:rFonts w:ascii="宋体" w:hAnsi="宋体" w:cs="宋体" w:eastAsia="宋体" w:hint="default"/>
                <w:sz w:val="18"/>
                <w:szCs w:val="18"/>
              </w:rPr>
              <w:t>统有限公司</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01" w:right="107"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92" w:right="187"/>
              <w:jc w:val="center"/>
              <w:rPr>
                <w:rFonts w:ascii="宋体" w:hAnsi="宋体" w:cs="宋体" w:eastAsia="宋体" w:hint="default"/>
                <w:sz w:val="18"/>
                <w:szCs w:val="18"/>
              </w:rPr>
            </w:pPr>
            <w:r>
              <w:rPr>
                <w:rFonts w:ascii="宋体" w:hAnsi="宋体" w:cs="宋体" w:eastAsia="宋体" w:hint="default"/>
                <w:sz w:val="18"/>
                <w:szCs w:val="18"/>
              </w:rPr>
              <w:t>南 京</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20" w:right="113"/>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5"/>
              <w:jc w:val="right"/>
              <w:rPr>
                <w:rFonts w:ascii="Times New Roman" w:hAnsi="Times New Roman" w:cs="Times New Roman" w:eastAsia="Times New Roman" w:hint="default"/>
                <w:sz w:val="18"/>
                <w:szCs w:val="18"/>
              </w:rPr>
            </w:pPr>
            <w:r>
              <w:rPr>
                <w:rFonts w:ascii="Times New Roman"/>
                <w:sz w:val="18"/>
              </w:rPr>
              <w:t>3,000.00</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53" w:right="0"/>
              <w:jc w:val="left"/>
              <w:rPr>
                <w:rFonts w:ascii="Times New Roman" w:hAnsi="Times New Roman" w:cs="Times New Roman" w:eastAsia="Times New Roman" w:hint="default"/>
                <w:sz w:val="18"/>
                <w:szCs w:val="18"/>
              </w:rPr>
            </w:pPr>
            <w:r>
              <w:rPr>
                <w:rFonts w:ascii="Times New Roman"/>
                <w:sz w:val="18"/>
              </w:rPr>
              <w:t>100.00%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5" w:right="0"/>
              <w:jc w:val="center"/>
              <w:rPr>
                <w:rFonts w:ascii="Times New Roman" w:hAnsi="Times New Roman" w:cs="Times New Roman" w:eastAsia="Times New Roman" w:hint="default"/>
                <w:sz w:val="18"/>
                <w:szCs w:val="18"/>
              </w:rPr>
            </w:pPr>
            <w:r>
              <w:rPr>
                <w:rFonts w:ascii="Times New Roman"/>
                <w:sz w:val="18"/>
              </w:rPr>
              <w:t>100.00%</w:t>
            </w:r>
          </w:p>
        </w:tc>
        <w:tc>
          <w:tcPr>
            <w:tcW w:w="1243"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left="182" w:right="0"/>
              <w:jc w:val="left"/>
              <w:rPr>
                <w:rFonts w:ascii="Times New Roman" w:hAnsi="Times New Roman" w:cs="Times New Roman" w:eastAsia="Times New Roman" w:hint="default"/>
                <w:sz w:val="18"/>
                <w:szCs w:val="18"/>
              </w:rPr>
            </w:pPr>
            <w:r>
              <w:rPr>
                <w:rFonts w:ascii="Times New Roman"/>
                <w:sz w:val="18"/>
              </w:rPr>
              <w:t>71624474-8</w:t>
            </w:r>
          </w:p>
        </w:tc>
      </w:tr>
      <w:tr>
        <w:trPr>
          <w:trHeight w:val="610" w:hRule="exact"/>
        </w:trPr>
        <w:tc>
          <w:tcPr>
            <w:tcW w:w="1692" w:type="dxa"/>
            <w:tcBorders>
              <w:top w:val="nil" w:sz="6" w:space="0" w:color="auto"/>
              <w:left w:val="nil" w:sz="6" w:space="0" w:color="auto"/>
              <w:bottom w:val="nil" w:sz="6" w:space="0" w:color="auto"/>
              <w:right w:val="single" w:sz="4" w:space="0" w:color="000000"/>
            </w:tcBorders>
          </w:tcPr>
          <w:p>
            <w:pPr>
              <w:pStyle w:val="TableParagraph"/>
              <w:spacing w:line="232" w:lineRule="exact" w:before="71"/>
              <w:ind w:left="122" w:right="101"/>
              <w:jc w:val="left"/>
              <w:rPr>
                <w:rFonts w:ascii="宋体" w:hAnsi="宋体" w:cs="宋体" w:eastAsia="宋体" w:hint="default"/>
                <w:sz w:val="18"/>
                <w:szCs w:val="18"/>
              </w:rPr>
            </w:pPr>
            <w:r>
              <w:rPr>
                <w:rFonts w:ascii="宋体" w:hAnsi="宋体" w:cs="宋体" w:eastAsia="宋体" w:hint="default"/>
                <w:spacing w:val="2"/>
                <w:sz w:val="18"/>
                <w:szCs w:val="18"/>
              </w:rPr>
              <w:t>南京银石支付系统 </w:t>
            </w:r>
            <w:r>
              <w:rPr>
                <w:rFonts w:ascii="宋体" w:hAnsi="宋体" w:cs="宋体" w:eastAsia="宋体" w:hint="default"/>
                <w:sz w:val="18"/>
                <w:szCs w:val="18"/>
              </w:rPr>
              <w:t>科技有限公司</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201" w:right="107"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108"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71"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192" w:right="187"/>
              <w:jc w:val="center"/>
              <w:rPr>
                <w:rFonts w:ascii="宋体" w:hAnsi="宋体" w:cs="宋体" w:eastAsia="宋体" w:hint="default"/>
                <w:sz w:val="18"/>
                <w:szCs w:val="18"/>
              </w:rPr>
            </w:pPr>
            <w:r>
              <w:rPr>
                <w:rFonts w:ascii="宋体" w:hAnsi="宋体" w:cs="宋体" w:eastAsia="宋体" w:hint="default"/>
                <w:sz w:val="18"/>
                <w:szCs w:val="18"/>
              </w:rPr>
              <w:t>南 京</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120" w:right="113"/>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5"/>
              <w:jc w:val="right"/>
              <w:rPr>
                <w:rFonts w:ascii="Times New Roman" w:hAnsi="Times New Roman" w:cs="Times New Roman" w:eastAsia="Times New Roman" w:hint="default"/>
                <w:sz w:val="18"/>
                <w:szCs w:val="18"/>
              </w:rPr>
            </w:pPr>
            <w:r>
              <w:rPr>
                <w:rFonts w:ascii="Times New Roman"/>
                <w:sz w:val="18"/>
              </w:rPr>
              <w:t>1,000.00</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53" w:right="0"/>
              <w:jc w:val="left"/>
              <w:rPr>
                <w:rFonts w:ascii="Times New Roman" w:hAnsi="Times New Roman" w:cs="Times New Roman" w:eastAsia="Times New Roman" w:hint="default"/>
                <w:sz w:val="18"/>
                <w:szCs w:val="18"/>
              </w:rPr>
            </w:pPr>
            <w:r>
              <w:rPr>
                <w:rFonts w:ascii="Times New Roman"/>
                <w:sz w:val="18"/>
              </w:rPr>
              <w:t>100.00%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5" w:right="0"/>
              <w:jc w:val="center"/>
              <w:rPr>
                <w:rFonts w:ascii="Times New Roman" w:hAnsi="Times New Roman" w:cs="Times New Roman" w:eastAsia="Times New Roman" w:hint="default"/>
                <w:sz w:val="18"/>
                <w:szCs w:val="18"/>
              </w:rPr>
            </w:pPr>
            <w:r>
              <w:rPr>
                <w:rFonts w:ascii="Times New Roman"/>
                <w:sz w:val="18"/>
              </w:rPr>
              <w:t>100.00%</w:t>
            </w:r>
          </w:p>
        </w:tc>
        <w:tc>
          <w:tcPr>
            <w:tcW w:w="1243"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left="163" w:right="0"/>
              <w:jc w:val="left"/>
              <w:rPr>
                <w:rFonts w:ascii="Times New Roman" w:hAnsi="Times New Roman" w:cs="Times New Roman" w:eastAsia="Times New Roman" w:hint="default"/>
                <w:sz w:val="18"/>
                <w:szCs w:val="18"/>
              </w:rPr>
            </w:pPr>
            <w:r>
              <w:rPr>
                <w:rFonts w:ascii="Times New Roman"/>
                <w:sz w:val="18"/>
              </w:rPr>
              <w:t>56288918-X</w:t>
            </w:r>
          </w:p>
        </w:tc>
      </w:tr>
      <w:tr>
        <w:trPr>
          <w:trHeight w:val="612" w:hRule="exact"/>
        </w:trPr>
        <w:tc>
          <w:tcPr>
            <w:tcW w:w="1692"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101"/>
              <w:jc w:val="left"/>
              <w:rPr>
                <w:rFonts w:ascii="宋体" w:hAnsi="宋体" w:cs="宋体" w:eastAsia="宋体" w:hint="default"/>
                <w:sz w:val="18"/>
                <w:szCs w:val="18"/>
              </w:rPr>
            </w:pPr>
            <w:r>
              <w:rPr>
                <w:rFonts w:ascii="宋体" w:hAnsi="宋体" w:cs="宋体" w:eastAsia="宋体" w:hint="default"/>
                <w:spacing w:val="2"/>
                <w:sz w:val="18"/>
                <w:szCs w:val="18"/>
              </w:rPr>
              <w:t>南京银石电脑系统 </w:t>
            </w:r>
            <w:r>
              <w:rPr>
                <w:rFonts w:ascii="宋体" w:hAnsi="宋体" w:cs="宋体" w:eastAsia="宋体" w:hint="default"/>
                <w:sz w:val="18"/>
                <w:szCs w:val="18"/>
              </w:rPr>
              <w:t>工程有限公司</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01" w:right="107"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92" w:right="187"/>
              <w:jc w:val="center"/>
              <w:rPr>
                <w:rFonts w:ascii="宋体" w:hAnsi="宋体" w:cs="宋体" w:eastAsia="宋体" w:hint="default"/>
                <w:sz w:val="18"/>
                <w:szCs w:val="18"/>
              </w:rPr>
            </w:pPr>
            <w:r>
              <w:rPr>
                <w:rFonts w:ascii="宋体" w:hAnsi="宋体" w:cs="宋体" w:eastAsia="宋体" w:hint="default"/>
                <w:sz w:val="18"/>
                <w:szCs w:val="18"/>
              </w:rPr>
              <w:t>南 京</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20" w:right="113"/>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5"/>
              <w:jc w:val="right"/>
              <w:rPr>
                <w:rFonts w:ascii="Times New Roman" w:hAnsi="Times New Roman" w:cs="Times New Roman" w:eastAsia="Times New Roman" w:hint="default"/>
                <w:sz w:val="18"/>
                <w:szCs w:val="18"/>
              </w:rPr>
            </w:pPr>
            <w:r>
              <w:rPr>
                <w:rFonts w:ascii="Times New Roman"/>
                <w:sz w:val="18"/>
              </w:rPr>
              <w:t>50.00</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53" w:right="0"/>
              <w:jc w:val="left"/>
              <w:rPr>
                <w:rFonts w:ascii="Times New Roman" w:hAnsi="Times New Roman" w:cs="Times New Roman" w:eastAsia="Times New Roman" w:hint="default"/>
                <w:sz w:val="18"/>
                <w:szCs w:val="18"/>
              </w:rPr>
            </w:pPr>
            <w:r>
              <w:rPr>
                <w:rFonts w:ascii="Times New Roman"/>
                <w:sz w:val="18"/>
              </w:rPr>
              <w:t>100.00%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5" w:right="0"/>
              <w:jc w:val="center"/>
              <w:rPr>
                <w:rFonts w:ascii="Times New Roman" w:hAnsi="Times New Roman" w:cs="Times New Roman" w:eastAsia="Times New Roman" w:hint="default"/>
                <w:sz w:val="18"/>
                <w:szCs w:val="18"/>
              </w:rPr>
            </w:pPr>
            <w:r>
              <w:rPr>
                <w:rFonts w:ascii="Times New Roman"/>
                <w:sz w:val="18"/>
              </w:rPr>
              <w:t>100.00%</w:t>
            </w:r>
          </w:p>
        </w:tc>
        <w:tc>
          <w:tcPr>
            <w:tcW w:w="1243"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left="182" w:right="0"/>
              <w:jc w:val="left"/>
              <w:rPr>
                <w:rFonts w:ascii="Times New Roman" w:hAnsi="Times New Roman" w:cs="Times New Roman" w:eastAsia="Times New Roman" w:hint="default"/>
                <w:sz w:val="18"/>
                <w:szCs w:val="18"/>
              </w:rPr>
            </w:pPr>
            <w:r>
              <w:rPr>
                <w:rFonts w:ascii="Times New Roman"/>
                <w:sz w:val="18"/>
              </w:rPr>
              <w:t>74820755-4</w:t>
            </w:r>
          </w:p>
        </w:tc>
      </w:tr>
      <w:tr>
        <w:trPr>
          <w:trHeight w:val="845" w:hRule="exact"/>
        </w:trPr>
        <w:tc>
          <w:tcPr>
            <w:tcW w:w="1692" w:type="dxa"/>
            <w:tcBorders>
              <w:top w:val="nil" w:sz="6" w:space="0" w:color="auto"/>
              <w:left w:val="nil" w:sz="6" w:space="0" w:color="auto"/>
              <w:bottom w:val="nil" w:sz="6" w:space="0" w:color="auto"/>
              <w:right w:val="single" w:sz="4" w:space="0" w:color="000000"/>
            </w:tcBorders>
          </w:tcPr>
          <w:p>
            <w:pPr>
              <w:pStyle w:val="TableParagraph"/>
              <w:spacing w:line="232" w:lineRule="exact" w:before="71"/>
              <w:ind w:left="122" w:right="101"/>
              <w:jc w:val="left"/>
              <w:rPr>
                <w:rFonts w:ascii="宋体" w:hAnsi="宋体" w:cs="宋体" w:eastAsia="宋体" w:hint="default"/>
                <w:sz w:val="18"/>
                <w:szCs w:val="18"/>
              </w:rPr>
            </w:pPr>
            <w:r>
              <w:rPr>
                <w:rFonts w:ascii="宋体" w:hAnsi="宋体" w:cs="宋体" w:eastAsia="宋体" w:hint="default"/>
                <w:spacing w:val="2"/>
                <w:sz w:val="18"/>
                <w:szCs w:val="18"/>
              </w:rPr>
              <w:t>上海正品贵德软件 </w:t>
            </w:r>
            <w:r>
              <w:rPr>
                <w:rFonts w:ascii="宋体" w:hAnsi="宋体" w:cs="宋体" w:eastAsia="宋体" w:hint="default"/>
                <w:sz w:val="18"/>
                <w:szCs w:val="18"/>
              </w:rPr>
              <w:t>有限公司</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201" w:right="107" w:hanging="92"/>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108"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71"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192" w:right="187"/>
              <w:jc w:val="center"/>
              <w:rPr>
                <w:rFonts w:ascii="宋体" w:hAnsi="宋体" w:cs="宋体" w:eastAsia="宋体" w:hint="default"/>
                <w:sz w:val="18"/>
                <w:szCs w:val="18"/>
              </w:rPr>
            </w:pPr>
            <w:r>
              <w:rPr>
                <w:rFonts w:ascii="宋体" w:hAnsi="宋体" w:cs="宋体" w:eastAsia="宋体" w:hint="default"/>
                <w:sz w:val="18"/>
                <w:szCs w:val="18"/>
              </w:rPr>
              <w:t>上 海</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关东玉</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32" w:lineRule="auto" w:before="52"/>
              <w:ind w:left="105" w:right="79"/>
              <w:jc w:val="both"/>
              <w:rPr>
                <w:rFonts w:ascii="宋体" w:hAnsi="宋体" w:cs="宋体" w:eastAsia="宋体" w:hint="default"/>
                <w:sz w:val="18"/>
                <w:szCs w:val="18"/>
              </w:rPr>
            </w:pPr>
            <w:r>
              <w:rPr>
                <w:rFonts w:ascii="Times New Roman" w:hAnsi="Times New Roman" w:cs="Times New Roman" w:eastAsia="Times New Roman" w:hint="default"/>
                <w:spacing w:val="6"/>
                <w:w w:val="105"/>
                <w:sz w:val="18"/>
                <w:szCs w:val="18"/>
              </w:rPr>
              <w:t></w:t>
            </w:r>
            <w:r>
              <w:rPr>
                <w:rFonts w:ascii="宋体" w:hAnsi="宋体" w:cs="宋体" w:eastAsia="宋体" w:hint="default"/>
                <w:spacing w:val="6"/>
                <w:w w:val="105"/>
                <w:sz w:val="18"/>
                <w:szCs w:val="18"/>
              </w:rPr>
              <w:t>计</w:t>
            </w:r>
            <w:r>
              <w:rPr>
                <w:rFonts w:ascii="宋体" w:hAnsi="宋体" w:cs="宋体" w:eastAsia="宋体" w:hint="default"/>
                <w:spacing w:val="-5"/>
                <w:w w:val="105"/>
                <w:sz w:val="18"/>
                <w:szCs w:val="18"/>
              </w:rPr>
              <w:t> </w:t>
            </w:r>
            <w:r>
              <w:rPr>
                <w:rFonts w:ascii="宋体" w:hAnsi="宋体" w:cs="宋体" w:eastAsia="宋体" w:hint="default"/>
                <w:spacing w:val="10"/>
                <w:w w:val="105"/>
                <w:sz w:val="18"/>
                <w:szCs w:val="18"/>
              </w:rPr>
              <w:t>算机</w:t>
            </w:r>
            <w:r>
              <w:rPr>
                <w:rFonts w:ascii="宋体" w:hAnsi="宋体" w:cs="宋体" w:eastAsia="宋体" w:hint="default"/>
                <w:spacing w:val="-69"/>
                <w:sz w:val="18"/>
                <w:szCs w:val="18"/>
              </w:rPr>
              <w:t> </w:t>
            </w:r>
            <w:r>
              <w:rPr>
                <w:rFonts w:ascii="宋体" w:hAnsi="宋体" w:cs="宋体" w:eastAsia="宋体" w:hint="default"/>
                <w:spacing w:val="9"/>
                <w:sz w:val="18"/>
                <w:szCs w:val="18"/>
              </w:rPr>
              <w:t>应用服务</w:t>
            </w:r>
            <w:r>
              <w:rPr>
                <w:rFonts w:ascii="宋体" w:hAnsi="宋体" w:cs="宋体" w:eastAsia="宋体" w:hint="default"/>
                <w:spacing w:val="9"/>
                <w:sz w:val="18"/>
                <w:szCs w:val="18"/>
              </w:rPr>
              <w:t> </w:t>
            </w:r>
            <w:r>
              <w:rPr>
                <w:rFonts w:ascii="宋体" w:hAnsi="宋体" w:cs="宋体" w:eastAsia="宋体" w:hint="default"/>
                <w:w w:val="105"/>
                <w:sz w:val="18"/>
                <w:szCs w:val="18"/>
              </w:rPr>
              <w:t>业</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18"/>
                <w:szCs w:val="18"/>
              </w:rPr>
            </w:pPr>
            <w:r>
              <w:rPr>
                <w:rFonts w:ascii="Times New Roman"/>
                <w:spacing w:val="-1"/>
                <w:sz w:val="18"/>
              </w:rPr>
              <w:t>500.00</w:t>
            </w:r>
            <w:r>
              <w:rPr>
                <w:rFonts w:ascii="Times New Roman"/>
                <w:sz w:val="18"/>
              </w:rPr>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99" w:right="0"/>
              <w:jc w:val="left"/>
              <w:rPr>
                <w:rFonts w:ascii="Times New Roman" w:hAnsi="Times New Roman" w:cs="Times New Roman" w:eastAsia="Times New Roman" w:hint="default"/>
                <w:sz w:val="18"/>
                <w:szCs w:val="18"/>
              </w:rPr>
            </w:pPr>
            <w:r>
              <w:rPr>
                <w:rFonts w:ascii="Times New Roman"/>
                <w:sz w:val="18"/>
              </w:rPr>
              <w:t>70.00%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8" w:right="0"/>
              <w:jc w:val="center"/>
              <w:rPr>
                <w:rFonts w:ascii="Times New Roman" w:hAnsi="Times New Roman" w:cs="Times New Roman" w:eastAsia="Times New Roman" w:hint="default"/>
                <w:sz w:val="18"/>
                <w:szCs w:val="18"/>
              </w:rPr>
            </w:pPr>
            <w:r>
              <w:rPr>
                <w:rFonts w:ascii="Times New Roman"/>
                <w:sz w:val="18"/>
              </w:rPr>
              <w:t>70.00%</w:t>
            </w:r>
          </w:p>
        </w:tc>
        <w:tc>
          <w:tcPr>
            <w:tcW w:w="1243"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left="261" w:right="0"/>
              <w:jc w:val="left"/>
              <w:rPr>
                <w:rFonts w:ascii="Times New Roman" w:hAnsi="Times New Roman" w:cs="Times New Roman" w:eastAsia="Times New Roman" w:hint="default"/>
                <w:sz w:val="18"/>
                <w:szCs w:val="18"/>
              </w:rPr>
            </w:pPr>
            <w:r>
              <w:rPr>
                <w:rFonts w:ascii="Times New Roman"/>
                <w:sz w:val="18"/>
              </w:rPr>
              <w:t>75032365-0</w:t>
            </w:r>
          </w:p>
        </w:tc>
      </w:tr>
      <w:tr>
        <w:trPr>
          <w:trHeight w:val="609" w:hRule="exact"/>
        </w:trPr>
        <w:tc>
          <w:tcPr>
            <w:tcW w:w="1692" w:type="dxa"/>
            <w:tcBorders>
              <w:top w:val="nil" w:sz="6" w:space="0" w:color="auto"/>
              <w:left w:val="nil" w:sz="6" w:space="0" w:color="auto"/>
              <w:bottom w:val="nil" w:sz="6" w:space="0" w:color="auto"/>
              <w:right w:val="single" w:sz="4" w:space="0" w:color="000000"/>
            </w:tcBorders>
          </w:tcPr>
          <w:p>
            <w:pPr>
              <w:pStyle w:val="TableParagraph"/>
              <w:spacing w:line="232" w:lineRule="exact" w:before="71"/>
              <w:ind w:left="122" w:right="101"/>
              <w:jc w:val="left"/>
              <w:rPr>
                <w:rFonts w:ascii="宋体" w:hAnsi="宋体" w:cs="宋体" w:eastAsia="宋体" w:hint="default"/>
                <w:sz w:val="18"/>
                <w:szCs w:val="18"/>
              </w:rPr>
            </w:pPr>
            <w:r>
              <w:rPr>
                <w:rFonts w:ascii="宋体" w:hAnsi="宋体" w:cs="宋体" w:eastAsia="宋体" w:hint="default"/>
                <w:spacing w:val="2"/>
                <w:sz w:val="18"/>
                <w:szCs w:val="18"/>
              </w:rPr>
              <w:t>现化电脑系统（北 </w:t>
            </w:r>
            <w:r>
              <w:rPr>
                <w:rFonts w:ascii="宋体" w:hAnsi="宋体" w:cs="宋体" w:eastAsia="宋体" w:hint="default"/>
                <w:sz w:val="18"/>
                <w:szCs w:val="18"/>
              </w:rPr>
              <w:t>京）有限公司</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201" w:right="107" w:hanging="92"/>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108"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71"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192" w:right="187"/>
              <w:jc w:val="center"/>
              <w:rPr>
                <w:rFonts w:ascii="宋体" w:hAnsi="宋体" w:cs="宋体" w:eastAsia="宋体" w:hint="default"/>
                <w:sz w:val="18"/>
                <w:szCs w:val="18"/>
              </w:rPr>
            </w:pPr>
            <w:r>
              <w:rPr>
                <w:rFonts w:ascii="宋体" w:hAnsi="宋体" w:cs="宋体" w:eastAsia="宋体" w:hint="default"/>
                <w:sz w:val="18"/>
                <w:szCs w:val="18"/>
              </w:rPr>
              <w:t>北 京</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120" w:right="113"/>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Times New Roman" w:hAnsi="Times New Roman" w:cs="Times New Roman" w:eastAsia="Times New Roman" w:hint="default"/>
                <w:sz w:val="18"/>
                <w:szCs w:val="18"/>
              </w:rPr>
              <w:t>20.00</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53" w:right="0"/>
              <w:jc w:val="left"/>
              <w:rPr>
                <w:rFonts w:ascii="Times New Roman" w:hAnsi="Times New Roman" w:cs="Times New Roman" w:eastAsia="Times New Roman" w:hint="default"/>
                <w:sz w:val="18"/>
                <w:szCs w:val="18"/>
              </w:rPr>
            </w:pPr>
            <w:r>
              <w:rPr>
                <w:rFonts w:ascii="Times New Roman"/>
                <w:sz w:val="18"/>
              </w:rPr>
              <w:t>100.00%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5" w:right="0"/>
              <w:jc w:val="center"/>
              <w:rPr>
                <w:rFonts w:ascii="Times New Roman" w:hAnsi="Times New Roman" w:cs="Times New Roman" w:eastAsia="Times New Roman" w:hint="default"/>
                <w:sz w:val="18"/>
                <w:szCs w:val="18"/>
              </w:rPr>
            </w:pPr>
            <w:r>
              <w:rPr>
                <w:rFonts w:ascii="Times New Roman"/>
                <w:sz w:val="18"/>
              </w:rPr>
              <w:t>100.00%</w:t>
            </w:r>
          </w:p>
        </w:tc>
        <w:tc>
          <w:tcPr>
            <w:tcW w:w="1243"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left="182" w:right="0"/>
              <w:jc w:val="left"/>
              <w:rPr>
                <w:rFonts w:ascii="Times New Roman" w:hAnsi="Times New Roman" w:cs="Times New Roman" w:eastAsia="Times New Roman" w:hint="default"/>
                <w:sz w:val="18"/>
                <w:szCs w:val="18"/>
              </w:rPr>
            </w:pPr>
            <w:r>
              <w:rPr>
                <w:rFonts w:ascii="Times New Roman"/>
                <w:sz w:val="18"/>
              </w:rPr>
              <w:t>67055317-3</w:t>
            </w:r>
          </w:p>
        </w:tc>
      </w:tr>
      <w:tr>
        <w:trPr>
          <w:trHeight w:val="612" w:hRule="exact"/>
        </w:trPr>
        <w:tc>
          <w:tcPr>
            <w:tcW w:w="1692"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101"/>
              <w:jc w:val="left"/>
              <w:rPr>
                <w:rFonts w:ascii="宋体" w:hAnsi="宋体" w:cs="宋体" w:eastAsia="宋体" w:hint="default"/>
                <w:sz w:val="18"/>
                <w:szCs w:val="18"/>
              </w:rPr>
            </w:pPr>
            <w:r>
              <w:rPr>
                <w:rFonts w:ascii="宋体" w:hAnsi="宋体" w:cs="宋体" w:eastAsia="宋体" w:hint="default"/>
                <w:spacing w:val="2"/>
                <w:sz w:val="18"/>
                <w:szCs w:val="18"/>
              </w:rPr>
              <w:t>焦点信息技术（香 </w:t>
            </w:r>
            <w:r>
              <w:rPr>
                <w:rFonts w:ascii="宋体" w:hAnsi="宋体" w:cs="宋体" w:eastAsia="宋体" w:hint="default"/>
                <w:sz w:val="18"/>
                <w:szCs w:val="18"/>
              </w:rPr>
              <w:t>港）有限公司</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01" w:right="107"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92" w:right="187"/>
              <w:jc w:val="center"/>
              <w:rPr>
                <w:rFonts w:ascii="宋体" w:hAnsi="宋体" w:cs="宋体" w:eastAsia="宋体" w:hint="default"/>
                <w:sz w:val="18"/>
                <w:szCs w:val="18"/>
              </w:rPr>
            </w:pPr>
            <w:r>
              <w:rPr>
                <w:rFonts w:ascii="宋体" w:hAnsi="宋体" w:cs="宋体" w:eastAsia="宋体" w:hint="default"/>
                <w:sz w:val="18"/>
                <w:szCs w:val="18"/>
              </w:rPr>
              <w:t>香 港</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5" w:right="0"/>
              <w:jc w:val="center"/>
              <w:rPr>
                <w:rFonts w:ascii="宋体" w:hAnsi="宋体" w:cs="宋体" w:eastAsia="宋体" w:hint="default"/>
                <w:sz w:val="18"/>
                <w:szCs w:val="18"/>
              </w:rPr>
            </w:pPr>
            <w:r>
              <w:rPr>
                <w:rFonts w:ascii="宋体" w:hAnsi="宋体" w:cs="宋体" w:eastAsia="宋体" w:hint="default"/>
                <w:sz w:val="18"/>
                <w:szCs w:val="18"/>
              </w:rPr>
              <w:t>投资控股</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561" w:right="0"/>
              <w:jc w:val="left"/>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25"/>
              <w:ind w:left="290" w:right="0"/>
              <w:jc w:val="left"/>
              <w:rPr>
                <w:rFonts w:ascii="Times New Roman" w:hAnsi="Times New Roman" w:cs="Times New Roman" w:eastAsia="Times New Roman" w:hint="default"/>
                <w:sz w:val="18"/>
                <w:szCs w:val="18"/>
              </w:rPr>
            </w:pPr>
            <w:r>
              <w:rPr>
                <w:rFonts w:ascii="Times New Roman"/>
                <w:sz w:val="18"/>
              </w:rPr>
              <w:t>3,500.00</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53" w:right="0"/>
              <w:jc w:val="left"/>
              <w:rPr>
                <w:rFonts w:ascii="Times New Roman" w:hAnsi="Times New Roman" w:cs="Times New Roman" w:eastAsia="Times New Roman" w:hint="default"/>
                <w:sz w:val="18"/>
                <w:szCs w:val="18"/>
              </w:rPr>
            </w:pPr>
            <w:r>
              <w:rPr>
                <w:rFonts w:ascii="Times New Roman"/>
                <w:sz w:val="18"/>
              </w:rPr>
              <w:t>100.00%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5" w:right="0"/>
              <w:jc w:val="center"/>
              <w:rPr>
                <w:rFonts w:ascii="Times New Roman" w:hAnsi="Times New Roman" w:cs="Times New Roman" w:eastAsia="Times New Roman" w:hint="default"/>
                <w:sz w:val="18"/>
                <w:szCs w:val="18"/>
              </w:rPr>
            </w:pPr>
            <w:r>
              <w:rPr>
                <w:rFonts w:ascii="Times New Roman"/>
                <w:sz w:val="18"/>
              </w:rPr>
              <w:t>100.00%</w:t>
            </w:r>
          </w:p>
        </w:tc>
        <w:tc>
          <w:tcPr>
            <w:tcW w:w="1243" w:type="dxa"/>
            <w:tcBorders>
              <w:top w:val="nil" w:sz="6" w:space="0" w:color="auto"/>
              <w:left w:val="single" w:sz="4" w:space="0" w:color="000000"/>
              <w:bottom w:val="nil" w:sz="6" w:space="0" w:color="auto"/>
              <w:right w:val="nil" w:sz="6" w:space="0" w:color="auto"/>
            </w:tcBorders>
          </w:tcPr>
          <w:p>
            <w:pPr/>
          </w:p>
        </w:tc>
      </w:tr>
      <w:tr>
        <w:trPr>
          <w:trHeight w:val="610" w:hRule="exact"/>
        </w:trPr>
        <w:tc>
          <w:tcPr>
            <w:tcW w:w="1692"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22" w:right="346"/>
              <w:jc w:val="left"/>
              <w:rPr>
                <w:rFonts w:ascii="Times New Roman" w:hAnsi="Times New Roman" w:cs="Times New Roman" w:eastAsia="Times New Roman" w:hint="default"/>
                <w:sz w:val="18"/>
                <w:szCs w:val="18"/>
              </w:rPr>
            </w:pPr>
            <w:r>
              <w:rPr>
                <w:rFonts w:ascii="Times New Roman"/>
                <w:sz w:val="18"/>
              </w:rPr>
              <w:t>Infrasys</w:t>
            </w:r>
            <w:r>
              <w:rPr>
                <w:rFonts w:ascii="Times New Roman"/>
                <w:w w:val="99"/>
                <w:sz w:val="18"/>
              </w:rPr>
              <w:t> </w:t>
            </w:r>
            <w:r>
              <w:rPr>
                <w:rFonts w:ascii="Times New Roman"/>
                <w:sz w:val="18"/>
              </w:rPr>
              <w:t>International</w:t>
            </w:r>
            <w:r>
              <w:rPr>
                <w:rFonts w:ascii="Times New Roman"/>
                <w:spacing w:val="-4"/>
                <w:sz w:val="18"/>
              </w:rPr>
              <w:t> </w:t>
            </w:r>
            <w:r>
              <w:rPr>
                <w:rFonts w:ascii="Times New Roman"/>
                <w:sz w:val="18"/>
              </w:rPr>
              <w:t>Ltd</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201" w:right="107" w:hanging="92"/>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108"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71"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192" w:right="187"/>
              <w:jc w:val="center"/>
              <w:rPr>
                <w:rFonts w:ascii="宋体" w:hAnsi="宋体" w:cs="宋体" w:eastAsia="宋体" w:hint="default"/>
                <w:sz w:val="18"/>
                <w:szCs w:val="18"/>
              </w:rPr>
            </w:pPr>
            <w:r>
              <w:rPr>
                <w:rFonts w:ascii="宋体" w:hAnsi="宋体" w:cs="宋体" w:eastAsia="宋体" w:hint="default"/>
                <w:sz w:val="18"/>
                <w:szCs w:val="18"/>
              </w:rPr>
              <w:t>香 港</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李德利</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32" w:lineRule="exact" w:before="71"/>
              <w:ind w:left="300" w:right="113" w:hanging="180"/>
              <w:jc w:val="left"/>
              <w:rPr>
                <w:rFonts w:ascii="宋体" w:hAnsi="宋体" w:cs="宋体" w:eastAsia="宋体" w:hint="default"/>
                <w:sz w:val="18"/>
                <w:szCs w:val="18"/>
              </w:rPr>
            </w:pPr>
            <w:r>
              <w:rPr>
                <w:rFonts w:ascii="宋体" w:hAnsi="宋体" w:cs="宋体" w:eastAsia="宋体" w:hint="default"/>
                <w:sz w:val="18"/>
                <w:szCs w:val="18"/>
              </w:rPr>
              <w:t>销售终端 系统</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461" w:right="0"/>
              <w:jc w:val="center"/>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22"/>
              <w:ind w:left="326" w:right="0"/>
              <w:jc w:val="center"/>
              <w:rPr>
                <w:rFonts w:ascii="Times New Roman" w:hAnsi="Times New Roman" w:cs="Times New Roman" w:eastAsia="Times New Roman" w:hint="default"/>
                <w:sz w:val="18"/>
                <w:szCs w:val="18"/>
              </w:rPr>
            </w:pPr>
            <w:r>
              <w:rPr>
                <w:rFonts w:ascii="Times New Roman"/>
                <w:sz w:val="18"/>
              </w:rPr>
              <w:t>875.00</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99" w:right="0"/>
              <w:jc w:val="left"/>
              <w:rPr>
                <w:rFonts w:ascii="Times New Roman" w:hAnsi="Times New Roman" w:cs="Times New Roman" w:eastAsia="Times New Roman" w:hint="default"/>
                <w:sz w:val="18"/>
                <w:szCs w:val="18"/>
              </w:rPr>
            </w:pPr>
            <w:r>
              <w:rPr>
                <w:rFonts w:ascii="Times New Roman"/>
                <w:sz w:val="18"/>
              </w:rPr>
              <w:t>70.00%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7" w:right="0"/>
              <w:jc w:val="center"/>
              <w:rPr>
                <w:rFonts w:ascii="Times New Roman" w:hAnsi="Times New Roman" w:cs="Times New Roman" w:eastAsia="Times New Roman" w:hint="default"/>
                <w:sz w:val="18"/>
                <w:szCs w:val="18"/>
              </w:rPr>
            </w:pPr>
            <w:r>
              <w:rPr>
                <w:rFonts w:ascii="Times New Roman"/>
                <w:sz w:val="18"/>
              </w:rPr>
              <w:t>70.00%</w:t>
            </w:r>
          </w:p>
        </w:tc>
        <w:tc>
          <w:tcPr>
            <w:tcW w:w="1243" w:type="dxa"/>
            <w:tcBorders>
              <w:top w:val="nil" w:sz="6" w:space="0" w:color="auto"/>
              <w:left w:val="single" w:sz="4" w:space="0" w:color="000000"/>
              <w:bottom w:val="nil" w:sz="6" w:space="0" w:color="auto"/>
              <w:right w:val="nil" w:sz="6" w:space="0" w:color="auto"/>
            </w:tcBorders>
          </w:tcPr>
          <w:p>
            <w:pPr/>
          </w:p>
        </w:tc>
      </w:tr>
      <w:tr>
        <w:trPr>
          <w:trHeight w:val="845" w:hRule="exact"/>
        </w:trPr>
        <w:tc>
          <w:tcPr>
            <w:tcW w:w="1692"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22" w:right="98"/>
              <w:jc w:val="left"/>
              <w:rPr>
                <w:rFonts w:ascii="Times New Roman" w:hAnsi="Times New Roman" w:cs="Times New Roman" w:eastAsia="Times New Roman" w:hint="default"/>
                <w:sz w:val="18"/>
                <w:szCs w:val="18"/>
              </w:rPr>
            </w:pPr>
            <w:r>
              <w:rPr>
                <w:rFonts w:ascii="Times New Roman"/>
                <w:sz w:val="18"/>
              </w:rPr>
              <w:t>Infrasys</w:t>
            </w:r>
            <w:r>
              <w:rPr>
                <w:rFonts w:ascii="Times New Roman"/>
                <w:spacing w:val="15"/>
                <w:sz w:val="18"/>
              </w:rPr>
              <w:t> </w:t>
            </w:r>
            <w:r>
              <w:rPr>
                <w:rFonts w:ascii="Times New Roman"/>
                <w:sz w:val="18"/>
              </w:rPr>
              <w:t>Singapore</w:t>
            </w:r>
            <w:r>
              <w:rPr>
                <w:rFonts w:ascii="Times New Roman"/>
                <w:sz w:val="18"/>
              </w:rPr>
              <w:t> Pte</w:t>
            </w:r>
            <w:r>
              <w:rPr>
                <w:rFonts w:ascii="Times New Roman"/>
                <w:spacing w:val="-1"/>
                <w:sz w:val="18"/>
              </w:rPr>
              <w:t> </w:t>
            </w:r>
            <w:r>
              <w:rPr>
                <w:rFonts w:ascii="Times New Roman"/>
                <w:sz w:val="18"/>
              </w:rPr>
              <w:t>Ltd</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01" w:right="107" w:hanging="92"/>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71" w:type="dxa"/>
            <w:tcBorders>
              <w:top w:val="nil" w:sz="6" w:space="0" w:color="auto"/>
              <w:left w:val="single" w:sz="4" w:space="0" w:color="000000"/>
              <w:bottom w:val="nil" w:sz="6" w:space="0" w:color="auto"/>
              <w:right w:val="single" w:sz="4" w:space="0" w:color="000000"/>
            </w:tcBorders>
          </w:tcPr>
          <w:p>
            <w:pPr>
              <w:pStyle w:val="TableParagraph"/>
              <w:spacing w:line="237" w:lineRule="auto" w:before="48"/>
              <w:ind w:left="192" w:right="187"/>
              <w:jc w:val="both"/>
              <w:rPr>
                <w:rFonts w:ascii="宋体" w:hAnsi="宋体" w:cs="宋体" w:eastAsia="宋体" w:hint="default"/>
                <w:sz w:val="18"/>
                <w:szCs w:val="18"/>
              </w:rPr>
            </w:pPr>
            <w:r>
              <w:rPr>
                <w:rFonts w:ascii="宋体" w:hAnsi="宋体" w:cs="宋体" w:eastAsia="宋体" w:hint="default"/>
                <w:sz w:val="18"/>
                <w:szCs w:val="18"/>
              </w:rPr>
              <w:t>新 加 坡</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李德利</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300" w:right="113" w:hanging="180"/>
              <w:jc w:val="left"/>
              <w:rPr>
                <w:rFonts w:ascii="宋体" w:hAnsi="宋体" w:cs="宋体" w:eastAsia="宋体" w:hint="default"/>
                <w:sz w:val="18"/>
                <w:szCs w:val="18"/>
              </w:rPr>
            </w:pPr>
            <w:r>
              <w:rPr>
                <w:rFonts w:ascii="宋体" w:hAnsi="宋体" w:cs="宋体" w:eastAsia="宋体" w:hint="default"/>
                <w:sz w:val="18"/>
                <w:szCs w:val="18"/>
              </w:rPr>
              <w:t>销售终端 系统</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5"/>
              <w:jc w:val="right"/>
              <w:rPr>
                <w:rFonts w:ascii="Times New Roman" w:hAnsi="Times New Roman" w:cs="Times New Roman" w:eastAsia="Times New Roman" w:hint="default"/>
                <w:sz w:val="18"/>
                <w:szCs w:val="18"/>
              </w:rPr>
            </w:pPr>
            <w:r>
              <w:rPr>
                <w:rFonts w:ascii="宋体" w:hAnsi="宋体" w:cs="宋体" w:eastAsia="宋体" w:hint="default"/>
                <w:sz w:val="18"/>
                <w:szCs w:val="18"/>
              </w:rPr>
              <w:t>新币</w:t>
            </w:r>
            <w:r>
              <w:rPr>
                <w:rFonts w:ascii="Times New Roman" w:hAnsi="Times New Roman" w:cs="Times New Roman" w:eastAsia="Times New Roman" w:hint="default"/>
                <w:sz w:val="18"/>
                <w:szCs w:val="18"/>
              </w:rPr>
              <w:t>46.20</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53" w:right="0"/>
              <w:jc w:val="left"/>
              <w:rPr>
                <w:rFonts w:ascii="Times New Roman" w:hAnsi="Times New Roman" w:cs="Times New Roman" w:eastAsia="Times New Roman" w:hint="default"/>
                <w:sz w:val="18"/>
                <w:szCs w:val="18"/>
              </w:rPr>
            </w:pPr>
            <w:r>
              <w:rPr>
                <w:rFonts w:ascii="Times New Roman"/>
                <w:sz w:val="18"/>
              </w:rPr>
              <w:t>100.00%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5" w:right="0"/>
              <w:jc w:val="center"/>
              <w:rPr>
                <w:rFonts w:ascii="Times New Roman" w:hAnsi="Times New Roman" w:cs="Times New Roman" w:eastAsia="Times New Roman" w:hint="default"/>
                <w:sz w:val="18"/>
                <w:szCs w:val="18"/>
              </w:rPr>
            </w:pPr>
            <w:r>
              <w:rPr>
                <w:rFonts w:ascii="Times New Roman"/>
                <w:sz w:val="18"/>
              </w:rPr>
              <w:t>100.00%</w:t>
            </w:r>
          </w:p>
        </w:tc>
        <w:tc>
          <w:tcPr>
            <w:tcW w:w="1243" w:type="dxa"/>
            <w:tcBorders>
              <w:top w:val="nil" w:sz="6" w:space="0" w:color="auto"/>
              <w:left w:val="single" w:sz="4" w:space="0" w:color="000000"/>
              <w:bottom w:val="nil" w:sz="6" w:space="0" w:color="auto"/>
              <w:right w:val="nil" w:sz="6" w:space="0" w:color="auto"/>
            </w:tcBorders>
          </w:tcPr>
          <w:p>
            <w:pPr/>
          </w:p>
        </w:tc>
      </w:tr>
      <w:tr>
        <w:trPr>
          <w:trHeight w:val="398" w:hRule="exact"/>
        </w:trPr>
        <w:tc>
          <w:tcPr>
            <w:tcW w:w="1692" w:type="dxa"/>
            <w:tcBorders>
              <w:top w:val="nil" w:sz="6" w:space="0" w:color="auto"/>
              <w:left w:val="nil" w:sz="6" w:space="0" w:color="auto"/>
              <w:bottom w:val="single" w:sz="12" w:space="0" w:color="000000"/>
              <w:right w:val="single" w:sz="4" w:space="0" w:color="000000"/>
            </w:tcBorders>
          </w:tcPr>
          <w:p>
            <w:pPr>
              <w:pStyle w:val="TableParagraph"/>
              <w:tabs>
                <w:tab w:pos="818" w:val="left" w:leader="none"/>
              </w:tabs>
              <w:spacing w:line="240" w:lineRule="auto" w:before="71"/>
              <w:ind w:left="17" w:right="0"/>
              <w:jc w:val="center"/>
              <w:rPr>
                <w:rFonts w:ascii="Times New Roman" w:hAnsi="Times New Roman" w:cs="Times New Roman" w:eastAsia="Times New Roman" w:hint="default"/>
                <w:sz w:val="18"/>
                <w:szCs w:val="18"/>
              </w:rPr>
            </w:pPr>
            <w:r>
              <w:rPr>
                <w:rFonts w:ascii="Times New Roman"/>
                <w:spacing w:val="-1"/>
                <w:sz w:val="18"/>
              </w:rPr>
              <w:t>Infrasys</w:t>
              <w:tab/>
              <w:t>Malaysia</w:t>
            </w:r>
          </w:p>
        </w:tc>
        <w:tc>
          <w:tcPr>
            <w:tcW w:w="7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6"/>
              <w:ind w:left="110" w:right="0"/>
              <w:jc w:val="left"/>
              <w:rPr>
                <w:rFonts w:ascii="宋体" w:hAnsi="宋体" w:cs="宋体" w:eastAsia="宋体" w:hint="default"/>
                <w:sz w:val="18"/>
                <w:szCs w:val="18"/>
              </w:rPr>
            </w:pPr>
            <w:r>
              <w:rPr>
                <w:rFonts w:ascii="宋体" w:hAnsi="宋体" w:cs="宋体" w:eastAsia="宋体" w:hint="default"/>
                <w:sz w:val="18"/>
                <w:szCs w:val="18"/>
              </w:rPr>
              <w:t>控股子</w:t>
            </w:r>
          </w:p>
        </w:tc>
        <w:tc>
          <w:tcPr>
            <w:tcW w:w="7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有限责</w:t>
            </w:r>
          </w:p>
        </w:tc>
        <w:tc>
          <w:tcPr>
            <w:tcW w:w="57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马</w:t>
            </w:r>
          </w:p>
        </w:tc>
        <w:tc>
          <w:tcPr>
            <w:tcW w:w="7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李德利</w:t>
            </w:r>
          </w:p>
        </w:tc>
        <w:tc>
          <w:tcPr>
            <w:tcW w:w="96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销售终端</w:t>
            </w:r>
          </w:p>
        </w:tc>
        <w:tc>
          <w:tcPr>
            <w:tcW w:w="103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hAnsi="宋体" w:cs="宋体" w:eastAsia="宋体" w:hint="default"/>
                <w:sz w:val="18"/>
                <w:szCs w:val="18"/>
              </w:rPr>
              <w:t>马币</w:t>
            </w:r>
          </w:p>
        </w:tc>
        <w:tc>
          <w:tcPr>
            <w:tcW w:w="96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1"/>
              <w:ind w:left="153" w:right="0"/>
              <w:jc w:val="left"/>
              <w:rPr>
                <w:rFonts w:ascii="Times New Roman" w:hAnsi="Times New Roman" w:cs="Times New Roman" w:eastAsia="Times New Roman" w:hint="default"/>
                <w:sz w:val="18"/>
                <w:szCs w:val="18"/>
              </w:rPr>
            </w:pPr>
            <w:r>
              <w:rPr>
                <w:rFonts w:ascii="Times New Roman"/>
                <w:sz w:val="18"/>
              </w:rPr>
              <w:t>100.00%</w:t>
            </w:r>
          </w:p>
        </w:tc>
        <w:tc>
          <w:tcPr>
            <w:tcW w:w="11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1"/>
              <w:ind w:left="4" w:right="0"/>
              <w:jc w:val="center"/>
              <w:rPr>
                <w:rFonts w:ascii="Times New Roman" w:hAnsi="Times New Roman" w:cs="Times New Roman" w:eastAsia="Times New Roman" w:hint="default"/>
                <w:sz w:val="18"/>
                <w:szCs w:val="18"/>
              </w:rPr>
            </w:pPr>
            <w:r>
              <w:rPr>
                <w:rFonts w:ascii="Times New Roman"/>
                <w:sz w:val="18"/>
              </w:rPr>
              <w:t>100.00%</w:t>
            </w:r>
          </w:p>
        </w:tc>
        <w:tc>
          <w:tcPr>
            <w:tcW w:w="1243"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850" w:footer="979" w:top="1200" w:bottom="1160" w:left="880" w:right="880"/>
        </w:sectPr>
      </w:pPr>
    </w:p>
    <w:p>
      <w:pPr>
        <w:spacing w:line="240" w:lineRule="auto" w:before="10"/>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1692"/>
        <w:gridCol w:w="768"/>
        <w:gridCol w:w="766"/>
        <w:gridCol w:w="571"/>
        <w:gridCol w:w="766"/>
        <w:gridCol w:w="965"/>
        <w:gridCol w:w="1032"/>
        <w:gridCol w:w="962"/>
        <w:gridCol w:w="1104"/>
        <w:gridCol w:w="1243"/>
      </w:tblGrid>
      <w:tr>
        <w:trPr>
          <w:trHeight w:val="1106" w:hRule="exact"/>
        </w:trPr>
        <w:tc>
          <w:tcPr>
            <w:tcW w:w="1692" w:type="dxa"/>
            <w:tcBorders>
              <w:top w:val="single" w:sz="17"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4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6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32" w:lineRule="exact"/>
              <w:ind w:left="201" w:right="107"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32" w:lineRule="exact"/>
              <w:ind w:left="288" w:right="105"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571" w:type="dxa"/>
            <w:tcBorders>
              <w:top w:val="single" w:sz="17" w:space="0" w:color="000000"/>
              <w:left w:val="single" w:sz="4" w:space="0" w:color="000000"/>
              <w:bottom w:val="single" w:sz="4" w:space="0" w:color="000000"/>
              <w:right w:val="single" w:sz="4" w:space="0" w:color="000000"/>
            </w:tcBorders>
          </w:tcPr>
          <w:p>
            <w:pPr>
              <w:pStyle w:val="TableParagraph"/>
              <w:spacing w:line="237" w:lineRule="auto" w:before="161"/>
              <w:ind w:left="192" w:right="187"/>
              <w:jc w:val="both"/>
              <w:rPr>
                <w:rFonts w:ascii="宋体" w:hAnsi="宋体" w:cs="宋体" w:eastAsia="宋体" w:hint="default"/>
                <w:sz w:val="18"/>
                <w:szCs w:val="18"/>
              </w:rPr>
            </w:pPr>
            <w:r>
              <w:rPr>
                <w:rFonts w:ascii="宋体" w:hAnsi="宋体" w:cs="宋体" w:eastAsia="宋体" w:hint="default"/>
                <w:sz w:val="18"/>
                <w:szCs w:val="18"/>
              </w:rPr>
              <w:t>注 册 地</w:t>
            </w:r>
          </w:p>
        </w:tc>
        <w:tc>
          <w:tcPr>
            <w:tcW w:w="7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32" w:lineRule="exact"/>
              <w:ind w:left="288" w:right="105"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96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309" w:lineRule="auto"/>
              <w:ind w:left="300" w:right="29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32" w:type="dxa"/>
            <w:tcBorders>
              <w:top w:val="single" w:sz="17" w:space="0" w:color="000000"/>
              <w:left w:val="single" w:sz="4" w:space="0" w:color="000000"/>
              <w:bottom w:val="single" w:sz="4" w:space="0" w:color="000000"/>
              <w:right w:val="single" w:sz="4" w:space="0" w:color="000000"/>
            </w:tcBorders>
          </w:tcPr>
          <w:p>
            <w:pPr>
              <w:pStyle w:val="TableParagraph"/>
              <w:spacing w:line="234" w:lineRule="exact" w:before="159"/>
              <w:ind w:left="153"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ind w:left="333" w:right="98" w:hanging="229"/>
              <w:jc w:val="left"/>
              <w:rPr>
                <w:rFonts w:ascii="宋体" w:hAnsi="宋体" w:cs="宋体" w:eastAsia="宋体" w:hint="default"/>
                <w:sz w:val="18"/>
                <w:szCs w:val="18"/>
              </w:rPr>
            </w:pPr>
            <w:r>
              <w:rPr>
                <w:rFonts w:ascii="宋体" w:hAnsi="宋体" w:cs="宋体" w:eastAsia="宋体" w:hint="default"/>
                <w:spacing w:val="-17"/>
                <w:sz w:val="18"/>
                <w:szCs w:val="18"/>
              </w:rPr>
              <w:t>（单位：万</w:t>
            </w:r>
            <w:r>
              <w:rPr>
                <w:rFonts w:ascii="宋体" w:hAnsi="宋体" w:cs="宋体" w:eastAsia="宋体" w:hint="default"/>
                <w:sz w:val="18"/>
                <w:szCs w:val="18"/>
              </w:rPr>
              <w:t> 元）</w:t>
            </w:r>
          </w:p>
        </w:tc>
        <w:tc>
          <w:tcPr>
            <w:tcW w:w="962" w:type="dxa"/>
            <w:tcBorders>
              <w:top w:val="single" w:sz="17" w:space="0" w:color="000000"/>
              <w:left w:val="single" w:sz="4" w:space="0" w:color="000000"/>
              <w:bottom w:val="single" w:sz="4" w:space="0" w:color="000000"/>
              <w:right w:val="single" w:sz="4" w:space="0" w:color="000000"/>
            </w:tcBorders>
          </w:tcPr>
          <w:p>
            <w:pPr>
              <w:pStyle w:val="TableParagraph"/>
              <w:spacing w:line="237" w:lineRule="auto" w:before="161"/>
              <w:ind w:left="117" w:right="113"/>
              <w:jc w:val="center"/>
              <w:rPr>
                <w:rFonts w:ascii="宋体" w:hAnsi="宋体" w:cs="宋体" w:eastAsia="宋体" w:hint="default"/>
                <w:sz w:val="18"/>
                <w:szCs w:val="18"/>
              </w:rPr>
            </w:pPr>
            <w:r>
              <w:rPr>
                <w:rFonts w:ascii="宋体" w:hAnsi="宋体" w:cs="宋体" w:eastAsia="宋体" w:hint="default"/>
                <w:sz w:val="18"/>
                <w:szCs w:val="18"/>
              </w:rPr>
              <w:t>本企业合 计持股比 例</w:t>
            </w:r>
          </w:p>
        </w:tc>
        <w:tc>
          <w:tcPr>
            <w:tcW w:w="1104" w:type="dxa"/>
            <w:tcBorders>
              <w:top w:val="single" w:sz="17" w:space="0" w:color="000000"/>
              <w:left w:val="single" w:sz="4" w:space="0" w:color="000000"/>
              <w:bottom w:val="single" w:sz="4" w:space="0" w:color="000000"/>
              <w:right w:val="single" w:sz="4" w:space="0" w:color="000000"/>
            </w:tcBorders>
          </w:tcPr>
          <w:p>
            <w:pPr>
              <w:pStyle w:val="TableParagraph"/>
              <w:spacing w:line="237" w:lineRule="auto" w:before="43"/>
              <w:ind w:left="189" w:right="182"/>
              <w:jc w:val="center"/>
              <w:rPr>
                <w:rFonts w:ascii="宋体" w:hAnsi="宋体" w:cs="宋体" w:eastAsia="宋体" w:hint="default"/>
                <w:sz w:val="18"/>
                <w:szCs w:val="18"/>
              </w:rPr>
            </w:pPr>
            <w:r>
              <w:rPr>
                <w:rFonts w:ascii="宋体" w:hAnsi="宋体" w:cs="宋体" w:eastAsia="宋体" w:hint="default"/>
                <w:sz w:val="18"/>
                <w:szCs w:val="18"/>
              </w:rPr>
              <w:t>本企业合 计享有的 表决权比 例</w:t>
            </w:r>
          </w:p>
        </w:tc>
        <w:tc>
          <w:tcPr>
            <w:tcW w:w="1243"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309" w:lineRule="auto"/>
              <w:ind w:left="439" w:right="257"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772" w:hRule="exact"/>
        </w:trPr>
        <w:tc>
          <w:tcPr>
            <w:tcW w:w="1692" w:type="dxa"/>
            <w:tcBorders>
              <w:top w:val="single" w:sz="4" w:space="0" w:color="000000"/>
              <w:left w:val="nil" w:sz="6" w:space="0" w:color="auto"/>
              <w:bottom w:val="nil" w:sz="6" w:space="0" w:color="auto"/>
              <w:right w:val="single" w:sz="4" w:space="0" w:color="000000"/>
            </w:tcBorders>
          </w:tcPr>
          <w:p>
            <w:pPr>
              <w:pStyle w:val="TableParagraph"/>
              <w:spacing w:line="202" w:lineRule="exact"/>
              <w:ind w:left="122" w:right="0"/>
              <w:jc w:val="left"/>
              <w:rPr>
                <w:rFonts w:ascii="Times New Roman" w:hAnsi="Times New Roman" w:cs="Times New Roman" w:eastAsia="Times New Roman" w:hint="default"/>
                <w:sz w:val="18"/>
                <w:szCs w:val="18"/>
              </w:rPr>
            </w:pPr>
            <w:r>
              <w:rPr>
                <w:rFonts w:ascii="Times New Roman"/>
                <w:sz w:val="18"/>
              </w:rPr>
              <w:t>Sdn</w:t>
            </w:r>
            <w:r>
              <w:rPr>
                <w:rFonts w:ascii="Times New Roman"/>
                <w:spacing w:val="1"/>
                <w:sz w:val="18"/>
              </w:rPr>
              <w:t> </w:t>
            </w:r>
            <w:r>
              <w:rPr>
                <w:rFonts w:ascii="Times New Roman"/>
                <w:sz w:val="18"/>
              </w:rPr>
              <w:t>Bhd</w:t>
            </w:r>
          </w:p>
        </w:tc>
        <w:tc>
          <w:tcPr>
            <w:tcW w:w="76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6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571" w:type="dxa"/>
            <w:tcBorders>
              <w:top w:val="single" w:sz="4" w:space="0" w:color="000000"/>
              <w:left w:val="single" w:sz="4" w:space="0" w:color="000000"/>
              <w:bottom w:val="nil" w:sz="6" w:space="0" w:color="auto"/>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来</w:t>
            </w:r>
          </w:p>
          <w:p>
            <w:pPr>
              <w:pStyle w:val="TableParagraph"/>
              <w:spacing w:line="232" w:lineRule="exact" w:before="23"/>
              <w:ind w:left="192" w:right="187"/>
              <w:jc w:val="center"/>
              <w:rPr>
                <w:rFonts w:ascii="宋体" w:hAnsi="宋体" w:cs="宋体" w:eastAsia="宋体" w:hint="default"/>
                <w:sz w:val="18"/>
                <w:szCs w:val="18"/>
              </w:rPr>
            </w:pPr>
            <w:r>
              <w:rPr>
                <w:rFonts w:ascii="宋体" w:hAnsi="宋体" w:cs="宋体" w:eastAsia="宋体" w:hint="default"/>
                <w:sz w:val="18"/>
                <w:szCs w:val="18"/>
              </w:rPr>
              <w:t>西 亚</w:t>
            </w:r>
          </w:p>
        </w:tc>
        <w:tc>
          <w:tcPr>
            <w:tcW w:w="766"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300"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032"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427" w:right="0"/>
              <w:jc w:val="left"/>
              <w:rPr>
                <w:rFonts w:ascii="Times New Roman" w:hAnsi="Times New Roman" w:cs="Times New Roman" w:eastAsia="Times New Roman" w:hint="default"/>
                <w:sz w:val="18"/>
                <w:szCs w:val="18"/>
              </w:rPr>
            </w:pPr>
            <w:r>
              <w:rPr>
                <w:rFonts w:ascii="Times New Roman"/>
                <w:sz w:val="18"/>
              </w:rPr>
              <w:t>0.0002</w:t>
            </w:r>
          </w:p>
        </w:tc>
        <w:tc>
          <w:tcPr>
            <w:tcW w:w="962" w:type="dxa"/>
            <w:tcBorders>
              <w:top w:val="single" w:sz="4" w:space="0" w:color="000000"/>
              <w:left w:val="single" w:sz="4" w:space="0" w:color="000000"/>
              <w:bottom w:val="nil" w:sz="6" w:space="0" w:color="auto"/>
              <w:right w:val="single" w:sz="4" w:space="0" w:color="000000"/>
            </w:tcBorders>
          </w:tcPr>
          <w:p>
            <w:pPr/>
          </w:p>
        </w:tc>
        <w:tc>
          <w:tcPr>
            <w:tcW w:w="1104" w:type="dxa"/>
            <w:tcBorders>
              <w:top w:val="single" w:sz="4" w:space="0" w:color="000000"/>
              <w:left w:val="single" w:sz="4" w:space="0" w:color="000000"/>
              <w:bottom w:val="nil" w:sz="6" w:space="0" w:color="auto"/>
              <w:right w:val="single" w:sz="4" w:space="0" w:color="000000"/>
            </w:tcBorders>
          </w:tcPr>
          <w:p>
            <w:pPr/>
          </w:p>
        </w:tc>
        <w:tc>
          <w:tcPr>
            <w:tcW w:w="1243" w:type="dxa"/>
            <w:vMerge w:val="restart"/>
            <w:tcBorders>
              <w:top w:val="single" w:sz="4" w:space="0" w:color="000000"/>
              <w:left w:val="single" w:sz="4" w:space="0" w:color="000000"/>
              <w:right w:val="nil" w:sz="6" w:space="0" w:color="auto"/>
            </w:tcBorders>
          </w:tcPr>
          <w:p>
            <w:pPr/>
          </w:p>
        </w:tc>
      </w:tr>
      <w:tr>
        <w:trPr>
          <w:trHeight w:val="611" w:hRule="exact"/>
        </w:trPr>
        <w:tc>
          <w:tcPr>
            <w:tcW w:w="1692" w:type="dxa"/>
            <w:tcBorders>
              <w:top w:val="nil" w:sz="6" w:space="0" w:color="auto"/>
              <w:left w:val="nil" w:sz="6" w:space="0" w:color="auto"/>
              <w:bottom w:val="nil" w:sz="6" w:space="0" w:color="auto"/>
              <w:right w:val="single" w:sz="4" w:space="0" w:color="000000"/>
            </w:tcBorders>
          </w:tcPr>
          <w:p>
            <w:pPr>
              <w:pStyle w:val="TableParagraph"/>
              <w:spacing w:line="240" w:lineRule="auto" w:before="73"/>
              <w:ind w:left="122"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5"/>
                <w:sz w:val="18"/>
              </w:rPr>
              <w:t> </w:t>
            </w:r>
            <w:r>
              <w:rPr>
                <w:rFonts w:ascii="Times New Roman"/>
                <w:sz w:val="18"/>
              </w:rPr>
              <w:t>Ltd</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32" w:lineRule="exact" w:before="72"/>
              <w:ind w:left="201" w:right="107" w:hanging="92"/>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32" w:lineRule="exact" w:before="72"/>
              <w:ind w:left="108"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71" w:type="dxa"/>
            <w:tcBorders>
              <w:top w:val="nil" w:sz="6" w:space="0" w:color="auto"/>
              <w:left w:val="single" w:sz="4" w:space="0" w:color="000000"/>
              <w:bottom w:val="nil" w:sz="6" w:space="0" w:color="auto"/>
              <w:right w:val="single" w:sz="4" w:space="0" w:color="000000"/>
            </w:tcBorders>
          </w:tcPr>
          <w:p>
            <w:pPr>
              <w:pStyle w:val="TableParagraph"/>
              <w:spacing w:line="232" w:lineRule="exact" w:before="72"/>
              <w:ind w:left="192" w:right="187"/>
              <w:jc w:val="center"/>
              <w:rPr>
                <w:rFonts w:ascii="宋体" w:hAnsi="宋体" w:cs="宋体" w:eastAsia="宋体" w:hint="default"/>
                <w:sz w:val="18"/>
                <w:szCs w:val="18"/>
              </w:rPr>
            </w:pPr>
            <w:r>
              <w:rPr>
                <w:rFonts w:ascii="宋体" w:hAnsi="宋体" w:cs="宋体" w:eastAsia="宋体" w:hint="default"/>
                <w:sz w:val="18"/>
                <w:szCs w:val="18"/>
              </w:rPr>
              <w:t>香 港</w:t>
            </w:r>
          </w:p>
        </w:tc>
        <w:tc>
          <w:tcPr>
            <w:tcW w:w="7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李德利</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32" w:lineRule="exact" w:before="72"/>
              <w:ind w:left="300" w:right="113" w:hanging="180"/>
              <w:jc w:val="left"/>
              <w:rPr>
                <w:rFonts w:ascii="宋体" w:hAnsi="宋体" w:cs="宋体" w:eastAsia="宋体" w:hint="default"/>
                <w:sz w:val="18"/>
                <w:szCs w:val="18"/>
              </w:rPr>
            </w:pPr>
            <w:r>
              <w:rPr>
                <w:rFonts w:ascii="宋体" w:hAnsi="宋体" w:cs="宋体" w:eastAsia="宋体" w:hint="default"/>
                <w:sz w:val="18"/>
                <w:szCs w:val="18"/>
              </w:rPr>
              <w:t>销售终端 系统</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461" w:right="0"/>
              <w:jc w:val="center"/>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22"/>
              <w:ind w:left="326" w:right="0"/>
              <w:jc w:val="center"/>
              <w:rPr>
                <w:rFonts w:ascii="Times New Roman" w:hAnsi="Times New Roman" w:cs="Times New Roman" w:eastAsia="Times New Roman" w:hint="default"/>
                <w:sz w:val="18"/>
                <w:szCs w:val="18"/>
              </w:rPr>
            </w:pPr>
            <w:r>
              <w:rPr>
                <w:rFonts w:ascii="Times New Roman"/>
                <w:sz w:val="18"/>
              </w:rPr>
              <w:t>100.00</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99" w:right="0"/>
              <w:jc w:val="left"/>
              <w:rPr>
                <w:rFonts w:ascii="Times New Roman" w:hAnsi="Times New Roman" w:cs="Times New Roman" w:eastAsia="Times New Roman" w:hint="default"/>
                <w:sz w:val="18"/>
                <w:szCs w:val="18"/>
              </w:rPr>
            </w:pPr>
            <w:r>
              <w:rPr>
                <w:rFonts w:ascii="Times New Roman"/>
                <w:sz w:val="18"/>
              </w:rPr>
              <w:t>70.00%</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7" w:right="0"/>
              <w:jc w:val="center"/>
              <w:rPr>
                <w:rFonts w:ascii="Times New Roman" w:hAnsi="Times New Roman" w:cs="Times New Roman" w:eastAsia="Times New Roman" w:hint="default"/>
                <w:sz w:val="18"/>
                <w:szCs w:val="18"/>
              </w:rPr>
            </w:pPr>
            <w:r>
              <w:rPr>
                <w:rFonts w:ascii="Times New Roman"/>
                <w:sz w:val="18"/>
              </w:rPr>
              <w:t>70.00%</w:t>
            </w:r>
          </w:p>
        </w:tc>
        <w:tc>
          <w:tcPr>
            <w:tcW w:w="1243" w:type="dxa"/>
            <w:vMerge/>
            <w:tcBorders>
              <w:left w:val="single" w:sz="4" w:space="0" w:color="000000"/>
              <w:right w:val="nil" w:sz="6" w:space="0" w:color="auto"/>
            </w:tcBorders>
          </w:tcPr>
          <w:p>
            <w:pPr/>
          </w:p>
        </w:tc>
      </w:tr>
      <w:tr>
        <w:trPr>
          <w:trHeight w:val="631" w:hRule="exact"/>
        </w:trPr>
        <w:tc>
          <w:tcPr>
            <w:tcW w:w="1692" w:type="dxa"/>
            <w:tcBorders>
              <w:top w:val="nil" w:sz="6" w:space="0" w:color="auto"/>
              <w:left w:val="nil" w:sz="6" w:space="0" w:color="auto"/>
              <w:bottom w:val="single" w:sz="12" w:space="0" w:color="000000"/>
              <w:right w:val="single" w:sz="4" w:space="0" w:color="000000"/>
            </w:tcBorders>
          </w:tcPr>
          <w:p>
            <w:pPr>
              <w:pStyle w:val="TableParagraph"/>
              <w:spacing w:line="240" w:lineRule="auto" w:before="71"/>
              <w:ind w:left="122"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8"/>
                <w:sz w:val="18"/>
              </w:rPr>
              <w:t> </w:t>
            </w:r>
            <w:r>
              <w:rPr>
                <w:rFonts w:ascii="Times New Roman"/>
                <w:sz w:val="18"/>
              </w:rPr>
              <w:t>Ltd</w:t>
            </w:r>
          </w:p>
        </w:tc>
        <w:tc>
          <w:tcPr>
            <w:tcW w:w="768" w:type="dxa"/>
            <w:tcBorders>
              <w:top w:val="nil" w:sz="6" w:space="0" w:color="auto"/>
              <w:left w:val="single" w:sz="4" w:space="0" w:color="000000"/>
              <w:bottom w:val="single" w:sz="12" w:space="0" w:color="000000"/>
              <w:right w:val="single" w:sz="4" w:space="0" w:color="000000"/>
            </w:tcBorders>
          </w:tcPr>
          <w:p>
            <w:pPr>
              <w:pStyle w:val="TableParagraph"/>
              <w:spacing w:line="232" w:lineRule="exact" w:before="71"/>
              <w:ind w:left="201" w:right="107" w:hanging="92"/>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766" w:type="dxa"/>
            <w:tcBorders>
              <w:top w:val="nil" w:sz="6" w:space="0" w:color="auto"/>
              <w:left w:val="single" w:sz="4" w:space="0" w:color="000000"/>
              <w:bottom w:val="single" w:sz="12" w:space="0" w:color="000000"/>
              <w:right w:val="single" w:sz="4" w:space="0" w:color="000000"/>
            </w:tcBorders>
          </w:tcPr>
          <w:p>
            <w:pPr>
              <w:pStyle w:val="TableParagraph"/>
              <w:spacing w:line="232" w:lineRule="exact" w:before="71"/>
              <w:ind w:left="108"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71" w:type="dxa"/>
            <w:tcBorders>
              <w:top w:val="nil" w:sz="6" w:space="0" w:color="auto"/>
              <w:left w:val="single" w:sz="4" w:space="0" w:color="000000"/>
              <w:bottom w:val="single" w:sz="12" w:space="0" w:color="000000"/>
              <w:right w:val="single" w:sz="4" w:space="0" w:color="000000"/>
            </w:tcBorders>
          </w:tcPr>
          <w:p>
            <w:pPr>
              <w:pStyle w:val="TableParagraph"/>
              <w:spacing w:line="232" w:lineRule="exact" w:before="71"/>
              <w:ind w:left="192" w:right="187"/>
              <w:jc w:val="center"/>
              <w:rPr>
                <w:rFonts w:ascii="宋体" w:hAnsi="宋体" w:cs="宋体" w:eastAsia="宋体" w:hint="default"/>
                <w:sz w:val="18"/>
                <w:szCs w:val="18"/>
              </w:rPr>
            </w:pPr>
            <w:r>
              <w:rPr>
                <w:rFonts w:ascii="宋体" w:hAnsi="宋体" w:cs="宋体" w:eastAsia="宋体" w:hint="default"/>
                <w:sz w:val="18"/>
                <w:szCs w:val="18"/>
              </w:rPr>
              <w:t>香 港</w:t>
            </w:r>
          </w:p>
        </w:tc>
        <w:tc>
          <w:tcPr>
            <w:tcW w:w="7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李德利</w:t>
            </w:r>
          </w:p>
        </w:tc>
        <w:tc>
          <w:tcPr>
            <w:tcW w:w="965" w:type="dxa"/>
            <w:tcBorders>
              <w:top w:val="nil" w:sz="6" w:space="0" w:color="auto"/>
              <w:left w:val="single" w:sz="4" w:space="0" w:color="000000"/>
              <w:bottom w:val="single" w:sz="12" w:space="0" w:color="000000"/>
              <w:right w:val="single" w:sz="4" w:space="0" w:color="000000"/>
            </w:tcBorders>
          </w:tcPr>
          <w:p>
            <w:pPr>
              <w:pStyle w:val="TableParagraph"/>
              <w:spacing w:line="232" w:lineRule="exact" w:before="71"/>
              <w:ind w:left="300" w:right="113" w:hanging="180"/>
              <w:jc w:val="left"/>
              <w:rPr>
                <w:rFonts w:ascii="宋体" w:hAnsi="宋体" w:cs="宋体" w:eastAsia="宋体" w:hint="default"/>
                <w:sz w:val="18"/>
                <w:szCs w:val="18"/>
              </w:rPr>
            </w:pPr>
            <w:r>
              <w:rPr>
                <w:rFonts w:ascii="宋体" w:hAnsi="宋体" w:cs="宋体" w:eastAsia="宋体" w:hint="default"/>
                <w:sz w:val="18"/>
                <w:szCs w:val="18"/>
              </w:rPr>
              <w:t>销售终端 系统</w:t>
            </w:r>
          </w:p>
        </w:tc>
        <w:tc>
          <w:tcPr>
            <w:tcW w:w="103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6"/>
              <w:ind w:left="461" w:right="0"/>
              <w:jc w:val="center"/>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22"/>
              <w:ind w:left="326" w:right="0"/>
              <w:jc w:val="center"/>
              <w:rPr>
                <w:rFonts w:ascii="Times New Roman" w:hAnsi="Times New Roman" w:cs="Times New Roman" w:eastAsia="Times New Roman" w:hint="default"/>
                <w:sz w:val="18"/>
                <w:szCs w:val="18"/>
              </w:rPr>
            </w:pPr>
            <w:r>
              <w:rPr>
                <w:rFonts w:ascii="Times New Roman"/>
                <w:sz w:val="18"/>
              </w:rPr>
              <w:t>0.0002</w:t>
            </w:r>
          </w:p>
        </w:tc>
        <w:tc>
          <w:tcPr>
            <w:tcW w:w="96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1"/>
              <w:ind w:left="153" w:right="0"/>
              <w:jc w:val="left"/>
              <w:rPr>
                <w:rFonts w:ascii="Times New Roman" w:hAnsi="Times New Roman" w:cs="Times New Roman" w:eastAsia="Times New Roman" w:hint="default"/>
                <w:sz w:val="18"/>
                <w:szCs w:val="18"/>
              </w:rPr>
            </w:pPr>
            <w:r>
              <w:rPr>
                <w:rFonts w:ascii="Times New Roman"/>
                <w:sz w:val="18"/>
              </w:rPr>
              <w:t>100.00%</w:t>
            </w:r>
          </w:p>
        </w:tc>
        <w:tc>
          <w:tcPr>
            <w:tcW w:w="11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1"/>
              <w:ind w:left="4" w:right="0"/>
              <w:jc w:val="center"/>
              <w:rPr>
                <w:rFonts w:ascii="Times New Roman" w:hAnsi="Times New Roman" w:cs="Times New Roman" w:eastAsia="Times New Roman" w:hint="default"/>
                <w:sz w:val="18"/>
                <w:szCs w:val="18"/>
              </w:rPr>
            </w:pPr>
            <w:r>
              <w:rPr>
                <w:rFonts w:ascii="Times New Roman"/>
                <w:sz w:val="18"/>
              </w:rPr>
              <w:t>100.00%</w:t>
            </w:r>
          </w:p>
        </w:tc>
        <w:tc>
          <w:tcPr>
            <w:tcW w:w="1243" w:type="dxa"/>
            <w:vMerge/>
            <w:tcBorders>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6"/>
        <w:ind w:left="672" w:right="0"/>
        <w:jc w:val="left"/>
      </w:pPr>
      <w:r>
        <w:rPr>
          <w:rFonts w:ascii="Times New Roman" w:hAnsi="Times New Roman" w:cs="Times New Roman" w:eastAsia="Times New Roman" w:hint="default"/>
        </w:rPr>
        <w:t>4</w:t>
      </w:r>
      <w:r>
        <w:rPr/>
        <w:t>．关联方交易</w:t>
      </w:r>
    </w:p>
    <w:p>
      <w:pPr>
        <w:pStyle w:val="BodyText"/>
        <w:spacing w:line="240" w:lineRule="auto" w:before="167"/>
        <w:ind w:left="672" w:right="0"/>
        <w:jc w:val="left"/>
      </w:pPr>
      <w:r>
        <w:rPr/>
        <w:t>（</w:t>
      </w:r>
      <w:r>
        <w:rPr>
          <w:rFonts w:ascii="Times New Roman" w:hAnsi="Times New Roman" w:cs="Times New Roman" w:eastAsia="Times New Roman" w:hint="default"/>
        </w:rPr>
        <w:t>1</w:t>
      </w:r>
      <w:r>
        <w:rPr/>
        <w:t>）公司报告期内与纳入合并报表范围的子公司交易均已抵销。</w:t>
      </w:r>
    </w:p>
    <w:p>
      <w:pPr>
        <w:pStyle w:val="BodyText"/>
        <w:spacing w:line="240" w:lineRule="auto" w:before="160"/>
        <w:ind w:left="672" w:right="0"/>
        <w:jc w:val="left"/>
      </w:pPr>
      <w:r>
        <w:rPr/>
        <w:t>（</w:t>
      </w:r>
      <w:r>
        <w:rPr>
          <w:rFonts w:ascii="Times New Roman" w:hAnsi="Times New Roman" w:cs="Times New Roman" w:eastAsia="Times New Roman" w:hint="default"/>
        </w:rPr>
        <w:t>2</w:t>
      </w:r>
      <w:r>
        <w:rPr/>
        <w:t>）关联方应收应付款项期末无余额。</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spacing w:line="393" w:lineRule="auto" w:before="0"/>
        <w:ind w:left="672" w:right="4688" w:firstLine="2"/>
        <w:jc w:val="left"/>
        <w:rPr>
          <w:rFonts w:ascii="宋体" w:hAnsi="宋体" w:cs="宋体" w:eastAsia="宋体" w:hint="default"/>
          <w:sz w:val="21"/>
          <w:szCs w:val="21"/>
        </w:rPr>
      </w:pPr>
      <w:r>
        <w:rPr>
          <w:rFonts w:ascii="宋体" w:hAnsi="宋体" w:cs="宋体" w:eastAsia="宋体" w:hint="default"/>
          <w:b/>
          <w:bCs/>
          <w:sz w:val="21"/>
          <w:szCs w:val="21"/>
        </w:rPr>
        <w:t>（七）或有事项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报告期内无需披露的重大或有事项。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line="391" w:lineRule="auto" w:before="0"/>
        <w:ind w:left="672" w:right="4559" w:firstLine="2"/>
        <w:jc w:val="left"/>
        <w:rPr>
          <w:rFonts w:ascii="宋体" w:hAnsi="宋体" w:cs="宋体" w:eastAsia="宋体" w:hint="default"/>
          <w:sz w:val="21"/>
          <w:szCs w:val="21"/>
        </w:rPr>
      </w:pPr>
      <w:r>
        <w:rPr>
          <w:rFonts w:ascii="宋体" w:hAnsi="宋体" w:cs="宋体" w:eastAsia="宋体" w:hint="default"/>
          <w:b/>
          <w:bCs/>
          <w:sz w:val="21"/>
          <w:szCs w:val="21"/>
        </w:rPr>
        <w:t>（八）承诺事项</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公司报告期内无需披露的重大承诺事项。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393" w:lineRule="auto" w:before="0"/>
        <w:ind w:left="672" w:right="4559" w:firstLine="2"/>
        <w:jc w:val="left"/>
        <w:rPr>
          <w:rFonts w:ascii="宋体" w:hAnsi="宋体" w:cs="宋体" w:eastAsia="宋体" w:hint="default"/>
          <w:sz w:val="21"/>
          <w:szCs w:val="21"/>
        </w:rPr>
      </w:pPr>
      <w:r>
        <w:rPr/>
        <w:pict>
          <v:shape style="position:absolute;margin-left:54.48pt;margin-top:37.823666pt;width:485.55pt;height:71.05pt;mso-position-horizontal-relative:page;mso-position-vertical-relative:paragraph;z-index:3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13"/>
                    <w:gridCol w:w="4498"/>
                  </w:tblGrid>
                  <w:tr>
                    <w:trPr>
                      <w:trHeight w:val="470" w:hRule="exact"/>
                    </w:trPr>
                    <w:tc>
                      <w:tcPr>
                        <w:tcW w:w="5213"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40" w:lineRule="auto" w:before="146"/>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4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6"/>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4" w:hRule="exact"/>
                    </w:trPr>
                    <w:tc>
                      <w:tcPr>
                        <w:tcW w:w="5213" w:type="dxa"/>
                        <w:tcBorders>
                          <w:top w:val="single" w:sz="4" w:space="0" w:color="000000"/>
                          <w:left w:val="nil" w:sz="6" w:space="0" w:color="auto"/>
                          <w:bottom w:val="nil" w:sz="6" w:space="0" w:color="auto"/>
                          <w:right w:val="single" w:sz="4" w:space="0" w:color="000000"/>
                        </w:tcBorders>
                      </w:tcPr>
                      <w:p>
                        <w:pPr>
                          <w:pStyle w:val="TableParagraph"/>
                          <w:spacing w:line="240" w:lineRule="auto" w:before="143"/>
                          <w:ind w:left="4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498"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92,736,000.00</w:t>
                        </w:r>
                      </w:p>
                    </w:tc>
                  </w:tr>
                  <w:tr>
                    <w:trPr>
                      <w:trHeight w:val="368" w:hRule="exact"/>
                    </w:trPr>
                    <w:tc>
                      <w:tcPr>
                        <w:tcW w:w="5213" w:type="dxa"/>
                        <w:tcBorders>
                          <w:top w:val="nil" w:sz="6" w:space="0" w:color="auto"/>
                          <w:left w:val="nil" w:sz="6" w:space="0" w:color="auto"/>
                          <w:bottom w:val="single" w:sz="12" w:space="0" w:color="000000"/>
                          <w:right w:val="single" w:sz="4" w:space="0" w:color="000000"/>
                        </w:tcBorders>
                      </w:tcPr>
                      <w:p>
                        <w:pPr>
                          <w:pStyle w:val="TableParagraph"/>
                          <w:spacing w:line="240" w:lineRule="auto" w:before="45"/>
                          <w:ind w:left="4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498" w:type="dxa"/>
                        <w:tcBorders>
                          <w:top w:val="nil" w:sz="6" w:space="0" w:color="auto"/>
                          <w:left w:val="single" w:sz="4" w:space="0" w:color="000000"/>
                          <w:bottom w:val="single" w:sz="12" w:space="0" w:color="000000"/>
                          <w:right w:val="nil" w:sz="6" w:space="0" w:color="auto"/>
                        </w:tcBorders>
                      </w:tcPr>
                      <w:p>
                        <w:pPr>
                          <w:pStyle w:val="TableParagraph"/>
                          <w:spacing w:line="240" w:lineRule="auto" w:before="104"/>
                          <w:ind w:right="24"/>
                          <w:jc w:val="right"/>
                          <w:rPr>
                            <w:rFonts w:ascii="Times New Roman" w:hAnsi="Times New Roman" w:cs="Times New Roman" w:eastAsia="Times New Roman" w:hint="default"/>
                            <w:sz w:val="21"/>
                            <w:szCs w:val="21"/>
                          </w:rPr>
                        </w:pPr>
                        <w:r>
                          <w:rPr>
                            <w:rFonts w:ascii="Times New Roman"/>
                            <w:spacing w:val="-1"/>
                            <w:sz w:val="21"/>
                          </w:rPr>
                          <w:t>92,736,000.00</w:t>
                        </w:r>
                      </w:p>
                    </w:tc>
                  </w:tr>
                </w:tbl>
                <w:p>
                  <w:pPr/>
                </w:p>
              </w:txbxContent>
            </v:textbox>
            <w10:wrap type="none"/>
          </v:shape>
        </w:pict>
      </w:r>
      <w:r>
        <w:rPr>
          <w:rFonts w:ascii="宋体" w:hAnsi="宋体" w:cs="宋体" w:eastAsia="宋体" w:hint="default"/>
          <w:b/>
          <w:bCs/>
          <w:sz w:val="21"/>
          <w:szCs w:val="21"/>
        </w:rPr>
        <w:t>（九）资产负债表日后事项</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资产负债表日后利润分配情况说明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369" w:lineRule="auto" w:before="36"/>
        <w:ind w:left="252" w:right="0" w:firstLine="419"/>
        <w:jc w:val="left"/>
      </w:pPr>
      <w:r>
        <w:rPr>
          <w:spacing w:val="-2"/>
        </w:rPr>
        <w:t>注：根据公司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日董事会决议</w:t>
      </w:r>
      <w:r>
        <w:rPr>
          <w:rFonts w:ascii="Times New Roman" w:hAnsi="Times New Roman" w:cs="Times New Roman" w:eastAsia="Times New Roman" w:hint="default"/>
          <w:spacing w:val="-2"/>
        </w:rPr>
        <w:t>2011</w:t>
      </w:r>
      <w:r>
        <w:rPr>
          <w:spacing w:val="-2"/>
        </w:rPr>
        <w:t>年度利润分配预案：公司拟以</w:t>
      </w:r>
      <w:r>
        <w:rPr>
          <w:rFonts w:ascii="Times New Roman" w:hAnsi="Times New Roman" w:cs="Times New Roman" w:eastAsia="Times New Roman" w:hint="default"/>
          <w:spacing w:val="-2"/>
        </w:rPr>
        <w:t>2011</w:t>
      </w:r>
      <w:r>
        <w:rPr>
          <w:spacing w:val="-2"/>
        </w:rPr>
        <w:t>年末总股本为基数，</w:t>
      </w:r>
      <w:r>
        <w:rPr>
          <w:spacing w:val="-3"/>
          <w:w w:val="100"/>
        </w:rPr>
        <w:t> </w:t>
      </w:r>
      <w:r>
        <w:rPr/>
        <w:t>以未分配利润向全体股东按每</w:t>
      </w:r>
      <w:r>
        <w:rPr>
          <w:rFonts w:ascii="Times New Roman" w:hAnsi="Times New Roman" w:cs="Times New Roman" w:eastAsia="Times New Roman" w:hint="default"/>
        </w:rPr>
        <w:t>10</w:t>
      </w:r>
      <w:r>
        <w:rPr/>
        <w:t>股派发</w:t>
      </w:r>
      <w:r>
        <w:rPr>
          <w:rFonts w:ascii="Times New Roman" w:hAnsi="Times New Roman" w:cs="Times New Roman" w:eastAsia="Times New Roman" w:hint="default"/>
        </w:rPr>
        <w:t>3</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的现金股利，上述预案尚需经股东大会批准。</w:t>
      </w:r>
    </w:p>
    <w:p>
      <w:pPr>
        <w:spacing w:line="240" w:lineRule="auto" w:before="0"/>
        <w:rPr>
          <w:rFonts w:ascii="宋体" w:hAnsi="宋体" w:cs="宋体" w:eastAsia="宋体" w:hint="default"/>
          <w:sz w:val="22"/>
          <w:szCs w:val="22"/>
        </w:rPr>
      </w:pPr>
    </w:p>
    <w:p>
      <w:pPr>
        <w:pStyle w:val="Heading4"/>
        <w:spacing w:line="240" w:lineRule="auto" w:before="196"/>
        <w:ind w:left="675" w:right="0"/>
        <w:jc w:val="left"/>
        <w:rPr>
          <w:b w:val="0"/>
          <w:bCs w:val="0"/>
        </w:rPr>
      </w:pPr>
      <w:r>
        <w:rPr/>
        <w:t>（十）其他重大事项</w:t>
      </w:r>
      <w:r>
        <w:rPr>
          <w:b w:val="0"/>
          <w:bCs w:val="0"/>
        </w:rPr>
      </w:r>
    </w:p>
    <w:p>
      <w:pPr>
        <w:pStyle w:val="BodyText"/>
        <w:spacing w:line="240" w:lineRule="auto" w:before="176"/>
        <w:ind w:left="672" w:right="0"/>
        <w:jc w:val="left"/>
      </w:pPr>
      <w:r>
        <w:rPr>
          <w:rFonts w:ascii="Times New Roman" w:hAnsi="Times New Roman" w:cs="Times New Roman" w:eastAsia="Times New Roman" w:hint="default"/>
        </w:rPr>
        <w:t>1</w:t>
      </w:r>
      <w:r>
        <w:rPr/>
        <w:t>．以公允价值计量的资产和负债</w:t>
      </w:r>
    </w:p>
    <w:tbl>
      <w:tblPr>
        <w:tblW w:w="0" w:type="auto"/>
        <w:jc w:val="left"/>
        <w:tblInd w:w="116" w:type="dxa"/>
        <w:tblLayout w:type="fixed"/>
        <w:tblCellMar>
          <w:top w:w="0" w:type="dxa"/>
          <w:left w:w="0" w:type="dxa"/>
          <w:bottom w:w="0" w:type="dxa"/>
          <w:right w:w="0" w:type="dxa"/>
        </w:tblCellMar>
        <w:tblLook w:val="01E0"/>
      </w:tblPr>
      <w:tblGrid>
        <w:gridCol w:w="2318"/>
        <w:gridCol w:w="1387"/>
        <w:gridCol w:w="1589"/>
        <w:gridCol w:w="1982"/>
        <w:gridCol w:w="1200"/>
        <w:gridCol w:w="1392"/>
      </w:tblGrid>
      <w:tr>
        <w:trPr>
          <w:trHeight w:val="922" w:hRule="exact"/>
        </w:trPr>
        <w:tc>
          <w:tcPr>
            <w:tcW w:w="2318"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tabs>
                <w:tab w:pos="1377" w:val="left" w:leader="none"/>
              </w:tabs>
              <w:spacing w:line="240" w:lineRule="auto"/>
              <w:ind w:left="7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387"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589" w:type="dxa"/>
            <w:tcBorders>
              <w:top w:val="single" w:sz="12" w:space="0" w:color="000000"/>
              <w:left w:val="single" w:sz="6" w:space="0" w:color="000000"/>
              <w:bottom w:val="single" w:sz="4" w:space="0" w:color="000000"/>
              <w:right w:val="single" w:sz="6" w:space="0" w:color="000000"/>
            </w:tcBorders>
          </w:tcPr>
          <w:p>
            <w:pPr>
              <w:pStyle w:val="TableParagraph"/>
              <w:spacing w:line="448" w:lineRule="exact" w:before="33"/>
              <w:ind w:left="369" w:right="151" w:hanging="212"/>
              <w:jc w:val="left"/>
              <w:rPr>
                <w:rFonts w:ascii="宋体" w:hAnsi="宋体" w:cs="宋体" w:eastAsia="宋体" w:hint="default"/>
                <w:sz w:val="21"/>
                <w:szCs w:val="21"/>
              </w:rPr>
            </w:pPr>
            <w:r>
              <w:rPr>
                <w:rFonts w:ascii="宋体" w:hAnsi="宋体" w:cs="宋体" w:eastAsia="宋体" w:hint="default"/>
                <w:sz w:val="21"/>
                <w:szCs w:val="21"/>
              </w:rPr>
              <w:t>本期公允价值</w:t>
            </w:r>
            <w:r>
              <w:rPr>
                <w:rFonts w:ascii="宋体" w:hAnsi="宋体" w:cs="宋体" w:eastAsia="宋体" w:hint="default"/>
                <w:w w:val="100"/>
                <w:sz w:val="21"/>
                <w:szCs w:val="21"/>
              </w:rPr>
              <w:t> </w:t>
            </w:r>
            <w:r>
              <w:rPr>
                <w:rFonts w:ascii="宋体" w:hAnsi="宋体" w:cs="宋体" w:eastAsia="宋体" w:hint="default"/>
                <w:sz w:val="21"/>
                <w:szCs w:val="21"/>
              </w:rPr>
              <w:t>变动损益</w:t>
            </w:r>
          </w:p>
        </w:tc>
        <w:tc>
          <w:tcPr>
            <w:tcW w:w="1982" w:type="dxa"/>
            <w:tcBorders>
              <w:top w:val="single" w:sz="12" w:space="0" w:color="000000"/>
              <w:left w:val="single" w:sz="6" w:space="0" w:color="000000"/>
              <w:bottom w:val="single" w:sz="4" w:space="0" w:color="000000"/>
              <w:right w:val="single" w:sz="6" w:space="0" w:color="000000"/>
            </w:tcBorders>
          </w:tcPr>
          <w:p>
            <w:pPr>
              <w:pStyle w:val="TableParagraph"/>
              <w:spacing w:line="448" w:lineRule="exact" w:before="33"/>
              <w:ind w:left="460" w:right="136" w:hanging="315"/>
              <w:jc w:val="left"/>
              <w:rPr>
                <w:rFonts w:ascii="宋体" w:hAnsi="宋体" w:cs="宋体" w:eastAsia="宋体" w:hint="default"/>
                <w:sz w:val="21"/>
                <w:szCs w:val="21"/>
              </w:rPr>
            </w:pPr>
            <w:r>
              <w:rPr>
                <w:rFonts w:ascii="宋体" w:hAnsi="宋体" w:cs="宋体" w:eastAsia="宋体" w:hint="default"/>
                <w:sz w:val="21"/>
                <w:szCs w:val="21"/>
              </w:rPr>
              <w:t>计入权益的累计公</w:t>
            </w:r>
            <w:r>
              <w:rPr>
                <w:rFonts w:ascii="宋体" w:hAnsi="宋体" w:cs="宋体" w:eastAsia="宋体" w:hint="default"/>
                <w:w w:val="100"/>
                <w:sz w:val="21"/>
                <w:szCs w:val="21"/>
              </w:rPr>
              <w:t> </w:t>
            </w:r>
            <w:r>
              <w:rPr>
                <w:rFonts w:ascii="宋体" w:hAnsi="宋体" w:cs="宋体" w:eastAsia="宋体" w:hint="default"/>
                <w:sz w:val="21"/>
                <w:szCs w:val="21"/>
              </w:rPr>
              <w:t>允价值变动</w:t>
            </w:r>
          </w:p>
        </w:tc>
        <w:tc>
          <w:tcPr>
            <w:tcW w:w="1200" w:type="dxa"/>
            <w:tcBorders>
              <w:top w:val="single" w:sz="12" w:space="0" w:color="000000"/>
              <w:left w:val="single" w:sz="6" w:space="0" w:color="000000"/>
              <w:bottom w:val="single" w:sz="4" w:space="0" w:color="000000"/>
              <w:right w:val="single" w:sz="6" w:space="0" w:color="000000"/>
            </w:tcBorders>
          </w:tcPr>
          <w:p>
            <w:pPr>
              <w:pStyle w:val="TableParagraph"/>
              <w:spacing w:line="448" w:lineRule="exact" w:before="33"/>
              <w:ind w:left="278" w:right="165" w:hanging="104"/>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的减值</w:t>
            </w:r>
          </w:p>
        </w:tc>
        <w:tc>
          <w:tcPr>
            <w:tcW w:w="1392"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470" w:hRule="exact"/>
        </w:trPr>
        <w:tc>
          <w:tcPr>
            <w:tcW w:w="2318"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387" w:type="dxa"/>
            <w:tcBorders>
              <w:top w:val="single" w:sz="4" w:space="0" w:color="000000"/>
              <w:left w:val="single" w:sz="6" w:space="0" w:color="000000"/>
              <w:bottom w:val="single" w:sz="12" w:space="0" w:color="000000"/>
              <w:right w:val="single" w:sz="6" w:space="0" w:color="000000"/>
            </w:tcBorders>
          </w:tcPr>
          <w:p>
            <w:pPr/>
          </w:p>
        </w:tc>
        <w:tc>
          <w:tcPr>
            <w:tcW w:w="1589" w:type="dxa"/>
            <w:tcBorders>
              <w:top w:val="single" w:sz="4" w:space="0" w:color="000000"/>
              <w:left w:val="single" w:sz="6" w:space="0" w:color="000000"/>
              <w:bottom w:val="single" w:sz="12" w:space="0" w:color="000000"/>
              <w:right w:val="single" w:sz="6" w:space="0" w:color="000000"/>
            </w:tcBorders>
          </w:tcPr>
          <w:p>
            <w:pPr/>
          </w:p>
        </w:tc>
        <w:tc>
          <w:tcPr>
            <w:tcW w:w="1982" w:type="dxa"/>
            <w:tcBorders>
              <w:top w:val="single" w:sz="4" w:space="0" w:color="000000"/>
              <w:left w:val="single" w:sz="6" w:space="0" w:color="000000"/>
              <w:bottom w:val="single" w:sz="12" w:space="0" w:color="000000"/>
              <w:right w:val="single" w:sz="6" w:space="0" w:color="000000"/>
            </w:tcBorders>
          </w:tcPr>
          <w:p>
            <w:pPr/>
          </w:p>
        </w:tc>
        <w:tc>
          <w:tcPr>
            <w:tcW w:w="1200" w:type="dxa"/>
            <w:tcBorders>
              <w:top w:val="single" w:sz="4" w:space="0" w:color="000000"/>
              <w:left w:val="single" w:sz="6" w:space="0" w:color="000000"/>
              <w:bottom w:val="single" w:sz="12" w:space="0" w:color="000000"/>
              <w:right w:val="single" w:sz="6" w:space="0" w:color="000000"/>
            </w:tcBorders>
          </w:tcPr>
          <w:p>
            <w:pPr/>
          </w:p>
        </w:tc>
        <w:tc>
          <w:tcPr>
            <w:tcW w:w="1392" w:type="dxa"/>
            <w:tcBorders>
              <w:top w:val="single" w:sz="4" w:space="0" w:color="000000"/>
              <w:left w:val="single" w:sz="6" w:space="0" w:color="000000"/>
              <w:bottom w:val="single" w:sz="12" w:space="0" w:color="000000"/>
              <w:right w:val="nil" w:sz="6" w:space="0" w:color="auto"/>
            </w:tcBorders>
          </w:tcPr>
          <w:p>
            <w:pPr/>
          </w:p>
        </w:tc>
      </w:tr>
    </w:tbl>
    <w:p>
      <w:pPr>
        <w:spacing w:after="0"/>
        <w:sectPr>
          <w:pgSz w:w="11910" w:h="16840"/>
          <w:pgMar w:header="850" w:footer="979" w:top="1200" w:bottom="1160" w:left="880" w:right="88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318"/>
        <w:gridCol w:w="1387"/>
        <w:gridCol w:w="1589"/>
        <w:gridCol w:w="1982"/>
        <w:gridCol w:w="1200"/>
        <w:gridCol w:w="1392"/>
      </w:tblGrid>
      <w:tr>
        <w:trPr>
          <w:trHeight w:val="571" w:hRule="exact"/>
        </w:trPr>
        <w:tc>
          <w:tcPr>
            <w:tcW w:w="2318" w:type="dxa"/>
            <w:tcBorders>
              <w:top w:val="single" w:sz="17" w:space="0" w:color="000000"/>
              <w:left w:val="nil" w:sz="6" w:space="0" w:color="auto"/>
              <w:bottom w:val="nil" w:sz="6" w:space="0" w:color="auto"/>
              <w:right w:val="single" w:sz="6"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387" w:type="dxa"/>
            <w:tcBorders>
              <w:top w:val="single" w:sz="17" w:space="0" w:color="000000"/>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323,342.00</w:t>
            </w:r>
          </w:p>
        </w:tc>
        <w:tc>
          <w:tcPr>
            <w:tcW w:w="1589" w:type="dxa"/>
            <w:vMerge w:val="restart"/>
            <w:tcBorders>
              <w:top w:val="single" w:sz="17" w:space="0" w:color="000000"/>
              <w:left w:val="single" w:sz="6" w:space="0" w:color="000000"/>
              <w:right w:val="single" w:sz="6" w:space="0" w:color="000000"/>
            </w:tcBorders>
          </w:tcPr>
          <w:p>
            <w:pPr/>
          </w:p>
        </w:tc>
        <w:tc>
          <w:tcPr>
            <w:tcW w:w="1982" w:type="dxa"/>
            <w:vMerge w:val="restart"/>
            <w:tcBorders>
              <w:top w:val="single" w:sz="17" w:space="0" w:color="000000"/>
              <w:left w:val="single" w:sz="6" w:space="0" w:color="000000"/>
              <w:right w:val="single" w:sz="6" w:space="0" w:color="000000"/>
            </w:tcBorders>
          </w:tcPr>
          <w:p>
            <w:pPr/>
          </w:p>
        </w:tc>
        <w:tc>
          <w:tcPr>
            <w:tcW w:w="1200" w:type="dxa"/>
            <w:vMerge w:val="restart"/>
            <w:tcBorders>
              <w:top w:val="single" w:sz="17" w:space="0" w:color="000000"/>
              <w:left w:val="single" w:sz="6" w:space="0" w:color="000000"/>
              <w:right w:val="single" w:sz="6" w:space="0" w:color="000000"/>
            </w:tcBorders>
          </w:tcPr>
          <w:p>
            <w:pPr/>
          </w:p>
        </w:tc>
        <w:tc>
          <w:tcPr>
            <w:tcW w:w="1392" w:type="dxa"/>
            <w:vMerge w:val="restart"/>
            <w:tcBorders>
              <w:top w:val="single" w:sz="17" w:space="0" w:color="000000"/>
              <w:left w:val="single" w:sz="6" w:space="0" w:color="000000"/>
              <w:right w:val="nil" w:sz="6" w:space="0" w:color="auto"/>
            </w:tcBorders>
          </w:tcPr>
          <w:p>
            <w:pPr/>
          </w:p>
        </w:tc>
      </w:tr>
      <w:tr>
        <w:trPr>
          <w:trHeight w:val="368" w:hRule="exact"/>
        </w:trPr>
        <w:tc>
          <w:tcPr>
            <w:tcW w:w="2318" w:type="dxa"/>
            <w:tcBorders>
              <w:top w:val="nil" w:sz="6" w:space="0" w:color="auto"/>
              <w:left w:val="nil" w:sz="6" w:space="0" w:color="auto"/>
              <w:bottom w:val="single" w:sz="12" w:space="0" w:color="000000"/>
              <w:right w:val="single" w:sz="6"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38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4"/>
              <w:ind w:right="93"/>
              <w:jc w:val="right"/>
              <w:rPr>
                <w:rFonts w:ascii="Times New Roman" w:hAnsi="Times New Roman" w:cs="Times New Roman" w:eastAsia="Times New Roman" w:hint="default"/>
                <w:sz w:val="21"/>
                <w:szCs w:val="21"/>
              </w:rPr>
            </w:pPr>
            <w:r>
              <w:rPr>
                <w:rFonts w:ascii="Times New Roman"/>
                <w:spacing w:val="-1"/>
                <w:sz w:val="21"/>
              </w:rPr>
              <w:t>323,342.00</w:t>
            </w:r>
          </w:p>
        </w:tc>
        <w:tc>
          <w:tcPr>
            <w:tcW w:w="1589" w:type="dxa"/>
            <w:vMerge/>
            <w:tcBorders>
              <w:left w:val="single" w:sz="6" w:space="0" w:color="000000"/>
              <w:bottom w:val="single" w:sz="12" w:space="0" w:color="000000"/>
              <w:right w:val="single" w:sz="6" w:space="0" w:color="000000"/>
            </w:tcBorders>
          </w:tcPr>
          <w:p>
            <w:pPr/>
          </w:p>
        </w:tc>
        <w:tc>
          <w:tcPr>
            <w:tcW w:w="1982" w:type="dxa"/>
            <w:vMerge/>
            <w:tcBorders>
              <w:left w:val="single" w:sz="6" w:space="0" w:color="000000"/>
              <w:bottom w:val="single" w:sz="12" w:space="0" w:color="000000"/>
              <w:right w:val="single" w:sz="6" w:space="0" w:color="000000"/>
            </w:tcBorders>
          </w:tcPr>
          <w:p>
            <w:pPr/>
          </w:p>
        </w:tc>
        <w:tc>
          <w:tcPr>
            <w:tcW w:w="1200" w:type="dxa"/>
            <w:vMerge/>
            <w:tcBorders>
              <w:left w:val="single" w:sz="6" w:space="0" w:color="000000"/>
              <w:bottom w:val="single" w:sz="12" w:space="0" w:color="000000"/>
              <w:right w:val="single" w:sz="6" w:space="0" w:color="000000"/>
            </w:tcBorders>
          </w:tcPr>
          <w:p>
            <w:pPr/>
          </w:p>
        </w:tc>
        <w:tc>
          <w:tcPr>
            <w:tcW w:w="1392" w:type="dxa"/>
            <w:vMerge/>
            <w:tcBorders>
              <w:left w:val="single" w:sz="6"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8"/>
          <w:szCs w:val="8"/>
        </w:rPr>
      </w:pPr>
    </w:p>
    <w:p>
      <w:pPr>
        <w:pStyle w:val="BodyText"/>
        <w:spacing w:line="240" w:lineRule="auto" w:before="36"/>
        <w:ind w:left="652" w:right="5418"/>
        <w:jc w:val="left"/>
      </w:pPr>
      <w:r>
        <w:rPr>
          <w:rFonts w:ascii="Times New Roman" w:hAnsi="Times New Roman" w:cs="Times New Roman" w:eastAsia="Times New Roman" w:hint="default"/>
        </w:rPr>
        <w:t>2</w:t>
      </w:r>
      <w:r>
        <w:rPr/>
        <w:t>．外币金融资产和外币金融负债</w:t>
      </w:r>
    </w:p>
    <w:tbl>
      <w:tblPr>
        <w:tblW w:w="0" w:type="auto"/>
        <w:jc w:val="left"/>
        <w:tblInd w:w="110" w:type="dxa"/>
        <w:tblLayout w:type="fixed"/>
        <w:tblCellMar>
          <w:top w:w="0" w:type="dxa"/>
          <w:left w:w="0" w:type="dxa"/>
          <w:bottom w:w="0" w:type="dxa"/>
          <w:right w:w="0" w:type="dxa"/>
        </w:tblCellMar>
        <w:tblLook w:val="01E0"/>
      </w:tblPr>
      <w:tblGrid>
        <w:gridCol w:w="2318"/>
        <w:gridCol w:w="1387"/>
        <w:gridCol w:w="1586"/>
        <w:gridCol w:w="1985"/>
        <w:gridCol w:w="1186"/>
        <w:gridCol w:w="1406"/>
      </w:tblGrid>
      <w:tr>
        <w:trPr>
          <w:trHeight w:val="922" w:hRule="exact"/>
        </w:trPr>
        <w:tc>
          <w:tcPr>
            <w:tcW w:w="23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tabs>
                <w:tab w:pos="1377" w:val="left" w:leader="none"/>
              </w:tabs>
              <w:spacing w:line="240" w:lineRule="auto"/>
              <w:ind w:left="7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3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586" w:type="dxa"/>
            <w:tcBorders>
              <w:top w:val="single" w:sz="12" w:space="0" w:color="000000"/>
              <w:left w:val="single" w:sz="4" w:space="0" w:color="000000"/>
              <w:bottom w:val="single" w:sz="4" w:space="0" w:color="000000"/>
              <w:right w:val="single" w:sz="4" w:space="0" w:color="000000"/>
            </w:tcBorders>
          </w:tcPr>
          <w:p>
            <w:pPr>
              <w:pStyle w:val="TableParagraph"/>
              <w:spacing w:line="448" w:lineRule="exact" w:before="33"/>
              <w:ind w:left="369" w:right="151" w:hanging="209"/>
              <w:jc w:val="left"/>
              <w:rPr>
                <w:rFonts w:ascii="宋体" w:hAnsi="宋体" w:cs="宋体" w:eastAsia="宋体" w:hint="default"/>
                <w:sz w:val="21"/>
                <w:szCs w:val="21"/>
              </w:rPr>
            </w:pPr>
            <w:r>
              <w:rPr>
                <w:rFonts w:ascii="宋体" w:hAnsi="宋体" w:cs="宋体" w:eastAsia="宋体" w:hint="default"/>
                <w:sz w:val="21"/>
                <w:szCs w:val="21"/>
              </w:rPr>
              <w:t>本期公允价值</w:t>
            </w:r>
            <w:r>
              <w:rPr>
                <w:rFonts w:ascii="宋体" w:hAnsi="宋体" w:cs="宋体" w:eastAsia="宋体" w:hint="default"/>
                <w:w w:val="100"/>
                <w:sz w:val="21"/>
                <w:szCs w:val="21"/>
              </w:rPr>
              <w:t> </w:t>
            </w:r>
            <w:r>
              <w:rPr>
                <w:rFonts w:ascii="宋体" w:hAnsi="宋体" w:cs="宋体" w:eastAsia="宋体" w:hint="default"/>
                <w:sz w:val="21"/>
                <w:szCs w:val="21"/>
              </w:rPr>
              <w:t>变动损益</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448" w:lineRule="exact" w:before="33"/>
              <w:ind w:left="463" w:right="141" w:hanging="315"/>
              <w:jc w:val="left"/>
              <w:rPr>
                <w:rFonts w:ascii="宋体" w:hAnsi="宋体" w:cs="宋体" w:eastAsia="宋体" w:hint="default"/>
                <w:sz w:val="21"/>
                <w:szCs w:val="21"/>
              </w:rPr>
            </w:pPr>
            <w:r>
              <w:rPr>
                <w:rFonts w:ascii="宋体" w:hAnsi="宋体" w:cs="宋体" w:eastAsia="宋体" w:hint="default"/>
                <w:sz w:val="21"/>
                <w:szCs w:val="21"/>
              </w:rPr>
              <w:t>计入权益的累计公</w:t>
            </w:r>
            <w:r>
              <w:rPr>
                <w:rFonts w:ascii="宋体" w:hAnsi="宋体" w:cs="宋体" w:eastAsia="宋体" w:hint="default"/>
                <w:w w:val="100"/>
                <w:sz w:val="21"/>
                <w:szCs w:val="21"/>
              </w:rPr>
              <w:t> </w:t>
            </w:r>
            <w:r>
              <w:rPr>
                <w:rFonts w:ascii="宋体" w:hAnsi="宋体" w:cs="宋体" w:eastAsia="宋体" w:hint="default"/>
                <w:sz w:val="21"/>
                <w:szCs w:val="21"/>
              </w:rPr>
              <w:t>允价值变动</w:t>
            </w:r>
          </w:p>
        </w:tc>
        <w:tc>
          <w:tcPr>
            <w:tcW w:w="1186" w:type="dxa"/>
            <w:tcBorders>
              <w:top w:val="single" w:sz="12" w:space="0" w:color="000000"/>
              <w:left w:val="single" w:sz="4" w:space="0" w:color="000000"/>
              <w:bottom w:val="single" w:sz="4" w:space="0" w:color="000000"/>
              <w:right w:val="single" w:sz="4" w:space="0" w:color="000000"/>
            </w:tcBorders>
          </w:tcPr>
          <w:p>
            <w:pPr>
              <w:pStyle w:val="TableParagraph"/>
              <w:spacing w:line="448" w:lineRule="exact" w:before="33"/>
              <w:ind w:left="273" w:right="161" w:hanging="104"/>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的减值</w:t>
            </w:r>
          </w:p>
        </w:tc>
        <w:tc>
          <w:tcPr>
            <w:tcW w:w="14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543" w:hRule="exact"/>
        </w:trPr>
        <w:tc>
          <w:tcPr>
            <w:tcW w:w="2318" w:type="dxa"/>
            <w:tcBorders>
              <w:top w:val="single" w:sz="4" w:space="0" w:color="000000"/>
              <w:left w:val="nil" w:sz="6" w:space="0" w:color="auto"/>
              <w:bottom w:val="nil" w:sz="6" w:space="0" w:color="auto"/>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387" w:type="dxa"/>
            <w:tcBorders>
              <w:top w:val="single" w:sz="4" w:space="0" w:color="000000"/>
              <w:left w:val="single" w:sz="4" w:space="0" w:color="000000"/>
              <w:bottom w:val="nil" w:sz="6" w:space="0" w:color="auto"/>
              <w:right w:val="single" w:sz="4" w:space="0" w:color="000000"/>
            </w:tcBorders>
          </w:tcPr>
          <w:p>
            <w:pPr/>
          </w:p>
        </w:tc>
        <w:tc>
          <w:tcPr>
            <w:tcW w:w="1586" w:type="dxa"/>
            <w:vMerge w:val="restart"/>
            <w:tcBorders>
              <w:top w:val="single" w:sz="4" w:space="0" w:color="000000"/>
              <w:left w:val="single" w:sz="4" w:space="0" w:color="000000"/>
              <w:right w:val="single" w:sz="4" w:space="0" w:color="000000"/>
            </w:tcBorders>
          </w:tcPr>
          <w:p>
            <w:pPr/>
          </w:p>
        </w:tc>
        <w:tc>
          <w:tcPr>
            <w:tcW w:w="1985" w:type="dxa"/>
            <w:vMerge w:val="restart"/>
            <w:tcBorders>
              <w:top w:val="single" w:sz="4" w:space="0" w:color="000000"/>
              <w:left w:val="single" w:sz="4" w:space="0" w:color="000000"/>
              <w:right w:val="single" w:sz="4" w:space="0" w:color="000000"/>
            </w:tcBorders>
          </w:tcPr>
          <w:p>
            <w:pPr/>
          </w:p>
        </w:tc>
        <w:tc>
          <w:tcPr>
            <w:tcW w:w="1186" w:type="dxa"/>
            <w:vMerge w:val="restart"/>
            <w:tcBorders>
              <w:top w:val="single" w:sz="4" w:space="0" w:color="000000"/>
              <w:left w:val="single" w:sz="4" w:space="0" w:color="000000"/>
              <w:right w:val="single" w:sz="4" w:space="0" w:color="000000"/>
            </w:tcBorders>
          </w:tcPr>
          <w:p>
            <w:pPr/>
          </w:p>
        </w:tc>
        <w:tc>
          <w:tcPr>
            <w:tcW w:w="1406" w:type="dxa"/>
            <w:vMerge w:val="restart"/>
            <w:tcBorders>
              <w:top w:val="single" w:sz="4" w:space="0" w:color="000000"/>
              <w:left w:val="single" w:sz="4" w:space="0" w:color="000000"/>
              <w:right w:val="nil" w:sz="6" w:space="0" w:color="auto"/>
            </w:tcBorders>
          </w:tcPr>
          <w:p>
            <w:pPr/>
          </w:p>
        </w:tc>
      </w:tr>
      <w:tr>
        <w:trPr>
          <w:trHeight w:val="461" w:hRule="exact"/>
        </w:trPr>
        <w:tc>
          <w:tcPr>
            <w:tcW w:w="2318"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331" w:right="0"/>
              <w:jc w:val="left"/>
              <w:rPr>
                <w:rFonts w:ascii="Times New Roman" w:hAnsi="Times New Roman" w:cs="Times New Roman" w:eastAsia="Times New Roman" w:hint="default"/>
                <w:sz w:val="21"/>
                <w:szCs w:val="21"/>
              </w:rPr>
            </w:pPr>
            <w:r>
              <w:rPr>
                <w:rFonts w:ascii="Times New Roman"/>
                <w:sz w:val="21"/>
              </w:rPr>
              <w:t>323,342.00</w:t>
            </w:r>
          </w:p>
        </w:tc>
        <w:tc>
          <w:tcPr>
            <w:tcW w:w="1586"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1406" w:type="dxa"/>
            <w:vMerge/>
            <w:tcBorders>
              <w:left w:val="single" w:sz="4" w:space="0" w:color="000000"/>
              <w:right w:val="nil" w:sz="6" w:space="0" w:color="auto"/>
            </w:tcBorders>
          </w:tcPr>
          <w:p>
            <w:pPr/>
          </w:p>
        </w:tc>
      </w:tr>
      <w:tr>
        <w:trPr>
          <w:trHeight w:val="367" w:hRule="exact"/>
        </w:trPr>
        <w:tc>
          <w:tcPr>
            <w:tcW w:w="2318" w:type="dxa"/>
            <w:tcBorders>
              <w:top w:val="nil" w:sz="6" w:space="0" w:color="auto"/>
              <w:left w:val="nil" w:sz="6" w:space="0" w:color="auto"/>
              <w:bottom w:val="single" w:sz="12"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38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3"/>
              <w:ind w:left="331" w:right="0"/>
              <w:jc w:val="left"/>
              <w:rPr>
                <w:rFonts w:ascii="Times New Roman" w:hAnsi="Times New Roman" w:cs="Times New Roman" w:eastAsia="Times New Roman" w:hint="default"/>
                <w:sz w:val="21"/>
                <w:szCs w:val="21"/>
              </w:rPr>
            </w:pPr>
            <w:r>
              <w:rPr>
                <w:rFonts w:ascii="Times New Roman"/>
                <w:sz w:val="21"/>
              </w:rPr>
              <w:t>323,342.00</w:t>
            </w:r>
          </w:p>
        </w:tc>
        <w:tc>
          <w:tcPr>
            <w:tcW w:w="1586" w:type="dxa"/>
            <w:vMerge/>
            <w:tcBorders>
              <w:left w:val="single" w:sz="4" w:space="0" w:color="000000"/>
              <w:bottom w:val="single" w:sz="12" w:space="0" w:color="000000"/>
              <w:right w:val="single" w:sz="4" w:space="0" w:color="000000"/>
            </w:tcBorders>
          </w:tcPr>
          <w:p>
            <w:pPr/>
          </w:p>
        </w:tc>
        <w:tc>
          <w:tcPr>
            <w:tcW w:w="1985" w:type="dxa"/>
            <w:vMerge/>
            <w:tcBorders>
              <w:left w:val="single" w:sz="4" w:space="0" w:color="000000"/>
              <w:bottom w:val="single" w:sz="12" w:space="0" w:color="000000"/>
              <w:right w:val="single" w:sz="4" w:space="0" w:color="000000"/>
            </w:tcBorders>
          </w:tcPr>
          <w:p>
            <w:pPr/>
          </w:p>
        </w:tc>
        <w:tc>
          <w:tcPr>
            <w:tcW w:w="1186" w:type="dxa"/>
            <w:vMerge/>
            <w:tcBorders>
              <w:left w:val="single" w:sz="4" w:space="0" w:color="000000"/>
              <w:bottom w:val="single" w:sz="12" w:space="0" w:color="000000"/>
              <w:right w:val="single" w:sz="4" w:space="0" w:color="000000"/>
            </w:tcBorders>
          </w:tcPr>
          <w:p>
            <w:pPr/>
          </w:p>
        </w:tc>
        <w:tc>
          <w:tcPr>
            <w:tcW w:w="1406" w:type="dxa"/>
            <w:vMerge/>
            <w:tcBorders>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0"/>
          <w:szCs w:val="10"/>
        </w:rPr>
      </w:pPr>
    </w:p>
    <w:p>
      <w:pPr>
        <w:pStyle w:val="BodyText"/>
        <w:spacing w:line="379" w:lineRule="auto" w:before="36"/>
        <w:ind w:left="232" w:right="0" w:firstLine="424"/>
        <w:jc w:val="left"/>
      </w:pPr>
      <w:r>
        <w:rPr>
          <w:rFonts w:ascii="Times New Roman" w:hAnsi="Times New Roman" w:cs="Times New Roman" w:eastAsia="Times New Roman" w:hint="default"/>
        </w:rPr>
        <w:t>3</w:t>
      </w:r>
      <w:r>
        <w:rPr/>
        <w:t>．北京中长石基信息技术股份有限公司股票期权激励计划（以下简称</w:t>
      </w:r>
      <w:r>
        <w:rPr>
          <w:rFonts w:ascii="Times New Roman" w:hAnsi="Times New Roman" w:cs="Times New Roman" w:eastAsia="Times New Roman" w:hint="default"/>
        </w:rPr>
        <w:t>“</w:t>
      </w:r>
      <w:r>
        <w:rPr/>
        <w:t>股票期权激励计划</w:t>
      </w:r>
      <w:r>
        <w:rPr>
          <w:rFonts w:ascii="Times New Roman" w:hAnsi="Times New Roman" w:cs="Times New Roman" w:eastAsia="Times New Roman" w:hint="default"/>
        </w:rPr>
        <w:t>”</w:t>
      </w:r>
      <w:r>
        <w:rPr/>
        <w:t>）第一个</w:t>
      </w:r>
      <w:r>
        <w:rPr>
          <w:spacing w:val="-3"/>
          <w:w w:val="100"/>
        </w:rPr>
        <w:t> </w:t>
      </w:r>
      <w:r>
        <w:rPr>
          <w:spacing w:val="-2"/>
        </w:rPr>
        <w:t>行权期行权条件满足，公司股权激励计划授予的</w:t>
      </w:r>
      <w:r>
        <w:rPr>
          <w:rFonts w:ascii="Times New Roman" w:hAnsi="Times New Roman" w:cs="Times New Roman" w:eastAsia="Times New Roman" w:hint="default"/>
          <w:spacing w:val="-2"/>
        </w:rPr>
        <w:t>81</w:t>
      </w:r>
      <w:r>
        <w:rPr>
          <w:spacing w:val="-2"/>
        </w:rPr>
        <w:t>名激励对象在第一个行权期即自授权日起</w:t>
      </w:r>
      <w:r>
        <w:rPr>
          <w:rFonts w:ascii="Times New Roman" w:hAnsi="Times New Roman" w:cs="Times New Roman" w:eastAsia="Times New Roman" w:hint="default"/>
          <w:spacing w:val="-2"/>
        </w:rPr>
        <w:t>12</w:t>
      </w:r>
      <w:r>
        <w:rPr>
          <w:spacing w:val="-2"/>
        </w:rPr>
        <w:t>个月后的首</w:t>
      </w:r>
      <w:r>
        <w:rPr>
          <w:spacing w:val="-39"/>
        </w:rPr>
        <w:t> </w:t>
      </w:r>
      <w:r>
        <w:rPr>
          <w:spacing w:val="-39"/>
        </w:rPr>
      </w:r>
      <w:r>
        <w:rPr>
          <w:spacing w:val="-2"/>
        </w:rPr>
        <w:t>个交易日起至授权日起</w:t>
      </w:r>
      <w:r>
        <w:rPr>
          <w:rFonts w:ascii="Times New Roman" w:hAnsi="Times New Roman" w:cs="Times New Roman" w:eastAsia="Times New Roman" w:hint="default"/>
          <w:spacing w:val="-2"/>
        </w:rPr>
        <w:t>24</w:t>
      </w:r>
      <w:r>
        <w:rPr>
          <w:spacing w:val="-2"/>
        </w:rPr>
        <w:t>个月内的最后一个交易日当日止（</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14</w:t>
      </w:r>
      <w:r>
        <w:rPr>
          <w:spacing w:val="-2"/>
        </w:rPr>
        <w:t>日至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10</w:t>
      </w:r>
      <w:r>
        <w:rPr>
          <w:spacing w:val="-2"/>
        </w:rPr>
        <w:t>日止）可行权共</w:t>
      </w:r>
      <w:r>
        <w:rPr>
          <w:spacing w:val="-33"/>
        </w:rPr>
        <w:t> </w:t>
      </w:r>
      <w:r>
        <w:rPr>
          <w:spacing w:val="-33"/>
        </w:rPr>
      </w:r>
      <w:r>
        <w:rPr>
          <w:rFonts w:ascii="Times New Roman" w:hAnsi="Times New Roman" w:cs="Times New Roman" w:eastAsia="Times New Roman" w:hint="default"/>
        </w:rPr>
        <w:t>687,654</w:t>
      </w:r>
      <w:r>
        <w:rPr/>
        <w:t>份股票期权，具体情况如下：</w:t>
      </w:r>
    </w:p>
    <w:p>
      <w:pPr>
        <w:pStyle w:val="BodyText"/>
        <w:spacing w:line="240" w:lineRule="auto" w:before="35"/>
        <w:ind w:left="657" w:right="5418"/>
        <w:jc w:val="left"/>
      </w:pPr>
      <w:r>
        <w:rPr/>
        <w:t>一、股票期权激励计划及实施情况概述</w:t>
      </w:r>
    </w:p>
    <w:p>
      <w:pPr>
        <w:spacing w:line="240" w:lineRule="auto" w:before="0"/>
        <w:rPr>
          <w:rFonts w:ascii="宋体" w:hAnsi="宋体" w:cs="宋体" w:eastAsia="宋体" w:hint="default"/>
          <w:sz w:val="14"/>
          <w:szCs w:val="14"/>
        </w:rPr>
      </w:pPr>
    </w:p>
    <w:p>
      <w:pPr>
        <w:pStyle w:val="BodyText"/>
        <w:spacing w:line="240" w:lineRule="auto"/>
        <w:ind w:left="652" w:right="0"/>
        <w:jc w:val="left"/>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2009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20"/>
        </w:rPr>
        <w:t> </w:t>
      </w:r>
      <w:r>
        <w:rPr>
          <w:spacing w:val="-4"/>
        </w:rPr>
        <w:t>日，北京中长石基信息技术股份有限公司（以下简称“公司”）召开第三届董事会</w:t>
      </w:r>
    </w:p>
    <w:p>
      <w:pPr>
        <w:pStyle w:val="BodyText"/>
        <w:spacing w:line="391" w:lineRule="auto" w:before="170"/>
        <w:ind w:left="233" w:right="0"/>
        <w:jc w:val="left"/>
      </w:pPr>
      <w:r>
        <w:rPr>
          <w:rFonts w:ascii="Times New Roman" w:hAnsi="Times New Roman" w:cs="Times New Roman" w:eastAsia="Times New Roman" w:hint="default"/>
        </w:rPr>
        <w:t>2009 </w:t>
      </w:r>
      <w:r>
        <w:rPr>
          <w:spacing w:val="-2"/>
        </w:rPr>
        <w:t>年第三次临时会议审议通过了《北京中长石基信息技术股份有限公司股票期权激励计划（草案）》，</w:t>
      </w:r>
      <w:r>
        <w:rPr>
          <w:spacing w:val="-78"/>
        </w:rPr>
        <w:t> </w:t>
      </w:r>
      <w:r>
        <w:rPr>
          <w:spacing w:val="-78"/>
        </w:rPr>
      </w:r>
      <w:r>
        <w:rPr>
          <w:spacing w:val="-2"/>
        </w:rPr>
        <w:t>并向中国证监会上报了申请备案材料。根据中国证监会的反馈意见，公司修订了股票期权激励计划，并于</w:t>
      </w:r>
      <w:r>
        <w:rPr>
          <w:spacing w:val="-43"/>
        </w:rPr>
        <w:t> </w:t>
      </w:r>
      <w:r>
        <w:rPr>
          <w:spacing w:val="-43"/>
        </w:rPr>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日召开了第三届董事会</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5"/>
        </w:rPr>
        <w:t>年第一次临时会议，审议通过了《北京中长石基信息技术股份</w:t>
      </w:r>
      <w:r>
        <w:rPr>
          <w:spacing w:val="-92"/>
        </w:rPr>
        <w:t> </w:t>
      </w:r>
      <w:r>
        <w:rPr>
          <w:spacing w:val="-92"/>
        </w:rPr>
      </w:r>
      <w:r>
        <w:rPr>
          <w:spacing w:val="-2"/>
        </w:rPr>
        <w:t>有限公司股票期权激励计划（草案）修订案》（以下简称《股权激励计划》）。经中国证监会审核无异议</w:t>
      </w:r>
      <w:r>
        <w:rPr>
          <w:spacing w:val="-47"/>
        </w:rPr>
        <w:t> </w:t>
      </w:r>
      <w:r>
        <w:rPr>
          <w:spacing w:val="-47"/>
        </w:rPr>
      </w:r>
      <w:r>
        <w:rPr>
          <w:spacing w:val="-4"/>
        </w:rPr>
        <w:t>后，</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spacing w:val="-4"/>
        </w:rPr>
        <w:t>日，公司召开了</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spacing w:val="-3"/>
        </w:rPr>
        <w:t>年第一次临时股东大会，审议通过了《北京中长石基信息技术股</w:t>
      </w:r>
    </w:p>
    <w:p>
      <w:pPr>
        <w:pStyle w:val="BodyText"/>
        <w:spacing w:line="240" w:lineRule="auto" w:before="21"/>
        <w:ind w:left="233" w:right="0"/>
        <w:jc w:val="left"/>
      </w:pPr>
      <w:r>
        <w:rPr/>
        <w:t>份有限公司股票期权激励计划（草案）修订案）》。根据《股权激励计划》的内容，公司拟授予 </w:t>
      </w:r>
      <w:r>
        <w:rPr>
          <w:rFonts w:ascii="Times New Roman" w:hAnsi="Times New Roman" w:cs="Times New Roman" w:eastAsia="Times New Roman" w:hint="default"/>
        </w:rPr>
        <w:t>91</w:t>
      </w:r>
      <w:r>
        <w:rPr>
          <w:rFonts w:ascii="Times New Roman" w:hAnsi="Times New Roman" w:cs="Times New Roman" w:eastAsia="Times New Roman" w:hint="default"/>
          <w:spacing w:val="22"/>
        </w:rPr>
        <w:t> </w:t>
      </w:r>
      <w:r>
        <w:rPr/>
        <w:t>名股</w:t>
      </w:r>
    </w:p>
    <w:p>
      <w:pPr>
        <w:pStyle w:val="BodyText"/>
        <w:spacing w:line="240" w:lineRule="auto" w:before="170"/>
        <w:ind w:left="233" w:right="0"/>
        <w:jc w:val="left"/>
      </w:pPr>
      <w:r>
        <w:rPr/>
        <w:t>票期权激励对象 </w:t>
      </w:r>
      <w:r>
        <w:rPr>
          <w:rFonts w:ascii="Times New Roman" w:hAnsi="Times New Roman" w:cs="Times New Roman" w:eastAsia="Times New Roman" w:hint="default"/>
        </w:rPr>
        <w:t>288.4</w:t>
      </w:r>
      <w:r>
        <w:rPr>
          <w:rFonts w:ascii="Times New Roman" w:hAnsi="Times New Roman" w:cs="Times New Roman" w:eastAsia="Times New Roman" w:hint="default"/>
          <w:spacing w:val="-30"/>
        </w:rPr>
        <w:t> </w:t>
      </w:r>
      <w:r>
        <w:rPr/>
        <w:t>万份股票期权，每份股票期权拥有在股票期权激励计划有效期内的可行权日以行权</w:t>
      </w:r>
    </w:p>
    <w:p>
      <w:pPr>
        <w:pStyle w:val="BodyText"/>
        <w:spacing w:line="379" w:lineRule="auto" w:before="170"/>
        <w:ind w:left="233" w:right="0"/>
        <w:jc w:val="left"/>
      </w:pPr>
      <w:r>
        <w:rPr/>
        <w:t>价格和行权条件购买 </w:t>
      </w:r>
      <w:r>
        <w:rPr>
          <w:rFonts w:ascii="Times New Roman" w:hAnsi="Times New Roman" w:cs="Times New Roman" w:eastAsia="Times New Roman" w:hint="default"/>
        </w:rPr>
        <w:t>1 </w:t>
      </w:r>
      <w:r>
        <w:rPr>
          <w:spacing w:val="-3"/>
        </w:rPr>
        <w:t>股公司股票的权利。股票期权激励计划的股票来源为公司向股票期权激励对象定向</w:t>
      </w:r>
      <w:r>
        <w:rPr>
          <w:spacing w:val="-81"/>
        </w:rPr>
        <w:t> </w:t>
      </w:r>
      <w:r>
        <w:rPr>
          <w:spacing w:val="-81"/>
        </w:rPr>
      </w:r>
      <w:r>
        <w:rPr/>
        <w:t>发行股票。</w:t>
      </w:r>
    </w:p>
    <w:p>
      <w:pPr>
        <w:pStyle w:val="BodyText"/>
        <w:spacing w:line="381" w:lineRule="auto" w:before="64"/>
        <w:ind w:left="233" w:right="202"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月底，一名激励对象董建波辞职，根据《股权激励计划》的规定，取消了董建波参与本</w:t>
      </w:r>
      <w:r>
        <w:rPr>
          <w:w w:val="100"/>
        </w:rPr>
        <w:t> </w:t>
      </w:r>
      <w:r>
        <w:rPr/>
        <w:t>公司股票期权激励计划的资格及获授的股票期权</w:t>
      </w:r>
      <w:r>
        <w:rPr>
          <w:spacing w:val="-46"/>
        </w:rPr>
        <w:t> </w:t>
      </w:r>
      <w:r>
        <w:rPr>
          <w:rFonts w:ascii="Times New Roman" w:hAnsi="Times New Roman" w:cs="Times New Roman" w:eastAsia="Times New Roman" w:hint="default"/>
        </w:rPr>
        <w:t>8000</w:t>
      </w:r>
      <w:r>
        <w:rPr>
          <w:rFonts w:ascii="Times New Roman" w:hAnsi="Times New Roman" w:cs="Times New Roman" w:eastAsia="Times New Roman" w:hint="default"/>
          <w:spacing w:val="7"/>
        </w:rPr>
        <w:t> </w:t>
      </w:r>
      <w:r>
        <w:rPr>
          <w:spacing w:val="-7"/>
        </w:rPr>
        <w:t>份，本计划拟授予的股票期权数量由</w:t>
      </w:r>
      <w:r>
        <w:rPr>
          <w:spacing w:val="-46"/>
        </w:rPr>
        <w:t> </w:t>
      </w:r>
      <w:r>
        <w:rPr>
          <w:rFonts w:ascii="Times New Roman" w:hAnsi="Times New Roman" w:cs="Times New Roman" w:eastAsia="Times New Roman" w:hint="default"/>
        </w:rPr>
        <w:t>288.4</w:t>
      </w:r>
      <w:r>
        <w:rPr>
          <w:rFonts w:ascii="Times New Roman" w:hAnsi="Times New Roman" w:cs="Times New Roman" w:eastAsia="Times New Roman" w:hint="default"/>
          <w:spacing w:val="3"/>
        </w:rPr>
        <w:t> </w:t>
      </w:r>
      <w:r>
        <w:rPr/>
        <w:t>万份调整</w:t>
      </w:r>
    </w:p>
    <w:p>
      <w:pPr>
        <w:pStyle w:val="BodyText"/>
        <w:spacing w:line="240" w:lineRule="auto" w:before="30"/>
        <w:ind w:left="233" w:right="0"/>
        <w:jc w:val="left"/>
      </w:pPr>
      <w:r>
        <w:rPr/>
        <w:t>为</w:t>
      </w:r>
      <w:r>
        <w:rPr>
          <w:spacing w:val="-54"/>
        </w:rPr>
        <w:t> </w:t>
      </w:r>
      <w:r>
        <w:rPr>
          <w:rFonts w:ascii="Times New Roman" w:hAnsi="Times New Roman" w:cs="Times New Roman" w:eastAsia="Times New Roman" w:hint="default"/>
        </w:rPr>
        <w:t>287.6</w:t>
      </w:r>
      <w:r>
        <w:rPr>
          <w:rFonts w:ascii="Times New Roman" w:hAnsi="Times New Roman" w:cs="Times New Roman" w:eastAsia="Times New Roman" w:hint="default"/>
          <w:spacing w:val="-1"/>
        </w:rPr>
        <w:t> </w:t>
      </w:r>
      <w:r>
        <w:rPr/>
        <w:t>万份，授予的激励对象由</w:t>
      </w:r>
      <w:r>
        <w:rPr>
          <w:spacing w:val="-54"/>
        </w:rPr>
        <w:t> </w:t>
      </w:r>
      <w:r>
        <w:rPr>
          <w:rFonts w:ascii="Times New Roman" w:hAnsi="Times New Roman" w:cs="Times New Roman" w:eastAsia="Times New Roman" w:hint="default"/>
        </w:rPr>
        <w:t>91</w:t>
      </w:r>
      <w:r>
        <w:rPr>
          <w:rFonts w:ascii="Times New Roman" w:hAnsi="Times New Roman" w:cs="Times New Roman" w:eastAsia="Times New Roman" w:hint="default"/>
          <w:spacing w:val="-1"/>
        </w:rPr>
        <w:t> </w:t>
      </w:r>
      <w:r>
        <w:rPr/>
        <w:t>名相应调整为</w:t>
      </w:r>
      <w:r>
        <w:rPr>
          <w:spacing w:val="-54"/>
        </w:rPr>
        <w:t> </w:t>
      </w:r>
      <w:r>
        <w:rPr>
          <w:rFonts w:ascii="Times New Roman" w:hAnsi="Times New Roman" w:cs="Times New Roman" w:eastAsia="Times New Roman" w:hint="default"/>
        </w:rPr>
        <w:t>90</w:t>
      </w:r>
      <w:r>
        <w:rPr>
          <w:rFonts w:ascii="Times New Roman" w:hAnsi="Times New Roman" w:cs="Times New Roman" w:eastAsia="Times New Roman" w:hint="default"/>
          <w:spacing w:val="-4"/>
        </w:rPr>
        <w:t> </w:t>
      </w:r>
      <w:r>
        <w:rPr/>
        <w:t>名。</w:t>
      </w:r>
    </w:p>
    <w:p>
      <w:pPr>
        <w:pStyle w:val="BodyText"/>
        <w:spacing w:line="240" w:lineRule="auto" w:before="170"/>
        <w:ind w:left="653" w:right="0"/>
        <w:jc w:val="left"/>
      </w:pPr>
      <w:r>
        <w:rPr>
          <w:rFonts w:ascii="Times New Roman" w:hAnsi="Times New Roman" w:cs="Times New Roman" w:eastAsia="Times New Roman" w:hint="default"/>
          <w:spacing w:val="-4"/>
        </w:rPr>
        <w:t>3</w:t>
      </w:r>
      <w:r>
        <w:rPr>
          <w:spacing w:val="-4"/>
        </w:rPr>
        <w:t>、根据公司股东大会的授权，</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4"/>
        </w:rPr>
        <w:t> </w:t>
      </w:r>
      <w:r>
        <w:rPr/>
        <w:t>年</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spacing w:val="-3"/>
        </w:rPr>
        <w:t>日，第三届董事会第十一次会议审议通过了《关于确定</w:t>
      </w:r>
    </w:p>
    <w:p>
      <w:pPr>
        <w:pStyle w:val="BodyText"/>
        <w:spacing w:line="240" w:lineRule="auto" w:before="170"/>
        <w:ind w:left="233" w:right="0"/>
        <w:jc w:val="left"/>
      </w:pPr>
      <w:r>
        <w:rPr/>
        <w:t>股票期权激励计划授予相关事项的议案》，确定公司股票期权激励计划授权日为</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3"/>
        </w:rPr>
        <w:t>日，授予</w:t>
      </w:r>
    </w:p>
    <w:p>
      <w:pPr>
        <w:pStyle w:val="BodyText"/>
        <w:spacing w:line="240" w:lineRule="auto" w:before="167"/>
        <w:ind w:left="233" w:right="0"/>
        <w:jc w:val="left"/>
      </w:pPr>
      <w:r>
        <w:rPr>
          <w:rFonts w:ascii="Times New Roman" w:hAnsi="Times New Roman" w:cs="Times New Roman" w:eastAsia="Times New Roman" w:hint="default"/>
        </w:rPr>
        <w:t>90</w:t>
      </w:r>
      <w:r>
        <w:rPr>
          <w:rFonts w:ascii="Times New Roman" w:hAnsi="Times New Roman" w:cs="Times New Roman" w:eastAsia="Times New Roman" w:hint="default"/>
          <w:spacing w:val="-1"/>
        </w:rPr>
        <w:t> </w:t>
      </w:r>
      <w:r>
        <w:rPr/>
        <w:t>名股权激励对象</w:t>
      </w:r>
      <w:r>
        <w:rPr>
          <w:spacing w:val="-54"/>
        </w:rPr>
        <w:t> </w:t>
      </w:r>
      <w:r>
        <w:rPr>
          <w:rFonts w:ascii="Times New Roman" w:hAnsi="Times New Roman" w:cs="Times New Roman" w:eastAsia="Times New Roman" w:hint="default"/>
        </w:rPr>
        <w:t>287.6</w:t>
      </w:r>
      <w:r>
        <w:rPr>
          <w:rFonts w:ascii="Times New Roman" w:hAnsi="Times New Roman" w:cs="Times New Roman" w:eastAsia="Times New Roman" w:hint="default"/>
          <w:spacing w:val="-4"/>
        </w:rPr>
        <w:t> </w:t>
      </w:r>
      <w:r>
        <w:rPr/>
        <w:t>万份股票期权，约占总股本的</w:t>
      </w:r>
      <w:r>
        <w:rPr>
          <w:spacing w:val="-54"/>
        </w:rPr>
        <w:t> </w:t>
      </w:r>
      <w:r>
        <w:rPr>
          <w:rFonts w:ascii="Times New Roman" w:hAnsi="Times New Roman" w:cs="Times New Roman" w:eastAsia="Times New Roman" w:hint="default"/>
        </w:rPr>
        <w:t>1.2839%</w:t>
      </w:r>
      <w:r>
        <w:rPr/>
        <w:t>，授予股票期权的行权价格为</w:t>
      </w:r>
      <w:r>
        <w:rPr>
          <w:spacing w:val="-54"/>
        </w:rPr>
        <w:t> </w:t>
      </w:r>
      <w:r>
        <w:rPr>
          <w:rFonts w:ascii="Times New Roman" w:hAnsi="Times New Roman" w:cs="Times New Roman" w:eastAsia="Times New Roman" w:hint="default"/>
        </w:rPr>
        <w:t>45</w:t>
      </w:r>
      <w:r>
        <w:rPr>
          <w:rFonts w:ascii="Times New Roman" w:hAnsi="Times New Roman" w:cs="Times New Roman" w:eastAsia="Times New Roman" w:hint="default"/>
          <w:spacing w:val="-1"/>
        </w:rPr>
        <w:t> </w:t>
      </w:r>
      <w:r>
        <w:rPr>
          <w:spacing w:val="-3"/>
        </w:rPr>
        <w:t>元。</w:t>
      </w:r>
      <w:r>
        <w:rPr/>
      </w:r>
    </w:p>
    <w:p>
      <w:pPr>
        <w:pStyle w:val="BodyText"/>
        <w:spacing w:line="240" w:lineRule="auto" w:before="170"/>
        <w:ind w:left="654" w:right="0"/>
        <w:jc w:val="left"/>
      </w:pPr>
      <w:r>
        <w:rPr/>
        <w:t>根据公司 </w:t>
      </w:r>
      <w:r>
        <w:rPr>
          <w:rFonts w:ascii="Times New Roman" w:hAnsi="Times New Roman" w:cs="Times New Roman" w:eastAsia="Times New Roman" w:hint="default"/>
        </w:rPr>
        <w:t>2010</w:t>
      </w:r>
      <w:r>
        <w:rPr>
          <w:rFonts w:ascii="Times New Roman" w:hAnsi="Times New Roman" w:cs="Times New Roman" w:eastAsia="Times New Roman" w:hint="default"/>
          <w:spacing w:val="24"/>
        </w:rPr>
        <w:t> </w:t>
      </w:r>
      <w:r>
        <w:rPr/>
        <w:t>年第一次临时股东大会决议，股东大会授权董事会办理公司股票期权激励计划的相关</w:t>
      </w:r>
    </w:p>
    <w:p>
      <w:pPr>
        <w:pStyle w:val="BodyText"/>
        <w:spacing w:line="240" w:lineRule="auto" w:before="170"/>
        <w:ind w:left="234" w:right="0"/>
        <w:jc w:val="left"/>
        <w:rPr>
          <w:rFonts w:ascii="Times New Roman" w:hAnsi="Times New Roman" w:cs="Times New Roman" w:eastAsia="Times New Roman" w:hint="default"/>
        </w:rPr>
      </w:pPr>
      <w:r>
        <w:rPr>
          <w:spacing w:val="-4"/>
        </w:rPr>
        <w:t>事宜，经深圳证券交易所审核无异议、中国证券登记结算有限责任公司深圳分公司审核确认，公司于</w:t>
      </w:r>
      <w:r>
        <w:rPr>
          <w:spacing w:val="35"/>
        </w:rPr>
        <w:t> </w:t>
      </w:r>
      <w:r>
        <w:rPr>
          <w:rFonts w:ascii="Times New Roman" w:hAnsi="Times New Roman" w:cs="Times New Roman" w:eastAsia="Times New Roman" w:hint="default"/>
        </w:rPr>
        <w:t>2010</w:t>
      </w:r>
    </w:p>
    <w:p>
      <w:pPr>
        <w:spacing w:after="0" w:line="240" w:lineRule="auto"/>
        <w:jc w:val="left"/>
        <w:rPr>
          <w:rFonts w:ascii="Times New Roman" w:hAnsi="Times New Roman" w:cs="Times New Roman" w:eastAsia="Times New Roman" w:hint="default"/>
        </w:rPr>
        <w:sectPr>
          <w:pgSz w:w="11910" w:h="16840"/>
          <w:pgMar w:header="850" w:footer="979" w:top="1200" w:bottom="1160" w:left="900" w:right="920"/>
        </w:sectPr>
      </w:pPr>
    </w:p>
    <w:p>
      <w:pPr>
        <w:spacing w:line="240" w:lineRule="auto" w:before="4"/>
        <w:rPr>
          <w:rFonts w:ascii="Times New Roman" w:hAnsi="Times New Roman" w:cs="Times New Roman" w:eastAsia="Times New Roman" w:hint="default"/>
          <w:sz w:val="4"/>
          <w:szCs w:val="4"/>
        </w:rPr>
      </w:pPr>
    </w:p>
    <w:p>
      <w:pPr>
        <w:spacing w:line="20" w:lineRule="exact"/>
        <w:ind w:left="1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9"/>
          <w:szCs w:val="9"/>
        </w:rPr>
      </w:pPr>
    </w:p>
    <w:p>
      <w:pPr>
        <w:pStyle w:val="BodyText"/>
        <w:spacing w:line="381" w:lineRule="auto" w:before="36"/>
        <w:ind w:left="652" w:right="0" w:hanging="421"/>
        <w:jc w:val="left"/>
        <w:rPr>
          <w:rFonts w:ascii="Times New Roman" w:hAnsi="Times New Roman" w:cs="Times New Roman" w:eastAsia="Times New Roman" w:hint="default"/>
        </w:rPr>
      </w:pPr>
      <w:r>
        <w:rPr/>
        <w:t>年</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spacing w:val="-4"/>
        </w:rPr>
        <w:t>日完成《股票期权激励计划》的股票期权登记工作，期权简称：石基</w:t>
      </w:r>
      <w:r>
        <w:rPr>
          <w:spacing w:val="-44"/>
        </w:rPr>
        <w:t> </w:t>
      </w:r>
      <w:r>
        <w:rPr>
          <w:rFonts w:ascii="Times New Roman" w:hAnsi="Times New Roman" w:cs="Times New Roman" w:eastAsia="Times New Roman" w:hint="default"/>
          <w:spacing w:val="-4"/>
        </w:rPr>
        <w:t>JLC1</w:t>
      </w:r>
      <w:r>
        <w:rPr>
          <w:spacing w:val="-4"/>
        </w:rPr>
        <w:t>，期权代码：</w:t>
      </w:r>
      <w:r>
        <w:rPr>
          <w:rFonts w:ascii="Times New Roman" w:hAnsi="Times New Roman" w:cs="Times New Roman" w:eastAsia="Times New Roman" w:hint="default"/>
          <w:spacing w:val="-4"/>
        </w:rPr>
        <w:t>037518</w:t>
      </w:r>
      <w:r>
        <w:rPr>
          <w:spacing w:val="-4"/>
        </w:rPr>
        <w:t>。</w:t>
      </w:r>
      <w:r>
        <w:rPr>
          <w:spacing w:val="-98"/>
        </w:rPr>
        <w:t> </w:t>
      </w:r>
      <w:r>
        <w:rPr>
          <w:rFonts w:ascii="Times New Roman" w:hAnsi="Times New Roman" w:cs="Times New Roman" w:eastAsia="Times New Roman" w:hint="default"/>
          <w:spacing w:val="-4"/>
          <w:w w:val="100"/>
        </w:rPr>
        <w:t>4</w:t>
      </w:r>
      <w:r>
        <w:rPr>
          <w:spacing w:val="-4"/>
          <w:w w:val="100"/>
        </w:rPr>
        <w:t>、</w:t>
      </w:r>
      <w:r>
        <w:rPr>
          <w:rFonts w:ascii="Times New Roman" w:hAnsi="Times New Roman" w:cs="Times New Roman" w:eastAsia="Times New Roman" w:hint="default"/>
          <w:spacing w:val="-4"/>
          <w:w w:val="100"/>
        </w:rPr>
        <w:t>2010</w:t>
      </w:r>
      <w:r>
        <w:rPr>
          <w:spacing w:val="-4"/>
          <w:w w:val="100"/>
        </w:rPr>
        <w:t>年</w:t>
      </w:r>
      <w:r>
        <w:rPr>
          <w:rFonts w:ascii="Times New Roman" w:hAnsi="Times New Roman" w:cs="Times New Roman" w:eastAsia="Times New Roman" w:hint="default"/>
          <w:spacing w:val="-4"/>
          <w:w w:val="100"/>
        </w:rPr>
        <w:t>5</w:t>
      </w:r>
      <w:r>
        <w:rPr>
          <w:spacing w:val="-4"/>
          <w:w w:val="100"/>
        </w:rPr>
        <w:t>月</w:t>
      </w:r>
      <w:r>
        <w:rPr>
          <w:rFonts w:ascii="Times New Roman" w:hAnsi="Times New Roman" w:cs="Times New Roman" w:eastAsia="Times New Roman" w:hint="default"/>
          <w:spacing w:val="-4"/>
          <w:w w:val="100"/>
        </w:rPr>
        <w:t>6</w:t>
      </w:r>
      <w:r>
        <w:rPr>
          <w:spacing w:val="-4"/>
          <w:w w:val="100"/>
        </w:rPr>
        <w:t>日</w:t>
      </w:r>
      <w:r>
        <w:rPr>
          <w:rFonts w:ascii="Times New Roman" w:hAnsi="Times New Roman" w:cs="Times New Roman" w:eastAsia="Times New Roman" w:hint="default"/>
          <w:spacing w:val="-4"/>
          <w:w w:val="100"/>
        </w:rPr>
        <w:t>,</w:t>
      </w:r>
      <w:r>
        <w:rPr>
          <w:spacing w:val="-4"/>
          <w:w w:val="100"/>
        </w:rPr>
        <w:t>公司</w:t>
      </w:r>
      <w:r>
        <w:rPr>
          <w:rFonts w:ascii="Times New Roman" w:hAnsi="Times New Roman" w:cs="Times New Roman" w:eastAsia="Times New Roman" w:hint="default"/>
          <w:spacing w:val="-4"/>
          <w:w w:val="100"/>
        </w:rPr>
        <w:t>2009</w:t>
      </w:r>
      <w:r>
        <w:rPr>
          <w:spacing w:val="-4"/>
          <w:w w:val="100"/>
        </w:rPr>
        <w:t>年年度股东大会审议通过了《</w:t>
      </w:r>
      <w:r>
        <w:rPr>
          <w:rFonts w:ascii="Times New Roman" w:hAnsi="Times New Roman" w:cs="Times New Roman" w:eastAsia="Times New Roman" w:hint="default"/>
          <w:spacing w:val="-4"/>
          <w:w w:val="100"/>
        </w:rPr>
        <w:t>2009</w:t>
      </w:r>
      <w:r>
        <w:rPr>
          <w:spacing w:val="-4"/>
          <w:w w:val="100"/>
        </w:rPr>
        <w:t>年度利润分配预案》，公司以</w:t>
      </w:r>
      <w:r>
        <w:rPr>
          <w:rFonts w:ascii="Times New Roman" w:hAnsi="Times New Roman" w:cs="Times New Roman" w:eastAsia="Times New Roman" w:hint="default"/>
          <w:spacing w:val="-4"/>
          <w:w w:val="100"/>
        </w:rPr>
        <w:t>2009</w:t>
      </w:r>
      <w:r>
        <w:rPr>
          <w:spacing w:val="-4"/>
          <w:w w:val="100"/>
        </w:rPr>
        <w:t>年</w:t>
      </w:r>
      <w:r>
        <w:rPr>
          <w:rFonts w:ascii="Times New Roman" w:hAnsi="Times New Roman" w:cs="Times New Roman" w:eastAsia="Times New Roman" w:hint="default"/>
          <w:spacing w:val="-4"/>
          <w:w w:val="100"/>
        </w:rPr>
        <w:t>12</w:t>
      </w:r>
      <w:r>
        <w:rPr>
          <w:rFonts w:ascii="Times New Roman" w:hAnsi="Times New Roman" w:cs="Times New Roman" w:eastAsia="Times New Roman" w:hint="default"/>
          <w:w w:val="100"/>
        </w:rPr>
      </w:r>
    </w:p>
    <w:p>
      <w:pPr>
        <w:pStyle w:val="BodyText"/>
        <w:spacing w:line="391" w:lineRule="auto" w:before="30"/>
        <w:ind w:left="232" w:right="207"/>
        <w:jc w:val="both"/>
      </w:pPr>
      <w:r>
        <w:rPr>
          <w:spacing w:val="-4"/>
          <w:w w:val="100"/>
        </w:rPr>
        <w:t>月</w:t>
      </w:r>
      <w:r>
        <w:rPr>
          <w:rFonts w:ascii="Times New Roman" w:hAnsi="Times New Roman" w:cs="Times New Roman" w:eastAsia="Times New Roman" w:hint="default"/>
          <w:spacing w:val="-4"/>
          <w:w w:val="100"/>
        </w:rPr>
        <w:t>31</w:t>
      </w:r>
      <w:r>
        <w:rPr>
          <w:spacing w:val="-4"/>
          <w:w w:val="100"/>
        </w:rPr>
        <w:t>日总股本</w:t>
      </w:r>
      <w:r>
        <w:rPr>
          <w:rFonts w:ascii="Times New Roman" w:hAnsi="Times New Roman" w:cs="Times New Roman" w:eastAsia="Times New Roman" w:hint="default"/>
          <w:spacing w:val="-4"/>
          <w:w w:val="100"/>
        </w:rPr>
        <w:t>224,000,000</w:t>
      </w:r>
      <w:r>
        <w:rPr>
          <w:spacing w:val="-4"/>
          <w:w w:val="100"/>
        </w:rPr>
        <w:t>为基数，向全体股东按每</w:t>
      </w:r>
      <w:r>
        <w:rPr>
          <w:rFonts w:ascii="Times New Roman" w:hAnsi="Times New Roman" w:cs="Times New Roman" w:eastAsia="Times New Roman" w:hint="default"/>
          <w:spacing w:val="-4"/>
          <w:w w:val="100"/>
        </w:rPr>
        <w:t>10</w:t>
      </w:r>
      <w:r>
        <w:rPr>
          <w:spacing w:val="-4"/>
          <w:w w:val="100"/>
        </w:rPr>
        <w:t>股派发现金股利人民币</w:t>
      </w:r>
      <w:r>
        <w:rPr>
          <w:rFonts w:ascii="Times New Roman" w:hAnsi="Times New Roman" w:cs="Times New Roman" w:eastAsia="Times New Roman" w:hint="default"/>
          <w:spacing w:val="-4"/>
          <w:w w:val="100"/>
        </w:rPr>
        <w:t>3</w:t>
      </w:r>
      <w:r>
        <w:rPr>
          <w:spacing w:val="-4"/>
          <w:w w:val="100"/>
        </w:rPr>
        <w:t>元（含税），根据公司《股票</w:t>
      </w:r>
      <w:r>
        <w:rPr>
          <w:spacing w:val="-86"/>
          <w:w w:val="100"/>
        </w:rPr>
        <w:t> </w:t>
      </w:r>
      <w:r>
        <w:rPr>
          <w:spacing w:val="-86"/>
          <w:w w:val="100"/>
        </w:rPr>
      </w:r>
      <w:r>
        <w:rPr>
          <w:spacing w:val="-2"/>
        </w:rPr>
        <w:t>期权激励计划（草案）修订案》的有关规定，经公司第三届董事会第十三次会议审议通过，公司将股票期</w:t>
      </w:r>
      <w:r>
        <w:rPr>
          <w:spacing w:val="-43"/>
        </w:rPr>
        <w:t> </w:t>
      </w:r>
      <w:r>
        <w:rPr>
          <w:spacing w:val="-43"/>
        </w:rPr>
      </w:r>
      <w:r>
        <w:rPr/>
        <w:t>权激励计划中已授予但未行权的</w:t>
      </w:r>
      <w:r>
        <w:rPr>
          <w:rFonts w:ascii="Times New Roman" w:hAnsi="Times New Roman" w:cs="Times New Roman" w:eastAsia="Times New Roman" w:hint="default"/>
        </w:rPr>
        <w:t>287.6</w:t>
      </w:r>
      <w:r>
        <w:rPr/>
        <w:t>万股股票期权的行权价格由</w:t>
      </w:r>
      <w:r>
        <w:rPr>
          <w:rFonts w:ascii="Times New Roman" w:hAnsi="Times New Roman" w:cs="Times New Roman" w:eastAsia="Times New Roman" w:hint="default"/>
        </w:rPr>
        <w:t>45</w:t>
      </w:r>
      <w:r>
        <w:rPr/>
        <w:t>元调整为</w:t>
      </w:r>
      <w:r>
        <w:rPr>
          <w:rFonts w:ascii="Times New Roman" w:hAnsi="Times New Roman" w:cs="Times New Roman" w:eastAsia="Times New Roman" w:hint="default"/>
        </w:rPr>
        <w:t>44.7</w:t>
      </w:r>
      <w:r>
        <w:rPr/>
        <w:t>元。</w:t>
      </w:r>
    </w:p>
    <w:p>
      <w:pPr>
        <w:pStyle w:val="BodyText"/>
        <w:spacing w:line="388" w:lineRule="auto" w:before="21"/>
        <w:ind w:left="233" w:right="205" w:firstLine="424"/>
        <w:jc w:val="left"/>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日，第三届董事会第十一次会议审议通过了《关于确定股票期权激励计划授予相关事</w:t>
      </w:r>
      <w:r>
        <w:rPr>
          <w:w w:val="100"/>
        </w:rPr>
        <w:t> </w:t>
      </w:r>
      <w:r>
        <w:rPr>
          <w:spacing w:val="-4"/>
          <w:w w:val="100"/>
        </w:rPr>
        <w:t>项的议案》，授予激励对象股票期权数量为</w:t>
      </w:r>
      <w:r>
        <w:rPr>
          <w:rFonts w:ascii="Times New Roman" w:hAnsi="Times New Roman" w:cs="Times New Roman" w:eastAsia="Times New Roman" w:hint="default"/>
          <w:spacing w:val="-4"/>
          <w:w w:val="100"/>
        </w:rPr>
        <w:t>287.6</w:t>
      </w:r>
      <w:r>
        <w:rPr>
          <w:spacing w:val="-4"/>
          <w:w w:val="100"/>
        </w:rPr>
        <w:t>万份。截止本公告发布日，激励对象杨海颜、郭洁、夏能</w:t>
      </w:r>
      <w:r>
        <w:rPr>
          <w:spacing w:val="-84"/>
          <w:w w:val="100"/>
        </w:rPr>
        <w:t> </w:t>
      </w:r>
      <w:r>
        <w:rPr>
          <w:spacing w:val="-84"/>
          <w:w w:val="100"/>
        </w:rPr>
      </w:r>
      <w:r>
        <w:rPr>
          <w:spacing w:val="-2"/>
        </w:rPr>
        <w:t>峰等</w:t>
      </w:r>
      <w:r>
        <w:rPr>
          <w:rFonts w:ascii="Times New Roman" w:hAnsi="Times New Roman" w:cs="Times New Roman" w:eastAsia="Times New Roman" w:hint="default"/>
          <w:spacing w:val="-2"/>
        </w:rPr>
        <w:t>10</w:t>
      </w:r>
      <w:r>
        <w:rPr>
          <w:spacing w:val="-2"/>
        </w:rPr>
        <w:t>名激励对象因个人原因辞职并离开了公司，其中</w:t>
      </w:r>
      <w:r>
        <w:rPr>
          <w:rFonts w:ascii="Times New Roman" w:hAnsi="Times New Roman" w:cs="Times New Roman" w:eastAsia="Times New Roman" w:hint="default"/>
          <w:spacing w:val="-2"/>
        </w:rPr>
        <w:t>8</w:t>
      </w:r>
      <w:r>
        <w:rPr>
          <w:spacing w:val="-2"/>
        </w:rPr>
        <w:t>名激励对象在股权激励计划等待期（</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5"/>
        </w:rPr>
        <w:t> </w:t>
      </w:r>
      <w:r>
        <w:rPr>
          <w:spacing w:val="-2"/>
        </w:rPr>
        <w:t>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11</w:t>
      </w:r>
      <w:r>
        <w:rPr>
          <w:spacing w:val="-2"/>
        </w:rPr>
        <w:t>日）离职；激励对象郭明先生职务变更，由公司第三届董事会董事变更为第四届监事会监</w:t>
      </w:r>
      <w:r>
        <w:rPr>
          <w:spacing w:val="-29"/>
        </w:rPr>
        <w:t> </w:t>
      </w:r>
      <w:r>
        <w:rPr>
          <w:spacing w:val="-29"/>
        </w:rPr>
      </w:r>
      <w:r>
        <w:rPr>
          <w:spacing w:val="-2"/>
        </w:rPr>
        <w:t>事会主席。根据公司《股票期权激励计划（草案）修订案》的规定，激励对象辞职离开公司的，其已满足</w:t>
      </w:r>
      <w:r>
        <w:rPr>
          <w:spacing w:val="-47"/>
        </w:rPr>
        <w:t> </w:t>
      </w:r>
      <w:r>
        <w:rPr>
          <w:spacing w:val="-47"/>
        </w:rPr>
      </w:r>
      <w:r>
        <w:rPr>
          <w:spacing w:val="-2"/>
        </w:rPr>
        <w:t>行权条件的股票期权不受影响，不再享受离职日以后的股票期权激励；激励对象因工作调动而成为独立董</w:t>
      </w:r>
      <w:r>
        <w:rPr>
          <w:spacing w:val="-43"/>
        </w:rPr>
        <w:t> </w:t>
      </w:r>
      <w:r>
        <w:rPr>
          <w:spacing w:val="-43"/>
        </w:rPr>
      </w:r>
      <w:r>
        <w:rPr>
          <w:spacing w:val="-2"/>
        </w:rPr>
        <w:t>事、监事或其他不能持有公司股票或股票期权的人员，应取消其所有尚未行权的股票期权。因此，以上因</w:t>
      </w:r>
      <w:r>
        <w:rPr>
          <w:spacing w:val="-47"/>
        </w:rPr>
        <w:t> </w:t>
      </w:r>
      <w:r>
        <w:rPr>
          <w:spacing w:val="-47"/>
        </w:rPr>
      </w:r>
      <w:r>
        <w:rPr>
          <w:spacing w:val="-3"/>
        </w:rPr>
        <w:t>离职和职务发生变动的激励对象合并所获授的</w:t>
      </w:r>
      <w:r>
        <w:rPr>
          <w:rFonts w:ascii="Times New Roman" w:hAnsi="Times New Roman" w:cs="Times New Roman" w:eastAsia="Times New Roman" w:hint="default"/>
          <w:spacing w:val="-3"/>
        </w:rPr>
        <w:t>125.0</w:t>
      </w:r>
      <w:r>
        <w:rPr>
          <w:spacing w:val="-3"/>
        </w:rPr>
        <w:t>万份股票期权将予以注销。本次股权激励计划激励对象</w:t>
      </w:r>
      <w:r>
        <w:rPr>
          <w:spacing w:val="-43"/>
        </w:rPr>
        <w:t> </w:t>
      </w:r>
      <w:r>
        <w:rPr>
          <w:spacing w:val="-43"/>
        </w:rPr>
      </w:r>
      <w:r>
        <w:rPr/>
        <w:t>调整后，授予的股票期权数量由</w:t>
      </w:r>
      <w:r>
        <w:rPr>
          <w:rFonts w:ascii="Times New Roman" w:hAnsi="Times New Roman" w:cs="Times New Roman" w:eastAsia="Times New Roman" w:hint="default"/>
        </w:rPr>
        <w:t>287.6</w:t>
      </w:r>
      <w:r>
        <w:rPr/>
        <w:t>万份调整为</w:t>
      </w:r>
      <w:r>
        <w:rPr>
          <w:rFonts w:ascii="Times New Roman" w:hAnsi="Times New Roman" w:cs="Times New Roman" w:eastAsia="Times New Roman" w:hint="default"/>
        </w:rPr>
        <w:t>162.6</w:t>
      </w:r>
      <w:r>
        <w:rPr/>
        <w:t>万份，授予的激励对象由</w:t>
      </w:r>
      <w:r>
        <w:rPr>
          <w:rFonts w:ascii="Times New Roman" w:hAnsi="Times New Roman" w:cs="Times New Roman" w:eastAsia="Times New Roman" w:hint="default"/>
        </w:rPr>
        <w:t>90</w:t>
      </w:r>
      <w:r>
        <w:rPr/>
        <w:t>名相应调整为</w:t>
      </w:r>
      <w:r>
        <w:rPr>
          <w:rFonts w:ascii="Times New Roman" w:hAnsi="Times New Roman" w:cs="Times New Roman" w:eastAsia="Times New Roman" w:hint="default"/>
        </w:rPr>
        <w:t>81</w:t>
      </w:r>
      <w:r>
        <w:rPr/>
        <w:t>名（含</w:t>
      </w:r>
      <w:r>
        <w:rPr>
          <w:spacing w:val="-3"/>
          <w:w w:val="100"/>
        </w:rPr>
        <w:t> </w:t>
      </w:r>
      <w:r>
        <w:rPr>
          <w:spacing w:val="-2"/>
        </w:rPr>
        <w:t>公司原董事、董事会秘书郭洁、主管会计于飞，因郭洁、于飞分别于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14</w:t>
      </w:r>
      <w:r>
        <w:rPr>
          <w:spacing w:val="-2"/>
        </w:rPr>
        <w:t>日辞去</w:t>
      </w:r>
      <w:r>
        <w:rPr>
          <w:spacing w:val="-33"/>
        </w:rPr>
        <w:t> </w:t>
      </w:r>
      <w:r>
        <w:rPr>
          <w:spacing w:val="-2"/>
        </w:rPr>
        <w:t>其在公司担任的所有职务，属于第一个行权期可行权的激励对象，不再享受以后两个行权期的股票期权激</w:t>
      </w:r>
      <w:r>
        <w:rPr>
          <w:spacing w:val="-43"/>
        </w:rPr>
        <w:t> </w:t>
      </w:r>
      <w:r>
        <w:rPr>
          <w:spacing w:val="-43"/>
        </w:rPr>
      </w:r>
      <w:r>
        <w:rPr>
          <w:spacing w:val="-71"/>
          <w:w w:val="100"/>
        </w:rPr>
        <w:t>励）。</w:t>
      </w:r>
      <w:r>
        <w:rPr>
          <w:w w:val="100"/>
        </w:rPr>
      </w:r>
    </w:p>
    <w:p>
      <w:pPr>
        <w:pStyle w:val="BodyText"/>
        <w:spacing w:line="240" w:lineRule="auto" w:before="53"/>
        <w:ind w:left="653" w:right="0"/>
        <w:jc w:val="left"/>
      </w:pPr>
      <w:r>
        <w:rPr>
          <w:rFonts w:ascii="Times New Roman" w:hAnsi="Times New Roman" w:cs="Times New Roman" w:eastAsia="Times New Roman" w:hint="default"/>
          <w:w w:val="100"/>
        </w:rPr>
        <w:t>6</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spacing w:val="-3"/>
          <w:w w:val="100"/>
        </w:rPr>
        <w:t>年</w:t>
      </w:r>
      <w:r>
        <w:rPr>
          <w:rFonts w:ascii="Times New Roman" w:hAnsi="Times New Roman" w:cs="Times New Roman" w:eastAsia="Times New Roman" w:hint="default"/>
          <w:w w:val="100"/>
        </w:rPr>
        <w:t>4</w:t>
      </w:r>
      <w:r>
        <w:rPr>
          <w:w w:val="100"/>
        </w:rPr>
        <w:t>月</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spacing w:val="-3"/>
          <w:w w:val="100"/>
        </w:rPr>
        <w:t>日</w:t>
      </w:r>
      <w:r>
        <w:rPr>
          <w:w w:val="100"/>
        </w:rPr>
        <w:t>，</w:t>
      </w:r>
      <w:r>
        <w:rPr>
          <w:spacing w:val="-3"/>
          <w:w w:val="100"/>
        </w:rPr>
        <w:t>公</w:t>
      </w:r>
      <w:r>
        <w:rPr>
          <w:spacing w:val="-1"/>
          <w:w w:val="100"/>
        </w:rPr>
        <w:t>司</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010</w:t>
      </w:r>
      <w:r>
        <w:rPr>
          <w:spacing w:val="-3"/>
          <w:w w:val="100"/>
        </w:rPr>
        <w:t>年</w:t>
      </w:r>
      <w:r>
        <w:rPr>
          <w:w w:val="100"/>
        </w:rPr>
        <w:t>年</w:t>
      </w:r>
      <w:r>
        <w:rPr>
          <w:spacing w:val="-3"/>
          <w:w w:val="100"/>
        </w:rPr>
        <w:t>度</w:t>
      </w:r>
      <w:r>
        <w:rPr>
          <w:w w:val="100"/>
        </w:rPr>
        <w:t>股</w:t>
      </w:r>
      <w:r>
        <w:rPr>
          <w:spacing w:val="-3"/>
          <w:w w:val="100"/>
        </w:rPr>
        <w:t>东</w:t>
      </w:r>
      <w:r>
        <w:rPr>
          <w:w w:val="100"/>
        </w:rPr>
        <w:t>大</w:t>
      </w:r>
      <w:r>
        <w:rPr>
          <w:spacing w:val="-3"/>
          <w:w w:val="100"/>
        </w:rPr>
        <w:t>会</w:t>
      </w:r>
      <w:r>
        <w:rPr>
          <w:w w:val="100"/>
        </w:rPr>
        <w:t>审</w:t>
      </w:r>
      <w:r>
        <w:rPr>
          <w:spacing w:val="-3"/>
          <w:w w:val="100"/>
        </w:rPr>
        <w:t>议通</w:t>
      </w:r>
      <w:r>
        <w:rPr>
          <w:w w:val="100"/>
        </w:rPr>
        <w:t>过了</w:t>
      </w:r>
      <w:r>
        <w:rPr>
          <w:spacing w:val="-3"/>
          <w:w w:val="100"/>
        </w:rPr>
        <w:t>《</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0</w:t>
      </w:r>
      <w:r>
        <w:rPr>
          <w:w w:val="100"/>
        </w:rPr>
        <w:t>年</w:t>
      </w:r>
      <w:r>
        <w:rPr>
          <w:spacing w:val="-3"/>
          <w:w w:val="100"/>
        </w:rPr>
        <w:t>度</w:t>
      </w:r>
      <w:r>
        <w:rPr>
          <w:w w:val="100"/>
        </w:rPr>
        <w:t>利</w:t>
      </w:r>
      <w:r>
        <w:rPr>
          <w:spacing w:val="-3"/>
          <w:w w:val="100"/>
        </w:rPr>
        <w:t>润</w:t>
      </w:r>
      <w:r>
        <w:rPr>
          <w:w w:val="100"/>
        </w:rPr>
        <w:t>分</w:t>
      </w:r>
      <w:r>
        <w:rPr>
          <w:spacing w:val="-3"/>
          <w:w w:val="100"/>
        </w:rPr>
        <w:t>配</w:t>
      </w:r>
      <w:r>
        <w:rPr>
          <w:w w:val="100"/>
        </w:rPr>
        <w:t>预案</w:t>
      </w:r>
      <w:r>
        <w:rPr>
          <w:spacing w:val="-108"/>
          <w:w w:val="100"/>
        </w:rPr>
        <w:t>》</w:t>
      </w:r>
      <w:r>
        <w:rPr>
          <w:w w:val="100"/>
        </w:rPr>
        <w:t>，</w:t>
      </w:r>
      <w:r>
        <w:rPr>
          <w:spacing w:val="-3"/>
          <w:w w:val="100"/>
        </w:rPr>
        <w:t>公</w:t>
      </w:r>
      <w:r>
        <w:rPr>
          <w:w w:val="100"/>
        </w:rPr>
        <w:t>司以</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3"/>
          <w:w w:val="100"/>
        </w:rPr>
        <w:t>0</w:t>
      </w:r>
      <w:r>
        <w:rPr>
          <w:w w:val="100"/>
        </w:rPr>
        <w:t>年</w:t>
      </w:r>
    </w:p>
    <w:p>
      <w:pPr>
        <w:pStyle w:val="BodyText"/>
        <w:spacing w:line="379" w:lineRule="auto" w:before="170"/>
        <w:ind w:left="234" w:right="205" w:hanging="1"/>
        <w:jc w:val="both"/>
      </w:pPr>
      <w:r>
        <w:rPr>
          <w:rFonts w:ascii="Times New Roman" w:hAnsi="Times New Roman" w:cs="Times New Roman" w:eastAsia="Times New Roman" w:hint="default"/>
          <w:spacing w:val="-4"/>
          <w:w w:val="100"/>
        </w:rPr>
        <w:t>12</w:t>
      </w:r>
      <w:r>
        <w:rPr>
          <w:spacing w:val="-4"/>
          <w:w w:val="100"/>
        </w:rPr>
        <w:t>月</w:t>
      </w:r>
      <w:r>
        <w:rPr>
          <w:rFonts w:ascii="Times New Roman" w:hAnsi="Times New Roman" w:cs="Times New Roman" w:eastAsia="Times New Roman" w:hint="default"/>
          <w:spacing w:val="-4"/>
          <w:w w:val="100"/>
        </w:rPr>
        <w:t>31</w:t>
      </w:r>
      <w:r>
        <w:rPr>
          <w:spacing w:val="-4"/>
          <w:w w:val="100"/>
        </w:rPr>
        <w:t>日总股本</w:t>
      </w:r>
      <w:r>
        <w:rPr>
          <w:rFonts w:ascii="Times New Roman" w:hAnsi="Times New Roman" w:cs="Times New Roman" w:eastAsia="Times New Roman" w:hint="default"/>
          <w:spacing w:val="-4"/>
          <w:w w:val="100"/>
        </w:rPr>
        <w:t>224,000,000</w:t>
      </w:r>
      <w:r>
        <w:rPr>
          <w:spacing w:val="-4"/>
          <w:w w:val="100"/>
        </w:rPr>
        <w:t>为基数，向全体股东按每</w:t>
      </w:r>
      <w:r>
        <w:rPr>
          <w:rFonts w:ascii="Times New Roman" w:hAnsi="Times New Roman" w:cs="Times New Roman" w:eastAsia="Times New Roman" w:hint="default"/>
          <w:spacing w:val="-4"/>
          <w:w w:val="100"/>
        </w:rPr>
        <w:t>10</w:t>
      </w:r>
      <w:r>
        <w:rPr>
          <w:spacing w:val="-4"/>
          <w:w w:val="100"/>
        </w:rPr>
        <w:t>股派发现金股利人民币</w:t>
      </w:r>
      <w:r>
        <w:rPr>
          <w:rFonts w:ascii="Times New Roman" w:hAnsi="Times New Roman" w:cs="Times New Roman" w:eastAsia="Times New Roman" w:hint="default"/>
          <w:spacing w:val="-4"/>
          <w:w w:val="100"/>
        </w:rPr>
        <w:t>1</w:t>
      </w:r>
      <w:r>
        <w:rPr>
          <w:spacing w:val="-4"/>
          <w:w w:val="100"/>
        </w:rPr>
        <w:t>元（含税），同时以资本公</w:t>
      </w:r>
      <w:r>
        <w:rPr>
          <w:spacing w:val="-82"/>
          <w:w w:val="100"/>
        </w:rPr>
        <w:t> </w:t>
      </w:r>
      <w:r>
        <w:rPr>
          <w:spacing w:val="-82"/>
          <w:w w:val="100"/>
        </w:rPr>
      </w:r>
      <w:r>
        <w:rPr>
          <w:spacing w:val="-4"/>
        </w:rPr>
        <w:t>积向全体股东每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3.8</w:t>
      </w:r>
      <w:r>
        <w:rPr>
          <w:spacing w:val="-4"/>
        </w:rPr>
        <w:t>股。根据公司《股票期权激励计划（草案）修订案》的有关规定，经公司第四</w:t>
      </w:r>
      <w:r>
        <w:rPr>
          <w:spacing w:val="-7"/>
        </w:rPr>
        <w:t> </w:t>
      </w:r>
      <w:r>
        <w:rPr>
          <w:spacing w:val="-7"/>
        </w:rPr>
      </w:r>
      <w:r>
        <w:rPr>
          <w:spacing w:val="-2"/>
        </w:rPr>
        <w:t>届董事会</w:t>
      </w:r>
      <w:r>
        <w:rPr>
          <w:rFonts w:ascii="Times New Roman" w:hAnsi="Times New Roman" w:cs="Times New Roman" w:eastAsia="Times New Roman" w:hint="default"/>
          <w:spacing w:val="-2"/>
        </w:rPr>
        <w:t>2011</w:t>
      </w:r>
      <w:r>
        <w:rPr>
          <w:spacing w:val="-2"/>
        </w:rPr>
        <w:t>年第四次临时会议审议通过，公司股票期权激励计划的期权数量调整为</w:t>
      </w:r>
      <w:r>
        <w:rPr>
          <w:rFonts w:ascii="Times New Roman" w:hAnsi="Times New Roman" w:cs="Times New Roman" w:eastAsia="Times New Roman" w:hint="default"/>
          <w:spacing w:val="-2"/>
        </w:rPr>
        <w:t>2,243,880</w:t>
      </w:r>
      <w:r>
        <w:rPr>
          <w:spacing w:val="-2"/>
        </w:rPr>
        <w:t>份，各激励</w:t>
      </w:r>
      <w:r>
        <w:rPr>
          <w:spacing w:val="-32"/>
        </w:rPr>
        <w:t> </w:t>
      </w:r>
      <w:r>
        <w:rPr>
          <w:spacing w:val="-32"/>
        </w:rPr>
      </w:r>
      <w:r>
        <w:rPr>
          <w:spacing w:val="-3"/>
        </w:rPr>
        <w:t>对象获授的期权数量进行相应的调整，同时行权价格调整为</w:t>
      </w:r>
      <w:r>
        <w:rPr>
          <w:rFonts w:ascii="Times New Roman" w:hAnsi="Times New Roman" w:cs="Times New Roman" w:eastAsia="Times New Roman" w:hint="default"/>
          <w:spacing w:val="-3"/>
        </w:rPr>
        <w:t>32.32</w:t>
      </w:r>
      <w:r>
        <w:rPr>
          <w:spacing w:val="-3"/>
        </w:rPr>
        <w:t>元。即，满足行权条件后，激励对象获授</w:t>
      </w:r>
      <w:r>
        <w:rPr>
          <w:spacing w:val="-44"/>
        </w:rPr>
        <w:t> </w:t>
      </w:r>
      <w:r>
        <w:rPr>
          <w:spacing w:val="-44"/>
        </w:rPr>
      </w:r>
      <w:r>
        <w:rPr>
          <w:spacing w:val="-2"/>
        </w:rPr>
        <w:t>的每份股票期权拥有在股票期权激励计划有效期内的可行权日以</w:t>
      </w:r>
      <w:r>
        <w:rPr>
          <w:rFonts w:ascii="Times New Roman" w:hAnsi="Times New Roman" w:cs="Times New Roman" w:eastAsia="Times New Roman" w:hint="default"/>
          <w:spacing w:val="-2"/>
        </w:rPr>
        <w:t>32.32</w:t>
      </w:r>
      <w:r>
        <w:rPr>
          <w:spacing w:val="-2"/>
        </w:rPr>
        <w:t>元的价格购买</w:t>
      </w:r>
      <w:r>
        <w:rPr>
          <w:rFonts w:ascii="Times New Roman" w:hAnsi="Times New Roman" w:cs="Times New Roman" w:eastAsia="Times New Roman" w:hint="default"/>
          <w:spacing w:val="-2"/>
        </w:rPr>
        <w:t>1</w:t>
      </w:r>
      <w:r>
        <w:rPr>
          <w:spacing w:val="-2"/>
        </w:rPr>
        <w:t>股公司股票的权利。</w:t>
      </w:r>
      <w:r>
        <w:rPr/>
      </w:r>
    </w:p>
    <w:p>
      <w:pPr>
        <w:pStyle w:val="BodyText"/>
        <w:spacing w:line="240" w:lineRule="auto" w:before="32"/>
        <w:ind w:left="654" w:right="0"/>
        <w:jc w:val="left"/>
      </w:pPr>
      <w:r>
        <w:rPr/>
        <w:t>二、董事会关于满足股权激励计划设定的第一个行权期行权条件的说明</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939"/>
        <w:gridCol w:w="4922"/>
      </w:tblGrid>
      <w:tr>
        <w:trPr>
          <w:trHeight w:val="437" w:hRule="exact"/>
        </w:trPr>
        <w:tc>
          <w:tcPr>
            <w:tcW w:w="49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1112" w:right="0"/>
              <w:jc w:val="left"/>
              <w:rPr>
                <w:rFonts w:ascii="宋体" w:hAnsi="宋体" w:cs="宋体" w:eastAsia="宋体" w:hint="default"/>
                <w:sz w:val="21"/>
                <w:szCs w:val="21"/>
              </w:rPr>
            </w:pPr>
            <w:r>
              <w:rPr>
                <w:rFonts w:ascii="宋体" w:hAnsi="宋体" w:cs="宋体" w:eastAsia="宋体" w:hint="default"/>
                <w:sz w:val="21"/>
                <w:szCs w:val="21"/>
              </w:rPr>
              <w:t>股权激励计划设定的行权条件</w:t>
            </w:r>
          </w:p>
        </w:tc>
        <w:tc>
          <w:tcPr>
            <w:tcW w:w="49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1302" w:right="0"/>
              <w:jc w:val="left"/>
              <w:rPr>
                <w:rFonts w:ascii="宋体" w:hAnsi="宋体" w:cs="宋体" w:eastAsia="宋体" w:hint="default"/>
                <w:sz w:val="21"/>
                <w:szCs w:val="21"/>
              </w:rPr>
            </w:pPr>
            <w:r>
              <w:rPr>
                <w:rFonts w:ascii="宋体" w:hAnsi="宋体" w:cs="宋体" w:eastAsia="宋体" w:hint="default"/>
                <w:sz w:val="21"/>
                <w:szCs w:val="21"/>
              </w:rPr>
              <w:t>是否满足行权条件的说明</w:t>
            </w:r>
          </w:p>
        </w:tc>
      </w:tr>
      <w:tr>
        <w:trPr>
          <w:trHeight w:val="966" w:hRule="exact"/>
        </w:trPr>
        <w:tc>
          <w:tcPr>
            <w:tcW w:w="4939" w:type="dxa"/>
            <w:tcBorders>
              <w:top w:val="single" w:sz="4" w:space="0" w:color="000000"/>
              <w:left w:val="nil" w:sz="6" w:space="0" w:color="auto"/>
              <w:bottom w:val="nil" w:sz="6" w:space="0" w:color="auto"/>
              <w:right w:val="single" w:sz="4" w:space="0" w:color="000000"/>
            </w:tcBorders>
          </w:tcPr>
          <w:p>
            <w:pPr>
              <w:pStyle w:val="TableParagraph"/>
              <w:spacing w:line="237" w:lineRule="auto" w:before="40"/>
              <w:ind w:left="122" w:right="98"/>
              <w:jc w:val="left"/>
              <w:rPr>
                <w:rFonts w:ascii="宋体" w:hAnsi="宋体" w:cs="宋体" w:eastAsia="宋体" w:hint="default"/>
                <w:sz w:val="21"/>
                <w:szCs w:val="21"/>
              </w:rPr>
            </w:pPr>
            <w:r>
              <w:rPr>
                <w:rFonts w:ascii="宋体" w:hAnsi="宋体" w:cs="宋体" w:eastAsia="宋体" w:hint="default"/>
                <w:sz w:val="21"/>
                <w:szCs w:val="21"/>
              </w:rPr>
              <w:t>根据《北京中长石基信息技术股份有限公司股票期</w:t>
            </w:r>
            <w:r>
              <w:rPr>
                <w:rFonts w:ascii="宋体" w:hAnsi="宋体" w:cs="宋体" w:eastAsia="宋体" w:hint="default"/>
                <w:w w:val="100"/>
                <w:sz w:val="21"/>
                <w:szCs w:val="21"/>
              </w:rPr>
              <w:t> </w:t>
            </w:r>
            <w:r>
              <w:rPr>
                <w:rFonts w:ascii="宋体" w:hAnsi="宋体" w:cs="宋体" w:eastAsia="宋体" w:hint="default"/>
                <w:spacing w:val="-7"/>
                <w:w w:val="100"/>
                <w:sz w:val="21"/>
                <w:szCs w:val="21"/>
              </w:rPr>
              <w:t>权激励计划实施考核办法》，激励对象行权的前一年</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度绩效经考核达到相应的考核要求。</w:t>
            </w:r>
          </w:p>
        </w:tc>
        <w:tc>
          <w:tcPr>
            <w:tcW w:w="4922" w:type="dxa"/>
            <w:tcBorders>
              <w:top w:val="single" w:sz="4" w:space="0" w:color="000000"/>
              <w:left w:val="single" w:sz="4" w:space="0" w:color="000000"/>
              <w:bottom w:val="nil" w:sz="6" w:space="0" w:color="auto"/>
              <w:right w:val="nil" w:sz="6" w:space="0" w:color="auto"/>
            </w:tcBorders>
          </w:tcPr>
          <w:p>
            <w:pPr>
              <w:pStyle w:val="TableParagraph"/>
              <w:spacing w:line="240" w:lineRule="auto" w:before="38"/>
              <w:ind w:left="105" w:right="0"/>
              <w:jc w:val="left"/>
              <w:rPr>
                <w:rFonts w:ascii="宋体" w:hAnsi="宋体" w:cs="宋体" w:eastAsia="宋体" w:hint="default"/>
                <w:sz w:val="21"/>
                <w:szCs w:val="21"/>
              </w:rPr>
            </w:pPr>
            <w:r>
              <w:rPr>
                <w:rFonts w:ascii="宋体" w:hAnsi="宋体" w:cs="宋体" w:eastAsia="宋体" w:hint="default"/>
                <w:sz w:val="21"/>
                <w:szCs w:val="21"/>
              </w:rPr>
              <w:t>激励对象绩效考核均达到考核要求，满足行权条件</w:t>
            </w:r>
          </w:p>
        </w:tc>
      </w:tr>
      <w:tr>
        <w:trPr>
          <w:trHeight w:val="1794" w:hRule="exact"/>
        </w:trPr>
        <w:tc>
          <w:tcPr>
            <w:tcW w:w="4939" w:type="dxa"/>
            <w:tcBorders>
              <w:top w:val="nil" w:sz="6" w:space="0" w:color="auto"/>
              <w:left w:val="nil" w:sz="6" w:space="0" w:color="auto"/>
              <w:bottom w:val="single" w:sz="12" w:space="0" w:color="000000"/>
              <w:right w:val="single" w:sz="4" w:space="0" w:color="000000"/>
            </w:tcBorders>
          </w:tcPr>
          <w:p>
            <w:pPr>
              <w:pStyle w:val="TableParagraph"/>
              <w:spacing w:line="230" w:lineRule="auto" w:before="49"/>
              <w:ind w:left="122" w:right="-8"/>
              <w:jc w:val="left"/>
              <w:rPr>
                <w:rFonts w:ascii="宋体" w:hAnsi="宋体" w:cs="宋体" w:eastAsia="宋体" w:hint="default"/>
                <w:sz w:val="21"/>
                <w:szCs w:val="21"/>
              </w:rPr>
            </w:pPr>
            <w:r>
              <w:rPr>
                <w:rFonts w:ascii="宋体" w:hAnsi="宋体" w:cs="宋体" w:eastAsia="宋体" w:hint="default"/>
                <w:sz w:val="21"/>
                <w:szCs w:val="21"/>
              </w:rPr>
              <w:t>公司未发生如下任一情形：</w:t>
            </w:r>
            <w:r>
              <w:rPr>
                <w:rFonts w:ascii="宋体" w:hAnsi="宋体" w:cs="宋体" w:eastAsia="宋体" w:hint="default"/>
                <w:spacing w:val="-1"/>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）最近一个会计年</w:t>
            </w:r>
            <w:r>
              <w:rPr>
                <w:rFonts w:ascii="宋体" w:hAnsi="宋体" w:cs="宋体" w:eastAsia="宋体" w:hint="default"/>
                <w:w w:val="100"/>
                <w:sz w:val="21"/>
                <w:szCs w:val="21"/>
              </w:rPr>
              <w:t> </w:t>
            </w:r>
            <w:r>
              <w:rPr>
                <w:rFonts w:ascii="宋体" w:hAnsi="宋体" w:cs="宋体" w:eastAsia="宋体" w:hint="default"/>
                <w:sz w:val="21"/>
                <w:szCs w:val="21"/>
              </w:rPr>
              <w:t>度的财务会计报告被注册会计师出具否定意见或者</w:t>
            </w:r>
            <w:r>
              <w:rPr>
                <w:rFonts w:ascii="宋体" w:hAnsi="宋体" w:cs="宋体" w:eastAsia="宋体" w:hint="default"/>
                <w:w w:val="100"/>
                <w:sz w:val="21"/>
                <w:szCs w:val="21"/>
              </w:rPr>
              <w:t> </w:t>
            </w:r>
            <w:r>
              <w:rPr>
                <w:rFonts w:ascii="宋体" w:hAnsi="宋体" w:cs="宋体" w:eastAsia="宋体" w:hint="default"/>
                <w:sz w:val="21"/>
                <w:szCs w:val="21"/>
              </w:rPr>
              <w:t>无法表示意见的审计报告；</w:t>
            </w:r>
            <w:r>
              <w:rPr>
                <w:rFonts w:ascii="宋体" w:hAnsi="宋体" w:cs="宋体" w:eastAsia="宋体" w:hint="default"/>
                <w:spacing w:val="-1"/>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）最近一年内因重</w:t>
            </w:r>
            <w:r>
              <w:rPr>
                <w:rFonts w:ascii="宋体" w:hAnsi="宋体" w:cs="宋体" w:eastAsia="宋体" w:hint="default"/>
                <w:w w:val="100"/>
                <w:sz w:val="21"/>
                <w:szCs w:val="21"/>
              </w:rPr>
              <w:t> </w:t>
            </w:r>
            <w:r>
              <w:rPr>
                <w:rFonts w:ascii="宋体" w:hAnsi="宋体" w:cs="宋体" w:eastAsia="宋体" w:hint="default"/>
                <w:sz w:val="21"/>
                <w:szCs w:val="21"/>
              </w:rPr>
              <w:t>大违法违规行为被中国证监会予以行政处罚；</w:t>
            </w:r>
            <w:r>
              <w:rPr>
                <w:rFonts w:ascii="宋体" w:hAnsi="宋体" w:cs="宋体" w:eastAsia="宋体" w:hint="default"/>
                <w:spacing w:val="-17"/>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中国证监会认定不能实行股票期权激励计划的其他</w:t>
            </w:r>
            <w:r>
              <w:rPr>
                <w:rFonts w:ascii="宋体" w:hAnsi="宋体" w:cs="宋体" w:eastAsia="宋体" w:hint="default"/>
                <w:w w:val="100"/>
                <w:sz w:val="21"/>
                <w:szCs w:val="21"/>
              </w:rPr>
              <w:t> </w:t>
            </w:r>
            <w:r>
              <w:rPr>
                <w:rFonts w:ascii="宋体" w:hAnsi="宋体" w:cs="宋体" w:eastAsia="宋体" w:hint="default"/>
                <w:sz w:val="21"/>
                <w:szCs w:val="21"/>
              </w:rPr>
              <w:t>情形。</w:t>
            </w:r>
          </w:p>
        </w:tc>
        <w:tc>
          <w:tcPr>
            <w:tcW w:w="4922" w:type="dxa"/>
            <w:tcBorders>
              <w:top w:val="nil" w:sz="6" w:space="0" w:color="auto"/>
              <w:left w:val="single" w:sz="4" w:space="0" w:color="000000"/>
              <w:bottom w:val="single" w:sz="12" w:space="0" w:color="000000"/>
              <w:right w:val="nil" w:sz="6" w:space="0" w:color="auto"/>
            </w:tcBorders>
          </w:tcPr>
          <w:p>
            <w:pPr>
              <w:pStyle w:val="TableParagraph"/>
              <w:spacing w:line="240" w:lineRule="auto" w:before="39"/>
              <w:ind w:left="105" w:right="0"/>
              <w:jc w:val="left"/>
              <w:rPr>
                <w:rFonts w:ascii="宋体" w:hAnsi="宋体" w:cs="宋体" w:eastAsia="宋体" w:hint="default"/>
                <w:sz w:val="21"/>
                <w:szCs w:val="21"/>
              </w:rPr>
            </w:pPr>
            <w:r>
              <w:rPr>
                <w:rFonts w:ascii="宋体" w:hAnsi="宋体" w:cs="宋体" w:eastAsia="宋体" w:hint="default"/>
                <w:sz w:val="21"/>
                <w:szCs w:val="21"/>
              </w:rPr>
              <w:t>公司未发生前述情形，满足行权条件</w:t>
            </w:r>
          </w:p>
        </w:tc>
      </w:tr>
    </w:tbl>
    <w:p>
      <w:pPr>
        <w:spacing w:after="0" w:line="240" w:lineRule="auto"/>
        <w:jc w:val="left"/>
        <w:rPr>
          <w:rFonts w:ascii="宋体" w:hAnsi="宋体" w:cs="宋体" w:eastAsia="宋体" w:hint="default"/>
          <w:sz w:val="21"/>
          <w:szCs w:val="21"/>
        </w:rPr>
        <w:sectPr>
          <w:pgSz w:w="11910" w:h="16840"/>
          <w:pgMar w:header="850" w:footer="979" w:top="1200" w:bottom="1160" w:left="900" w:right="920"/>
        </w:sectPr>
      </w:pPr>
    </w:p>
    <w:p>
      <w:pPr>
        <w:spacing w:line="240" w:lineRule="auto" w:before="9"/>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939"/>
        <w:gridCol w:w="4930"/>
      </w:tblGrid>
      <w:tr>
        <w:trPr>
          <w:trHeight w:val="458" w:hRule="exact"/>
        </w:trPr>
        <w:tc>
          <w:tcPr>
            <w:tcW w:w="4939"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52"/>
              <w:ind w:left="1111" w:right="0"/>
              <w:jc w:val="left"/>
              <w:rPr>
                <w:rFonts w:ascii="宋体" w:hAnsi="宋体" w:cs="宋体" w:eastAsia="宋体" w:hint="default"/>
                <w:sz w:val="21"/>
                <w:szCs w:val="21"/>
              </w:rPr>
            </w:pPr>
            <w:r>
              <w:rPr>
                <w:rFonts w:ascii="宋体" w:hAnsi="宋体" w:cs="宋体" w:eastAsia="宋体" w:hint="default"/>
                <w:sz w:val="21"/>
                <w:szCs w:val="21"/>
              </w:rPr>
              <w:t>股权激励计划设定的行权条件</w:t>
            </w:r>
          </w:p>
        </w:tc>
        <w:tc>
          <w:tcPr>
            <w:tcW w:w="493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52"/>
              <w:ind w:left="1300" w:right="0"/>
              <w:jc w:val="left"/>
              <w:rPr>
                <w:rFonts w:ascii="宋体" w:hAnsi="宋体" w:cs="宋体" w:eastAsia="宋体" w:hint="default"/>
                <w:sz w:val="21"/>
                <w:szCs w:val="21"/>
              </w:rPr>
            </w:pPr>
            <w:r>
              <w:rPr>
                <w:rFonts w:ascii="宋体" w:hAnsi="宋体" w:cs="宋体" w:eastAsia="宋体" w:hint="default"/>
                <w:sz w:val="21"/>
                <w:szCs w:val="21"/>
              </w:rPr>
              <w:t>是否满足行权条件的说明</w:t>
            </w:r>
          </w:p>
        </w:tc>
      </w:tr>
      <w:tr>
        <w:trPr>
          <w:trHeight w:val="1510" w:hRule="exact"/>
        </w:trPr>
        <w:tc>
          <w:tcPr>
            <w:tcW w:w="4939" w:type="dxa"/>
            <w:tcBorders>
              <w:top w:val="single" w:sz="4" w:space="0" w:color="000000"/>
              <w:left w:val="nil" w:sz="6" w:space="0" w:color="auto"/>
              <w:bottom w:val="nil" w:sz="6" w:space="0" w:color="auto"/>
              <w:right w:val="single" w:sz="4" w:space="0" w:color="000000"/>
            </w:tcBorders>
          </w:tcPr>
          <w:p>
            <w:pPr>
              <w:pStyle w:val="TableParagraph"/>
              <w:spacing w:line="228" w:lineRule="auto" w:before="50"/>
              <w:ind w:left="122" w:right="-8" w:hanging="1"/>
              <w:jc w:val="left"/>
              <w:rPr>
                <w:rFonts w:ascii="宋体" w:hAnsi="宋体" w:cs="宋体" w:eastAsia="宋体" w:hint="default"/>
                <w:sz w:val="21"/>
                <w:szCs w:val="21"/>
              </w:rPr>
            </w:pPr>
            <w:r>
              <w:rPr>
                <w:rFonts w:ascii="宋体" w:hAnsi="宋体" w:cs="宋体" w:eastAsia="宋体" w:hint="default"/>
                <w:sz w:val="21"/>
                <w:szCs w:val="21"/>
              </w:rPr>
              <w:t>激励对象未发生如下任一情形：</w:t>
            </w:r>
            <w:r>
              <w:rPr>
                <w:rFonts w:ascii="宋体" w:hAnsi="宋体" w:cs="宋体" w:eastAsia="宋体" w:hint="default"/>
                <w:spacing w:val="-3"/>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）最近三年内</w:t>
            </w:r>
            <w:r>
              <w:rPr>
                <w:rFonts w:ascii="宋体" w:hAnsi="宋体" w:cs="宋体" w:eastAsia="宋体" w:hint="default"/>
                <w:w w:val="100"/>
                <w:sz w:val="21"/>
                <w:szCs w:val="21"/>
              </w:rPr>
              <w:t> </w:t>
            </w:r>
            <w:r>
              <w:rPr>
                <w:rFonts w:ascii="宋体" w:hAnsi="宋体" w:cs="宋体" w:eastAsia="宋体" w:hint="default"/>
                <w:sz w:val="21"/>
                <w:szCs w:val="21"/>
              </w:rPr>
              <w:t>被证券交易所公开谴责或宣布为不适当人选；</w:t>
            </w:r>
            <w:r>
              <w:rPr>
                <w:rFonts w:ascii="宋体" w:hAnsi="宋体" w:cs="宋体" w:eastAsia="宋体" w:hint="default"/>
                <w:spacing w:val="-17"/>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最近三年内因重大违法违规行为被中国证监会予以</w:t>
            </w:r>
            <w:r>
              <w:rPr>
                <w:rFonts w:ascii="宋体" w:hAnsi="宋体" w:cs="宋体" w:eastAsia="宋体" w:hint="default"/>
                <w:w w:val="100"/>
                <w:sz w:val="21"/>
                <w:szCs w:val="21"/>
              </w:rPr>
              <w:t> </w:t>
            </w:r>
            <w:r>
              <w:rPr>
                <w:rFonts w:ascii="宋体" w:hAnsi="宋体" w:cs="宋体" w:eastAsia="宋体" w:hint="default"/>
                <w:sz w:val="21"/>
                <w:szCs w:val="21"/>
              </w:rPr>
              <w:t>行政处罚；</w:t>
            </w:r>
            <w:r>
              <w:rPr>
                <w:rFonts w:ascii="宋体" w:hAnsi="宋体" w:cs="宋体" w:eastAsia="宋体" w:hint="default"/>
                <w:spacing w:val="-2"/>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）具有《公司法》规定的不得担任</w:t>
            </w:r>
            <w:r>
              <w:rPr>
                <w:rFonts w:ascii="宋体" w:hAnsi="宋体" w:cs="宋体" w:eastAsia="宋体" w:hint="default"/>
                <w:w w:val="100"/>
                <w:sz w:val="21"/>
                <w:szCs w:val="21"/>
              </w:rPr>
              <w:t> </w:t>
            </w:r>
            <w:r>
              <w:rPr>
                <w:rFonts w:ascii="宋体" w:hAnsi="宋体" w:cs="宋体" w:eastAsia="宋体" w:hint="default"/>
                <w:sz w:val="21"/>
                <w:szCs w:val="21"/>
              </w:rPr>
              <w:t>公司董事、高级管理人员情形的。</w:t>
            </w:r>
          </w:p>
        </w:tc>
        <w:tc>
          <w:tcPr>
            <w:tcW w:w="4930" w:type="dxa"/>
            <w:tcBorders>
              <w:top w:val="single" w:sz="4" w:space="0" w:color="000000"/>
              <w:left w:val="single" w:sz="4" w:space="0" w:color="000000"/>
              <w:bottom w:val="nil" w:sz="6" w:space="0" w:color="auto"/>
              <w:right w:val="nil" w:sz="6" w:space="0" w:color="auto"/>
            </w:tcBorders>
          </w:tcPr>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激励对象未发生前述情形，满足行权条件</w:t>
            </w:r>
          </w:p>
        </w:tc>
      </w:tr>
      <w:tr>
        <w:trPr>
          <w:trHeight w:val="3974" w:hRule="exact"/>
        </w:trPr>
        <w:tc>
          <w:tcPr>
            <w:tcW w:w="4939" w:type="dxa"/>
            <w:tcBorders>
              <w:top w:val="nil" w:sz="6" w:space="0" w:color="auto"/>
              <w:left w:val="nil" w:sz="6" w:space="0" w:color="auto"/>
              <w:bottom w:val="single" w:sz="12" w:space="0" w:color="000000"/>
              <w:right w:val="single" w:sz="4" w:space="0" w:color="000000"/>
            </w:tcBorders>
          </w:tcPr>
          <w:p>
            <w:pPr>
              <w:pStyle w:val="TableParagraph"/>
              <w:spacing w:line="230" w:lineRule="auto" w:before="49"/>
              <w:ind w:left="122" w:right="-8"/>
              <w:jc w:val="left"/>
              <w:rPr>
                <w:rFonts w:ascii="宋体" w:hAnsi="宋体" w:cs="宋体" w:eastAsia="宋体" w:hint="default"/>
                <w:sz w:val="21"/>
                <w:szCs w:val="21"/>
              </w:rPr>
            </w:pPr>
            <w:r>
              <w:rPr>
                <w:rFonts w:ascii="宋体" w:hAnsi="宋体" w:cs="宋体" w:eastAsia="宋体" w:hint="default"/>
                <w:spacing w:val="-6"/>
                <w:w w:val="100"/>
                <w:sz w:val="21"/>
                <w:szCs w:val="21"/>
              </w:rPr>
              <w:t>行权的公司业绩考核条件为：（</w:t>
            </w:r>
            <w:r>
              <w:rPr>
                <w:rFonts w:ascii="Times New Roman" w:hAnsi="Times New Roman" w:cs="Times New Roman" w:eastAsia="Times New Roman" w:hint="default"/>
                <w:spacing w:val="-6"/>
                <w:w w:val="100"/>
                <w:sz w:val="21"/>
                <w:szCs w:val="21"/>
              </w:rPr>
              <w:t>1</w:t>
            </w:r>
            <w:r>
              <w:rPr>
                <w:rFonts w:ascii="宋体" w:hAnsi="宋体" w:cs="宋体" w:eastAsia="宋体" w:hint="default"/>
                <w:spacing w:val="-6"/>
                <w:w w:val="100"/>
                <w:sz w:val="21"/>
                <w:szCs w:val="21"/>
              </w:rPr>
              <w:t>）以</w:t>
            </w:r>
            <w:r>
              <w:rPr>
                <w:rFonts w:ascii="Times New Roman" w:hAnsi="Times New Roman" w:cs="Times New Roman" w:eastAsia="Times New Roman" w:hint="default"/>
                <w:spacing w:val="-6"/>
                <w:w w:val="100"/>
                <w:sz w:val="21"/>
                <w:szCs w:val="21"/>
              </w:rPr>
              <w:t>2008</w:t>
            </w:r>
            <w:r>
              <w:rPr>
                <w:rFonts w:ascii="宋体" w:hAnsi="宋体" w:cs="宋体" w:eastAsia="宋体" w:hint="default"/>
                <w:spacing w:val="-6"/>
                <w:w w:val="100"/>
                <w:sz w:val="21"/>
                <w:szCs w:val="21"/>
              </w:rPr>
              <w:t>年为基数，</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Times New Roman" w:hAnsi="Times New Roman" w:cs="Times New Roman" w:eastAsia="Times New Roman" w:hint="default"/>
                <w:spacing w:val="-6"/>
                <w:w w:val="100"/>
                <w:sz w:val="21"/>
                <w:szCs w:val="21"/>
              </w:rPr>
              <w:t>T</w:t>
            </w:r>
            <w:r>
              <w:rPr>
                <w:rFonts w:ascii="宋体" w:hAnsi="宋体" w:cs="宋体" w:eastAsia="宋体" w:hint="default"/>
                <w:spacing w:val="-6"/>
                <w:w w:val="100"/>
                <w:sz w:val="21"/>
                <w:szCs w:val="21"/>
              </w:rPr>
              <w:t>年度（授予日所在年度）、</w:t>
            </w:r>
            <w:r>
              <w:rPr>
                <w:rFonts w:ascii="Times New Roman" w:hAnsi="Times New Roman" w:cs="Times New Roman" w:eastAsia="Times New Roman" w:hint="default"/>
                <w:spacing w:val="-6"/>
                <w:w w:val="100"/>
                <w:sz w:val="21"/>
                <w:szCs w:val="21"/>
              </w:rPr>
              <w:t>T+1</w:t>
            </w:r>
            <w:r>
              <w:rPr>
                <w:rFonts w:ascii="宋体" w:hAnsi="宋体" w:cs="宋体" w:eastAsia="宋体" w:hint="default"/>
                <w:spacing w:val="-6"/>
                <w:w w:val="100"/>
                <w:sz w:val="21"/>
                <w:szCs w:val="21"/>
              </w:rPr>
              <w:t>年度、</w:t>
            </w:r>
            <w:r>
              <w:rPr>
                <w:rFonts w:ascii="Times New Roman" w:hAnsi="Times New Roman" w:cs="Times New Roman" w:eastAsia="Times New Roman" w:hint="default"/>
                <w:spacing w:val="-6"/>
                <w:w w:val="100"/>
                <w:sz w:val="21"/>
                <w:szCs w:val="21"/>
              </w:rPr>
              <w:t>T+2</w:t>
            </w:r>
            <w:r>
              <w:rPr>
                <w:rFonts w:ascii="宋体" w:hAnsi="宋体" w:cs="宋体" w:eastAsia="宋体" w:hint="default"/>
                <w:spacing w:val="-6"/>
                <w:w w:val="100"/>
                <w:sz w:val="21"/>
                <w:szCs w:val="21"/>
              </w:rPr>
              <w:t>年度归属</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于母公司股东的扣除非经常性损益的净利润复合增</w:t>
            </w:r>
            <w:r>
              <w:rPr>
                <w:rFonts w:ascii="宋体" w:hAnsi="宋体" w:cs="宋体" w:eastAsia="宋体" w:hint="default"/>
                <w:w w:val="100"/>
                <w:sz w:val="21"/>
                <w:szCs w:val="21"/>
              </w:rPr>
              <w:t> </w:t>
            </w:r>
            <w:r>
              <w:rPr>
                <w:rFonts w:ascii="宋体" w:hAnsi="宋体" w:cs="宋体" w:eastAsia="宋体" w:hint="default"/>
                <w:spacing w:val="-9"/>
                <w:w w:val="100"/>
                <w:sz w:val="21"/>
                <w:szCs w:val="21"/>
              </w:rPr>
              <w:t>长率不低于</w:t>
            </w:r>
            <w:r>
              <w:rPr>
                <w:rFonts w:ascii="Times New Roman" w:hAnsi="Times New Roman" w:cs="Times New Roman" w:eastAsia="Times New Roman" w:hint="default"/>
                <w:spacing w:val="-9"/>
                <w:w w:val="100"/>
                <w:sz w:val="21"/>
                <w:szCs w:val="21"/>
              </w:rPr>
              <w:t>20%</w:t>
            </w:r>
            <w:r>
              <w:rPr>
                <w:rFonts w:ascii="宋体" w:hAnsi="宋体" w:cs="宋体" w:eastAsia="宋体" w:hint="default"/>
                <w:spacing w:val="-9"/>
                <w:w w:val="100"/>
                <w:sz w:val="21"/>
                <w:szCs w:val="21"/>
              </w:rPr>
              <w:t>。（</w:t>
            </w:r>
            <w:r>
              <w:rPr>
                <w:rFonts w:ascii="Times New Roman" w:hAnsi="Times New Roman" w:cs="Times New Roman" w:eastAsia="Times New Roman" w:hint="default"/>
                <w:spacing w:val="-9"/>
                <w:w w:val="100"/>
                <w:sz w:val="21"/>
                <w:szCs w:val="21"/>
              </w:rPr>
              <w:t>2</w:t>
            </w:r>
            <w:r>
              <w:rPr>
                <w:rFonts w:ascii="宋体" w:hAnsi="宋体" w:cs="宋体" w:eastAsia="宋体" w:hint="default"/>
                <w:spacing w:val="-9"/>
                <w:w w:val="100"/>
                <w:sz w:val="21"/>
                <w:szCs w:val="21"/>
              </w:rPr>
              <w:t>）股票期权等待期内，各年度归</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属于母公司股东的净利润及归属于母公司股东的扣</w:t>
            </w:r>
            <w:r>
              <w:rPr>
                <w:rFonts w:ascii="宋体" w:hAnsi="宋体" w:cs="宋体" w:eastAsia="宋体" w:hint="default"/>
                <w:w w:val="100"/>
                <w:sz w:val="21"/>
                <w:szCs w:val="21"/>
              </w:rPr>
              <w:t> </w:t>
            </w:r>
            <w:r>
              <w:rPr>
                <w:rFonts w:ascii="宋体" w:hAnsi="宋体" w:cs="宋体" w:eastAsia="宋体" w:hint="default"/>
                <w:sz w:val="21"/>
                <w:szCs w:val="21"/>
              </w:rPr>
              <w:t>除非经常性损益的净利润均不得低于授权日前最近</w:t>
            </w:r>
            <w:r>
              <w:rPr>
                <w:rFonts w:ascii="宋体" w:hAnsi="宋体" w:cs="宋体" w:eastAsia="宋体" w:hint="default"/>
                <w:w w:val="100"/>
                <w:sz w:val="21"/>
                <w:szCs w:val="21"/>
              </w:rPr>
              <w:t> </w:t>
            </w:r>
            <w:r>
              <w:rPr>
                <w:rFonts w:ascii="宋体" w:hAnsi="宋体" w:cs="宋体" w:eastAsia="宋体" w:hint="default"/>
                <w:spacing w:val="-6"/>
                <w:w w:val="100"/>
                <w:sz w:val="21"/>
                <w:szCs w:val="21"/>
              </w:rPr>
              <w:t>三个会计年度的平均水平且不得为负。（</w:t>
            </w:r>
            <w:r>
              <w:rPr>
                <w:rFonts w:ascii="Times New Roman" w:hAnsi="Times New Roman" w:cs="Times New Roman" w:eastAsia="Times New Roman" w:hint="default"/>
                <w:spacing w:val="-6"/>
                <w:w w:val="100"/>
                <w:sz w:val="21"/>
                <w:szCs w:val="21"/>
              </w:rPr>
              <w:t>3</w:t>
            </w:r>
            <w:r>
              <w:rPr>
                <w:rFonts w:ascii="宋体" w:hAnsi="宋体" w:cs="宋体" w:eastAsia="宋体" w:hint="default"/>
                <w:spacing w:val="-6"/>
                <w:w w:val="100"/>
                <w:sz w:val="21"/>
                <w:szCs w:val="21"/>
              </w:rPr>
              <w:t>）每一个</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行权期前一会计年度加权平均净资产收益率不低于</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。期权成本在经常性损益中列支。</w:t>
            </w:r>
          </w:p>
        </w:tc>
        <w:tc>
          <w:tcPr>
            <w:tcW w:w="4930" w:type="dxa"/>
            <w:tcBorders>
              <w:top w:val="nil" w:sz="6" w:space="0" w:color="auto"/>
              <w:left w:val="single" w:sz="4" w:space="0" w:color="000000"/>
              <w:bottom w:val="single" w:sz="12" w:space="0" w:color="000000"/>
              <w:right w:val="nil" w:sz="6" w:space="0" w:color="auto"/>
            </w:tcBorders>
          </w:tcPr>
          <w:p>
            <w:pPr>
              <w:pStyle w:val="TableParagraph"/>
              <w:spacing w:line="228" w:lineRule="auto" w:before="51"/>
              <w:ind w:left="105" w:right="96"/>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）以</w:t>
            </w:r>
            <w:r>
              <w:rPr>
                <w:rFonts w:ascii="Times New Roman" w:hAnsi="Times New Roman" w:cs="Times New Roman" w:eastAsia="Times New Roman" w:hint="default"/>
                <w:spacing w:val="-2"/>
                <w:sz w:val="21"/>
                <w:szCs w:val="21"/>
              </w:rPr>
              <w:t>2008</w:t>
            </w:r>
            <w:r>
              <w:rPr>
                <w:rFonts w:ascii="宋体" w:hAnsi="宋体" w:cs="宋体" w:eastAsia="宋体" w:hint="default"/>
                <w:spacing w:val="-2"/>
                <w:sz w:val="21"/>
                <w:szCs w:val="21"/>
              </w:rPr>
              <w:t>年为基数，</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年度归属于母</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公司股东的扣除非经常性损益的净利润复合增长率</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w w:val="100"/>
                <w:sz w:val="21"/>
                <w:szCs w:val="21"/>
              </w:rPr>
              <w:t>为</w:t>
            </w:r>
            <w:r>
              <w:rPr>
                <w:rFonts w:ascii="Times New Roman" w:hAnsi="Times New Roman" w:cs="Times New Roman" w:eastAsia="Times New Roman" w:hint="default"/>
                <w:spacing w:val="-3"/>
                <w:w w:val="100"/>
                <w:sz w:val="21"/>
                <w:szCs w:val="21"/>
              </w:rPr>
              <w:t>21.96%</w:t>
            </w:r>
            <w:r>
              <w:rPr>
                <w:rFonts w:ascii="宋体" w:hAnsi="宋体" w:cs="宋体" w:eastAsia="宋体" w:hint="default"/>
                <w:spacing w:val="-3"/>
                <w:w w:val="100"/>
                <w:sz w:val="21"/>
                <w:szCs w:val="21"/>
              </w:rPr>
              <w:t>；（</w:t>
            </w:r>
            <w:r>
              <w:rPr>
                <w:rFonts w:ascii="Times New Roman" w:hAnsi="Times New Roman" w:cs="Times New Roman" w:eastAsia="Times New Roman" w:hint="default"/>
                <w:spacing w:val="-3"/>
                <w:w w:val="100"/>
                <w:sz w:val="21"/>
                <w:szCs w:val="21"/>
              </w:rPr>
              <w:t>2</w:t>
            </w:r>
            <w:r>
              <w:rPr>
                <w:rFonts w:ascii="宋体" w:hAnsi="宋体" w:cs="宋体" w:eastAsia="宋体" w:hint="default"/>
                <w:spacing w:val="-3"/>
                <w:w w:val="100"/>
                <w:sz w:val="21"/>
                <w:szCs w:val="21"/>
              </w:rPr>
              <w:t>）授权日前最近三个会计年度（</w:t>
            </w:r>
            <w:r>
              <w:rPr>
                <w:rFonts w:ascii="Times New Roman" w:hAnsi="Times New Roman" w:cs="Times New Roman" w:eastAsia="Times New Roman" w:hint="default"/>
                <w:spacing w:val="-3"/>
                <w:w w:val="100"/>
                <w:sz w:val="21"/>
                <w:szCs w:val="21"/>
              </w:rPr>
              <w:t>2007</w:t>
            </w:r>
            <w:r>
              <w:rPr>
                <w:rFonts w:ascii="Times New Roman" w:hAnsi="Times New Roman" w:cs="Times New Roman" w:eastAsia="Times New Roman" w:hint="default"/>
                <w:spacing w:val="-35"/>
                <w:w w:val="100"/>
                <w:sz w:val="21"/>
                <w:szCs w:val="21"/>
              </w:rPr>
              <w:t> </w:t>
            </w:r>
            <w:r>
              <w:rPr>
                <w:rFonts w:ascii="Times New Roman" w:hAnsi="Times New Roman" w:cs="Times New Roman" w:eastAsia="Times New Roman" w:hint="default"/>
                <w:spacing w:val="-35"/>
                <w:w w:val="100"/>
                <w:sz w:val="21"/>
                <w:szCs w:val="21"/>
              </w:rPr>
            </w:r>
            <w:r>
              <w:rPr>
                <w:rFonts w:ascii="宋体" w:hAnsi="宋体" w:cs="宋体" w:eastAsia="宋体" w:hint="default"/>
                <w:sz w:val="21"/>
                <w:szCs w:val="21"/>
              </w:rPr>
              <w:t>年、</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2009</w:t>
            </w:r>
            <w:r>
              <w:rPr>
                <w:rFonts w:ascii="宋体" w:hAnsi="宋体" w:cs="宋体" w:eastAsia="宋体" w:hint="default"/>
                <w:sz w:val="21"/>
                <w:szCs w:val="21"/>
              </w:rPr>
              <w:t>年）的归属于母公司股东的平均</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净利润为</w:t>
            </w:r>
            <w:r>
              <w:rPr>
                <w:rFonts w:ascii="Times New Roman" w:hAnsi="Times New Roman" w:cs="Times New Roman" w:eastAsia="Times New Roman" w:hint="default"/>
                <w:sz w:val="21"/>
                <w:szCs w:val="21"/>
              </w:rPr>
              <w:t>125,047,814.01</w:t>
            </w:r>
            <w:r>
              <w:rPr>
                <w:rFonts w:ascii="宋体" w:hAnsi="宋体" w:cs="宋体" w:eastAsia="宋体" w:hint="default"/>
                <w:sz w:val="21"/>
                <w:szCs w:val="21"/>
              </w:rPr>
              <w:t>，授权日前最近三个会计年</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度的归属于母公司股东的扣除非经常性损益的平均</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净利润为</w:t>
            </w:r>
            <w:r>
              <w:rPr>
                <w:rFonts w:ascii="Times New Roman" w:hAnsi="Times New Roman" w:cs="Times New Roman" w:eastAsia="Times New Roman" w:hint="default"/>
                <w:sz w:val="21"/>
                <w:szCs w:val="21"/>
              </w:rPr>
              <w:t>121,908,354.60</w:t>
            </w:r>
            <w:r>
              <w:rPr>
                <w:rFonts w:ascii="宋体" w:hAnsi="宋体" w:cs="宋体" w:eastAsia="宋体" w:hint="default"/>
                <w:sz w:val="21"/>
                <w:szCs w:val="21"/>
              </w:rPr>
              <w:t>，股票期权等待期</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w:t>
            </w:r>
            <w:r>
              <w:rPr>
                <w:rFonts w:ascii="宋体" w:hAnsi="宋体" w:cs="宋体" w:eastAsia="宋体" w:hint="default"/>
                <w:spacing w:val="-65"/>
                <w:sz w:val="21"/>
                <w:szCs w:val="21"/>
              </w:rPr>
              <w:t> </w:t>
            </w:r>
            <w:r>
              <w:rPr>
                <w:rFonts w:ascii="宋体" w:hAnsi="宋体" w:cs="宋体" w:eastAsia="宋体" w:hint="default"/>
                <w:spacing w:val="2"/>
                <w:sz w:val="21"/>
                <w:szCs w:val="21"/>
              </w:rPr>
              <w:t>归属于母公司股东的净利润、归属于母公司股东的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扣除非经常性损益的净利润分别为</w:t>
            </w:r>
            <w:r>
              <w:rPr>
                <w:rFonts w:ascii="Times New Roman" w:hAnsi="Times New Roman" w:cs="Times New Roman" w:eastAsia="Times New Roman" w:hint="default"/>
                <w:sz w:val="21"/>
                <w:szCs w:val="21"/>
              </w:rPr>
              <w:t>213,897,872.25</w:t>
            </w:r>
            <w:r>
              <w:rPr>
                <w:rFonts w:ascii="宋体" w:hAnsi="宋体" w:cs="宋体" w:eastAsia="宋体" w:hint="default"/>
                <w:sz w:val="21"/>
                <w:szCs w:val="21"/>
              </w:rPr>
              <w:t>、</w:t>
            </w:r>
            <w:r>
              <w:rPr>
                <w:rFonts w:ascii="宋体" w:hAnsi="宋体" w:cs="宋体" w:eastAsia="宋体" w:hint="default"/>
                <w:spacing w:val="-68"/>
                <w:sz w:val="21"/>
                <w:szCs w:val="21"/>
              </w:rPr>
              <w:t> </w:t>
            </w:r>
            <w:r>
              <w:rPr>
                <w:rFonts w:ascii="Times New Roman" w:hAnsi="Times New Roman" w:cs="Times New Roman" w:eastAsia="Times New Roman" w:hint="default"/>
                <w:spacing w:val="5"/>
                <w:sz w:val="21"/>
                <w:szCs w:val="21"/>
              </w:rPr>
              <w:t>211,495,240.62,</w:t>
            </w:r>
            <w:r>
              <w:rPr>
                <w:rFonts w:ascii="宋体" w:hAnsi="宋体" w:cs="宋体" w:eastAsia="宋体" w:hint="default"/>
                <w:spacing w:val="5"/>
                <w:sz w:val="21"/>
                <w:szCs w:val="21"/>
              </w:rPr>
              <w:t>均高于授权日前最近三个会计年度</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2"/>
                <w:w w:val="100"/>
                <w:sz w:val="21"/>
                <w:szCs w:val="21"/>
              </w:rPr>
              <w:t>的平均水平且不为负；（</w:t>
            </w:r>
            <w:r>
              <w:rPr>
                <w:rFonts w:ascii="Times New Roman" w:hAnsi="Times New Roman" w:cs="Times New Roman" w:eastAsia="Times New Roman" w:hint="default"/>
                <w:spacing w:val="-2"/>
                <w:w w:val="100"/>
                <w:sz w:val="21"/>
                <w:szCs w:val="21"/>
              </w:rPr>
              <w:t>3</w:t>
            </w:r>
            <w:r>
              <w:rPr>
                <w:rFonts w:ascii="宋体" w:hAnsi="宋体" w:cs="宋体" w:eastAsia="宋体" w:hint="default"/>
                <w:spacing w:val="-2"/>
                <w:w w:val="100"/>
                <w:sz w:val="21"/>
                <w:szCs w:val="21"/>
              </w:rPr>
              <w:t>）第一个行权期前一会计</w:t>
            </w:r>
            <w:r>
              <w:rPr>
                <w:rFonts w:ascii="宋体" w:hAnsi="宋体" w:cs="宋体" w:eastAsia="宋体" w:hint="default"/>
                <w:spacing w:val="2"/>
                <w:w w:val="100"/>
                <w:sz w:val="21"/>
                <w:szCs w:val="21"/>
              </w:rPr>
              <w:t> </w:t>
            </w:r>
            <w:r>
              <w:rPr>
                <w:rFonts w:ascii="宋体" w:hAnsi="宋体" w:cs="宋体" w:eastAsia="宋体" w:hint="default"/>
                <w:sz w:val="21"/>
                <w:szCs w:val="21"/>
              </w:rPr>
              <w:t>年度</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年度加权平均净资产收益率为</w:t>
            </w:r>
            <w:r>
              <w:rPr>
                <w:rFonts w:ascii="Times New Roman" w:hAnsi="Times New Roman" w:cs="Times New Roman" w:eastAsia="Times New Roman" w:hint="default"/>
                <w:sz w:val="21"/>
                <w:szCs w:val="21"/>
              </w:rPr>
              <w:t>27.05%</w:t>
            </w:r>
            <w:r>
              <w:rPr>
                <w:rFonts w:ascii="宋体" w:hAnsi="宋体" w:cs="宋体" w:eastAsia="宋体" w:hint="default"/>
                <w:sz w:val="21"/>
                <w:szCs w:val="21"/>
              </w:rPr>
              <w:t>，高</w:t>
            </w:r>
            <w:r>
              <w:rPr>
                <w:rFonts w:ascii="宋体" w:hAnsi="宋体" w:cs="宋体" w:eastAsia="宋体" w:hint="default"/>
                <w:spacing w:val="-33"/>
                <w:sz w:val="21"/>
                <w:szCs w:val="21"/>
              </w:rPr>
              <w:t> </w:t>
            </w:r>
            <w:r>
              <w:rPr>
                <w:rFonts w:ascii="宋体" w:hAnsi="宋体" w:cs="宋体" w:eastAsia="宋体" w:hint="default"/>
                <w:spacing w:val="-5"/>
                <w:sz w:val="21"/>
                <w:szCs w:val="21"/>
              </w:rPr>
              <w:t>于</w:t>
            </w:r>
            <w:r>
              <w:rPr>
                <w:rFonts w:ascii="Times New Roman" w:hAnsi="Times New Roman" w:cs="Times New Roman" w:eastAsia="Times New Roman" w:hint="default"/>
                <w:spacing w:val="-5"/>
                <w:sz w:val="21"/>
                <w:szCs w:val="21"/>
              </w:rPr>
              <w:t>15%</w:t>
            </w:r>
            <w:r>
              <w:rPr>
                <w:rFonts w:ascii="宋体" w:hAnsi="宋体" w:cs="宋体" w:eastAsia="宋体" w:hint="default"/>
                <w:spacing w:val="-5"/>
                <w:sz w:val="21"/>
                <w:szCs w:val="21"/>
              </w:rPr>
              <w:t>，且期权成本在经常损益中列支。满足行权条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件。</w:t>
            </w:r>
          </w:p>
        </w:tc>
      </w:tr>
    </w:tbl>
    <w:p>
      <w:pPr>
        <w:spacing w:line="240" w:lineRule="auto" w:before="8"/>
        <w:rPr>
          <w:rFonts w:ascii="宋体" w:hAnsi="宋体" w:cs="宋体" w:eastAsia="宋体" w:hint="default"/>
          <w:sz w:val="10"/>
          <w:szCs w:val="10"/>
        </w:rPr>
      </w:pPr>
    </w:p>
    <w:p>
      <w:pPr>
        <w:pStyle w:val="BodyText"/>
        <w:spacing w:line="240" w:lineRule="auto" w:before="36"/>
        <w:ind w:left="657" w:right="0"/>
        <w:jc w:val="left"/>
      </w:pPr>
      <w:r>
        <w:rPr/>
        <w:t>三、股票期权行权股票来源、第一个行权期可行权激励对象、可行权股票期权数量及行权价格</w:t>
      </w:r>
    </w:p>
    <w:p>
      <w:pPr>
        <w:spacing w:line="240" w:lineRule="auto" w:before="9"/>
        <w:rPr>
          <w:rFonts w:ascii="宋体" w:hAnsi="宋体" w:cs="宋体" w:eastAsia="宋体" w:hint="default"/>
          <w:sz w:val="15"/>
          <w:szCs w:val="15"/>
        </w:rPr>
      </w:pPr>
    </w:p>
    <w:p>
      <w:pPr>
        <w:pStyle w:val="BodyText"/>
        <w:spacing w:line="240" w:lineRule="auto"/>
        <w:ind w:left="657" w:right="0"/>
        <w:jc w:val="left"/>
      </w:pPr>
      <w:r>
        <w:rPr>
          <w:rFonts w:ascii="Times New Roman" w:hAnsi="Times New Roman" w:cs="Times New Roman" w:eastAsia="Times New Roman" w:hint="default"/>
        </w:rPr>
        <w:t>1</w:t>
      </w:r>
      <w:r>
        <w:rPr/>
        <w:t>、股票期权行权股票来源：向激励对象定向增发</w:t>
      </w:r>
    </w:p>
    <w:p>
      <w:pPr>
        <w:pStyle w:val="BodyText"/>
        <w:spacing w:line="240" w:lineRule="auto" w:before="189"/>
        <w:ind w:left="657" w:right="0"/>
        <w:jc w:val="left"/>
      </w:pPr>
      <w:r>
        <w:rPr>
          <w:rFonts w:ascii="Times New Roman" w:hAnsi="Times New Roman" w:cs="Times New Roman" w:eastAsia="Times New Roman" w:hint="default"/>
        </w:rPr>
        <w:t>2</w:t>
      </w:r>
      <w:r>
        <w:rPr/>
        <w:t>、第一个行权期可行权激励对象及可行权股票期权数量</w:t>
      </w:r>
    </w:p>
    <w:tbl>
      <w:tblPr>
        <w:tblW w:w="0" w:type="auto"/>
        <w:jc w:val="left"/>
        <w:tblInd w:w="110" w:type="dxa"/>
        <w:tblLayout w:type="fixed"/>
        <w:tblCellMar>
          <w:top w:w="0" w:type="dxa"/>
          <w:left w:w="0" w:type="dxa"/>
          <w:bottom w:w="0" w:type="dxa"/>
          <w:right w:w="0" w:type="dxa"/>
        </w:tblCellMar>
        <w:tblLook w:val="01E0"/>
      </w:tblPr>
      <w:tblGrid>
        <w:gridCol w:w="1080"/>
        <w:gridCol w:w="1378"/>
        <w:gridCol w:w="2988"/>
        <w:gridCol w:w="1409"/>
        <w:gridCol w:w="1222"/>
        <w:gridCol w:w="1793"/>
      </w:tblGrid>
      <w:tr>
        <w:trPr>
          <w:trHeight w:val="979" w:hRule="exact"/>
        </w:trPr>
        <w:tc>
          <w:tcPr>
            <w:tcW w:w="1080"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336"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3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9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7"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409" w:type="dxa"/>
            <w:tcBorders>
              <w:top w:val="single" w:sz="12" w:space="0" w:color="000000"/>
              <w:left w:val="single" w:sz="4" w:space="0" w:color="000000"/>
              <w:bottom w:val="single" w:sz="4" w:space="0" w:color="000000"/>
              <w:right w:val="single" w:sz="4" w:space="0" w:color="000000"/>
            </w:tcBorders>
          </w:tcPr>
          <w:p>
            <w:pPr>
              <w:pStyle w:val="TableParagraph"/>
              <w:spacing w:line="480" w:lineRule="exact" w:before="36"/>
              <w:ind w:left="280" w:right="168" w:hanging="106"/>
              <w:jc w:val="left"/>
              <w:rPr>
                <w:rFonts w:ascii="宋体" w:hAnsi="宋体" w:cs="宋体" w:eastAsia="宋体" w:hint="default"/>
                <w:sz w:val="21"/>
                <w:szCs w:val="21"/>
              </w:rPr>
            </w:pPr>
            <w:r>
              <w:rPr>
                <w:rFonts w:ascii="宋体" w:hAnsi="宋体" w:cs="宋体" w:eastAsia="宋体" w:hint="default"/>
                <w:sz w:val="21"/>
                <w:szCs w:val="21"/>
              </w:rPr>
              <w:t>股票期权数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量（份）</w:t>
            </w:r>
          </w:p>
        </w:tc>
        <w:tc>
          <w:tcPr>
            <w:tcW w:w="1222" w:type="dxa"/>
            <w:tcBorders>
              <w:top w:val="single" w:sz="12" w:space="0" w:color="000000"/>
              <w:left w:val="single" w:sz="4" w:space="0" w:color="000000"/>
              <w:bottom w:val="single" w:sz="4" w:space="0" w:color="000000"/>
              <w:right w:val="single" w:sz="4" w:space="0" w:color="000000"/>
            </w:tcBorders>
          </w:tcPr>
          <w:p>
            <w:pPr>
              <w:pStyle w:val="TableParagraph"/>
              <w:spacing w:line="480" w:lineRule="exact" w:before="36"/>
              <w:ind w:left="290" w:right="182" w:hanging="106"/>
              <w:jc w:val="left"/>
              <w:rPr>
                <w:rFonts w:ascii="宋体" w:hAnsi="宋体" w:cs="宋体" w:eastAsia="宋体" w:hint="default"/>
                <w:sz w:val="21"/>
                <w:szCs w:val="21"/>
              </w:rPr>
            </w:pPr>
            <w:r>
              <w:rPr>
                <w:rFonts w:ascii="宋体" w:hAnsi="宋体" w:cs="宋体" w:eastAsia="宋体" w:hint="default"/>
                <w:sz w:val="21"/>
                <w:szCs w:val="21"/>
              </w:rPr>
              <w:t>占授予总</w:t>
            </w:r>
            <w:r>
              <w:rPr>
                <w:rFonts w:ascii="宋体" w:hAnsi="宋体" w:cs="宋体" w:eastAsia="宋体" w:hint="default"/>
                <w:w w:val="100"/>
                <w:sz w:val="21"/>
                <w:szCs w:val="21"/>
              </w:rPr>
              <w:t> </w:t>
            </w:r>
            <w:r>
              <w:rPr>
                <w:rFonts w:ascii="宋体" w:hAnsi="宋体" w:cs="宋体" w:eastAsia="宋体" w:hint="default"/>
                <w:sz w:val="21"/>
                <w:szCs w:val="21"/>
              </w:rPr>
              <w:t>量比例</w:t>
            </w:r>
          </w:p>
        </w:tc>
        <w:tc>
          <w:tcPr>
            <w:tcW w:w="1793" w:type="dxa"/>
            <w:tcBorders>
              <w:top w:val="single" w:sz="12" w:space="0" w:color="000000"/>
              <w:left w:val="single" w:sz="4" w:space="0" w:color="000000"/>
              <w:bottom w:val="single" w:sz="4" w:space="0" w:color="000000"/>
              <w:right w:val="nil" w:sz="6" w:space="0" w:color="auto"/>
            </w:tcBorders>
          </w:tcPr>
          <w:p>
            <w:pPr>
              <w:pStyle w:val="TableParagraph"/>
              <w:spacing w:line="480" w:lineRule="exact" w:before="36"/>
              <w:ind w:left="784" w:right="156" w:hanging="629"/>
              <w:jc w:val="left"/>
              <w:rPr>
                <w:rFonts w:ascii="宋体" w:hAnsi="宋体" w:cs="宋体" w:eastAsia="宋体" w:hint="default"/>
                <w:sz w:val="21"/>
                <w:szCs w:val="21"/>
              </w:rPr>
            </w:pPr>
            <w:r>
              <w:rPr>
                <w:rFonts w:ascii="宋体" w:hAnsi="宋体" w:cs="宋体" w:eastAsia="宋体" w:hint="default"/>
                <w:sz w:val="21"/>
                <w:szCs w:val="21"/>
              </w:rPr>
              <w:t>本次可行权的数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量</w:t>
            </w:r>
          </w:p>
        </w:tc>
      </w:tr>
      <w:tr>
        <w:trPr>
          <w:trHeight w:val="600" w:hRule="exact"/>
        </w:trPr>
        <w:tc>
          <w:tcPr>
            <w:tcW w:w="1080"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w w:val="100"/>
                <w:sz w:val="21"/>
              </w:rPr>
              <w:t>1</w:t>
            </w:r>
          </w:p>
        </w:tc>
        <w:tc>
          <w:tcPr>
            <w:tcW w:w="13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5"/>
              <w:ind w:left="105" w:right="0"/>
              <w:jc w:val="left"/>
              <w:rPr>
                <w:rFonts w:ascii="宋体" w:hAnsi="宋体" w:cs="宋体" w:eastAsia="宋体" w:hint="default"/>
                <w:sz w:val="21"/>
                <w:szCs w:val="21"/>
              </w:rPr>
            </w:pPr>
            <w:r>
              <w:rPr>
                <w:rFonts w:ascii="宋体" w:hAnsi="宋体" w:cs="宋体" w:eastAsia="宋体" w:hint="default"/>
                <w:sz w:val="21"/>
                <w:szCs w:val="21"/>
              </w:rPr>
              <w:t>罗志明</w:t>
            </w:r>
          </w:p>
        </w:tc>
        <w:tc>
          <w:tcPr>
            <w:tcW w:w="29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5"/>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4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193,200</w:t>
            </w:r>
          </w:p>
        </w:tc>
        <w:tc>
          <w:tcPr>
            <w:tcW w:w="12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8.61%</w:t>
            </w:r>
          </w:p>
        </w:tc>
        <w:tc>
          <w:tcPr>
            <w:tcW w:w="1793"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57,960</w:t>
            </w:r>
          </w:p>
        </w:tc>
      </w:tr>
      <w:tr>
        <w:trPr>
          <w:trHeight w:val="480" w:hRule="exact"/>
        </w:trPr>
        <w:tc>
          <w:tcPr>
            <w:tcW w:w="1080" w:type="dxa"/>
            <w:tcBorders>
              <w:top w:val="nil" w:sz="6" w:space="0" w:color="auto"/>
              <w:left w:val="nil" w:sz="6" w:space="0" w:color="auto"/>
              <w:bottom w:val="nil" w:sz="6" w:space="0" w:color="auto"/>
              <w:right w:val="single" w:sz="4" w:space="0" w:color="000000"/>
            </w:tcBorders>
          </w:tcPr>
          <w:p>
            <w:pPr>
              <w:pStyle w:val="TableParagraph"/>
              <w:spacing w:line="240" w:lineRule="auto" w:before="119"/>
              <w:ind w:left="122" w:right="0"/>
              <w:jc w:val="left"/>
              <w:rPr>
                <w:rFonts w:ascii="Times New Roman" w:hAnsi="Times New Roman" w:cs="Times New Roman" w:eastAsia="Times New Roman" w:hint="default"/>
                <w:sz w:val="21"/>
                <w:szCs w:val="21"/>
              </w:rPr>
            </w:pPr>
            <w:r>
              <w:rPr>
                <w:rFonts w:ascii="Times New Roman"/>
                <w:w w:val="100"/>
                <w:sz w:val="21"/>
              </w:rPr>
              <w:t>2</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105" w:right="0"/>
              <w:jc w:val="left"/>
              <w:rPr>
                <w:rFonts w:ascii="宋体" w:hAnsi="宋体" w:cs="宋体" w:eastAsia="宋体" w:hint="default"/>
                <w:sz w:val="21"/>
                <w:szCs w:val="21"/>
              </w:rPr>
            </w:pPr>
            <w:r>
              <w:rPr>
                <w:rFonts w:ascii="宋体" w:hAnsi="宋体" w:cs="宋体" w:eastAsia="宋体" w:hint="default"/>
                <w:sz w:val="21"/>
                <w:szCs w:val="21"/>
              </w:rPr>
              <w:t>郭</w:t>
            </w:r>
            <w:r>
              <w:rPr>
                <w:rFonts w:ascii="宋体" w:hAnsi="宋体" w:cs="宋体" w:eastAsia="宋体" w:hint="default"/>
                <w:spacing w:val="2"/>
                <w:sz w:val="21"/>
                <w:szCs w:val="21"/>
              </w:rPr>
              <w:t> </w:t>
            </w:r>
            <w:r>
              <w:rPr>
                <w:rFonts w:ascii="宋体" w:hAnsi="宋体" w:cs="宋体" w:eastAsia="宋体" w:hint="default"/>
                <w:sz w:val="21"/>
                <w:szCs w:val="21"/>
              </w:rPr>
              <w:t>洁</w:t>
            </w:r>
          </w:p>
        </w:tc>
        <w:tc>
          <w:tcPr>
            <w:tcW w:w="2988"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105"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z w:val="21"/>
              </w:rPr>
              <w:t>16,560</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21"/>
                <w:szCs w:val="21"/>
              </w:rPr>
            </w:pPr>
            <w:r>
              <w:rPr>
                <w:rFonts w:ascii="Times New Roman"/>
                <w:sz w:val="21"/>
              </w:rPr>
              <w:t>0.74%</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sz w:val="21"/>
              </w:rPr>
              <w:t>16,560</w:t>
            </w:r>
          </w:p>
        </w:tc>
      </w:tr>
      <w:tr>
        <w:trPr>
          <w:trHeight w:val="370" w:hRule="exact"/>
        </w:trPr>
        <w:tc>
          <w:tcPr>
            <w:tcW w:w="1080" w:type="dxa"/>
            <w:tcBorders>
              <w:top w:val="nil" w:sz="6" w:space="0" w:color="auto"/>
              <w:left w:val="nil" w:sz="6" w:space="0" w:color="auto"/>
              <w:bottom w:val="single" w:sz="4" w:space="0" w:color="000000"/>
              <w:right w:val="single" w:sz="4" w:space="0" w:color="000000"/>
            </w:tcBorders>
          </w:tcPr>
          <w:p>
            <w:pPr>
              <w:pStyle w:val="TableParagraph"/>
              <w:spacing w:line="240" w:lineRule="auto" w:before="119"/>
              <w:ind w:left="122" w:right="0"/>
              <w:jc w:val="left"/>
              <w:rPr>
                <w:rFonts w:ascii="Times New Roman" w:hAnsi="Times New Roman" w:cs="Times New Roman" w:eastAsia="Times New Roman" w:hint="default"/>
                <w:sz w:val="21"/>
                <w:szCs w:val="21"/>
              </w:rPr>
            </w:pPr>
            <w:r>
              <w:rPr>
                <w:rFonts w:ascii="Times New Roman"/>
                <w:w w:val="100"/>
                <w:sz w:val="21"/>
              </w:rPr>
              <w:t>3</w:t>
            </w:r>
          </w:p>
        </w:tc>
        <w:tc>
          <w:tcPr>
            <w:tcW w:w="13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宋体" w:hAnsi="宋体" w:cs="宋体" w:eastAsia="宋体" w:hint="default"/>
                <w:sz w:val="21"/>
                <w:szCs w:val="21"/>
              </w:rPr>
            </w:pPr>
            <w:r>
              <w:rPr>
                <w:rFonts w:ascii="宋体" w:hAnsi="宋体" w:cs="宋体" w:eastAsia="宋体" w:hint="default"/>
                <w:sz w:val="21"/>
                <w:szCs w:val="21"/>
              </w:rPr>
              <w:t>王敏敏</w:t>
            </w:r>
          </w:p>
        </w:tc>
        <w:tc>
          <w:tcPr>
            <w:tcW w:w="29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4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z w:val="21"/>
              </w:rPr>
              <w:t>82,800</w:t>
            </w:r>
          </w:p>
        </w:tc>
        <w:tc>
          <w:tcPr>
            <w:tcW w:w="12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21"/>
                <w:szCs w:val="21"/>
              </w:rPr>
            </w:pPr>
            <w:r>
              <w:rPr>
                <w:rFonts w:ascii="Times New Roman"/>
                <w:sz w:val="21"/>
              </w:rPr>
              <w:t>3.69%</w:t>
            </w:r>
          </w:p>
        </w:tc>
        <w:tc>
          <w:tcPr>
            <w:tcW w:w="1793" w:type="dxa"/>
            <w:tcBorders>
              <w:top w:val="nil" w:sz="6" w:space="0" w:color="auto"/>
              <w:left w:val="single" w:sz="4" w:space="0" w:color="000000"/>
              <w:bottom w:val="single" w:sz="4" w:space="0" w:color="000000"/>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sz w:val="21"/>
              </w:rPr>
              <w:t>24,840</w:t>
            </w:r>
          </w:p>
        </w:tc>
      </w:tr>
      <w:tr>
        <w:trPr>
          <w:trHeight w:val="492" w:hRule="exact"/>
        </w:trPr>
        <w:tc>
          <w:tcPr>
            <w:tcW w:w="5446"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中层管理人员及核心技术（业务）人员（共</w:t>
            </w:r>
            <w:r>
              <w:rPr>
                <w:rFonts w:ascii="Times New Roman" w:hAnsi="Times New Roman" w:cs="Times New Roman" w:eastAsia="Times New Roman" w:hint="default"/>
                <w:sz w:val="21"/>
                <w:szCs w:val="21"/>
              </w:rPr>
              <w:t>78</w:t>
            </w:r>
            <w:r>
              <w:rPr>
                <w:rFonts w:ascii="宋体" w:hAnsi="宋体" w:cs="宋体" w:eastAsia="宋体" w:hint="default"/>
                <w:sz w:val="21"/>
                <w:szCs w:val="21"/>
              </w:rPr>
              <w:t>人）</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1,951,320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86.96%</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588,294</w:t>
            </w:r>
          </w:p>
        </w:tc>
      </w:tr>
      <w:tr>
        <w:trPr>
          <w:trHeight w:val="499" w:hRule="exact"/>
        </w:trPr>
        <w:tc>
          <w:tcPr>
            <w:tcW w:w="5446" w:type="dxa"/>
            <w:gridSpan w:val="3"/>
            <w:tcBorders>
              <w:top w:val="single" w:sz="4" w:space="0" w:color="000000"/>
              <w:left w:val="nil" w:sz="6" w:space="0" w:color="auto"/>
              <w:bottom w:val="single" w:sz="12" w:space="0" w:color="000000"/>
              <w:right w:val="single" w:sz="4"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2,243,880</w:t>
            </w:r>
          </w:p>
        </w:tc>
        <w:tc>
          <w:tcPr>
            <w:tcW w:w="12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w:t>
            </w:r>
          </w:p>
        </w:tc>
        <w:tc>
          <w:tcPr>
            <w:tcW w:w="17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687,654</w:t>
            </w:r>
          </w:p>
        </w:tc>
      </w:tr>
    </w:tbl>
    <w:p>
      <w:pPr>
        <w:spacing w:line="240" w:lineRule="auto" w:before="9"/>
        <w:rPr>
          <w:rFonts w:ascii="宋体" w:hAnsi="宋体" w:cs="宋体" w:eastAsia="宋体" w:hint="default"/>
          <w:sz w:val="11"/>
          <w:szCs w:val="11"/>
        </w:rPr>
      </w:pPr>
    </w:p>
    <w:p>
      <w:pPr>
        <w:pStyle w:val="BodyText"/>
        <w:spacing w:line="412" w:lineRule="auto" w:before="36"/>
        <w:ind w:left="232" w:right="207" w:firstLine="419"/>
        <w:jc w:val="both"/>
      </w:pPr>
      <w:r>
        <w:rPr/>
        <w:t>注：公司原董事、董事会秘书郭洁于</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日辞去其在公司担任的所有职务。根据公司《股</w:t>
      </w:r>
      <w:r>
        <w:rPr>
          <w:w w:val="100"/>
        </w:rPr>
        <w:t> </w:t>
      </w:r>
      <w:r>
        <w:rPr>
          <w:spacing w:val="-2"/>
        </w:rPr>
        <w:t>票期权激励计划（草案）修订案》的规定，激励对象辞职离开公司的，其已满足行权条件的股票期权不受</w:t>
      </w:r>
      <w:r>
        <w:rPr>
          <w:spacing w:val="-43"/>
        </w:rPr>
        <w:t> </w:t>
      </w:r>
      <w:r>
        <w:rPr>
          <w:spacing w:val="-43"/>
        </w:rPr>
      </w:r>
      <w:r>
        <w:rPr>
          <w:spacing w:val="-2"/>
        </w:rPr>
        <w:t>影响，不再享受离职日以后的股票期权激励；因此，郭洁女士属于第一个行权期可行权的激励对象，不再</w:t>
      </w:r>
      <w:r>
        <w:rPr>
          <w:spacing w:val="-50"/>
        </w:rPr>
        <w:t> </w:t>
      </w:r>
      <w:r>
        <w:rPr>
          <w:spacing w:val="-50"/>
        </w:rPr>
      </w:r>
      <w:r>
        <w:rPr/>
        <w:t>享受以后两个行权期的股票期权激励。</w:t>
      </w:r>
    </w:p>
    <w:p>
      <w:pPr>
        <w:pStyle w:val="BodyText"/>
        <w:spacing w:line="240" w:lineRule="auto" w:before="54"/>
        <w:ind w:left="653" w:right="0"/>
        <w:jc w:val="left"/>
      </w:pPr>
      <w:r>
        <w:rPr>
          <w:rFonts w:ascii="Times New Roman" w:hAnsi="Times New Roman" w:cs="Times New Roman" w:eastAsia="Times New Roman" w:hint="default"/>
        </w:rPr>
        <w:t>3</w:t>
      </w:r>
      <w:r>
        <w:rPr/>
        <w:t>、本次可行权股票的行权价格：</w:t>
      </w:r>
      <w:r>
        <w:rPr>
          <w:rFonts w:ascii="Times New Roman" w:hAnsi="Times New Roman" w:cs="Times New Roman" w:eastAsia="Times New Roman" w:hint="default"/>
        </w:rPr>
        <w:t>32.32</w:t>
      </w:r>
      <w:r>
        <w:rPr>
          <w:rFonts w:ascii="Times New Roman" w:hAnsi="Times New Roman" w:cs="Times New Roman" w:eastAsia="Times New Roman" w:hint="default"/>
          <w:spacing w:val="-2"/>
        </w:rPr>
        <w:t> </w:t>
      </w:r>
      <w:r>
        <w:rPr>
          <w:spacing w:val="-3"/>
        </w:rPr>
        <w:t>元。</w:t>
      </w:r>
      <w:r>
        <w:rPr/>
      </w:r>
    </w:p>
    <w:p>
      <w:pPr>
        <w:pStyle w:val="BodyText"/>
        <w:spacing w:line="240" w:lineRule="auto" w:before="189"/>
        <w:ind w:left="653" w:right="0"/>
        <w:jc w:val="left"/>
      </w:pPr>
      <w:r>
        <w:rPr>
          <w:rFonts w:ascii="Times New Roman" w:hAnsi="Times New Roman" w:cs="Times New Roman" w:eastAsia="Times New Roman" w:hint="default"/>
        </w:rPr>
        <w:t>4</w:t>
      </w:r>
      <w:r>
        <w:rPr/>
        <w:t>、本次股票期权行权期限：</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日起至</w:t>
      </w:r>
      <w:r>
        <w:rPr>
          <w:spacing w:val="-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日止。</w:t>
      </w:r>
    </w:p>
    <w:p>
      <w:pPr>
        <w:pStyle w:val="BodyText"/>
        <w:spacing w:line="240" w:lineRule="auto" w:before="189"/>
        <w:ind w:left="654" w:right="0"/>
        <w:jc w:val="left"/>
      </w:pPr>
      <w:r>
        <w:rPr>
          <w:rFonts w:ascii="Times New Roman" w:hAnsi="Times New Roman" w:cs="Times New Roman" w:eastAsia="Times New Roman" w:hint="default"/>
        </w:rPr>
        <w:t>5</w:t>
      </w:r>
      <w:r>
        <w:rPr/>
        <w:t>、可行权日：可行权日必须为交易日，可行权日为公司定期报告公布后第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个交易日，至下一次定</w:t>
      </w:r>
    </w:p>
    <w:p>
      <w:pPr>
        <w:spacing w:after="0" w:line="240" w:lineRule="auto"/>
        <w:jc w:val="left"/>
        <w:sectPr>
          <w:pgSz w:w="11910" w:h="16840"/>
          <w:pgMar w:header="850" w:footer="979" w:top="1200" w:bottom="1160" w:left="900" w:right="920"/>
        </w:sectPr>
      </w:pPr>
    </w:p>
    <w:p>
      <w:pPr>
        <w:spacing w:line="240" w:lineRule="auto" w:before="10"/>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0"/>
          <w:szCs w:val="10"/>
        </w:rPr>
      </w:pPr>
    </w:p>
    <w:p>
      <w:pPr>
        <w:pStyle w:val="BodyText"/>
        <w:spacing w:line="240" w:lineRule="auto" w:before="36"/>
        <w:ind w:left="232" w:right="0"/>
        <w:jc w:val="both"/>
      </w:pPr>
      <w:r>
        <w:rPr>
          <w:w w:val="100"/>
        </w:rPr>
        <w:t>期报</w:t>
      </w:r>
      <w:r>
        <w:rPr>
          <w:spacing w:val="-3"/>
          <w:w w:val="100"/>
        </w:rPr>
        <w:t>告</w:t>
      </w:r>
      <w:r>
        <w:rPr>
          <w:w w:val="100"/>
        </w:rPr>
        <w:t>公</w:t>
      </w:r>
      <w:r>
        <w:rPr>
          <w:spacing w:val="-3"/>
          <w:w w:val="100"/>
        </w:rPr>
        <w:t>布</w:t>
      </w:r>
      <w:r>
        <w:rPr>
          <w:w w:val="100"/>
        </w:rPr>
        <w:t>前</w:t>
      </w:r>
      <w:r>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个</w:t>
      </w:r>
      <w:r>
        <w:rPr>
          <w:spacing w:val="-3"/>
          <w:w w:val="100"/>
        </w:rPr>
        <w:t>交易</w:t>
      </w:r>
      <w:r>
        <w:rPr>
          <w:w w:val="100"/>
        </w:rPr>
        <w:t>日内</w:t>
      </w:r>
      <w:r>
        <w:rPr>
          <w:spacing w:val="-3"/>
          <w:w w:val="100"/>
        </w:rPr>
        <w:t>行</w:t>
      </w:r>
      <w:r>
        <w:rPr>
          <w:w w:val="100"/>
        </w:rPr>
        <w:t>权</w:t>
      </w:r>
      <w:r>
        <w:rPr>
          <w:spacing w:val="-3"/>
          <w:w w:val="100"/>
        </w:rPr>
        <w:t>，</w:t>
      </w:r>
      <w:r>
        <w:rPr>
          <w:w w:val="100"/>
        </w:rPr>
        <w:t>但</w:t>
      </w:r>
      <w:r>
        <w:rPr>
          <w:spacing w:val="-3"/>
          <w:w w:val="100"/>
        </w:rPr>
        <w:t>不</w:t>
      </w:r>
      <w:r>
        <w:rPr>
          <w:w w:val="100"/>
        </w:rPr>
        <w:t>得</w:t>
      </w:r>
      <w:r>
        <w:rPr>
          <w:spacing w:val="-3"/>
          <w:w w:val="100"/>
        </w:rPr>
        <w:t>在</w:t>
      </w:r>
      <w:r>
        <w:rPr>
          <w:w w:val="100"/>
        </w:rPr>
        <w:t>下</w:t>
      </w:r>
      <w:r>
        <w:rPr>
          <w:spacing w:val="-3"/>
          <w:w w:val="100"/>
        </w:rPr>
        <w:t>列</w:t>
      </w:r>
      <w:r>
        <w:rPr>
          <w:w w:val="100"/>
        </w:rPr>
        <w:t>期间</w:t>
      </w:r>
      <w:r>
        <w:rPr>
          <w:spacing w:val="-3"/>
          <w:w w:val="100"/>
        </w:rPr>
        <w:t>行</w:t>
      </w:r>
      <w:r>
        <w:rPr>
          <w:w w:val="100"/>
        </w:rPr>
        <w:t>权</w:t>
      </w:r>
      <w:r>
        <w:rPr>
          <w:spacing w:val="-108"/>
          <w:w w:val="100"/>
        </w:rPr>
        <w:t>：</w:t>
      </w:r>
      <w:r>
        <w:rPr>
          <w:w w:val="100"/>
        </w:rPr>
        <w:t>（</w:t>
      </w:r>
      <w:r>
        <w:rPr>
          <w:rFonts w:ascii="Times New Roman" w:hAnsi="Times New Roman" w:cs="Times New Roman" w:eastAsia="Times New Roman" w:hint="default"/>
          <w:w w:val="100"/>
        </w:rPr>
        <w:t>1</w:t>
      </w:r>
      <w:r>
        <w:rPr>
          <w:spacing w:val="-3"/>
          <w:w w:val="100"/>
        </w:rPr>
        <w:t>）</w:t>
      </w:r>
      <w:r>
        <w:rPr>
          <w:w w:val="100"/>
        </w:rPr>
        <w:t>重</w:t>
      </w:r>
      <w:r>
        <w:rPr>
          <w:spacing w:val="-3"/>
          <w:w w:val="100"/>
        </w:rPr>
        <w:t>大</w:t>
      </w:r>
      <w:r>
        <w:rPr>
          <w:w w:val="100"/>
        </w:rPr>
        <w:t>交</w:t>
      </w:r>
      <w:r>
        <w:rPr>
          <w:spacing w:val="-3"/>
          <w:w w:val="100"/>
        </w:rPr>
        <w:t>易</w:t>
      </w:r>
      <w:r>
        <w:rPr>
          <w:w w:val="100"/>
        </w:rPr>
        <w:t>或重</w:t>
      </w:r>
      <w:r>
        <w:rPr>
          <w:spacing w:val="-3"/>
          <w:w w:val="100"/>
        </w:rPr>
        <w:t>大</w:t>
      </w:r>
      <w:r>
        <w:rPr>
          <w:w w:val="100"/>
        </w:rPr>
        <w:t>事</w:t>
      </w:r>
      <w:r>
        <w:rPr>
          <w:spacing w:val="-3"/>
          <w:w w:val="100"/>
        </w:rPr>
        <w:t>项</w:t>
      </w:r>
      <w:r>
        <w:rPr>
          <w:w w:val="100"/>
        </w:rPr>
        <w:t>决</w:t>
      </w:r>
      <w:r>
        <w:rPr>
          <w:spacing w:val="-3"/>
          <w:w w:val="100"/>
        </w:rPr>
        <w:t>定</w:t>
      </w:r>
      <w:r>
        <w:rPr>
          <w:w w:val="100"/>
        </w:rPr>
        <w:t>过</w:t>
      </w:r>
      <w:r>
        <w:rPr>
          <w:spacing w:val="-3"/>
          <w:w w:val="100"/>
        </w:rPr>
        <w:t>程</w:t>
      </w:r>
      <w:r>
        <w:rPr>
          <w:w w:val="100"/>
        </w:rPr>
        <w:t>中</w:t>
      </w:r>
      <w:r>
        <w:rPr>
          <w:spacing w:val="-3"/>
          <w:w w:val="100"/>
        </w:rPr>
        <w:t>至</w:t>
      </w:r>
      <w:r>
        <w:rPr>
          <w:w w:val="100"/>
        </w:rPr>
        <w:t>该事</w:t>
      </w:r>
    </w:p>
    <w:p>
      <w:pPr>
        <w:pStyle w:val="BodyText"/>
        <w:spacing w:line="396" w:lineRule="auto" w:before="189"/>
        <w:ind w:left="233" w:right="350" w:hanging="1"/>
        <w:jc w:val="both"/>
      </w:pPr>
      <w:r>
        <w:rPr>
          <w:spacing w:val="-1"/>
          <w:w w:val="100"/>
        </w:rPr>
        <w:t>项公告后</w:t>
      </w:r>
      <w:r>
        <w:rPr>
          <w:spacing w:val="-50"/>
          <w:w w:val="100"/>
        </w:rPr>
        <w:t> </w:t>
      </w:r>
      <w:r>
        <w:rPr>
          <w:rFonts w:ascii="Times New Roman" w:hAnsi="Times New Roman" w:cs="Times New Roman" w:eastAsia="Times New Roman" w:hint="default"/>
          <w:w w:val="100"/>
        </w:rPr>
        <w:t>2 </w:t>
      </w:r>
      <w:r>
        <w:rPr>
          <w:spacing w:val="-6"/>
          <w:w w:val="100"/>
        </w:rPr>
        <w:t>个交易日；（</w:t>
      </w:r>
      <w:r>
        <w:rPr>
          <w:rFonts w:ascii="Times New Roman" w:hAnsi="Times New Roman" w:cs="Times New Roman" w:eastAsia="Times New Roman" w:hint="default"/>
          <w:spacing w:val="-6"/>
          <w:w w:val="100"/>
        </w:rPr>
        <w:t>2</w:t>
      </w:r>
      <w:r>
        <w:rPr>
          <w:spacing w:val="-6"/>
          <w:w w:val="100"/>
        </w:rPr>
        <w:t>）其他可能影响股价的重大事件发生之日起至公告后</w:t>
      </w:r>
      <w:r>
        <w:rPr>
          <w:spacing w:val="-51"/>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 </w:t>
      </w:r>
      <w:r>
        <w:rPr>
          <w:spacing w:val="-2"/>
          <w:w w:val="100"/>
        </w:rPr>
        <w:t>个交易日。</w:t>
      </w:r>
      <w:r>
        <w:rPr>
          <w:spacing w:val="2"/>
          <w:w w:val="100"/>
        </w:rPr>
        <w:t> </w:t>
      </w:r>
      <w:r>
        <w:rPr>
          <w:spacing w:val="-1"/>
          <w:w w:val="100"/>
        </w:rPr>
        <w:t>上述</w:t>
      </w:r>
      <w:r>
        <w:rPr>
          <w:rFonts w:ascii="Times New Roman" w:hAnsi="Times New Roman" w:cs="Times New Roman" w:eastAsia="Times New Roman" w:hint="default"/>
          <w:spacing w:val="-1"/>
          <w:w w:val="100"/>
        </w:rPr>
        <w:t>“</w:t>
      </w:r>
      <w:r>
        <w:rPr>
          <w:spacing w:val="-1"/>
          <w:w w:val="100"/>
        </w:rPr>
        <w:t>重大交</w:t>
      </w:r>
      <w:r>
        <w:rPr>
          <w:w w:val="100"/>
        </w:rPr>
        <w:t> </w:t>
      </w:r>
      <w:r>
        <w:rPr>
          <w:spacing w:val="-3"/>
        </w:rPr>
        <w:t>易</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重大事项</w:t>
      </w:r>
      <w:r>
        <w:rPr>
          <w:rFonts w:ascii="Times New Roman" w:hAnsi="Times New Roman" w:cs="Times New Roman" w:eastAsia="Times New Roman" w:hint="default"/>
          <w:spacing w:val="-3"/>
        </w:rPr>
        <w:t>”</w:t>
      </w:r>
      <w:r>
        <w:rPr>
          <w:spacing w:val="-3"/>
        </w:rPr>
        <w:t>以及</w:t>
      </w:r>
      <w:r>
        <w:rPr>
          <w:rFonts w:ascii="Times New Roman" w:hAnsi="Times New Roman" w:cs="Times New Roman" w:eastAsia="Times New Roman" w:hint="default"/>
          <w:spacing w:val="-3"/>
        </w:rPr>
        <w:t>“</w:t>
      </w:r>
      <w:r>
        <w:rPr>
          <w:spacing w:val="-3"/>
        </w:rPr>
        <w:t>可能影响股价的重大事件</w:t>
      </w:r>
      <w:r>
        <w:rPr>
          <w:rFonts w:ascii="Times New Roman" w:hAnsi="Times New Roman" w:cs="Times New Roman" w:eastAsia="Times New Roman" w:hint="default"/>
          <w:spacing w:val="-3"/>
        </w:rPr>
        <w:t>”</w:t>
      </w:r>
      <w:r>
        <w:rPr>
          <w:spacing w:val="-3"/>
        </w:rPr>
        <w:t>，为公司根据《深圳证券交易所股票上市规则》的规定应</w:t>
      </w:r>
      <w:r>
        <w:rPr>
          <w:spacing w:val="-51"/>
        </w:rPr>
        <w:t> </w:t>
      </w:r>
      <w:r>
        <w:rPr>
          <w:spacing w:val="-51"/>
        </w:rPr>
      </w:r>
      <w:r>
        <w:rPr/>
        <w:t>当披露的交易或其他重大事项。股权激励计划激励对象在可行权日以外的日期不得行权。</w:t>
      </w:r>
    </w:p>
    <w:p>
      <w:pPr>
        <w:pStyle w:val="BodyText"/>
        <w:spacing w:line="396" w:lineRule="auto" w:before="68"/>
        <w:ind w:left="232" w:right="0" w:firstLine="420"/>
        <w:jc w:val="left"/>
      </w:pPr>
      <w:r>
        <w:rPr>
          <w:rFonts w:ascii="Times New Roman" w:hAnsi="Times New Roman" w:cs="Times New Roman" w:eastAsia="Times New Roman" w:hint="default"/>
        </w:rPr>
        <w:t>6</w:t>
      </w:r>
      <w:r>
        <w:rPr/>
        <w:t>、公司董事会根据政策规定的行权窗口期确定行权日，并统一办理激励对象股票期权及相关的行权</w:t>
      </w:r>
      <w:r>
        <w:rPr>
          <w:w w:val="100"/>
        </w:rPr>
        <w:t> </w:t>
      </w:r>
      <w:r>
        <w:rPr/>
        <w:t>股份登记手续。</w:t>
      </w:r>
    </w:p>
    <w:p>
      <w:pPr>
        <w:pStyle w:val="BodyText"/>
        <w:spacing w:line="408" w:lineRule="auto" w:before="68"/>
        <w:ind w:left="652" w:right="364"/>
        <w:jc w:val="left"/>
      </w:pPr>
      <w:r>
        <w:rPr>
          <w:rFonts w:ascii="Times New Roman" w:hAnsi="Times New Roman" w:cs="Times New Roman" w:eastAsia="Times New Roman" w:hint="default"/>
        </w:rPr>
        <w:t>7</w:t>
      </w:r>
      <w:r>
        <w:rPr/>
        <w:t>、行权完毕后，公司董事会委托相关人员办理工商变更登记及其它一切相关手续。</w:t>
      </w:r>
      <w:r>
        <w:rPr>
          <w:w w:val="100"/>
        </w:rPr>
        <w:t> </w:t>
      </w:r>
      <w:r>
        <w:rPr/>
        <w:t>四、本次行权对公司股权结构和上市条件的影响</w:t>
      </w:r>
      <w:r>
        <w:rPr>
          <w:w w:val="100"/>
        </w:rPr>
        <w:t> </w:t>
      </w:r>
      <w:r>
        <w:rPr>
          <w:spacing w:val="-3"/>
        </w:rPr>
        <w:t>本次行权对公司股权结构不产生重大影响，实际控制人仍为李仲初先生，其持股比例不低于</w:t>
      </w:r>
      <w:r>
        <w:rPr>
          <w:spacing w:val="35"/>
        </w:rPr>
        <w:t> </w:t>
      </w:r>
      <w:r>
        <w:rPr>
          <w:rFonts w:ascii="Times New Roman" w:hAnsi="Times New Roman" w:cs="Times New Roman" w:eastAsia="Times New Roman" w:hint="default"/>
          <w:spacing w:val="-7"/>
        </w:rPr>
        <w:t>50%</w:t>
      </w:r>
      <w:r>
        <w:rPr>
          <w:spacing w:val="-7"/>
        </w:rPr>
        <w:t>。本</w:t>
      </w:r>
      <w:r>
        <w:rPr/>
      </w:r>
    </w:p>
    <w:p>
      <w:pPr>
        <w:pStyle w:val="BodyText"/>
        <w:spacing w:line="240" w:lineRule="auto" w:before="26"/>
        <w:ind w:left="232" w:right="0"/>
        <w:jc w:val="both"/>
      </w:pPr>
      <w:r>
        <w:rPr/>
        <w:t>次股权激励期权行权完成后，公司股权分布仍具备上市条件。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1"/>
        <w:ind w:left="645" w:right="0"/>
        <w:jc w:val="left"/>
        <w:rPr>
          <w:b w:val="0"/>
          <w:bCs w:val="0"/>
        </w:rPr>
      </w:pPr>
      <w:r>
        <w:rPr/>
        <w:t>（十一）母公司会计报表主要项目附注</w:t>
      </w:r>
      <w:r>
        <w:rPr>
          <w:b w:val="0"/>
          <w:bCs w:val="0"/>
        </w:rPr>
      </w:r>
    </w:p>
    <w:p>
      <w:pPr>
        <w:spacing w:line="240" w:lineRule="auto" w:before="9"/>
        <w:rPr>
          <w:rFonts w:ascii="宋体" w:hAnsi="宋体" w:cs="宋体" w:eastAsia="宋体" w:hint="default"/>
          <w:b/>
          <w:bCs/>
          <w:sz w:val="15"/>
          <w:szCs w:val="15"/>
        </w:rPr>
      </w:pPr>
    </w:p>
    <w:p>
      <w:pPr>
        <w:pStyle w:val="BodyText"/>
        <w:spacing w:line="240" w:lineRule="auto"/>
        <w:ind w:left="652" w:right="0"/>
        <w:jc w:val="left"/>
      </w:pPr>
      <w:r>
        <w:rPr>
          <w:rFonts w:ascii="Times New Roman" w:hAnsi="Times New Roman" w:cs="Times New Roman" w:eastAsia="Times New Roman" w:hint="default"/>
        </w:rPr>
        <w:t>1</w:t>
      </w:r>
      <w:r>
        <w:rPr/>
        <w:t>．应收账款</w:t>
      </w:r>
    </w:p>
    <w:p>
      <w:pPr>
        <w:pStyle w:val="BodyText"/>
        <w:spacing w:line="240" w:lineRule="auto" w:before="189"/>
        <w:ind w:left="652" w:right="0"/>
        <w:jc w:val="left"/>
      </w:pPr>
      <w:r>
        <w:rPr/>
        <w:t>（</w:t>
      </w:r>
      <w:r>
        <w:rPr>
          <w:rFonts w:ascii="Times New Roman" w:hAnsi="Times New Roman" w:cs="Times New Roman" w:eastAsia="Times New Roman" w:hint="default"/>
        </w:rPr>
        <w:t>1</w:t>
      </w:r>
      <w:r>
        <w:rPr/>
        <w:t>）应收账款按种类披露：</w:t>
      </w:r>
    </w:p>
    <w:tbl>
      <w:tblPr>
        <w:tblW w:w="0" w:type="auto"/>
        <w:jc w:val="left"/>
        <w:tblInd w:w="110" w:type="dxa"/>
        <w:tblLayout w:type="fixed"/>
        <w:tblCellMar>
          <w:top w:w="0" w:type="dxa"/>
          <w:left w:w="0" w:type="dxa"/>
          <w:bottom w:w="0" w:type="dxa"/>
          <w:right w:w="0" w:type="dxa"/>
        </w:tblCellMar>
        <w:tblLook w:val="01E0"/>
      </w:tblPr>
      <w:tblGrid>
        <w:gridCol w:w="4351"/>
        <w:gridCol w:w="1819"/>
        <w:gridCol w:w="1068"/>
        <w:gridCol w:w="1644"/>
        <w:gridCol w:w="1094"/>
      </w:tblGrid>
      <w:tr>
        <w:trPr>
          <w:trHeight w:val="499" w:hRule="exact"/>
        </w:trPr>
        <w:tc>
          <w:tcPr>
            <w:tcW w:w="435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650" w:val="left" w:leader="none"/>
              </w:tabs>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562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92" w:hRule="exact"/>
        </w:trPr>
        <w:tc>
          <w:tcPr>
            <w:tcW w:w="4351" w:type="dxa"/>
            <w:vMerge/>
            <w:tcBorders>
              <w:left w:val="nil" w:sz="6" w:space="0" w:color="auto"/>
              <w:right w:val="single" w:sz="4" w:space="0" w:color="000000"/>
            </w:tcBorders>
          </w:tcPr>
          <w:p>
            <w:pPr/>
          </w:p>
        </w:tc>
        <w:tc>
          <w:tcPr>
            <w:tcW w:w="2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3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0" w:hRule="exact"/>
        </w:trPr>
        <w:tc>
          <w:tcPr>
            <w:tcW w:w="4351" w:type="dxa"/>
            <w:vMerge/>
            <w:tcBorders>
              <w:left w:val="nil" w:sz="6" w:space="0" w:color="auto"/>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tabs>
                <w:tab w:pos="1012" w:val="left" w:leader="none"/>
              </w:tabs>
              <w:spacing w:line="240" w:lineRule="auto" w:before="174"/>
              <w:ind w:left="59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tabs>
                <w:tab w:pos="923" w:val="left" w:leader="none"/>
              </w:tabs>
              <w:spacing w:line="240" w:lineRule="auto" w:before="174"/>
              <w:ind w:left="50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1069" w:hRule="exact"/>
        </w:trPr>
        <w:tc>
          <w:tcPr>
            <w:tcW w:w="4351" w:type="dxa"/>
            <w:tcBorders>
              <w:top w:val="single" w:sz="4" w:space="0" w:color="000000"/>
              <w:left w:val="nil" w:sz="6" w:space="0" w:color="auto"/>
              <w:bottom w:val="nil" w:sz="6" w:space="0" w:color="auto"/>
              <w:right w:val="single" w:sz="4" w:space="0" w:color="000000"/>
            </w:tcBorders>
          </w:tcPr>
          <w:p>
            <w:pPr>
              <w:pStyle w:val="TableParagraph"/>
              <w:spacing w:line="396" w:lineRule="auto" w:before="174"/>
              <w:ind w:left="122" w:right="126"/>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、单项金额重大并单项计提坏账准备的应收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账款</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501" w:right="0"/>
              <w:jc w:val="left"/>
              <w:rPr>
                <w:rFonts w:ascii="Times New Roman" w:hAnsi="Times New Roman" w:cs="Times New Roman" w:eastAsia="Times New Roman" w:hint="default"/>
                <w:sz w:val="21"/>
                <w:szCs w:val="21"/>
              </w:rPr>
            </w:pPr>
            <w:r>
              <w:rPr>
                <w:rFonts w:ascii="Times New Roman"/>
                <w:sz w:val="21"/>
              </w:rPr>
              <w:t>17,929,303.48</w:t>
            </w: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151" w:right="0"/>
              <w:jc w:val="left"/>
              <w:rPr>
                <w:rFonts w:ascii="Times New Roman" w:hAnsi="Times New Roman" w:cs="Times New Roman" w:eastAsia="Times New Roman" w:hint="default"/>
                <w:sz w:val="21"/>
                <w:szCs w:val="21"/>
              </w:rPr>
            </w:pPr>
            <w:r>
              <w:rPr>
                <w:rFonts w:ascii="Times New Roman"/>
                <w:sz w:val="21"/>
              </w:rPr>
              <w:t>100.00%</w:t>
            </w:r>
          </w:p>
        </w:tc>
        <w:tc>
          <w:tcPr>
            <w:tcW w:w="16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429" w:right="0"/>
              <w:jc w:val="left"/>
              <w:rPr>
                <w:rFonts w:ascii="Times New Roman" w:hAnsi="Times New Roman" w:cs="Times New Roman" w:eastAsia="Times New Roman" w:hint="default"/>
                <w:sz w:val="21"/>
                <w:szCs w:val="21"/>
              </w:rPr>
            </w:pPr>
            <w:r>
              <w:rPr>
                <w:rFonts w:ascii="Times New Roman"/>
                <w:sz w:val="21"/>
              </w:rPr>
              <w:t>2,986,908.91</w:t>
            </w:r>
          </w:p>
        </w:tc>
        <w:tc>
          <w:tcPr>
            <w:tcW w:w="109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18" w:right="0"/>
              <w:jc w:val="left"/>
              <w:rPr>
                <w:rFonts w:ascii="Times New Roman" w:hAnsi="Times New Roman" w:cs="Times New Roman" w:eastAsia="Times New Roman" w:hint="default"/>
                <w:sz w:val="21"/>
                <w:szCs w:val="21"/>
              </w:rPr>
            </w:pPr>
            <w:r>
              <w:rPr>
                <w:rFonts w:ascii="Times New Roman"/>
                <w:sz w:val="21"/>
              </w:rPr>
              <w:t>16.66%</w:t>
            </w:r>
          </w:p>
        </w:tc>
      </w:tr>
      <w:tr>
        <w:trPr>
          <w:trHeight w:val="486" w:hRule="exact"/>
        </w:trPr>
        <w:tc>
          <w:tcPr>
            <w:tcW w:w="4351"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、按组合计提坏账准备的应收账款：</w:t>
            </w:r>
          </w:p>
        </w:tc>
        <w:tc>
          <w:tcPr>
            <w:tcW w:w="1819"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c>
          <w:tcPr>
            <w:tcW w:w="1644" w:type="dxa"/>
            <w:vMerge/>
            <w:tcBorders>
              <w:left w:val="single" w:sz="4" w:space="0" w:color="000000"/>
              <w:right w:val="single" w:sz="4" w:space="0" w:color="000000"/>
            </w:tcBorders>
          </w:tcPr>
          <w:p>
            <w:pPr/>
          </w:p>
        </w:tc>
        <w:tc>
          <w:tcPr>
            <w:tcW w:w="1094" w:type="dxa"/>
            <w:vMerge/>
            <w:tcBorders>
              <w:left w:val="single" w:sz="4" w:space="0" w:color="000000"/>
              <w:right w:val="nil" w:sz="6" w:space="0" w:color="auto"/>
            </w:tcBorders>
          </w:tcPr>
          <w:p>
            <w:pPr/>
          </w:p>
        </w:tc>
      </w:tr>
      <w:tr>
        <w:trPr>
          <w:trHeight w:val="855" w:hRule="exact"/>
        </w:trPr>
        <w:tc>
          <w:tcPr>
            <w:tcW w:w="4351" w:type="dxa"/>
            <w:tcBorders>
              <w:top w:val="nil" w:sz="6" w:space="0" w:color="auto"/>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、单项金额不重大但单项计提坏账准备的应</w:t>
            </w:r>
          </w:p>
          <w:p>
            <w:pPr>
              <w:pStyle w:val="TableParagraph"/>
              <w:spacing w:line="240" w:lineRule="auto" w:before="189"/>
              <w:ind w:left="122"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819"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644"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nil" w:sz="6" w:space="0" w:color="auto"/>
            </w:tcBorders>
          </w:tcPr>
          <w:p>
            <w:pPr/>
          </w:p>
        </w:tc>
      </w:tr>
      <w:tr>
        <w:trPr>
          <w:trHeight w:val="502" w:hRule="exact"/>
        </w:trPr>
        <w:tc>
          <w:tcPr>
            <w:tcW w:w="4351"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sz w:val="21"/>
              </w:rPr>
              <w:t>17,929,303.48</w:t>
            </w: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29" w:right="0"/>
              <w:jc w:val="left"/>
              <w:rPr>
                <w:rFonts w:ascii="Times New Roman" w:hAnsi="Times New Roman" w:cs="Times New Roman" w:eastAsia="Times New Roman" w:hint="default"/>
                <w:sz w:val="21"/>
                <w:szCs w:val="21"/>
              </w:rPr>
            </w:pPr>
            <w:r>
              <w:rPr>
                <w:rFonts w:ascii="Times New Roman"/>
                <w:sz w:val="21"/>
              </w:rPr>
              <w:t>2,986,908.91</w:t>
            </w:r>
          </w:p>
        </w:tc>
        <w:tc>
          <w:tcPr>
            <w:tcW w:w="10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16.66%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4337"/>
        <w:gridCol w:w="1819"/>
        <w:gridCol w:w="1068"/>
        <w:gridCol w:w="1644"/>
        <w:gridCol w:w="1094"/>
      </w:tblGrid>
      <w:tr>
        <w:trPr>
          <w:trHeight w:val="480" w:hRule="exact"/>
        </w:trPr>
        <w:tc>
          <w:tcPr>
            <w:tcW w:w="433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tabs>
                <w:tab w:pos="636" w:val="left" w:leader="none"/>
              </w:tabs>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562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0" w:hRule="exact"/>
        </w:trPr>
        <w:tc>
          <w:tcPr>
            <w:tcW w:w="4337" w:type="dxa"/>
            <w:vMerge/>
            <w:tcBorders>
              <w:left w:val="nil" w:sz="6" w:space="0" w:color="auto"/>
              <w:right w:val="single" w:sz="4" w:space="0" w:color="000000"/>
            </w:tcBorders>
          </w:tcPr>
          <w:p>
            <w:pPr/>
          </w:p>
        </w:tc>
        <w:tc>
          <w:tcPr>
            <w:tcW w:w="2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3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0" w:hRule="exact"/>
        </w:trPr>
        <w:tc>
          <w:tcPr>
            <w:tcW w:w="4337" w:type="dxa"/>
            <w:vMerge/>
            <w:tcBorders>
              <w:left w:val="nil" w:sz="6" w:space="0" w:color="auto"/>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tabs>
                <w:tab w:pos="1012" w:val="left" w:leader="none"/>
              </w:tabs>
              <w:spacing w:line="240" w:lineRule="auto" w:before="153"/>
              <w:ind w:left="59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6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tabs>
                <w:tab w:pos="923" w:val="left" w:leader="none"/>
              </w:tabs>
              <w:spacing w:line="240" w:lineRule="auto" w:before="153"/>
              <w:ind w:left="50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926" w:hRule="exact"/>
        </w:trPr>
        <w:tc>
          <w:tcPr>
            <w:tcW w:w="4337" w:type="dxa"/>
            <w:tcBorders>
              <w:top w:val="single" w:sz="4" w:space="0" w:color="000000"/>
              <w:left w:val="nil" w:sz="6" w:space="0" w:color="auto"/>
              <w:bottom w:val="nil" w:sz="6" w:space="0" w:color="auto"/>
              <w:right w:val="single" w:sz="4" w:space="0" w:color="000000"/>
            </w:tcBorders>
          </w:tcPr>
          <w:p>
            <w:pPr>
              <w:pStyle w:val="TableParagraph"/>
              <w:spacing w:line="460" w:lineRule="exact" w:before="30"/>
              <w:ind w:left="107" w:right="126"/>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、单项金额重大并单项计提坏账准备的应收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账款</w:t>
            </w:r>
          </w:p>
        </w:tc>
        <w:tc>
          <w:tcPr>
            <w:tcW w:w="1819" w:type="dxa"/>
            <w:tcBorders>
              <w:top w:val="single" w:sz="4" w:space="0" w:color="000000"/>
              <w:left w:val="single" w:sz="4" w:space="0" w:color="000000"/>
              <w:bottom w:val="nil" w:sz="6" w:space="0" w:color="auto"/>
              <w:right w:val="single" w:sz="4" w:space="0" w:color="000000"/>
            </w:tcBorders>
          </w:tcPr>
          <w:p>
            <w:pPr/>
          </w:p>
        </w:tc>
        <w:tc>
          <w:tcPr>
            <w:tcW w:w="1068" w:type="dxa"/>
            <w:tcBorders>
              <w:top w:val="single" w:sz="4" w:space="0" w:color="000000"/>
              <w:left w:val="single" w:sz="4" w:space="0" w:color="000000"/>
              <w:bottom w:val="nil" w:sz="6" w:space="0" w:color="auto"/>
              <w:right w:val="single" w:sz="4" w:space="0" w:color="000000"/>
            </w:tcBorders>
          </w:tcPr>
          <w:p>
            <w:pPr/>
          </w:p>
        </w:tc>
        <w:tc>
          <w:tcPr>
            <w:tcW w:w="164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nil" w:sz="6" w:space="0" w:color="auto"/>
            </w:tcBorders>
          </w:tcPr>
          <w:p>
            <w:pPr/>
          </w:p>
        </w:tc>
      </w:tr>
    </w:tbl>
    <w:p>
      <w:pPr>
        <w:spacing w:after="0"/>
        <w:sectPr>
          <w:pgSz w:w="11910" w:h="16840"/>
          <w:pgMar w:header="850" w:footer="979" w:top="1200" w:bottom="1160" w:left="900" w:right="780"/>
        </w:sectPr>
      </w:pPr>
    </w:p>
    <w:p>
      <w:pPr>
        <w:spacing w:line="240" w:lineRule="auto" w:before="9"/>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351"/>
        <w:gridCol w:w="1819"/>
        <w:gridCol w:w="1068"/>
        <w:gridCol w:w="1644"/>
        <w:gridCol w:w="1094"/>
      </w:tblGrid>
      <w:tr>
        <w:trPr>
          <w:trHeight w:val="502" w:hRule="exact"/>
        </w:trPr>
        <w:tc>
          <w:tcPr>
            <w:tcW w:w="4351"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p>
            <w:pPr>
              <w:pStyle w:val="TableParagraph"/>
              <w:tabs>
                <w:tab w:pos="65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562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0" w:hRule="exact"/>
        </w:trPr>
        <w:tc>
          <w:tcPr>
            <w:tcW w:w="4351" w:type="dxa"/>
            <w:vMerge/>
            <w:tcBorders>
              <w:left w:val="nil" w:sz="6" w:space="0" w:color="auto"/>
              <w:right w:val="single" w:sz="4" w:space="0" w:color="000000"/>
            </w:tcBorders>
          </w:tcPr>
          <w:p>
            <w:pPr/>
          </w:p>
        </w:tc>
        <w:tc>
          <w:tcPr>
            <w:tcW w:w="2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3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0" w:hRule="exact"/>
        </w:trPr>
        <w:tc>
          <w:tcPr>
            <w:tcW w:w="4351" w:type="dxa"/>
            <w:vMerge/>
            <w:tcBorders>
              <w:left w:val="nil" w:sz="6" w:space="0" w:color="auto"/>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tabs>
                <w:tab w:pos="1012" w:val="left" w:leader="none"/>
              </w:tabs>
              <w:spacing w:line="240" w:lineRule="auto" w:before="153"/>
              <w:ind w:left="59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tabs>
                <w:tab w:pos="923" w:val="left" w:leader="none"/>
              </w:tabs>
              <w:spacing w:line="240" w:lineRule="auto" w:before="153"/>
              <w:ind w:left="50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563" w:hRule="exact"/>
        </w:trPr>
        <w:tc>
          <w:tcPr>
            <w:tcW w:w="4351"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、按组合计提坏账准备的应收账款：</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sz w:val="21"/>
              </w:rPr>
              <w:t>22,968,377.01</w:t>
            </w: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9" w:right="0"/>
              <w:jc w:val="left"/>
              <w:rPr>
                <w:rFonts w:ascii="Times New Roman" w:hAnsi="Times New Roman" w:cs="Times New Roman" w:eastAsia="Times New Roman" w:hint="default"/>
                <w:sz w:val="21"/>
                <w:szCs w:val="21"/>
              </w:rPr>
            </w:pPr>
            <w:r>
              <w:rPr>
                <w:rFonts w:ascii="Times New Roman"/>
                <w:sz w:val="21"/>
              </w:rPr>
              <w:t>100.00</w:t>
            </w:r>
          </w:p>
        </w:tc>
        <w:tc>
          <w:tcPr>
            <w:tcW w:w="16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9" w:right="0"/>
              <w:jc w:val="left"/>
              <w:rPr>
                <w:rFonts w:ascii="Times New Roman" w:hAnsi="Times New Roman" w:cs="Times New Roman" w:eastAsia="Times New Roman" w:hint="default"/>
                <w:sz w:val="21"/>
                <w:szCs w:val="21"/>
              </w:rPr>
            </w:pPr>
            <w:r>
              <w:rPr>
                <w:rFonts w:ascii="Times New Roman"/>
                <w:sz w:val="21"/>
              </w:rPr>
              <w:t>2,900,183.42</w:t>
            </w:r>
          </w:p>
        </w:tc>
        <w:tc>
          <w:tcPr>
            <w:tcW w:w="1094"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12.63</w:t>
            </w:r>
          </w:p>
        </w:tc>
      </w:tr>
      <w:tr>
        <w:trPr>
          <w:trHeight w:val="826" w:hRule="exact"/>
        </w:trPr>
        <w:tc>
          <w:tcPr>
            <w:tcW w:w="4351" w:type="dxa"/>
            <w:tcBorders>
              <w:top w:val="nil" w:sz="6" w:space="0" w:color="auto"/>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、单项金额不重大但单项计提坏账准备的应</w:t>
            </w:r>
          </w:p>
          <w:p>
            <w:pPr>
              <w:pStyle w:val="TableParagraph"/>
              <w:spacing w:line="240" w:lineRule="auto" w:before="167"/>
              <w:ind w:left="122"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819"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644"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nil" w:sz="6" w:space="0" w:color="auto"/>
            </w:tcBorders>
          </w:tcPr>
          <w:p>
            <w:pPr/>
          </w:p>
        </w:tc>
      </w:tr>
      <w:tr>
        <w:trPr>
          <w:trHeight w:val="480" w:hRule="exact"/>
        </w:trPr>
        <w:tc>
          <w:tcPr>
            <w:tcW w:w="4351"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sz w:val="21"/>
              </w:rPr>
              <w:t>22,968,377.01</w:t>
            </w: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29" w:right="0"/>
              <w:jc w:val="left"/>
              <w:rPr>
                <w:rFonts w:ascii="Times New Roman" w:hAnsi="Times New Roman" w:cs="Times New Roman" w:eastAsia="Times New Roman" w:hint="default"/>
                <w:sz w:val="21"/>
                <w:szCs w:val="21"/>
              </w:rPr>
            </w:pPr>
            <w:r>
              <w:rPr>
                <w:rFonts w:ascii="Times New Roman"/>
                <w:sz w:val="21"/>
              </w:rPr>
              <w:t>2,900,183.42</w:t>
            </w:r>
          </w:p>
        </w:tc>
        <w:tc>
          <w:tcPr>
            <w:tcW w:w="10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12.63</w:t>
            </w:r>
          </w:p>
        </w:tc>
      </w:tr>
    </w:tbl>
    <w:p>
      <w:pPr>
        <w:spacing w:line="240" w:lineRule="auto" w:before="12"/>
        <w:rPr>
          <w:rFonts w:ascii="宋体" w:hAnsi="宋体" w:cs="宋体" w:eastAsia="宋体" w:hint="default"/>
          <w:sz w:val="8"/>
          <w:szCs w:val="8"/>
        </w:rPr>
      </w:pPr>
    </w:p>
    <w:p>
      <w:pPr>
        <w:pStyle w:val="BodyText"/>
        <w:spacing w:line="381" w:lineRule="auto" w:before="36"/>
        <w:ind w:left="652" w:right="2550"/>
        <w:jc w:val="left"/>
      </w:pPr>
      <w:r>
        <w:rPr/>
        <w:pict>
          <v:shape style="position:absolute;margin-left:50.52pt;margin-top:40.223679pt;width:493.45pt;height:189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3"/>
                    <w:gridCol w:w="2290"/>
                    <w:gridCol w:w="1872"/>
                    <w:gridCol w:w="2654"/>
                  </w:tblGrid>
                  <w:tr>
                    <w:trPr>
                      <w:trHeight w:val="480" w:hRule="exact"/>
                    </w:trPr>
                    <w:tc>
                      <w:tcPr>
                        <w:tcW w:w="305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tabs>
                            <w:tab w:pos="652"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681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70" w:hRule="exact"/>
                    </w:trPr>
                    <w:tc>
                      <w:tcPr>
                        <w:tcW w:w="3053" w:type="dxa"/>
                        <w:vMerge/>
                        <w:tcBorders>
                          <w:left w:val="nil" w:sz="6" w:space="0" w:color="auto"/>
                          <w:right w:val="single" w:sz="4" w:space="0" w:color="000000"/>
                        </w:tcBorders>
                      </w:tcPr>
                      <w:p>
                        <w:pPr/>
                      </w:p>
                    </w:tc>
                    <w:tc>
                      <w:tcPr>
                        <w:tcW w:w="4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4"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68" w:hRule="exact"/>
                    </w:trPr>
                    <w:tc>
                      <w:tcPr>
                        <w:tcW w:w="3053" w:type="dxa"/>
                        <w:vMerge/>
                        <w:tcBorders>
                          <w:left w:val="nil" w:sz="6" w:space="0" w:color="auto"/>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6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4" w:type="dxa"/>
                        <w:vMerge/>
                        <w:tcBorders>
                          <w:left w:val="single" w:sz="4" w:space="0" w:color="000000"/>
                          <w:bottom w:val="single" w:sz="4" w:space="0" w:color="000000"/>
                          <w:right w:val="nil" w:sz="6" w:space="0" w:color="auto"/>
                        </w:tcBorders>
                      </w:tcPr>
                      <w:p>
                        <w:pPr/>
                      </w:p>
                    </w:tc>
                  </w:tr>
                  <w:tr>
                    <w:trPr>
                      <w:trHeight w:val="569" w:hRule="exact"/>
                    </w:trPr>
                    <w:tc>
                      <w:tcPr>
                        <w:tcW w:w="3053" w:type="dxa"/>
                        <w:tcBorders>
                          <w:top w:val="single" w:sz="4" w:space="0" w:color="000000"/>
                          <w:left w:val="nil" w:sz="6" w:space="0" w:color="auto"/>
                          <w:bottom w:val="nil" w:sz="6" w:space="0" w:color="auto"/>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7,135,548.28</w:t>
                        </w:r>
                      </w:p>
                    </w:tc>
                    <w:tc>
                      <w:tcPr>
                        <w:tcW w:w="18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39.80</w:t>
                        </w:r>
                      </w:p>
                    </w:tc>
                    <w:tc>
                      <w:tcPr>
                        <w:tcW w:w="2654"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356,777.40</w:t>
                        </w:r>
                      </w:p>
                    </w:tc>
                  </w:tr>
                  <w:tr>
                    <w:trPr>
                      <w:trHeight w:val="460" w:hRule="exact"/>
                    </w:trPr>
                    <w:tc>
                      <w:tcPr>
                        <w:tcW w:w="3053"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2,059,901.31</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2" w:right="0"/>
                          <w:jc w:val="center"/>
                          <w:rPr>
                            <w:rFonts w:ascii="Times New Roman" w:hAnsi="Times New Roman" w:cs="Times New Roman" w:eastAsia="Times New Roman" w:hint="default"/>
                            <w:sz w:val="21"/>
                            <w:szCs w:val="21"/>
                          </w:rPr>
                        </w:pPr>
                        <w:r>
                          <w:rPr>
                            <w:rFonts w:ascii="Times New Roman"/>
                            <w:sz w:val="21"/>
                          </w:rPr>
                          <w:t>11.49</w:t>
                        </w:r>
                      </w:p>
                    </w:tc>
                    <w:tc>
                      <w:tcPr>
                        <w:tcW w:w="2654"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205,990.13</w:t>
                        </w:r>
                      </w:p>
                    </w:tc>
                  </w:tr>
                  <w:tr>
                    <w:trPr>
                      <w:trHeight w:val="461" w:hRule="exact"/>
                    </w:trPr>
                    <w:tc>
                      <w:tcPr>
                        <w:tcW w:w="3053"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1,960,147.86</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sz w:val="21"/>
                          </w:rPr>
                          <w:t>10.93</w:t>
                        </w:r>
                      </w:p>
                    </w:tc>
                    <w:tc>
                      <w:tcPr>
                        <w:tcW w:w="2654"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392,029.57</w:t>
                        </w:r>
                      </w:p>
                    </w:tc>
                  </w:tr>
                  <w:tr>
                    <w:trPr>
                      <w:trHeight w:val="361" w:hRule="exact"/>
                    </w:trPr>
                    <w:tc>
                      <w:tcPr>
                        <w:tcW w:w="3053" w:type="dxa"/>
                        <w:tcBorders>
                          <w:top w:val="nil" w:sz="6" w:space="0" w:color="auto"/>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6,773,706.03</w:t>
                        </w:r>
                      </w:p>
                    </w:tc>
                    <w:tc>
                      <w:tcPr>
                        <w:tcW w:w="18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sz w:val="21"/>
                          </w:rPr>
                          <w:t>37.78</w:t>
                        </w:r>
                      </w:p>
                    </w:tc>
                    <w:tc>
                      <w:tcPr>
                        <w:tcW w:w="2654" w:type="dxa"/>
                        <w:tcBorders>
                          <w:top w:val="nil" w:sz="6" w:space="0" w:color="auto"/>
                          <w:left w:val="single" w:sz="4" w:space="0" w:color="000000"/>
                          <w:bottom w:val="single" w:sz="4" w:space="0" w:color="000000"/>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2"/>
                            <w:sz w:val="21"/>
                          </w:rPr>
                          <w:t>2,032,111.81</w:t>
                        </w:r>
                      </w:p>
                    </w:tc>
                  </w:tr>
                  <w:tr>
                    <w:trPr>
                      <w:trHeight w:val="482" w:hRule="exact"/>
                    </w:trPr>
                    <w:tc>
                      <w:tcPr>
                        <w:tcW w:w="3053"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17,929,303.48</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40" w:right="0"/>
                          <w:jc w:val="left"/>
                          <w:rPr>
                            <w:rFonts w:ascii="Times New Roman" w:hAnsi="Times New Roman" w:cs="Times New Roman" w:eastAsia="Times New Roman" w:hint="default"/>
                            <w:sz w:val="21"/>
                            <w:szCs w:val="21"/>
                          </w:rPr>
                        </w:pPr>
                        <w:r>
                          <w:rPr>
                            <w:rFonts w:ascii="Times New Roman"/>
                            <w:sz w:val="21"/>
                          </w:rPr>
                          <w:t>100.00</w:t>
                        </w:r>
                      </w:p>
                    </w:tc>
                    <w:tc>
                      <w:tcPr>
                        <w:tcW w:w="26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2,986,908.91</w:t>
                        </w:r>
                      </w:p>
                    </w:tc>
                  </w:tr>
                </w:tbl>
                <w:p>
                  <w:pPr/>
                </w:p>
              </w:txbxContent>
            </v:textbox>
            <w10:wrap type="none"/>
          </v:shape>
        </w:pict>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应收账款种类的说明：</w:t>
      </w:r>
      <w:r>
        <w:rPr>
          <w:w w:val="100"/>
        </w:rPr>
        <w:t> </w:t>
      </w:r>
      <w:r>
        <w:rPr>
          <w:spacing w:val="-2"/>
        </w:rPr>
        <w:t>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3053"/>
        <w:gridCol w:w="2290"/>
        <w:gridCol w:w="1872"/>
        <w:gridCol w:w="2654"/>
      </w:tblGrid>
      <w:tr>
        <w:trPr>
          <w:trHeight w:val="482" w:hRule="exact"/>
        </w:trPr>
        <w:tc>
          <w:tcPr>
            <w:tcW w:w="305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tabs>
                <w:tab w:pos="655" w:val="left" w:leader="none"/>
              </w:tabs>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6816"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5" w:hRule="exact"/>
        </w:trPr>
        <w:tc>
          <w:tcPr>
            <w:tcW w:w="3053" w:type="dxa"/>
            <w:vMerge/>
            <w:tcBorders>
              <w:left w:val="nil" w:sz="6" w:space="0" w:color="auto"/>
              <w:right w:val="single" w:sz="6" w:space="0" w:color="000000"/>
            </w:tcBorders>
          </w:tcPr>
          <w:p>
            <w:pPr/>
          </w:p>
        </w:tc>
        <w:tc>
          <w:tcPr>
            <w:tcW w:w="41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4"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5" w:hRule="exact"/>
        </w:trPr>
        <w:tc>
          <w:tcPr>
            <w:tcW w:w="3053" w:type="dxa"/>
            <w:vMerge/>
            <w:tcBorders>
              <w:left w:val="nil" w:sz="6" w:space="0" w:color="auto"/>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Style w:val="TableParagraph"/>
              <w:tabs>
                <w:tab w:pos="427" w:val="left" w:leader="none"/>
              </w:tabs>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56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4" w:type="dxa"/>
            <w:vMerge/>
            <w:tcBorders>
              <w:left w:val="single" w:sz="6" w:space="0" w:color="000000"/>
              <w:bottom w:val="single" w:sz="6" w:space="0" w:color="000000"/>
              <w:right w:val="nil" w:sz="6" w:space="0" w:color="auto"/>
            </w:tcBorders>
          </w:tcPr>
          <w:p>
            <w:pPr/>
          </w:p>
        </w:tc>
      </w:tr>
      <w:tr>
        <w:trPr>
          <w:trHeight w:val="572" w:hRule="exact"/>
        </w:trPr>
        <w:tc>
          <w:tcPr>
            <w:tcW w:w="3053" w:type="dxa"/>
            <w:tcBorders>
              <w:top w:val="single" w:sz="6" w:space="0" w:color="000000"/>
              <w:left w:val="nil" w:sz="6" w:space="0" w:color="auto"/>
              <w:bottom w:val="nil" w:sz="6" w:space="0" w:color="auto"/>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10,743,071.55</w:t>
            </w:r>
          </w:p>
        </w:tc>
        <w:tc>
          <w:tcPr>
            <w:tcW w:w="18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46.78</w:t>
            </w:r>
          </w:p>
        </w:tc>
        <w:tc>
          <w:tcPr>
            <w:tcW w:w="2654" w:type="dxa"/>
            <w:tcBorders>
              <w:top w:val="single" w:sz="6" w:space="0" w:color="000000"/>
              <w:left w:val="single" w:sz="6"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537,153.58</w:t>
            </w:r>
          </w:p>
        </w:tc>
      </w:tr>
      <w:tr>
        <w:trPr>
          <w:trHeight w:val="460" w:hRule="exact"/>
        </w:trPr>
        <w:tc>
          <w:tcPr>
            <w:tcW w:w="3053" w:type="dxa"/>
            <w:tcBorders>
              <w:top w:val="nil" w:sz="6" w:space="0" w:color="auto"/>
              <w:left w:val="nil" w:sz="6" w:space="0" w:color="auto"/>
              <w:bottom w:val="nil" w:sz="6" w:space="0" w:color="auto"/>
              <w:right w:val="single" w:sz="6"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3,373,689.73</w:t>
            </w:r>
          </w:p>
        </w:tc>
        <w:tc>
          <w:tcPr>
            <w:tcW w:w="1872"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14.69</w:t>
            </w:r>
          </w:p>
        </w:tc>
        <w:tc>
          <w:tcPr>
            <w:tcW w:w="2654" w:type="dxa"/>
            <w:tcBorders>
              <w:top w:val="nil" w:sz="6" w:space="0" w:color="auto"/>
              <w:left w:val="single" w:sz="6" w:space="0" w:color="000000"/>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337,368.97</w:t>
            </w:r>
          </w:p>
        </w:tc>
      </w:tr>
      <w:tr>
        <w:trPr>
          <w:trHeight w:val="461" w:hRule="exact"/>
        </w:trPr>
        <w:tc>
          <w:tcPr>
            <w:tcW w:w="3053" w:type="dxa"/>
            <w:tcBorders>
              <w:top w:val="nil" w:sz="6" w:space="0" w:color="auto"/>
              <w:left w:val="nil" w:sz="6" w:space="0" w:color="auto"/>
              <w:bottom w:val="nil" w:sz="6" w:space="0" w:color="auto"/>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6,298,238.66</w:t>
            </w:r>
          </w:p>
        </w:tc>
        <w:tc>
          <w:tcPr>
            <w:tcW w:w="1872"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sz w:val="21"/>
              </w:rPr>
              <w:t>27.42</w:t>
            </w:r>
          </w:p>
        </w:tc>
        <w:tc>
          <w:tcPr>
            <w:tcW w:w="2654" w:type="dxa"/>
            <w:tcBorders>
              <w:top w:val="nil" w:sz="6" w:space="0" w:color="auto"/>
              <w:left w:val="single" w:sz="6"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1,259,647.74</w:t>
            </w:r>
          </w:p>
        </w:tc>
      </w:tr>
      <w:tr>
        <w:trPr>
          <w:trHeight w:val="363" w:hRule="exact"/>
        </w:trPr>
        <w:tc>
          <w:tcPr>
            <w:tcW w:w="3053" w:type="dxa"/>
            <w:tcBorders>
              <w:top w:val="nil" w:sz="6" w:space="0" w:color="auto"/>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9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2,553,377.07</w:t>
            </w:r>
          </w:p>
        </w:tc>
        <w:tc>
          <w:tcPr>
            <w:tcW w:w="187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Times New Roman" w:hAnsi="Times New Roman" w:cs="Times New Roman" w:eastAsia="Times New Roman" w:hint="default"/>
                <w:sz w:val="21"/>
                <w:szCs w:val="21"/>
              </w:rPr>
            </w:pPr>
            <w:r>
              <w:rPr>
                <w:rFonts w:ascii="Times New Roman"/>
                <w:spacing w:val="-4"/>
                <w:sz w:val="21"/>
              </w:rPr>
              <w:t>11.11</w:t>
            </w:r>
          </w:p>
        </w:tc>
        <w:tc>
          <w:tcPr>
            <w:tcW w:w="2654" w:type="dxa"/>
            <w:tcBorders>
              <w:top w:val="nil" w:sz="6" w:space="0" w:color="auto"/>
              <w:left w:val="single" w:sz="6" w:space="0" w:color="000000"/>
              <w:bottom w:val="single" w:sz="6" w:space="0" w:color="000000"/>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766,013.13</w:t>
            </w:r>
          </w:p>
        </w:tc>
      </w:tr>
      <w:tr>
        <w:trPr>
          <w:trHeight w:val="485" w:hRule="exact"/>
        </w:trPr>
        <w:tc>
          <w:tcPr>
            <w:tcW w:w="3053" w:type="dxa"/>
            <w:tcBorders>
              <w:top w:val="single" w:sz="6" w:space="0" w:color="000000"/>
              <w:left w:val="nil" w:sz="6" w:space="0" w:color="auto"/>
              <w:bottom w:val="single" w:sz="12" w:space="0" w:color="000000"/>
              <w:right w:val="single" w:sz="6" w:space="0" w:color="000000"/>
            </w:tcBorders>
          </w:tcPr>
          <w:p>
            <w:pPr>
              <w:pStyle w:val="TableParagraph"/>
              <w:tabs>
                <w:tab w:pos="655" w:val="left" w:leader="none"/>
              </w:tabs>
              <w:spacing w:line="240" w:lineRule="auto" w:before="153"/>
              <w:ind w:left="2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22,968,377.01</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38" w:right="0"/>
              <w:jc w:val="left"/>
              <w:rPr>
                <w:rFonts w:ascii="Times New Roman" w:hAnsi="Times New Roman" w:cs="Times New Roman" w:eastAsia="Times New Roman" w:hint="default"/>
                <w:sz w:val="21"/>
                <w:szCs w:val="21"/>
              </w:rPr>
            </w:pPr>
            <w:r>
              <w:rPr>
                <w:rFonts w:ascii="Times New Roman"/>
                <w:sz w:val="21"/>
              </w:rPr>
              <w:t>100.00</w:t>
            </w:r>
          </w:p>
        </w:tc>
        <w:tc>
          <w:tcPr>
            <w:tcW w:w="26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2,900,183.42</w:t>
            </w:r>
          </w:p>
        </w:tc>
      </w:tr>
    </w:tbl>
    <w:p>
      <w:pPr>
        <w:spacing w:line="240" w:lineRule="auto" w:before="12"/>
        <w:rPr>
          <w:rFonts w:ascii="宋体" w:hAnsi="宋体" w:cs="宋体" w:eastAsia="宋体" w:hint="default"/>
          <w:sz w:val="8"/>
          <w:szCs w:val="8"/>
        </w:rPr>
      </w:pPr>
    </w:p>
    <w:p>
      <w:pPr>
        <w:pStyle w:val="BodyText"/>
        <w:spacing w:line="240" w:lineRule="auto" w:before="36"/>
        <w:ind w:left="652" w:right="0"/>
        <w:jc w:val="left"/>
      </w:pPr>
      <w:r>
        <w:rPr/>
        <w:t>（</w:t>
      </w:r>
      <w:r>
        <w:rPr>
          <w:rFonts w:ascii="Times New Roman" w:hAnsi="Times New Roman" w:cs="Times New Roman" w:eastAsia="Times New Roman" w:hint="default"/>
        </w:rPr>
        <w:t>3</w:t>
      </w:r>
      <w:r>
        <w:rPr/>
        <w:t>）期末无单项金额虽不重大但单独进行减值测试的应收款项坏账准备计提的情况。</w:t>
      </w:r>
    </w:p>
    <w:p>
      <w:pPr>
        <w:pStyle w:val="BodyText"/>
        <w:spacing w:line="240" w:lineRule="auto" w:before="189"/>
        <w:ind w:left="652" w:right="2550"/>
        <w:jc w:val="left"/>
      </w:pPr>
      <w:r>
        <w:rPr/>
        <w:t>（</w:t>
      </w:r>
      <w:r>
        <w:rPr>
          <w:rFonts w:ascii="Times New Roman" w:hAnsi="Times New Roman" w:cs="Times New Roman" w:eastAsia="Times New Roman" w:hint="default"/>
        </w:rPr>
        <w:t>4</w:t>
      </w:r>
      <w:r>
        <w:rPr/>
        <w:t>）本报告期实际核销的应收账款情况</w:t>
      </w:r>
    </w:p>
    <w:tbl>
      <w:tblPr>
        <w:tblW w:w="0" w:type="auto"/>
        <w:jc w:val="left"/>
        <w:tblInd w:w="105" w:type="dxa"/>
        <w:tblLayout w:type="fixed"/>
        <w:tblCellMar>
          <w:top w:w="0" w:type="dxa"/>
          <w:left w:w="0" w:type="dxa"/>
          <w:bottom w:w="0" w:type="dxa"/>
          <w:right w:w="0" w:type="dxa"/>
        </w:tblCellMar>
        <w:tblLook w:val="01E0"/>
      </w:tblPr>
      <w:tblGrid>
        <w:gridCol w:w="4102"/>
        <w:gridCol w:w="1390"/>
        <w:gridCol w:w="1783"/>
        <w:gridCol w:w="1193"/>
        <w:gridCol w:w="1402"/>
      </w:tblGrid>
      <w:tr>
        <w:trPr>
          <w:trHeight w:val="982" w:hRule="exact"/>
        </w:trPr>
        <w:tc>
          <w:tcPr>
            <w:tcW w:w="4102"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480" w:lineRule="exact" w:before="38"/>
              <w:ind w:left="585" w:right="158" w:hanging="421"/>
              <w:jc w:val="left"/>
              <w:rPr>
                <w:rFonts w:ascii="宋体" w:hAnsi="宋体" w:cs="宋体" w:eastAsia="宋体" w:hint="default"/>
                <w:sz w:val="21"/>
                <w:szCs w:val="21"/>
              </w:rPr>
            </w:pPr>
            <w:r>
              <w:rPr>
                <w:rFonts w:ascii="宋体" w:hAnsi="宋体" w:cs="宋体" w:eastAsia="宋体" w:hint="default"/>
                <w:sz w:val="21"/>
                <w:szCs w:val="21"/>
              </w:rPr>
              <w:t>应收账款性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质</w:t>
            </w:r>
          </w:p>
        </w:tc>
        <w:tc>
          <w:tcPr>
            <w:tcW w:w="17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468"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1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7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402" w:type="dxa"/>
            <w:tcBorders>
              <w:top w:val="single" w:sz="12" w:space="0" w:color="000000"/>
              <w:left w:val="single" w:sz="4" w:space="0" w:color="000000"/>
              <w:bottom w:val="single" w:sz="4" w:space="0" w:color="000000"/>
              <w:right w:val="nil" w:sz="6" w:space="0" w:color="auto"/>
            </w:tcBorders>
          </w:tcPr>
          <w:p>
            <w:pPr>
              <w:pStyle w:val="TableParagraph"/>
              <w:spacing w:line="480" w:lineRule="exact" w:before="38"/>
              <w:ind w:left="278" w:right="168" w:hanging="106"/>
              <w:jc w:val="left"/>
              <w:rPr>
                <w:rFonts w:ascii="宋体" w:hAnsi="宋体" w:cs="宋体" w:eastAsia="宋体" w:hint="default"/>
                <w:sz w:val="21"/>
                <w:szCs w:val="21"/>
              </w:rPr>
            </w:pPr>
            <w:r>
              <w:rPr>
                <w:rFonts w:ascii="宋体" w:hAnsi="宋体" w:cs="宋体" w:eastAsia="宋体" w:hint="default"/>
                <w:sz w:val="21"/>
                <w:szCs w:val="21"/>
              </w:rPr>
              <w:t>是否因关联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交易产生</w:t>
            </w:r>
          </w:p>
        </w:tc>
      </w:tr>
    </w:tbl>
    <w:p>
      <w:pPr>
        <w:spacing w:after="0" w:line="480" w:lineRule="exact"/>
        <w:jc w:val="left"/>
        <w:rPr>
          <w:rFonts w:ascii="宋体" w:hAnsi="宋体" w:cs="宋体" w:eastAsia="宋体" w:hint="default"/>
          <w:sz w:val="21"/>
          <w:szCs w:val="21"/>
        </w:rPr>
        <w:sectPr>
          <w:pgSz w:w="11910" w:h="16840"/>
          <w:pgMar w:header="850" w:footer="979" w:top="1200" w:bottom="1160" w:left="900" w:right="800"/>
        </w:sectPr>
      </w:pPr>
    </w:p>
    <w:p>
      <w:pPr>
        <w:spacing w:line="240" w:lineRule="auto" w:before="5"/>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102"/>
        <w:gridCol w:w="1390"/>
        <w:gridCol w:w="1783"/>
        <w:gridCol w:w="1193"/>
        <w:gridCol w:w="1402"/>
      </w:tblGrid>
      <w:tr>
        <w:trPr>
          <w:trHeight w:val="611" w:hRule="exact"/>
        </w:trPr>
        <w:tc>
          <w:tcPr>
            <w:tcW w:w="4102" w:type="dxa"/>
            <w:tcBorders>
              <w:top w:val="single" w:sz="10" w:space="0" w:color="000000"/>
              <w:left w:val="nil" w:sz="6" w:space="0" w:color="auto"/>
              <w:bottom w:val="nil" w:sz="6" w:space="0" w:color="auto"/>
              <w:right w:val="single" w:sz="4" w:space="0" w:color="000000"/>
            </w:tcBorders>
          </w:tcPr>
          <w:p>
            <w:pPr>
              <w:pStyle w:val="TableParagraph"/>
              <w:spacing w:line="240" w:lineRule="auto" w:before="179"/>
              <w:ind w:left="122" w:right="0"/>
              <w:jc w:val="left"/>
              <w:rPr>
                <w:rFonts w:ascii="宋体" w:hAnsi="宋体" w:cs="宋体" w:eastAsia="宋体" w:hint="default"/>
                <w:sz w:val="21"/>
                <w:szCs w:val="21"/>
              </w:rPr>
            </w:pPr>
            <w:r>
              <w:rPr>
                <w:rFonts w:ascii="宋体" w:hAnsi="宋体" w:cs="宋体" w:eastAsia="宋体" w:hint="default"/>
                <w:sz w:val="21"/>
                <w:szCs w:val="21"/>
              </w:rPr>
              <w:t>佛山市恒安置业有限公司</w:t>
            </w:r>
          </w:p>
        </w:tc>
        <w:tc>
          <w:tcPr>
            <w:tcW w:w="1390"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79"/>
              <w:ind w:left="4"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783"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358,786.52</w:t>
            </w:r>
          </w:p>
        </w:tc>
        <w:tc>
          <w:tcPr>
            <w:tcW w:w="1193"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79"/>
              <w:ind w:left="4"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402" w:type="dxa"/>
            <w:tcBorders>
              <w:top w:val="single" w:sz="10" w:space="0" w:color="000000"/>
              <w:left w:val="single" w:sz="4" w:space="0" w:color="000000"/>
              <w:bottom w:val="nil" w:sz="6" w:space="0" w:color="auto"/>
              <w:right w:val="nil" w:sz="6" w:space="0" w:color="auto"/>
            </w:tcBorders>
          </w:tcPr>
          <w:p>
            <w:pPr>
              <w:pStyle w:val="TableParagraph"/>
              <w:spacing w:line="240" w:lineRule="auto" w:before="179"/>
              <w:ind w:right="59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80" w:hRule="exact"/>
        </w:trPr>
        <w:tc>
          <w:tcPr>
            <w:tcW w:w="4102"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上海静安城建配套发展公司</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4"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6"/>
              <w:jc w:val="right"/>
              <w:rPr>
                <w:rFonts w:ascii="Times New Roman" w:hAnsi="Times New Roman" w:cs="Times New Roman" w:eastAsia="Times New Roman" w:hint="default"/>
                <w:sz w:val="21"/>
                <w:szCs w:val="21"/>
              </w:rPr>
            </w:pPr>
            <w:r>
              <w:rPr>
                <w:rFonts w:ascii="Times New Roman"/>
                <w:spacing w:val="-1"/>
                <w:sz w:val="21"/>
              </w:rPr>
              <w:t>413,450.02</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4"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402"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59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80" w:hRule="exact"/>
        </w:trPr>
        <w:tc>
          <w:tcPr>
            <w:tcW w:w="4102"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安徽元一大酒店有限公司</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4"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6"/>
              <w:jc w:val="right"/>
              <w:rPr>
                <w:rFonts w:ascii="Times New Roman" w:hAnsi="Times New Roman" w:cs="Times New Roman" w:eastAsia="Times New Roman" w:hint="default"/>
                <w:sz w:val="21"/>
                <w:szCs w:val="21"/>
              </w:rPr>
            </w:pPr>
            <w:r>
              <w:rPr>
                <w:rFonts w:ascii="Times New Roman"/>
                <w:spacing w:val="-1"/>
                <w:sz w:val="21"/>
              </w:rPr>
              <w:t>23,350.60</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4"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402"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59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80" w:hRule="exact"/>
        </w:trPr>
        <w:tc>
          <w:tcPr>
            <w:tcW w:w="4102"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唐古拉旅游列车有限公司北京分公司</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4"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6"/>
              <w:jc w:val="right"/>
              <w:rPr>
                <w:rFonts w:ascii="Times New Roman" w:hAnsi="Times New Roman" w:cs="Times New Roman" w:eastAsia="Times New Roman" w:hint="default"/>
                <w:sz w:val="21"/>
                <w:szCs w:val="21"/>
              </w:rPr>
            </w:pPr>
            <w:r>
              <w:rPr>
                <w:rFonts w:ascii="Times New Roman"/>
                <w:spacing w:val="-1"/>
                <w:sz w:val="21"/>
              </w:rPr>
              <w:t>92,800.00</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4"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402"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59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4102" w:type="dxa"/>
            <w:tcBorders>
              <w:top w:val="nil" w:sz="6" w:space="0" w:color="auto"/>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迪庆松赞绿谷酒店有限公司</w:t>
            </w:r>
          </w:p>
        </w:tc>
        <w:tc>
          <w:tcPr>
            <w:tcW w:w="13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宋体" w:hAnsi="宋体" w:cs="宋体" w:eastAsia="宋体" w:hint="default"/>
                <w:sz w:val="21"/>
                <w:szCs w:val="21"/>
              </w:rPr>
            </w:pPr>
            <w:r>
              <w:rPr>
                <w:rFonts w:ascii="宋体" w:hAnsi="宋体" w:cs="宋体" w:eastAsia="宋体" w:hint="default"/>
                <w:sz w:val="21"/>
                <w:szCs w:val="21"/>
              </w:rPr>
              <w:t>销售收入</w:t>
            </w:r>
          </w:p>
        </w:tc>
        <w:tc>
          <w:tcPr>
            <w:tcW w:w="17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right="96"/>
              <w:jc w:val="right"/>
              <w:rPr>
                <w:rFonts w:ascii="Times New Roman" w:hAnsi="Times New Roman" w:cs="Times New Roman" w:eastAsia="Times New Roman" w:hint="default"/>
                <w:sz w:val="21"/>
                <w:szCs w:val="21"/>
              </w:rPr>
            </w:pPr>
            <w:r>
              <w:rPr>
                <w:rFonts w:ascii="Times New Roman"/>
                <w:spacing w:val="-1"/>
                <w:sz w:val="21"/>
              </w:rPr>
              <w:t>170,823.00</w:t>
            </w:r>
          </w:p>
        </w:tc>
        <w:tc>
          <w:tcPr>
            <w:tcW w:w="1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402" w:type="dxa"/>
            <w:tcBorders>
              <w:top w:val="nil" w:sz="6" w:space="0" w:color="auto"/>
              <w:left w:val="single" w:sz="4" w:space="0" w:color="000000"/>
              <w:bottom w:val="single" w:sz="4" w:space="0" w:color="000000"/>
              <w:right w:val="nil" w:sz="6" w:space="0" w:color="auto"/>
            </w:tcBorders>
          </w:tcPr>
          <w:p>
            <w:pPr>
              <w:pStyle w:val="TableParagraph"/>
              <w:spacing w:line="240" w:lineRule="auto" w:before="60"/>
              <w:ind w:right="590"/>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02" w:hRule="exact"/>
        </w:trPr>
        <w:tc>
          <w:tcPr>
            <w:tcW w:w="4102"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90" w:type="dxa"/>
            <w:tcBorders>
              <w:top w:val="single" w:sz="4" w:space="0" w:color="000000"/>
              <w:left w:val="single" w:sz="4" w:space="0" w:color="000000"/>
              <w:bottom w:val="single" w:sz="12" w:space="0" w:color="000000"/>
              <w:right w:val="single" w:sz="4" w:space="0" w:color="000000"/>
            </w:tcBorders>
          </w:tcPr>
          <w:p>
            <w:pPr/>
          </w:p>
        </w:tc>
        <w:tc>
          <w:tcPr>
            <w:tcW w:w="17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1,059,210.14</w:t>
            </w:r>
          </w:p>
        </w:tc>
        <w:tc>
          <w:tcPr>
            <w:tcW w:w="1193" w:type="dxa"/>
            <w:tcBorders>
              <w:top w:val="single" w:sz="4" w:space="0" w:color="000000"/>
              <w:left w:val="single" w:sz="4" w:space="0" w:color="000000"/>
              <w:bottom w:val="single" w:sz="12" w:space="0" w:color="000000"/>
              <w:right w:val="single" w:sz="4" w:space="0" w:color="000000"/>
            </w:tcBorders>
          </w:tcPr>
          <w:p>
            <w:pPr/>
          </w:p>
        </w:tc>
        <w:tc>
          <w:tcPr>
            <w:tcW w:w="140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10"/>
          <w:szCs w:val="10"/>
        </w:rPr>
      </w:pPr>
    </w:p>
    <w:p>
      <w:pPr>
        <w:pStyle w:val="BodyText"/>
        <w:spacing w:line="240" w:lineRule="auto" w:before="36"/>
        <w:ind w:left="652" w:right="0"/>
        <w:jc w:val="left"/>
      </w:pPr>
      <w:r>
        <w:rPr/>
        <w:t>（</w:t>
      </w:r>
      <w:r>
        <w:rPr>
          <w:rFonts w:ascii="Times New Roman" w:hAnsi="Times New Roman" w:cs="Times New Roman" w:eastAsia="Times New Roman" w:hint="default"/>
        </w:rPr>
        <w:t>5</w:t>
      </w:r>
      <w:r>
        <w:rPr/>
        <w:t>）应收账款中无持公司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）以上表决权股份的股东单位欠款。</w:t>
      </w:r>
    </w:p>
    <w:p>
      <w:pPr>
        <w:pStyle w:val="BodyText"/>
        <w:spacing w:line="240" w:lineRule="auto" w:before="189"/>
        <w:ind w:left="652" w:right="5418"/>
        <w:jc w:val="left"/>
      </w:pPr>
      <w:r>
        <w:rPr/>
        <w:t>（</w:t>
      </w:r>
      <w:r>
        <w:rPr>
          <w:rFonts w:ascii="Times New Roman" w:hAnsi="Times New Roman" w:cs="Times New Roman" w:eastAsia="Times New Roman" w:hint="default"/>
        </w:rPr>
        <w:t>6</w:t>
      </w:r>
      <w:r>
        <w:rPr/>
        <w:t>）应收账款金额前五名单位情况</w:t>
      </w:r>
    </w:p>
    <w:tbl>
      <w:tblPr>
        <w:tblW w:w="0" w:type="auto"/>
        <w:jc w:val="left"/>
        <w:tblInd w:w="110" w:type="dxa"/>
        <w:tblLayout w:type="fixed"/>
        <w:tblCellMar>
          <w:top w:w="0" w:type="dxa"/>
          <w:left w:w="0" w:type="dxa"/>
          <w:bottom w:w="0" w:type="dxa"/>
          <w:right w:w="0" w:type="dxa"/>
        </w:tblCellMar>
        <w:tblLook w:val="01E0"/>
      </w:tblPr>
      <w:tblGrid>
        <w:gridCol w:w="4500"/>
        <w:gridCol w:w="1190"/>
        <w:gridCol w:w="1584"/>
        <w:gridCol w:w="1193"/>
        <w:gridCol w:w="1402"/>
      </w:tblGrid>
      <w:tr>
        <w:trPr>
          <w:trHeight w:val="1459" w:hRule="exact"/>
        </w:trPr>
        <w:tc>
          <w:tcPr>
            <w:tcW w:w="4500" w:type="dxa"/>
            <w:tcBorders>
              <w:top w:val="single" w:sz="12" w:space="0" w:color="000000"/>
              <w:left w:val="nil" w:sz="6" w:space="0" w:color="auto"/>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90"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420" w:lineRule="auto" w:before="153"/>
              <w:ind w:left="376" w:right="163"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584"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3"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7"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402" w:type="dxa"/>
            <w:tcBorders>
              <w:top w:val="single" w:sz="12" w:space="0" w:color="000000"/>
              <w:left w:val="single" w:sz="6" w:space="0" w:color="000000"/>
              <w:bottom w:val="single" w:sz="4" w:space="0" w:color="000000"/>
              <w:right w:val="nil" w:sz="6" w:space="0" w:color="auto"/>
            </w:tcBorders>
          </w:tcPr>
          <w:p>
            <w:pPr>
              <w:pStyle w:val="TableParagraph"/>
              <w:spacing w:line="420" w:lineRule="auto" w:before="174"/>
              <w:ind w:left="170" w:right="168"/>
              <w:jc w:val="center"/>
              <w:rPr>
                <w:rFonts w:ascii="宋体" w:hAnsi="宋体" w:cs="宋体" w:eastAsia="宋体" w:hint="default"/>
                <w:sz w:val="21"/>
                <w:szCs w:val="21"/>
              </w:rPr>
            </w:pPr>
            <w:r>
              <w:rPr>
                <w:rFonts w:ascii="宋体" w:hAnsi="宋体" w:cs="宋体" w:eastAsia="宋体" w:hint="default"/>
                <w:sz w:val="21"/>
                <w:szCs w:val="21"/>
              </w:rPr>
              <w:t>占应收账款</w:t>
            </w:r>
            <w:r>
              <w:rPr>
                <w:rFonts w:ascii="宋体" w:hAnsi="宋体" w:cs="宋体" w:eastAsia="宋体" w:hint="default"/>
                <w:w w:val="100"/>
                <w:sz w:val="21"/>
                <w:szCs w:val="21"/>
              </w:rPr>
              <w:t> </w:t>
            </w:r>
            <w:r>
              <w:rPr>
                <w:rFonts w:ascii="宋体" w:hAnsi="宋体" w:cs="宋体" w:eastAsia="宋体" w:hint="default"/>
                <w:sz w:val="21"/>
                <w:szCs w:val="21"/>
              </w:rPr>
              <w:t>总额的比例</w:t>
            </w:r>
          </w:p>
          <w:p>
            <w:pPr>
              <w:pStyle w:val="TableParagraph"/>
              <w:spacing w:line="240" w:lineRule="auto" w:before="106"/>
              <w:ind w:right="2"/>
              <w:jc w:val="center"/>
              <w:rPr>
                <w:rFonts w:ascii="Times New Roman" w:hAnsi="Times New Roman" w:cs="Times New Roman" w:eastAsia="Times New Roman" w:hint="default"/>
                <w:sz w:val="21"/>
                <w:szCs w:val="21"/>
              </w:rPr>
            </w:pPr>
            <w:r>
              <w:rPr>
                <w:rFonts w:ascii="Times New Roman"/>
                <w:sz w:val="21"/>
              </w:rPr>
              <w:t>(%)</w:t>
            </w:r>
          </w:p>
        </w:tc>
      </w:tr>
      <w:tr>
        <w:trPr>
          <w:trHeight w:val="599" w:hRule="exact"/>
        </w:trPr>
        <w:tc>
          <w:tcPr>
            <w:tcW w:w="4500" w:type="dxa"/>
            <w:tcBorders>
              <w:top w:val="single" w:sz="4" w:space="0" w:color="000000"/>
              <w:left w:val="nil" w:sz="6" w:space="0" w:color="auto"/>
              <w:bottom w:val="nil" w:sz="6" w:space="0" w:color="auto"/>
              <w:right w:val="single" w:sz="6"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天津高银国际俱乐部有限公司</w:t>
            </w:r>
          </w:p>
        </w:tc>
        <w:tc>
          <w:tcPr>
            <w:tcW w:w="1190"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4"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4,197,857.00</w:t>
            </w:r>
          </w:p>
        </w:tc>
        <w:tc>
          <w:tcPr>
            <w:tcW w:w="1193"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02" w:type="dxa"/>
            <w:tcBorders>
              <w:top w:val="single" w:sz="4" w:space="0" w:color="000000"/>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23.41</w:t>
            </w:r>
          </w:p>
        </w:tc>
      </w:tr>
      <w:tr>
        <w:trPr>
          <w:trHeight w:val="480" w:hRule="exact"/>
        </w:trPr>
        <w:tc>
          <w:tcPr>
            <w:tcW w:w="4500"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中国工商银行股份有限公司总行</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right="93"/>
              <w:jc w:val="right"/>
              <w:rPr>
                <w:rFonts w:ascii="Times New Roman" w:hAnsi="Times New Roman" w:cs="Times New Roman" w:eastAsia="Times New Roman" w:hint="default"/>
                <w:sz w:val="21"/>
                <w:szCs w:val="21"/>
              </w:rPr>
            </w:pPr>
            <w:r>
              <w:rPr>
                <w:rFonts w:ascii="Times New Roman"/>
                <w:spacing w:val="-1"/>
                <w:sz w:val="21"/>
              </w:rPr>
              <w:t>2,380,000.00</w:t>
            </w:r>
          </w:p>
        </w:tc>
        <w:tc>
          <w:tcPr>
            <w:tcW w:w="1193"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02" w:type="dxa"/>
            <w:tcBorders>
              <w:top w:val="nil" w:sz="6" w:space="0" w:color="auto"/>
              <w:left w:val="single" w:sz="6" w:space="0" w:color="000000"/>
              <w:bottom w:val="nil" w:sz="6" w:space="0" w:color="auto"/>
              <w:right w:val="nil" w:sz="6" w:space="0" w:color="auto"/>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sz w:val="21"/>
              </w:rPr>
              <w:t>13.27</w:t>
            </w:r>
          </w:p>
        </w:tc>
      </w:tr>
      <w:tr>
        <w:trPr>
          <w:trHeight w:val="480" w:hRule="exact"/>
        </w:trPr>
        <w:tc>
          <w:tcPr>
            <w:tcW w:w="4500"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广州中环鼎业信息系统有限公司</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right="93"/>
              <w:jc w:val="right"/>
              <w:rPr>
                <w:rFonts w:ascii="Times New Roman" w:hAnsi="Times New Roman" w:cs="Times New Roman" w:eastAsia="Times New Roman" w:hint="default"/>
                <w:sz w:val="21"/>
                <w:szCs w:val="21"/>
              </w:rPr>
            </w:pPr>
            <w:r>
              <w:rPr>
                <w:rFonts w:ascii="Times New Roman"/>
                <w:spacing w:val="-1"/>
                <w:sz w:val="21"/>
              </w:rPr>
              <w:t>1,620,000.00</w:t>
            </w:r>
          </w:p>
        </w:tc>
        <w:tc>
          <w:tcPr>
            <w:tcW w:w="1193"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402" w:type="dxa"/>
            <w:tcBorders>
              <w:top w:val="nil" w:sz="6" w:space="0" w:color="auto"/>
              <w:left w:val="single" w:sz="6" w:space="0" w:color="000000"/>
              <w:bottom w:val="nil" w:sz="6" w:space="0" w:color="auto"/>
              <w:right w:val="nil" w:sz="6" w:space="0" w:color="auto"/>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sz w:val="21"/>
              </w:rPr>
              <w:t>9.04</w:t>
            </w:r>
          </w:p>
        </w:tc>
      </w:tr>
      <w:tr>
        <w:trPr>
          <w:trHeight w:val="480" w:hRule="exact"/>
        </w:trPr>
        <w:tc>
          <w:tcPr>
            <w:tcW w:w="4500"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中国工商银行股份有限公司珠海开发中心</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right="95"/>
              <w:jc w:val="right"/>
              <w:rPr>
                <w:rFonts w:ascii="Times New Roman" w:hAnsi="Times New Roman" w:cs="Times New Roman" w:eastAsia="Times New Roman" w:hint="default"/>
                <w:sz w:val="21"/>
                <w:szCs w:val="21"/>
              </w:rPr>
            </w:pPr>
            <w:r>
              <w:rPr>
                <w:rFonts w:ascii="Times New Roman"/>
                <w:spacing w:val="-1"/>
                <w:sz w:val="21"/>
              </w:rPr>
              <w:t>728,000.00</w:t>
            </w:r>
          </w:p>
        </w:tc>
        <w:tc>
          <w:tcPr>
            <w:tcW w:w="1193"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02" w:type="dxa"/>
            <w:tcBorders>
              <w:top w:val="nil" w:sz="6" w:space="0" w:color="auto"/>
              <w:left w:val="single" w:sz="6" w:space="0" w:color="000000"/>
              <w:bottom w:val="nil" w:sz="6" w:space="0" w:color="auto"/>
              <w:right w:val="nil" w:sz="6" w:space="0" w:color="auto"/>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sz w:val="21"/>
              </w:rPr>
              <w:t>4.06</w:t>
            </w:r>
          </w:p>
        </w:tc>
      </w:tr>
      <w:tr>
        <w:trPr>
          <w:trHeight w:val="370" w:hRule="exact"/>
        </w:trPr>
        <w:tc>
          <w:tcPr>
            <w:tcW w:w="4500" w:type="dxa"/>
            <w:tcBorders>
              <w:top w:val="nil" w:sz="6" w:space="0" w:color="auto"/>
              <w:left w:val="nil" w:sz="6" w:space="0" w:color="auto"/>
              <w:bottom w:val="single" w:sz="4" w:space="0" w:color="000000"/>
              <w:right w:val="single" w:sz="6"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星巴克企业管理（中国）有限公司</w:t>
            </w:r>
          </w:p>
        </w:tc>
        <w:tc>
          <w:tcPr>
            <w:tcW w:w="1190"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60"/>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4"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19"/>
              <w:ind w:right="94"/>
              <w:jc w:val="right"/>
              <w:rPr>
                <w:rFonts w:ascii="Times New Roman" w:hAnsi="Times New Roman" w:cs="Times New Roman" w:eastAsia="Times New Roman" w:hint="default"/>
                <w:sz w:val="21"/>
                <w:szCs w:val="21"/>
              </w:rPr>
            </w:pPr>
            <w:r>
              <w:rPr>
                <w:rFonts w:ascii="Times New Roman"/>
                <w:spacing w:val="-1"/>
                <w:sz w:val="21"/>
              </w:rPr>
              <w:t>557,888.49</w:t>
            </w:r>
          </w:p>
        </w:tc>
        <w:tc>
          <w:tcPr>
            <w:tcW w:w="1193"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6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402" w:type="dxa"/>
            <w:tcBorders>
              <w:top w:val="nil" w:sz="6" w:space="0" w:color="auto"/>
              <w:left w:val="single" w:sz="6" w:space="0" w:color="000000"/>
              <w:bottom w:val="single" w:sz="4" w:space="0" w:color="000000"/>
              <w:right w:val="nil" w:sz="6" w:space="0" w:color="auto"/>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sz w:val="21"/>
              </w:rPr>
              <w:t>3.11</w:t>
            </w:r>
          </w:p>
        </w:tc>
      </w:tr>
      <w:tr>
        <w:trPr>
          <w:trHeight w:val="502" w:hRule="exact"/>
        </w:trPr>
        <w:tc>
          <w:tcPr>
            <w:tcW w:w="4500" w:type="dxa"/>
            <w:tcBorders>
              <w:top w:val="single" w:sz="4" w:space="0" w:color="000000"/>
              <w:left w:val="nil" w:sz="6" w:space="0" w:color="auto"/>
              <w:bottom w:val="single" w:sz="12" w:space="0" w:color="000000"/>
              <w:right w:val="single" w:sz="6" w:space="0" w:color="000000"/>
            </w:tcBorders>
          </w:tcPr>
          <w:p>
            <w:pPr>
              <w:pStyle w:val="TableParagraph"/>
              <w:tabs>
                <w:tab w:pos="652" w:val="left" w:leader="none"/>
              </w:tabs>
              <w:spacing w:line="240" w:lineRule="auto" w:before="177"/>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90" w:type="dxa"/>
            <w:tcBorders>
              <w:top w:val="single" w:sz="4" w:space="0" w:color="000000"/>
              <w:left w:val="single" w:sz="6" w:space="0" w:color="000000"/>
              <w:bottom w:val="single" w:sz="12" w:space="0" w:color="000000"/>
              <w:right w:val="single" w:sz="6" w:space="0" w:color="000000"/>
            </w:tcBorders>
          </w:tcPr>
          <w:p>
            <w:pPr/>
          </w:p>
        </w:tc>
        <w:tc>
          <w:tcPr>
            <w:tcW w:w="1584"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9,483,745.49</w:t>
            </w:r>
          </w:p>
        </w:tc>
        <w:tc>
          <w:tcPr>
            <w:tcW w:w="1193" w:type="dxa"/>
            <w:tcBorders>
              <w:top w:val="single" w:sz="4" w:space="0" w:color="000000"/>
              <w:left w:val="single" w:sz="6" w:space="0" w:color="000000"/>
              <w:bottom w:val="single" w:sz="12" w:space="0" w:color="000000"/>
              <w:right w:val="single" w:sz="6" w:space="0" w:color="000000"/>
            </w:tcBorders>
          </w:tcPr>
          <w:p>
            <w:pPr/>
          </w:p>
        </w:tc>
        <w:tc>
          <w:tcPr>
            <w:tcW w:w="1402"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52.89</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36"/>
        <w:ind w:left="652" w:right="5418"/>
        <w:jc w:val="left"/>
      </w:pPr>
      <w:r>
        <w:rPr>
          <w:rFonts w:ascii="Times New Roman" w:hAnsi="Times New Roman" w:cs="Times New Roman" w:eastAsia="Times New Roman" w:hint="default"/>
        </w:rPr>
        <w:t>2</w:t>
      </w:r>
      <w:r>
        <w:rPr/>
        <w:t>．其他应收款</w:t>
      </w:r>
    </w:p>
    <w:p>
      <w:pPr>
        <w:pStyle w:val="BodyText"/>
        <w:spacing w:line="240" w:lineRule="auto" w:before="189"/>
        <w:ind w:left="652" w:right="5418"/>
        <w:jc w:val="left"/>
      </w:pPr>
      <w:r>
        <w:rPr/>
        <w:t>（</w:t>
      </w:r>
      <w:r>
        <w:rPr>
          <w:rFonts w:ascii="Times New Roman" w:hAnsi="Times New Roman" w:cs="Times New Roman" w:eastAsia="Times New Roman" w:hint="default"/>
        </w:rPr>
        <w:t>1</w:t>
      </w:r>
      <w:r>
        <w:rPr/>
        <w:t>）其他应收款按种类披露：</w:t>
      </w:r>
    </w:p>
    <w:tbl>
      <w:tblPr>
        <w:tblW w:w="0" w:type="auto"/>
        <w:jc w:val="left"/>
        <w:tblInd w:w="110" w:type="dxa"/>
        <w:tblLayout w:type="fixed"/>
        <w:tblCellMar>
          <w:top w:w="0" w:type="dxa"/>
          <w:left w:w="0" w:type="dxa"/>
          <w:bottom w:w="0" w:type="dxa"/>
          <w:right w:w="0" w:type="dxa"/>
        </w:tblCellMar>
        <w:tblLook w:val="01E0"/>
      </w:tblPr>
      <w:tblGrid>
        <w:gridCol w:w="4306"/>
        <w:gridCol w:w="1699"/>
        <w:gridCol w:w="1082"/>
        <w:gridCol w:w="1702"/>
        <w:gridCol w:w="1080"/>
      </w:tblGrid>
      <w:tr>
        <w:trPr>
          <w:trHeight w:val="502" w:hRule="exact"/>
        </w:trPr>
        <w:tc>
          <w:tcPr>
            <w:tcW w:w="430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648" w:val="left" w:leader="none"/>
              </w:tabs>
              <w:spacing w:line="240" w:lineRule="auto" w:before="143"/>
              <w:ind w:left="16"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556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90" w:hRule="exact"/>
        </w:trPr>
        <w:tc>
          <w:tcPr>
            <w:tcW w:w="4306" w:type="dxa"/>
            <w:vMerge/>
            <w:tcBorders>
              <w:left w:val="nil" w:sz="6" w:space="0" w:color="auto"/>
              <w:right w:val="single" w:sz="4" w:space="0" w:color="000000"/>
            </w:tcBorders>
          </w:tcPr>
          <w:p>
            <w:pPr/>
          </w:p>
        </w:tc>
        <w:tc>
          <w:tcPr>
            <w:tcW w:w="2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8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0" w:hRule="exact"/>
        </w:trPr>
        <w:tc>
          <w:tcPr>
            <w:tcW w:w="4306" w:type="dxa"/>
            <w:vMerge/>
            <w:tcBorders>
              <w:left w:val="nil" w:sz="6" w:space="0" w:color="auto"/>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s>
              <w:spacing w:line="240" w:lineRule="auto" w:before="174"/>
              <w:ind w:left="53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tabs>
                <w:tab w:pos="955" w:val="left" w:leader="none"/>
              </w:tabs>
              <w:spacing w:line="240" w:lineRule="auto" w:before="174"/>
              <w:ind w:left="53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1069" w:hRule="exact"/>
        </w:trPr>
        <w:tc>
          <w:tcPr>
            <w:tcW w:w="4306" w:type="dxa"/>
            <w:tcBorders>
              <w:top w:val="single" w:sz="4" w:space="0" w:color="000000"/>
              <w:left w:val="nil" w:sz="6" w:space="0" w:color="auto"/>
              <w:bottom w:val="nil" w:sz="6" w:space="0" w:color="auto"/>
              <w:right w:val="single" w:sz="4" w:space="0" w:color="000000"/>
            </w:tcBorders>
          </w:tcPr>
          <w:p>
            <w:pPr>
              <w:pStyle w:val="TableParagraph"/>
              <w:spacing w:line="396" w:lineRule="auto" w:before="174"/>
              <w:ind w:left="122" w:right="98"/>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、单项金额重大并单项计提坏账准备的其他</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应收款</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73" w:right="0"/>
              <w:jc w:val="left"/>
              <w:rPr>
                <w:rFonts w:ascii="Times New Roman" w:hAnsi="Times New Roman" w:cs="Times New Roman" w:eastAsia="Times New Roman" w:hint="default"/>
                <w:sz w:val="21"/>
                <w:szCs w:val="21"/>
              </w:rPr>
            </w:pPr>
            <w:r>
              <w:rPr>
                <w:rFonts w:ascii="Times New Roman"/>
                <w:sz w:val="21"/>
              </w:rPr>
              <w:t>212,553,175.51</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49" w:right="0"/>
              <w:jc w:val="left"/>
              <w:rPr>
                <w:rFonts w:ascii="Times New Roman" w:hAnsi="Times New Roman" w:cs="Times New Roman" w:eastAsia="Times New Roman" w:hint="default"/>
                <w:sz w:val="21"/>
                <w:szCs w:val="21"/>
              </w:rPr>
            </w:pPr>
            <w:r>
              <w:rPr>
                <w:rFonts w:ascii="Times New Roman"/>
                <w:sz w:val="21"/>
              </w:rPr>
              <w:t>100.00</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391" w:right="0"/>
              <w:jc w:val="left"/>
              <w:rPr>
                <w:rFonts w:ascii="Times New Roman" w:hAnsi="Times New Roman" w:cs="Times New Roman" w:eastAsia="Times New Roman" w:hint="default"/>
                <w:sz w:val="21"/>
                <w:szCs w:val="21"/>
              </w:rPr>
            </w:pPr>
            <w:r>
              <w:rPr>
                <w:rFonts w:ascii="Times New Roman"/>
                <w:sz w:val="21"/>
              </w:rPr>
              <w:t>11,057,659.01</w:t>
            </w:r>
          </w:p>
        </w:tc>
        <w:tc>
          <w:tcPr>
            <w:tcW w:w="108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350" w:right="0"/>
              <w:jc w:val="left"/>
              <w:rPr>
                <w:rFonts w:ascii="Times New Roman" w:hAnsi="Times New Roman" w:cs="Times New Roman" w:eastAsia="Times New Roman" w:hint="default"/>
                <w:sz w:val="21"/>
                <w:szCs w:val="21"/>
              </w:rPr>
            </w:pPr>
            <w:r>
              <w:rPr>
                <w:rFonts w:ascii="Times New Roman"/>
                <w:sz w:val="21"/>
              </w:rPr>
              <w:t>5.20</w:t>
            </w:r>
          </w:p>
        </w:tc>
      </w:tr>
      <w:tr>
        <w:trPr>
          <w:trHeight w:val="486" w:hRule="exact"/>
        </w:trPr>
        <w:tc>
          <w:tcPr>
            <w:tcW w:w="4306"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、按组合计提坏账准备的其他应收款：</w:t>
            </w:r>
          </w:p>
        </w:tc>
        <w:tc>
          <w:tcPr>
            <w:tcW w:w="1699" w:type="dxa"/>
            <w:vMerge/>
            <w:tcBorders>
              <w:left w:val="single" w:sz="4" w:space="0" w:color="000000"/>
              <w:right w:val="single" w:sz="4" w:space="0" w:color="000000"/>
            </w:tcBorders>
          </w:tcPr>
          <w:p>
            <w:pPr/>
          </w:p>
        </w:tc>
        <w:tc>
          <w:tcPr>
            <w:tcW w:w="1082"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080" w:type="dxa"/>
            <w:vMerge/>
            <w:tcBorders>
              <w:left w:val="single" w:sz="4" w:space="0" w:color="000000"/>
              <w:right w:val="nil" w:sz="6" w:space="0" w:color="auto"/>
            </w:tcBorders>
          </w:tcPr>
          <w:p>
            <w:pPr/>
          </w:p>
        </w:tc>
      </w:tr>
      <w:tr>
        <w:trPr>
          <w:trHeight w:val="855" w:hRule="exact"/>
        </w:trPr>
        <w:tc>
          <w:tcPr>
            <w:tcW w:w="4306" w:type="dxa"/>
            <w:tcBorders>
              <w:top w:val="nil" w:sz="6" w:space="0" w:color="auto"/>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、单项金额不重大但单项计提坏账准备的其</w:t>
            </w:r>
          </w:p>
          <w:p>
            <w:pPr>
              <w:pStyle w:val="TableParagraph"/>
              <w:spacing w:line="240" w:lineRule="auto" w:before="189"/>
              <w:ind w:left="122" w:right="0"/>
              <w:jc w:val="left"/>
              <w:rPr>
                <w:rFonts w:ascii="宋体" w:hAnsi="宋体" w:cs="宋体" w:eastAsia="宋体" w:hint="default"/>
                <w:sz w:val="21"/>
                <w:szCs w:val="21"/>
              </w:rPr>
            </w:pPr>
            <w:r>
              <w:rPr>
                <w:rFonts w:ascii="宋体" w:hAnsi="宋体" w:cs="宋体" w:eastAsia="宋体" w:hint="default"/>
                <w:sz w:val="21"/>
                <w:szCs w:val="21"/>
              </w:rPr>
              <w:t>他应收款</w:t>
            </w:r>
          </w:p>
        </w:tc>
        <w:tc>
          <w:tcPr>
            <w:tcW w:w="1699"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nil" w:sz="6" w:space="0" w:color="auto"/>
            </w:tcBorders>
          </w:tcPr>
          <w:p>
            <w:pPr/>
          </w:p>
        </w:tc>
      </w:tr>
      <w:tr>
        <w:trPr>
          <w:trHeight w:val="502" w:hRule="exact"/>
        </w:trPr>
        <w:tc>
          <w:tcPr>
            <w:tcW w:w="4306" w:type="dxa"/>
            <w:tcBorders>
              <w:top w:val="single" w:sz="4" w:space="0" w:color="000000"/>
              <w:left w:val="nil" w:sz="6" w:space="0" w:color="auto"/>
              <w:bottom w:val="single" w:sz="12" w:space="0" w:color="000000"/>
              <w:right w:val="single" w:sz="4" w:space="0" w:color="000000"/>
            </w:tcBorders>
          </w:tcPr>
          <w:p>
            <w:pPr>
              <w:pStyle w:val="TableParagraph"/>
              <w:tabs>
                <w:tab w:pos="647" w:val="left" w:leader="none"/>
              </w:tabs>
              <w:spacing w:line="240" w:lineRule="auto" w:before="174"/>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73" w:right="0"/>
              <w:jc w:val="left"/>
              <w:rPr>
                <w:rFonts w:ascii="Times New Roman" w:hAnsi="Times New Roman" w:cs="Times New Roman" w:eastAsia="Times New Roman" w:hint="default"/>
                <w:sz w:val="21"/>
                <w:szCs w:val="21"/>
              </w:rPr>
            </w:pPr>
            <w:r>
              <w:rPr>
                <w:rFonts w:ascii="Times New Roman"/>
                <w:sz w:val="21"/>
              </w:rPr>
              <w:t>212,553,175.51</w:t>
            </w:r>
          </w:p>
        </w:tc>
        <w:tc>
          <w:tcPr>
            <w:tcW w:w="1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100.00</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91" w:right="0"/>
              <w:jc w:val="left"/>
              <w:rPr>
                <w:rFonts w:ascii="Times New Roman" w:hAnsi="Times New Roman" w:cs="Times New Roman" w:eastAsia="Times New Roman" w:hint="default"/>
                <w:sz w:val="21"/>
                <w:szCs w:val="21"/>
              </w:rPr>
            </w:pPr>
            <w:r>
              <w:rPr>
                <w:rFonts w:ascii="Times New Roman"/>
                <w:sz w:val="21"/>
              </w:rPr>
              <w:t>11,057,659.01</w:t>
            </w:r>
          </w:p>
        </w:tc>
        <w:tc>
          <w:tcPr>
            <w:tcW w:w="10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5.20</w:t>
            </w:r>
          </w:p>
        </w:tc>
      </w:tr>
    </w:tbl>
    <w:p>
      <w:pPr>
        <w:spacing w:after="0" w:line="240" w:lineRule="auto"/>
        <w:jc w:val="center"/>
        <w:rPr>
          <w:rFonts w:ascii="Times New Roman" w:hAnsi="Times New Roman" w:cs="Times New Roman" w:eastAsia="Times New Roman" w:hint="default"/>
          <w:sz w:val="21"/>
          <w:szCs w:val="21"/>
        </w:rPr>
        <w:sectPr>
          <w:pgSz w:w="11910" w:h="16840"/>
          <w:pgMar w:header="850" w:footer="979" w:top="1200" w:bottom="1160" w:left="900" w:right="920"/>
        </w:sectPr>
      </w:pPr>
    </w:p>
    <w:p>
      <w:pPr>
        <w:spacing w:line="240" w:lineRule="auto" w:before="10"/>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4303"/>
        <w:gridCol w:w="1699"/>
        <w:gridCol w:w="1082"/>
        <w:gridCol w:w="1704"/>
        <w:gridCol w:w="1080"/>
      </w:tblGrid>
      <w:tr>
        <w:trPr>
          <w:trHeight w:val="499" w:hRule="exact"/>
        </w:trPr>
        <w:tc>
          <w:tcPr>
            <w:tcW w:w="430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650" w:val="left" w:leader="none"/>
              </w:tabs>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556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2" w:hRule="exact"/>
        </w:trPr>
        <w:tc>
          <w:tcPr>
            <w:tcW w:w="4303" w:type="dxa"/>
            <w:vMerge/>
            <w:tcBorders>
              <w:left w:val="nil" w:sz="6" w:space="0" w:color="auto"/>
              <w:right w:val="single" w:sz="4" w:space="0" w:color="000000"/>
            </w:tcBorders>
          </w:tcPr>
          <w:p>
            <w:pPr/>
          </w:p>
        </w:tc>
        <w:tc>
          <w:tcPr>
            <w:tcW w:w="2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8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0" w:hRule="exact"/>
        </w:trPr>
        <w:tc>
          <w:tcPr>
            <w:tcW w:w="4303" w:type="dxa"/>
            <w:vMerge/>
            <w:tcBorders>
              <w:left w:val="nil" w:sz="6" w:space="0" w:color="auto"/>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tabs>
                <w:tab w:pos="955" w:val="left" w:leader="none"/>
              </w:tabs>
              <w:spacing w:line="240" w:lineRule="auto" w:before="174"/>
              <w:ind w:left="53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1069" w:hRule="exact"/>
        </w:trPr>
        <w:tc>
          <w:tcPr>
            <w:tcW w:w="4303" w:type="dxa"/>
            <w:tcBorders>
              <w:top w:val="single" w:sz="4" w:space="0" w:color="000000"/>
              <w:left w:val="nil" w:sz="6" w:space="0" w:color="auto"/>
              <w:bottom w:val="nil" w:sz="6" w:space="0" w:color="auto"/>
              <w:right w:val="single" w:sz="4" w:space="0" w:color="000000"/>
            </w:tcBorders>
          </w:tcPr>
          <w:p>
            <w:pPr>
              <w:pStyle w:val="TableParagraph"/>
              <w:spacing w:line="396" w:lineRule="auto" w:before="174"/>
              <w:ind w:left="122" w:right="98"/>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、单项金额重大并单项计提坏账准备的其他</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应收款</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42" w:right="0"/>
              <w:jc w:val="left"/>
              <w:rPr>
                <w:rFonts w:ascii="Times New Roman" w:hAnsi="Times New Roman" w:cs="Times New Roman" w:eastAsia="Times New Roman" w:hint="default"/>
                <w:sz w:val="21"/>
                <w:szCs w:val="21"/>
              </w:rPr>
            </w:pPr>
            <w:r>
              <w:rPr>
                <w:rFonts w:ascii="Times New Roman"/>
                <w:sz w:val="21"/>
              </w:rPr>
              <w:t>60,254,512.20</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49" w:right="0"/>
              <w:jc w:val="left"/>
              <w:rPr>
                <w:rFonts w:ascii="Times New Roman" w:hAnsi="Times New Roman" w:cs="Times New Roman" w:eastAsia="Times New Roman" w:hint="default"/>
                <w:sz w:val="21"/>
                <w:szCs w:val="21"/>
              </w:rPr>
            </w:pPr>
            <w:r>
              <w:rPr>
                <w:rFonts w:ascii="Times New Roman"/>
                <w:sz w:val="21"/>
              </w:rPr>
              <w:t>100.00</w:t>
            </w:r>
          </w:p>
        </w:tc>
        <w:tc>
          <w:tcPr>
            <w:tcW w:w="1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492" w:right="0"/>
              <w:jc w:val="left"/>
              <w:rPr>
                <w:rFonts w:ascii="Times New Roman" w:hAnsi="Times New Roman" w:cs="Times New Roman" w:eastAsia="Times New Roman" w:hint="default"/>
                <w:sz w:val="21"/>
                <w:szCs w:val="21"/>
              </w:rPr>
            </w:pPr>
            <w:r>
              <w:rPr>
                <w:rFonts w:ascii="Times New Roman"/>
                <w:sz w:val="21"/>
              </w:rPr>
              <w:t>3,383,713.86</w:t>
            </w:r>
          </w:p>
        </w:tc>
        <w:tc>
          <w:tcPr>
            <w:tcW w:w="108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350" w:right="0"/>
              <w:jc w:val="left"/>
              <w:rPr>
                <w:rFonts w:ascii="Times New Roman" w:hAnsi="Times New Roman" w:cs="Times New Roman" w:eastAsia="Times New Roman" w:hint="default"/>
                <w:sz w:val="21"/>
                <w:szCs w:val="21"/>
              </w:rPr>
            </w:pPr>
            <w:r>
              <w:rPr>
                <w:rFonts w:ascii="Times New Roman"/>
                <w:sz w:val="21"/>
              </w:rPr>
              <w:t>5.62</w:t>
            </w:r>
          </w:p>
        </w:tc>
      </w:tr>
      <w:tr>
        <w:trPr>
          <w:trHeight w:val="486" w:hRule="exact"/>
        </w:trPr>
        <w:tc>
          <w:tcPr>
            <w:tcW w:w="4303"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、按组合计提坏账准备的其他应收款：</w:t>
            </w:r>
          </w:p>
        </w:tc>
        <w:tc>
          <w:tcPr>
            <w:tcW w:w="1699" w:type="dxa"/>
            <w:vMerge/>
            <w:tcBorders>
              <w:left w:val="single" w:sz="4" w:space="0" w:color="000000"/>
              <w:right w:val="single" w:sz="4" w:space="0" w:color="000000"/>
            </w:tcBorders>
          </w:tcPr>
          <w:p>
            <w:pPr/>
          </w:p>
        </w:tc>
        <w:tc>
          <w:tcPr>
            <w:tcW w:w="1082" w:type="dxa"/>
            <w:vMerge/>
            <w:tcBorders>
              <w:left w:val="single" w:sz="4" w:space="0" w:color="000000"/>
              <w:right w:val="single" w:sz="4" w:space="0" w:color="000000"/>
            </w:tcBorders>
          </w:tcPr>
          <w:p>
            <w:pPr/>
          </w:p>
        </w:tc>
        <w:tc>
          <w:tcPr>
            <w:tcW w:w="1704" w:type="dxa"/>
            <w:vMerge/>
            <w:tcBorders>
              <w:left w:val="single" w:sz="4" w:space="0" w:color="000000"/>
              <w:right w:val="single" w:sz="4" w:space="0" w:color="000000"/>
            </w:tcBorders>
          </w:tcPr>
          <w:p>
            <w:pPr/>
          </w:p>
        </w:tc>
        <w:tc>
          <w:tcPr>
            <w:tcW w:w="1080" w:type="dxa"/>
            <w:vMerge/>
            <w:tcBorders>
              <w:left w:val="single" w:sz="4" w:space="0" w:color="000000"/>
              <w:right w:val="nil" w:sz="6" w:space="0" w:color="auto"/>
            </w:tcBorders>
          </w:tcPr>
          <w:p>
            <w:pPr/>
          </w:p>
        </w:tc>
      </w:tr>
      <w:tr>
        <w:trPr>
          <w:trHeight w:val="855" w:hRule="exact"/>
        </w:trPr>
        <w:tc>
          <w:tcPr>
            <w:tcW w:w="4303" w:type="dxa"/>
            <w:tcBorders>
              <w:top w:val="nil" w:sz="6" w:space="0" w:color="auto"/>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、单项金额不重大但单项计提坏账准备的其</w:t>
            </w:r>
          </w:p>
          <w:p>
            <w:pPr>
              <w:pStyle w:val="TableParagraph"/>
              <w:spacing w:line="240" w:lineRule="auto" w:before="189"/>
              <w:ind w:left="122" w:right="0"/>
              <w:jc w:val="left"/>
              <w:rPr>
                <w:rFonts w:ascii="宋体" w:hAnsi="宋体" w:cs="宋体" w:eastAsia="宋体" w:hint="default"/>
                <w:sz w:val="21"/>
                <w:szCs w:val="21"/>
              </w:rPr>
            </w:pPr>
            <w:r>
              <w:rPr>
                <w:rFonts w:ascii="宋体" w:hAnsi="宋体" w:cs="宋体" w:eastAsia="宋体" w:hint="default"/>
                <w:sz w:val="21"/>
                <w:szCs w:val="21"/>
              </w:rPr>
              <w:t>他应收款</w:t>
            </w:r>
          </w:p>
        </w:tc>
        <w:tc>
          <w:tcPr>
            <w:tcW w:w="1699"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nil" w:sz="6" w:space="0" w:color="auto"/>
            </w:tcBorders>
          </w:tcPr>
          <w:p>
            <w:pPr/>
          </w:p>
        </w:tc>
      </w:tr>
      <w:tr>
        <w:trPr>
          <w:trHeight w:val="502" w:hRule="exact"/>
        </w:trPr>
        <w:tc>
          <w:tcPr>
            <w:tcW w:w="4303"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60,254,512.20</w:t>
            </w:r>
          </w:p>
        </w:tc>
        <w:tc>
          <w:tcPr>
            <w:tcW w:w="1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100.00</w:t>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92" w:right="0"/>
              <w:jc w:val="left"/>
              <w:rPr>
                <w:rFonts w:ascii="Times New Roman" w:hAnsi="Times New Roman" w:cs="Times New Roman" w:eastAsia="Times New Roman" w:hint="default"/>
                <w:sz w:val="21"/>
                <w:szCs w:val="21"/>
              </w:rPr>
            </w:pPr>
            <w:r>
              <w:rPr>
                <w:rFonts w:ascii="Times New Roman"/>
                <w:sz w:val="21"/>
              </w:rPr>
              <w:t>3,383,713.86</w:t>
            </w:r>
          </w:p>
        </w:tc>
        <w:tc>
          <w:tcPr>
            <w:tcW w:w="10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5.62</w:t>
            </w:r>
          </w:p>
        </w:tc>
      </w:tr>
    </w:tbl>
    <w:p>
      <w:pPr>
        <w:spacing w:line="240" w:lineRule="auto" w:before="8"/>
        <w:rPr>
          <w:rFonts w:ascii="宋体" w:hAnsi="宋体" w:cs="宋体" w:eastAsia="宋体" w:hint="default"/>
          <w:sz w:val="10"/>
          <w:szCs w:val="10"/>
        </w:rPr>
      </w:pPr>
    </w:p>
    <w:p>
      <w:pPr>
        <w:pStyle w:val="BodyText"/>
        <w:spacing w:line="396" w:lineRule="auto" w:before="36"/>
        <w:ind w:left="652" w:right="2012"/>
        <w:jc w:val="left"/>
      </w:pPr>
      <w:r>
        <w:rPr/>
        <w:pict>
          <v:shape style="position:absolute;margin-left:50.52pt;margin-top:41.063644pt;width:493.45pt;height:196.95pt;mso-position-horizontal-relative:page;mso-position-vertical-relative:paragraph;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3"/>
                    <w:gridCol w:w="2290"/>
                    <w:gridCol w:w="1872"/>
                    <w:gridCol w:w="2654"/>
                  </w:tblGrid>
                  <w:tr>
                    <w:trPr>
                      <w:trHeight w:val="499" w:hRule="exact"/>
                    </w:trPr>
                    <w:tc>
                      <w:tcPr>
                        <w:tcW w:w="305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653" w:val="left" w:leader="none"/>
                          </w:tabs>
                          <w:spacing w:line="240" w:lineRule="auto" w:before="141"/>
                          <w:ind w:left="21"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681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74"/>
                          <w:ind w:left="3"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90" w:hRule="exact"/>
                    </w:trPr>
                    <w:tc>
                      <w:tcPr>
                        <w:tcW w:w="3053" w:type="dxa"/>
                        <w:vMerge/>
                        <w:tcBorders>
                          <w:left w:val="nil" w:sz="6" w:space="0" w:color="auto"/>
                          <w:right w:val="single" w:sz="4" w:space="0" w:color="000000"/>
                        </w:tcBorders>
                      </w:tcPr>
                      <w:p>
                        <w:pPr/>
                      </w:p>
                    </w:tc>
                    <w:tc>
                      <w:tcPr>
                        <w:tcW w:w="4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0" w:hRule="exact"/>
                    </w:trPr>
                    <w:tc>
                      <w:tcPr>
                        <w:tcW w:w="3053" w:type="dxa"/>
                        <w:vMerge/>
                        <w:tcBorders>
                          <w:left w:val="nil" w:sz="6" w:space="0" w:color="auto"/>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tabs>
                            <w:tab w:pos="427" w:val="left" w:leader="none"/>
                          </w:tabs>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56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4" w:type="dxa"/>
                        <w:vMerge/>
                        <w:tcBorders>
                          <w:left w:val="single" w:sz="4" w:space="0" w:color="000000"/>
                          <w:bottom w:val="single" w:sz="4" w:space="0" w:color="000000"/>
                          <w:right w:val="nil" w:sz="6" w:space="0" w:color="auto"/>
                        </w:tcBorders>
                      </w:tcPr>
                      <w:p>
                        <w:pPr/>
                      </w:p>
                    </w:tc>
                  </w:tr>
                  <w:tr>
                    <w:trPr>
                      <w:trHeight w:val="602" w:hRule="exact"/>
                    </w:trPr>
                    <w:tc>
                      <w:tcPr>
                        <w:tcW w:w="3053" w:type="dxa"/>
                        <w:tcBorders>
                          <w:top w:val="single" w:sz="4" w:space="0" w:color="000000"/>
                          <w:left w:val="nil" w:sz="6" w:space="0" w:color="auto"/>
                          <w:bottom w:val="nil" w:sz="6" w:space="0" w:color="auto"/>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210,624,677.56</w:t>
                        </w:r>
                      </w:p>
                    </w:tc>
                    <w:tc>
                      <w:tcPr>
                        <w:tcW w:w="18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99.09</w:t>
                        </w:r>
                      </w:p>
                    </w:tc>
                    <w:tc>
                      <w:tcPr>
                        <w:tcW w:w="2654" w:type="dxa"/>
                        <w:tcBorders>
                          <w:top w:val="single" w:sz="4" w:space="0" w:color="000000"/>
                          <w:left w:val="single" w:sz="4" w:space="0" w:color="000000"/>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10,531,233.88</w:t>
                        </w:r>
                      </w:p>
                    </w:tc>
                  </w:tr>
                  <w:tr>
                    <w:trPr>
                      <w:trHeight w:val="480" w:hRule="exact"/>
                    </w:trPr>
                    <w:tc>
                      <w:tcPr>
                        <w:tcW w:w="3053"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38,404.80</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sz w:val="21"/>
                          </w:rPr>
                          <w:t>0.02</w:t>
                        </w:r>
                      </w:p>
                    </w:tc>
                    <w:tc>
                      <w:tcPr>
                        <w:tcW w:w="2654" w:type="dxa"/>
                        <w:tcBorders>
                          <w:top w:val="nil" w:sz="6" w:space="0" w:color="auto"/>
                          <w:left w:val="single" w:sz="4" w:space="0" w:color="000000"/>
                          <w:bottom w:val="nil" w:sz="6" w:space="0" w:color="auto"/>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spacing w:val="-1"/>
                            <w:sz w:val="21"/>
                          </w:rPr>
                          <w:t>3,840.48</w:t>
                        </w:r>
                      </w:p>
                    </w:tc>
                  </w:tr>
                  <w:tr>
                    <w:trPr>
                      <w:trHeight w:val="480" w:hRule="exact"/>
                    </w:trPr>
                    <w:tc>
                      <w:tcPr>
                        <w:tcW w:w="3053"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444,432.91</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sz w:val="21"/>
                          </w:rPr>
                          <w:t>0.21</w:t>
                        </w:r>
                      </w:p>
                    </w:tc>
                    <w:tc>
                      <w:tcPr>
                        <w:tcW w:w="2654" w:type="dxa"/>
                        <w:tcBorders>
                          <w:top w:val="nil" w:sz="6" w:space="0" w:color="auto"/>
                          <w:left w:val="single" w:sz="4" w:space="0" w:color="000000"/>
                          <w:bottom w:val="nil" w:sz="6" w:space="0" w:color="auto"/>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spacing w:val="-1"/>
                            <w:sz w:val="21"/>
                          </w:rPr>
                          <w:t>88,886.58</w:t>
                        </w:r>
                      </w:p>
                    </w:tc>
                  </w:tr>
                  <w:tr>
                    <w:trPr>
                      <w:trHeight w:val="370" w:hRule="exact"/>
                    </w:trPr>
                    <w:tc>
                      <w:tcPr>
                        <w:tcW w:w="3053" w:type="dxa"/>
                        <w:tcBorders>
                          <w:top w:val="nil" w:sz="6" w:space="0" w:color="auto"/>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pacing w:val="-1"/>
                            <w:sz w:val="21"/>
                          </w:rPr>
                          <w:t>1,445,660.24</w:t>
                        </w:r>
                      </w:p>
                    </w:tc>
                    <w:tc>
                      <w:tcPr>
                        <w:tcW w:w="18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sz w:val="21"/>
                          </w:rPr>
                          <w:t>0.68</w:t>
                        </w:r>
                      </w:p>
                    </w:tc>
                    <w:tc>
                      <w:tcPr>
                        <w:tcW w:w="2654" w:type="dxa"/>
                        <w:tcBorders>
                          <w:top w:val="nil" w:sz="6" w:space="0" w:color="auto"/>
                          <w:left w:val="single" w:sz="4" w:space="0" w:color="000000"/>
                          <w:bottom w:val="single" w:sz="4" w:space="0" w:color="000000"/>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spacing w:val="-1"/>
                            <w:sz w:val="21"/>
                          </w:rPr>
                          <w:t>433,698.07</w:t>
                        </w:r>
                      </w:p>
                    </w:tc>
                  </w:tr>
                  <w:tr>
                    <w:trPr>
                      <w:trHeight w:val="499" w:hRule="exact"/>
                    </w:trPr>
                    <w:tc>
                      <w:tcPr>
                        <w:tcW w:w="3053"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212,553,175.51</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40" w:right="0"/>
                          <w:jc w:val="left"/>
                          <w:rPr>
                            <w:rFonts w:ascii="Times New Roman" w:hAnsi="Times New Roman" w:cs="Times New Roman" w:eastAsia="Times New Roman" w:hint="default"/>
                            <w:sz w:val="21"/>
                            <w:szCs w:val="21"/>
                          </w:rPr>
                        </w:pPr>
                        <w:r>
                          <w:rPr>
                            <w:rFonts w:ascii="Times New Roman"/>
                            <w:sz w:val="21"/>
                          </w:rPr>
                          <w:t>100.00</w:t>
                        </w:r>
                      </w:p>
                    </w:tc>
                    <w:tc>
                      <w:tcPr>
                        <w:tcW w:w="26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11,057,659.01</w:t>
                        </w:r>
                      </w:p>
                    </w:tc>
                  </w:tr>
                </w:tbl>
                <w:p>
                  <w:pPr/>
                </w:p>
              </w:txbxContent>
            </v:textbox>
            <w10:wrap type="none"/>
          </v:shape>
        </w:pict>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其他应收款种类的说明：</w:t>
      </w:r>
      <w:r>
        <w:rPr>
          <w:spacing w:val="-3"/>
          <w:w w:val="100"/>
        </w:rPr>
        <w:t> </w:t>
      </w:r>
      <w:r>
        <w:rPr>
          <w:spacing w:val="-2"/>
        </w:rPr>
        <w:t>组合中，按账龄分析法计提坏账准备的其他应收款：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3053"/>
        <w:gridCol w:w="2290"/>
        <w:gridCol w:w="1872"/>
        <w:gridCol w:w="2654"/>
      </w:tblGrid>
      <w:tr>
        <w:trPr>
          <w:trHeight w:val="482" w:hRule="exact"/>
        </w:trPr>
        <w:tc>
          <w:tcPr>
            <w:tcW w:w="305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8"/>
                <w:szCs w:val="28"/>
              </w:rPr>
            </w:pPr>
          </w:p>
          <w:p>
            <w:pPr>
              <w:pStyle w:val="TableParagraph"/>
              <w:tabs>
                <w:tab w:pos="655" w:val="left" w:leader="none"/>
              </w:tabs>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6816"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5" w:hRule="exact"/>
        </w:trPr>
        <w:tc>
          <w:tcPr>
            <w:tcW w:w="3053" w:type="dxa"/>
            <w:vMerge/>
            <w:tcBorders>
              <w:left w:val="nil" w:sz="6" w:space="0" w:color="auto"/>
              <w:right w:val="single" w:sz="6" w:space="0" w:color="000000"/>
            </w:tcBorders>
          </w:tcPr>
          <w:p>
            <w:pPr/>
          </w:p>
        </w:tc>
        <w:tc>
          <w:tcPr>
            <w:tcW w:w="41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4" w:type="dxa"/>
            <w:vMerge w:val="restart"/>
            <w:tcBorders>
              <w:top w:val="single" w:sz="6" w:space="0" w:color="000000"/>
              <w:left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5" w:hRule="exact"/>
        </w:trPr>
        <w:tc>
          <w:tcPr>
            <w:tcW w:w="3053" w:type="dxa"/>
            <w:vMerge/>
            <w:tcBorders>
              <w:left w:val="nil" w:sz="6" w:space="0" w:color="auto"/>
              <w:bottom w:val="single" w:sz="6" w:space="0" w:color="000000"/>
              <w:right w:val="single" w:sz="6" w:space="0" w:color="000000"/>
            </w:tcBorders>
          </w:tcPr>
          <w:p>
            <w:pPr/>
          </w:p>
        </w:tc>
        <w:tc>
          <w:tcPr>
            <w:tcW w:w="2290" w:type="dxa"/>
            <w:tcBorders>
              <w:top w:val="single" w:sz="6" w:space="0" w:color="000000"/>
              <w:left w:val="single" w:sz="6" w:space="0" w:color="000000"/>
              <w:bottom w:val="single" w:sz="6" w:space="0" w:color="000000"/>
              <w:right w:val="single" w:sz="6" w:space="0" w:color="000000"/>
            </w:tcBorders>
          </w:tcPr>
          <w:p>
            <w:pPr>
              <w:pStyle w:val="TableParagraph"/>
              <w:tabs>
                <w:tab w:pos="427" w:val="left" w:leader="none"/>
              </w:tabs>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6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4" w:type="dxa"/>
            <w:vMerge/>
            <w:tcBorders>
              <w:left w:val="single" w:sz="6" w:space="0" w:color="000000"/>
              <w:bottom w:val="single" w:sz="6" w:space="0" w:color="000000"/>
              <w:right w:val="nil" w:sz="6" w:space="0" w:color="auto"/>
            </w:tcBorders>
          </w:tcPr>
          <w:p>
            <w:pPr/>
          </w:p>
        </w:tc>
      </w:tr>
      <w:tr>
        <w:trPr>
          <w:trHeight w:val="571" w:hRule="exact"/>
        </w:trPr>
        <w:tc>
          <w:tcPr>
            <w:tcW w:w="3053" w:type="dxa"/>
            <w:tcBorders>
              <w:top w:val="single" w:sz="6" w:space="0" w:color="000000"/>
              <w:left w:val="nil" w:sz="6" w:space="0" w:color="auto"/>
              <w:bottom w:val="nil" w:sz="6" w:space="0" w:color="auto"/>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58,095,234.74</w:t>
            </w:r>
          </w:p>
        </w:tc>
        <w:tc>
          <w:tcPr>
            <w:tcW w:w="18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96.41</w:t>
            </w:r>
          </w:p>
        </w:tc>
        <w:tc>
          <w:tcPr>
            <w:tcW w:w="2654" w:type="dxa"/>
            <w:tcBorders>
              <w:top w:val="single" w:sz="6" w:space="0" w:color="000000"/>
              <w:left w:val="single" w:sz="6"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2,904,761.74</w:t>
            </w:r>
          </w:p>
        </w:tc>
      </w:tr>
      <w:tr>
        <w:trPr>
          <w:trHeight w:val="461" w:hRule="exact"/>
        </w:trPr>
        <w:tc>
          <w:tcPr>
            <w:tcW w:w="3053" w:type="dxa"/>
            <w:tcBorders>
              <w:top w:val="nil" w:sz="6" w:space="0" w:color="auto"/>
              <w:left w:val="nil" w:sz="6" w:space="0" w:color="auto"/>
              <w:bottom w:val="nil" w:sz="6" w:space="0" w:color="auto"/>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509,621.71</w:t>
            </w:r>
          </w:p>
        </w:tc>
        <w:tc>
          <w:tcPr>
            <w:tcW w:w="1872"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sz w:val="21"/>
              </w:rPr>
              <w:t>0.85</w:t>
            </w:r>
          </w:p>
        </w:tc>
        <w:tc>
          <w:tcPr>
            <w:tcW w:w="2654" w:type="dxa"/>
            <w:tcBorders>
              <w:top w:val="nil" w:sz="6" w:space="0" w:color="auto"/>
              <w:left w:val="single" w:sz="6"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50,962.17</w:t>
            </w:r>
          </w:p>
        </w:tc>
      </w:tr>
      <w:tr>
        <w:trPr>
          <w:trHeight w:val="460" w:hRule="exact"/>
        </w:trPr>
        <w:tc>
          <w:tcPr>
            <w:tcW w:w="3053" w:type="dxa"/>
            <w:tcBorders>
              <w:top w:val="nil" w:sz="6" w:space="0" w:color="auto"/>
              <w:left w:val="nil" w:sz="6" w:space="0" w:color="auto"/>
              <w:bottom w:val="nil" w:sz="6" w:space="0" w:color="auto"/>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669,067.83</w:t>
            </w:r>
          </w:p>
        </w:tc>
        <w:tc>
          <w:tcPr>
            <w:tcW w:w="1872"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left="2" w:right="0"/>
              <w:jc w:val="center"/>
              <w:rPr>
                <w:rFonts w:ascii="Times New Roman" w:hAnsi="Times New Roman" w:cs="Times New Roman" w:eastAsia="Times New Roman" w:hint="default"/>
                <w:sz w:val="21"/>
                <w:szCs w:val="21"/>
              </w:rPr>
            </w:pPr>
            <w:r>
              <w:rPr>
                <w:rFonts w:ascii="Times New Roman"/>
                <w:sz w:val="21"/>
              </w:rPr>
              <w:t>1.11</w:t>
            </w:r>
          </w:p>
        </w:tc>
        <w:tc>
          <w:tcPr>
            <w:tcW w:w="2654" w:type="dxa"/>
            <w:tcBorders>
              <w:top w:val="nil" w:sz="6" w:space="0" w:color="auto"/>
              <w:left w:val="single" w:sz="6"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133,813.57</w:t>
            </w:r>
          </w:p>
        </w:tc>
      </w:tr>
      <w:tr>
        <w:trPr>
          <w:trHeight w:val="364" w:hRule="exact"/>
        </w:trPr>
        <w:tc>
          <w:tcPr>
            <w:tcW w:w="3053" w:type="dxa"/>
            <w:tcBorders>
              <w:top w:val="nil" w:sz="6" w:space="0" w:color="auto"/>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9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980,587.92</w:t>
            </w:r>
          </w:p>
        </w:tc>
        <w:tc>
          <w:tcPr>
            <w:tcW w:w="187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1.63</w:t>
            </w:r>
          </w:p>
        </w:tc>
        <w:tc>
          <w:tcPr>
            <w:tcW w:w="2654" w:type="dxa"/>
            <w:tcBorders>
              <w:top w:val="nil" w:sz="6" w:space="0" w:color="auto"/>
              <w:left w:val="single" w:sz="6" w:space="0" w:color="000000"/>
              <w:bottom w:val="single" w:sz="6"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294,176.38</w:t>
            </w:r>
          </w:p>
        </w:tc>
      </w:tr>
      <w:tr>
        <w:trPr>
          <w:trHeight w:val="482" w:hRule="exact"/>
        </w:trPr>
        <w:tc>
          <w:tcPr>
            <w:tcW w:w="3053" w:type="dxa"/>
            <w:tcBorders>
              <w:top w:val="single" w:sz="6" w:space="0" w:color="000000"/>
              <w:left w:val="nil" w:sz="6" w:space="0" w:color="auto"/>
              <w:bottom w:val="single" w:sz="12" w:space="0" w:color="000000"/>
              <w:right w:val="single" w:sz="6" w:space="0" w:color="000000"/>
            </w:tcBorders>
          </w:tcPr>
          <w:p>
            <w:pPr>
              <w:pStyle w:val="TableParagraph"/>
              <w:tabs>
                <w:tab w:pos="655" w:val="left" w:leader="none"/>
              </w:tabs>
              <w:spacing w:line="240" w:lineRule="auto" w:before="153"/>
              <w:ind w:left="2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60,254,512.20</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38" w:right="0"/>
              <w:jc w:val="left"/>
              <w:rPr>
                <w:rFonts w:ascii="Times New Roman" w:hAnsi="Times New Roman" w:cs="Times New Roman" w:eastAsia="Times New Roman" w:hint="default"/>
                <w:sz w:val="21"/>
                <w:szCs w:val="21"/>
              </w:rPr>
            </w:pPr>
            <w:r>
              <w:rPr>
                <w:rFonts w:ascii="Times New Roman"/>
                <w:sz w:val="21"/>
              </w:rPr>
              <w:t>100.00</w:t>
            </w:r>
          </w:p>
        </w:tc>
        <w:tc>
          <w:tcPr>
            <w:tcW w:w="26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3,383,713.86</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200" w:bottom="1160" w:left="900" w:right="920"/>
        </w:sectPr>
      </w:pPr>
    </w:p>
    <w:p>
      <w:pPr>
        <w:spacing w:line="240" w:lineRule="auto" w:before="11"/>
        <w:rPr>
          <w:rFonts w:ascii="宋体" w:hAnsi="宋体" w:cs="宋体" w:eastAsia="宋体" w:hint="default"/>
          <w:sz w:val="13"/>
          <w:szCs w:val="13"/>
        </w:rPr>
      </w:pPr>
    </w:p>
    <w:p>
      <w:pPr>
        <w:pStyle w:val="BodyText"/>
        <w:spacing w:line="240" w:lineRule="auto" w:before="36"/>
        <w:ind w:left="652" w:right="0"/>
        <w:jc w:val="left"/>
      </w:pPr>
      <w:r>
        <w:rPr/>
        <w:t>（</w:t>
      </w:r>
      <w:r>
        <w:rPr>
          <w:rFonts w:ascii="Times New Roman" w:hAnsi="Times New Roman" w:cs="Times New Roman" w:eastAsia="Times New Roman" w:hint="default"/>
        </w:rPr>
        <w:t>3</w:t>
      </w:r>
      <w:r>
        <w:rPr/>
        <w:t>）其他应收款中无持公司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）以上表决权股份的股东单位欠款。</w:t>
      </w:r>
    </w:p>
    <w:p>
      <w:pPr>
        <w:pStyle w:val="BodyText"/>
        <w:spacing w:line="240" w:lineRule="auto" w:before="170"/>
        <w:ind w:left="653" w:right="5418"/>
        <w:jc w:val="left"/>
      </w:pPr>
      <w:r>
        <w:rPr/>
        <w:t>（</w:t>
      </w:r>
      <w:r>
        <w:rPr>
          <w:rFonts w:ascii="Times New Roman" w:hAnsi="Times New Roman" w:cs="Times New Roman" w:eastAsia="Times New Roman" w:hint="default"/>
        </w:rPr>
        <w:t>4</w:t>
      </w:r>
      <w:r>
        <w:rPr/>
        <w:t>）其他应收款金额前五名单位情况：</w:t>
      </w:r>
    </w:p>
    <w:tbl>
      <w:tblPr>
        <w:tblW w:w="0" w:type="auto"/>
        <w:jc w:val="left"/>
        <w:tblInd w:w="110" w:type="dxa"/>
        <w:tblLayout w:type="fixed"/>
        <w:tblCellMar>
          <w:top w:w="0" w:type="dxa"/>
          <w:left w:w="0" w:type="dxa"/>
          <w:bottom w:w="0" w:type="dxa"/>
          <w:right w:w="0" w:type="dxa"/>
        </w:tblCellMar>
        <w:tblLook w:val="01E0"/>
      </w:tblPr>
      <w:tblGrid>
        <w:gridCol w:w="3890"/>
        <w:gridCol w:w="1685"/>
        <w:gridCol w:w="1529"/>
        <w:gridCol w:w="1176"/>
        <w:gridCol w:w="1589"/>
      </w:tblGrid>
      <w:tr>
        <w:trPr>
          <w:trHeight w:val="1402" w:hRule="exact"/>
        </w:trPr>
        <w:tc>
          <w:tcPr>
            <w:tcW w:w="3890" w:type="dxa"/>
            <w:tcBorders>
              <w:top w:val="single" w:sz="12" w:space="0" w:color="000000"/>
              <w:left w:val="nil" w:sz="6" w:space="0" w:color="auto"/>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85"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400" w:lineRule="auto"/>
              <w:ind w:left="626" w:right="410" w:hanging="212"/>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529"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6"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589" w:type="dxa"/>
            <w:tcBorders>
              <w:top w:val="single" w:sz="12" w:space="0" w:color="000000"/>
              <w:left w:val="single" w:sz="6" w:space="0" w:color="000000"/>
              <w:bottom w:val="single" w:sz="4" w:space="0" w:color="000000"/>
              <w:right w:val="nil" w:sz="6" w:space="0" w:color="auto"/>
            </w:tcBorders>
          </w:tcPr>
          <w:p>
            <w:pPr>
              <w:pStyle w:val="TableParagraph"/>
              <w:spacing w:line="400" w:lineRule="auto" w:before="155"/>
              <w:ind w:left="158" w:right="158"/>
              <w:jc w:val="center"/>
              <w:rPr>
                <w:rFonts w:ascii="宋体" w:hAnsi="宋体" w:cs="宋体" w:eastAsia="宋体" w:hint="default"/>
                <w:sz w:val="21"/>
                <w:szCs w:val="21"/>
              </w:rPr>
            </w:pPr>
            <w:r>
              <w:rPr>
                <w:rFonts w:ascii="宋体" w:hAnsi="宋体" w:cs="宋体" w:eastAsia="宋体" w:hint="default"/>
                <w:spacing w:val="-1"/>
                <w:sz w:val="21"/>
                <w:szCs w:val="21"/>
              </w:rPr>
              <w:t>占其他应收款</w:t>
            </w:r>
            <w:r>
              <w:rPr>
                <w:rFonts w:ascii="宋体" w:hAnsi="宋体" w:cs="宋体" w:eastAsia="宋体" w:hint="default"/>
                <w:w w:val="100"/>
                <w:sz w:val="21"/>
                <w:szCs w:val="21"/>
              </w:rPr>
              <w:t> </w:t>
            </w:r>
            <w:r>
              <w:rPr>
                <w:rFonts w:ascii="宋体" w:hAnsi="宋体" w:cs="宋体" w:eastAsia="宋体" w:hint="default"/>
                <w:sz w:val="21"/>
                <w:szCs w:val="21"/>
              </w:rPr>
              <w:t>总额的比例</w:t>
            </w:r>
          </w:p>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68" w:hRule="exact"/>
        </w:trPr>
        <w:tc>
          <w:tcPr>
            <w:tcW w:w="3890" w:type="dxa"/>
            <w:tcBorders>
              <w:top w:val="single" w:sz="4" w:space="0" w:color="000000"/>
              <w:left w:val="nil" w:sz="6" w:space="0" w:color="auto"/>
              <w:bottom w:val="nil" w:sz="6" w:space="0" w:color="auto"/>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北海石基信息技术有限公司</w:t>
            </w:r>
          </w:p>
        </w:tc>
        <w:tc>
          <w:tcPr>
            <w:tcW w:w="1685"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529"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180,725,129.26</w:t>
            </w:r>
          </w:p>
        </w:tc>
        <w:tc>
          <w:tcPr>
            <w:tcW w:w="1176"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589" w:type="dxa"/>
            <w:tcBorders>
              <w:top w:val="single" w:sz="4" w:space="0" w:color="000000"/>
              <w:left w:val="single" w:sz="6"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85.03</w:t>
            </w:r>
          </w:p>
        </w:tc>
      </w:tr>
      <w:tr>
        <w:trPr>
          <w:trHeight w:val="460" w:hRule="exact"/>
        </w:trPr>
        <w:tc>
          <w:tcPr>
            <w:tcW w:w="3890" w:type="dxa"/>
            <w:tcBorders>
              <w:top w:val="nil" w:sz="6" w:space="0" w:color="auto"/>
              <w:left w:val="nil" w:sz="6" w:space="0" w:color="auto"/>
              <w:bottom w:val="nil" w:sz="6" w:space="0" w:color="auto"/>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上海石基信息技术有限公司</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95"/>
              <w:jc w:val="right"/>
              <w:rPr>
                <w:rFonts w:ascii="Times New Roman" w:hAnsi="Times New Roman" w:cs="Times New Roman" w:eastAsia="Times New Roman" w:hint="default"/>
                <w:sz w:val="21"/>
                <w:szCs w:val="21"/>
              </w:rPr>
            </w:pPr>
            <w:r>
              <w:rPr>
                <w:rFonts w:ascii="Times New Roman"/>
                <w:spacing w:val="-1"/>
                <w:sz w:val="21"/>
              </w:rPr>
              <w:t>15,535,900.40</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589" w:type="dxa"/>
            <w:tcBorders>
              <w:top w:val="nil" w:sz="6" w:space="0" w:color="auto"/>
              <w:left w:val="single" w:sz="6" w:space="0" w:color="000000"/>
              <w:bottom w:val="nil" w:sz="6" w:space="0" w:color="auto"/>
              <w:right w:val="nil" w:sz="6" w:space="0" w:color="auto"/>
            </w:tcBorders>
          </w:tcPr>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sz w:val="21"/>
              </w:rPr>
              <w:t>7.31</w:t>
            </w:r>
          </w:p>
        </w:tc>
      </w:tr>
      <w:tr>
        <w:trPr>
          <w:trHeight w:val="460" w:hRule="exact"/>
        </w:trPr>
        <w:tc>
          <w:tcPr>
            <w:tcW w:w="3890" w:type="dxa"/>
            <w:tcBorders>
              <w:top w:val="nil" w:sz="6" w:space="0" w:color="auto"/>
              <w:left w:val="nil" w:sz="6" w:space="0" w:color="auto"/>
              <w:bottom w:val="nil" w:sz="6" w:space="0" w:color="auto"/>
              <w:right w:val="single" w:sz="6"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北京中长石基软件有限公司</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right="93"/>
              <w:jc w:val="right"/>
              <w:rPr>
                <w:rFonts w:ascii="Times New Roman" w:hAnsi="Times New Roman" w:cs="Times New Roman" w:eastAsia="Times New Roman" w:hint="default"/>
                <w:sz w:val="21"/>
                <w:szCs w:val="21"/>
              </w:rPr>
            </w:pPr>
            <w:r>
              <w:rPr>
                <w:rFonts w:ascii="Times New Roman"/>
                <w:spacing w:val="-1"/>
                <w:sz w:val="21"/>
              </w:rPr>
              <w:t>13,146,151.03</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589" w:type="dxa"/>
            <w:tcBorders>
              <w:top w:val="nil" w:sz="6" w:space="0" w:color="auto"/>
              <w:left w:val="single" w:sz="6" w:space="0" w:color="000000"/>
              <w:bottom w:val="nil" w:sz="6" w:space="0" w:color="auto"/>
              <w:right w:val="nil" w:sz="6" w:space="0" w:color="auto"/>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6.18</w:t>
            </w:r>
          </w:p>
        </w:tc>
      </w:tr>
      <w:tr>
        <w:trPr>
          <w:trHeight w:val="920" w:hRule="exact"/>
        </w:trPr>
        <w:tc>
          <w:tcPr>
            <w:tcW w:w="3890"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left="122" w:right="0"/>
              <w:jc w:val="left"/>
              <w:rPr>
                <w:rFonts w:ascii="Times New Roman" w:hAnsi="Times New Roman" w:cs="Times New Roman" w:eastAsia="Times New Roman" w:hint="default"/>
                <w:sz w:val="21"/>
                <w:szCs w:val="21"/>
              </w:rPr>
            </w:pPr>
            <w:r>
              <w:rPr>
                <w:rFonts w:ascii="Times New Roman"/>
                <w:sz w:val="21"/>
              </w:rPr>
              <w:t>Focus  Information  </w:t>
            </w:r>
            <w:r>
              <w:rPr>
                <w:rFonts w:ascii="Times New Roman"/>
                <w:spacing w:val="-3"/>
                <w:sz w:val="21"/>
              </w:rPr>
              <w:t>Technology </w:t>
            </w:r>
            <w:r>
              <w:rPr>
                <w:rFonts w:ascii="Times New Roman"/>
                <w:spacing w:val="41"/>
                <w:sz w:val="21"/>
              </w:rPr>
              <w:t> </w:t>
            </w:r>
            <w:r>
              <w:rPr>
                <w:rFonts w:ascii="Times New Roman"/>
                <w:sz w:val="21"/>
              </w:rPr>
              <w:t>Company</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Limited</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358,605.08</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589" w:type="dxa"/>
            <w:tcBorders>
              <w:top w:val="nil" w:sz="6" w:space="0" w:color="auto"/>
              <w:left w:val="single" w:sz="6"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0.17</w:t>
            </w:r>
          </w:p>
        </w:tc>
      </w:tr>
      <w:tr>
        <w:trPr>
          <w:trHeight w:val="362" w:hRule="exact"/>
        </w:trPr>
        <w:tc>
          <w:tcPr>
            <w:tcW w:w="3890" w:type="dxa"/>
            <w:tcBorders>
              <w:top w:val="nil" w:sz="6" w:space="0" w:color="auto"/>
              <w:left w:val="nil" w:sz="6" w:space="0" w:color="auto"/>
              <w:bottom w:val="single" w:sz="4"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现化电脑系统（北京）有限公司</w:t>
            </w:r>
          </w:p>
        </w:tc>
        <w:tc>
          <w:tcPr>
            <w:tcW w:w="1685"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529"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08"/>
              <w:ind w:right="93"/>
              <w:jc w:val="right"/>
              <w:rPr>
                <w:rFonts w:ascii="Times New Roman" w:hAnsi="Times New Roman" w:cs="Times New Roman" w:eastAsia="Times New Roman" w:hint="default"/>
                <w:sz w:val="21"/>
                <w:szCs w:val="21"/>
              </w:rPr>
            </w:pPr>
            <w:r>
              <w:rPr>
                <w:rFonts w:ascii="Times New Roman"/>
                <w:spacing w:val="-1"/>
                <w:sz w:val="21"/>
              </w:rPr>
              <w:t>357,381.16</w:t>
            </w:r>
          </w:p>
        </w:tc>
        <w:tc>
          <w:tcPr>
            <w:tcW w:w="1176"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1589" w:type="dxa"/>
            <w:tcBorders>
              <w:top w:val="nil" w:sz="6" w:space="0" w:color="auto"/>
              <w:left w:val="single" w:sz="6" w:space="0" w:color="000000"/>
              <w:bottom w:val="single" w:sz="4" w:space="0" w:color="000000"/>
              <w:right w:val="nil" w:sz="6" w:space="0" w:color="auto"/>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0.17</w:t>
            </w:r>
          </w:p>
        </w:tc>
      </w:tr>
      <w:tr>
        <w:trPr>
          <w:trHeight w:val="480" w:hRule="exact"/>
        </w:trPr>
        <w:tc>
          <w:tcPr>
            <w:tcW w:w="3890" w:type="dxa"/>
            <w:tcBorders>
              <w:top w:val="single" w:sz="4" w:space="0" w:color="000000"/>
              <w:left w:val="nil" w:sz="6" w:space="0" w:color="auto"/>
              <w:bottom w:val="single" w:sz="12" w:space="0" w:color="000000"/>
              <w:right w:val="single" w:sz="6" w:space="0" w:color="000000"/>
            </w:tcBorders>
          </w:tcPr>
          <w:p>
            <w:pPr>
              <w:pStyle w:val="TableParagraph"/>
              <w:tabs>
                <w:tab w:pos="652" w:val="left" w:leader="none"/>
              </w:tabs>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5" w:type="dxa"/>
            <w:tcBorders>
              <w:top w:val="single" w:sz="4" w:space="0" w:color="000000"/>
              <w:left w:val="single" w:sz="6" w:space="0" w:color="000000"/>
              <w:bottom w:val="single" w:sz="12" w:space="0" w:color="000000"/>
              <w:right w:val="single" w:sz="6" w:space="0" w:color="000000"/>
            </w:tcBorders>
          </w:tcPr>
          <w:p>
            <w:pPr/>
          </w:p>
        </w:tc>
        <w:tc>
          <w:tcPr>
            <w:tcW w:w="1529"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210,123,166.93</w:t>
            </w:r>
          </w:p>
        </w:tc>
        <w:tc>
          <w:tcPr>
            <w:tcW w:w="1176" w:type="dxa"/>
            <w:tcBorders>
              <w:top w:val="single" w:sz="4" w:space="0" w:color="000000"/>
              <w:left w:val="single" w:sz="6" w:space="0" w:color="000000"/>
              <w:bottom w:val="single" w:sz="12" w:space="0" w:color="000000"/>
              <w:right w:val="single" w:sz="6" w:space="0" w:color="000000"/>
            </w:tcBorders>
          </w:tcPr>
          <w:p>
            <w:pPr/>
          </w:p>
        </w:tc>
        <w:tc>
          <w:tcPr>
            <w:tcW w:w="1589"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98.86</w:t>
            </w:r>
          </w:p>
        </w:tc>
      </w:tr>
    </w:tbl>
    <w:p>
      <w:pPr>
        <w:spacing w:line="240" w:lineRule="auto" w:before="1"/>
        <w:rPr>
          <w:rFonts w:ascii="宋体" w:hAnsi="宋体" w:cs="宋体" w:eastAsia="宋体" w:hint="default"/>
          <w:sz w:val="10"/>
          <w:szCs w:val="10"/>
        </w:rPr>
      </w:pPr>
    </w:p>
    <w:p>
      <w:pPr>
        <w:pStyle w:val="BodyText"/>
        <w:spacing w:line="240" w:lineRule="auto" w:before="36"/>
        <w:ind w:left="547" w:right="5418"/>
        <w:jc w:val="left"/>
      </w:pPr>
      <w:r>
        <w:rPr/>
        <w:t>（</w:t>
      </w:r>
      <w:r>
        <w:rPr>
          <w:rFonts w:ascii="Times New Roman" w:hAnsi="Times New Roman" w:cs="Times New Roman" w:eastAsia="Times New Roman" w:hint="default"/>
        </w:rPr>
        <w:t>5</w:t>
      </w:r>
      <w:r>
        <w:rPr/>
        <w:t>）其他应收关联方账款情况</w:t>
      </w:r>
    </w:p>
    <w:tbl>
      <w:tblPr>
        <w:tblW w:w="0" w:type="auto"/>
        <w:jc w:val="left"/>
        <w:tblInd w:w="110" w:type="dxa"/>
        <w:tblLayout w:type="fixed"/>
        <w:tblCellMar>
          <w:top w:w="0" w:type="dxa"/>
          <w:left w:w="0" w:type="dxa"/>
          <w:bottom w:w="0" w:type="dxa"/>
          <w:right w:w="0" w:type="dxa"/>
        </w:tblCellMar>
        <w:tblLook w:val="01E0"/>
      </w:tblPr>
      <w:tblGrid>
        <w:gridCol w:w="4978"/>
        <w:gridCol w:w="1718"/>
        <w:gridCol w:w="1718"/>
        <w:gridCol w:w="1428"/>
      </w:tblGrid>
      <w:tr>
        <w:trPr>
          <w:trHeight w:val="1399" w:hRule="exact"/>
        </w:trPr>
        <w:tc>
          <w:tcPr>
            <w:tcW w:w="4978"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53"/>
              <w:ind w:left="2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18"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18"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28" w:type="dxa"/>
            <w:tcBorders>
              <w:top w:val="single" w:sz="12" w:space="0" w:color="000000"/>
              <w:left w:val="single" w:sz="6" w:space="0" w:color="000000"/>
              <w:bottom w:val="single" w:sz="4" w:space="0" w:color="000000"/>
              <w:right w:val="nil" w:sz="6" w:space="0" w:color="auto"/>
            </w:tcBorders>
          </w:tcPr>
          <w:p>
            <w:pPr>
              <w:pStyle w:val="TableParagraph"/>
              <w:spacing w:line="460" w:lineRule="exact" w:before="30"/>
              <w:ind w:left="179" w:right="185"/>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占其他应收</w:t>
            </w:r>
            <w:r>
              <w:rPr>
                <w:rFonts w:ascii="宋体" w:hAnsi="宋体" w:cs="宋体" w:eastAsia="宋体" w:hint="default"/>
                <w:w w:val="100"/>
                <w:sz w:val="21"/>
                <w:szCs w:val="21"/>
              </w:rPr>
              <w:t> </w:t>
            </w:r>
            <w:r>
              <w:rPr>
                <w:rFonts w:ascii="宋体" w:hAnsi="宋体" w:cs="宋体" w:eastAsia="宋体" w:hint="default"/>
                <w:sz w:val="21"/>
                <w:szCs w:val="21"/>
              </w:rPr>
              <w:t>款总额的比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r>
      <w:tr>
        <w:trPr>
          <w:trHeight w:val="569" w:hRule="exact"/>
        </w:trPr>
        <w:tc>
          <w:tcPr>
            <w:tcW w:w="4978" w:type="dxa"/>
            <w:tcBorders>
              <w:top w:val="single" w:sz="4" w:space="0" w:color="000000"/>
              <w:left w:val="nil" w:sz="6" w:space="0" w:color="auto"/>
              <w:bottom w:val="nil" w:sz="6" w:space="0" w:color="auto"/>
              <w:right w:val="single" w:sz="6"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北海石基信息技术有限公司</w:t>
            </w:r>
          </w:p>
        </w:tc>
        <w:tc>
          <w:tcPr>
            <w:tcW w:w="171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71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180,725,129.26</w:t>
            </w:r>
          </w:p>
        </w:tc>
        <w:tc>
          <w:tcPr>
            <w:tcW w:w="1428" w:type="dxa"/>
            <w:tcBorders>
              <w:top w:val="single" w:sz="4" w:space="0" w:color="000000"/>
              <w:left w:val="single" w:sz="6"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70" w:right="0"/>
              <w:jc w:val="left"/>
              <w:rPr>
                <w:rFonts w:ascii="Times New Roman" w:hAnsi="Times New Roman" w:cs="Times New Roman" w:eastAsia="Times New Roman" w:hint="default"/>
                <w:sz w:val="21"/>
                <w:szCs w:val="21"/>
              </w:rPr>
            </w:pPr>
            <w:r>
              <w:rPr>
                <w:rFonts w:ascii="Times New Roman"/>
                <w:sz w:val="21"/>
              </w:rPr>
              <w:t>85.03</w:t>
            </w:r>
          </w:p>
        </w:tc>
      </w:tr>
      <w:tr>
        <w:trPr>
          <w:trHeight w:val="460" w:hRule="exact"/>
        </w:trPr>
        <w:tc>
          <w:tcPr>
            <w:tcW w:w="4978" w:type="dxa"/>
            <w:tcBorders>
              <w:top w:val="nil" w:sz="6" w:space="0" w:color="auto"/>
              <w:left w:val="nil" w:sz="6" w:space="0" w:color="auto"/>
              <w:bottom w:val="nil" w:sz="6" w:space="0" w:color="auto"/>
              <w:right w:val="single" w:sz="6"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上海石基信息技术有限公司</w:t>
            </w:r>
          </w:p>
        </w:tc>
        <w:tc>
          <w:tcPr>
            <w:tcW w:w="1718"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7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15,535,900.40</w:t>
            </w:r>
          </w:p>
        </w:tc>
        <w:tc>
          <w:tcPr>
            <w:tcW w:w="1428" w:type="dxa"/>
            <w:tcBorders>
              <w:top w:val="nil" w:sz="6" w:space="0" w:color="auto"/>
              <w:left w:val="single" w:sz="6" w:space="0" w:color="000000"/>
              <w:bottom w:val="nil" w:sz="6" w:space="0" w:color="auto"/>
              <w:right w:val="nil" w:sz="6" w:space="0" w:color="auto"/>
            </w:tcBorders>
          </w:tcPr>
          <w:p>
            <w:pPr>
              <w:pStyle w:val="TableParagraph"/>
              <w:spacing w:line="240" w:lineRule="auto" w:before="108"/>
              <w:ind w:left="523" w:right="0"/>
              <w:jc w:val="left"/>
              <w:rPr>
                <w:rFonts w:ascii="Times New Roman" w:hAnsi="Times New Roman" w:cs="Times New Roman" w:eastAsia="Times New Roman" w:hint="default"/>
                <w:sz w:val="21"/>
                <w:szCs w:val="21"/>
              </w:rPr>
            </w:pPr>
            <w:r>
              <w:rPr>
                <w:rFonts w:ascii="Times New Roman"/>
                <w:sz w:val="21"/>
              </w:rPr>
              <w:t>7.31</w:t>
            </w:r>
          </w:p>
        </w:tc>
      </w:tr>
      <w:tr>
        <w:trPr>
          <w:trHeight w:val="461" w:hRule="exact"/>
        </w:trPr>
        <w:tc>
          <w:tcPr>
            <w:tcW w:w="4978" w:type="dxa"/>
            <w:tcBorders>
              <w:top w:val="nil" w:sz="6" w:space="0" w:color="auto"/>
              <w:left w:val="nil" w:sz="6" w:space="0" w:color="auto"/>
              <w:bottom w:val="nil" w:sz="6" w:space="0" w:color="auto"/>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北京中长石基软件有限公司</w:t>
            </w:r>
          </w:p>
        </w:tc>
        <w:tc>
          <w:tcPr>
            <w:tcW w:w="1718"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7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13,146,151.03</w:t>
            </w:r>
          </w:p>
        </w:tc>
        <w:tc>
          <w:tcPr>
            <w:tcW w:w="1428" w:type="dxa"/>
            <w:tcBorders>
              <w:top w:val="nil" w:sz="6" w:space="0" w:color="auto"/>
              <w:left w:val="single" w:sz="6" w:space="0" w:color="000000"/>
              <w:bottom w:val="nil" w:sz="6" w:space="0" w:color="auto"/>
              <w:right w:val="nil" w:sz="6" w:space="0" w:color="auto"/>
            </w:tcBorders>
          </w:tcPr>
          <w:p>
            <w:pPr>
              <w:pStyle w:val="TableParagraph"/>
              <w:spacing w:line="240" w:lineRule="auto" w:before="109"/>
              <w:ind w:left="523" w:right="0"/>
              <w:jc w:val="left"/>
              <w:rPr>
                <w:rFonts w:ascii="Times New Roman" w:hAnsi="Times New Roman" w:cs="Times New Roman" w:eastAsia="Times New Roman" w:hint="default"/>
                <w:sz w:val="21"/>
                <w:szCs w:val="21"/>
              </w:rPr>
            </w:pPr>
            <w:r>
              <w:rPr>
                <w:rFonts w:ascii="Times New Roman"/>
                <w:sz w:val="21"/>
              </w:rPr>
              <w:t>6.18</w:t>
            </w:r>
          </w:p>
        </w:tc>
      </w:tr>
      <w:tr>
        <w:trPr>
          <w:trHeight w:val="460" w:hRule="exact"/>
        </w:trPr>
        <w:tc>
          <w:tcPr>
            <w:tcW w:w="4978"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left="122" w:right="0"/>
              <w:jc w:val="left"/>
              <w:rPr>
                <w:rFonts w:ascii="Times New Roman" w:hAnsi="Times New Roman" w:cs="Times New Roman" w:eastAsia="Times New Roman" w:hint="default"/>
                <w:sz w:val="21"/>
                <w:szCs w:val="21"/>
              </w:rPr>
            </w:pPr>
            <w:r>
              <w:rPr>
                <w:rFonts w:ascii="Times New Roman"/>
                <w:sz w:val="21"/>
              </w:rPr>
              <w:t>Focus Information Technology Company</w:t>
            </w:r>
            <w:r>
              <w:rPr>
                <w:rFonts w:ascii="Times New Roman"/>
                <w:spacing w:val="-37"/>
                <w:sz w:val="21"/>
              </w:rPr>
              <w:t> </w:t>
            </w:r>
            <w:r>
              <w:rPr>
                <w:rFonts w:ascii="Times New Roman"/>
                <w:sz w:val="21"/>
              </w:rPr>
              <w:t>Limited</w:t>
            </w:r>
          </w:p>
        </w:tc>
        <w:tc>
          <w:tcPr>
            <w:tcW w:w="1718"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7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358,605.08</w:t>
            </w:r>
          </w:p>
        </w:tc>
        <w:tc>
          <w:tcPr>
            <w:tcW w:w="1428" w:type="dxa"/>
            <w:tcBorders>
              <w:top w:val="nil" w:sz="6" w:space="0" w:color="auto"/>
              <w:left w:val="single" w:sz="6" w:space="0" w:color="000000"/>
              <w:bottom w:val="nil" w:sz="6" w:space="0" w:color="auto"/>
              <w:right w:val="nil" w:sz="6" w:space="0" w:color="auto"/>
            </w:tcBorders>
          </w:tcPr>
          <w:p>
            <w:pPr>
              <w:pStyle w:val="TableParagraph"/>
              <w:spacing w:line="240" w:lineRule="auto" w:before="109"/>
              <w:ind w:left="523" w:right="0"/>
              <w:jc w:val="left"/>
              <w:rPr>
                <w:rFonts w:ascii="Times New Roman" w:hAnsi="Times New Roman" w:cs="Times New Roman" w:eastAsia="Times New Roman" w:hint="default"/>
                <w:sz w:val="21"/>
                <w:szCs w:val="21"/>
              </w:rPr>
            </w:pPr>
            <w:r>
              <w:rPr>
                <w:rFonts w:ascii="Times New Roman"/>
                <w:sz w:val="21"/>
              </w:rPr>
              <w:t>0.17</w:t>
            </w:r>
          </w:p>
        </w:tc>
      </w:tr>
      <w:tr>
        <w:trPr>
          <w:trHeight w:val="470" w:hRule="exact"/>
        </w:trPr>
        <w:tc>
          <w:tcPr>
            <w:tcW w:w="4978" w:type="dxa"/>
            <w:tcBorders>
              <w:top w:val="nil" w:sz="6" w:space="0" w:color="auto"/>
              <w:left w:val="nil" w:sz="6" w:space="0" w:color="auto"/>
              <w:bottom w:val="nil" w:sz="6" w:space="0" w:color="auto"/>
              <w:right w:val="single" w:sz="6"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现化电脑系统（北京）有限公司</w:t>
            </w:r>
          </w:p>
        </w:tc>
        <w:tc>
          <w:tcPr>
            <w:tcW w:w="1718"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7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357,381.16</w:t>
            </w:r>
          </w:p>
        </w:tc>
        <w:tc>
          <w:tcPr>
            <w:tcW w:w="1428" w:type="dxa"/>
            <w:tcBorders>
              <w:top w:val="nil" w:sz="6" w:space="0" w:color="auto"/>
              <w:left w:val="single" w:sz="6" w:space="0" w:color="000000"/>
              <w:bottom w:val="nil" w:sz="6" w:space="0" w:color="auto"/>
              <w:right w:val="nil" w:sz="6" w:space="0" w:color="auto"/>
            </w:tcBorders>
          </w:tcPr>
          <w:p>
            <w:pPr>
              <w:pStyle w:val="TableParagraph"/>
              <w:spacing w:line="240" w:lineRule="auto" w:before="108"/>
              <w:ind w:left="523" w:right="0"/>
              <w:jc w:val="left"/>
              <w:rPr>
                <w:rFonts w:ascii="Times New Roman" w:hAnsi="Times New Roman" w:cs="Times New Roman" w:eastAsia="Times New Roman" w:hint="default"/>
                <w:sz w:val="21"/>
                <w:szCs w:val="21"/>
              </w:rPr>
            </w:pPr>
            <w:r>
              <w:rPr>
                <w:rFonts w:ascii="Times New Roman"/>
                <w:sz w:val="21"/>
              </w:rPr>
              <w:t>0.17</w:t>
            </w:r>
          </w:p>
        </w:tc>
      </w:tr>
      <w:tr>
        <w:trPr>
          <w:trHeight w:val="481" w:hRule="exact"/>
        </w:trPr>
        <w:tc>
          <w:tcPr>
            <w:tcW w:w="4978" w:type="dxa"/>
            <w:tcBorders>
              <w:top w:val="nil" w:sz="6" w:space="0" w:color="auto"/>
              <w:left w:val="nil" w:sz="6" w:space="0" w:color="auto"/>
              <w:bottom w:val="nil" w:sz="6" w:space="0" w:color="auto"/>
              <w:right w:val="single" w:sz="6"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杭州西软科技有限公司</w:t>
            </w:r>
          </w:p>
        </w:tc>
        <w:tc>
          <w:tcPr>
            <w:tcW w:w="1718" w:type="dxa"/>
            <w:tcBorders>
              <w:top w:val="nil" w:sz="6" w:space="0" w:color="auto"/>
              <w:left w:val="single" w:sz="6" w:space="0" w:color="000000"/>
              <w:bottom w:val="nil" w:sz="6" w:space="0" w:color="auto"/>
              <w:right w:val="single" w:sz="6" w:space="0" w:color="000000"/>
            </w:tcBorders>
          </w:tcPr>
          <w:p>
            <w:pPr>
              <w:pStyle w:val="TableParagraph"/>
              <w:spacing w:line="240" w:lineRule="auto" w:before="61"/>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718" w:type="dxa"/>
            <w:tcBorders>
              <w:top w:val="nil" w:sz="6" w:space="0" w:color="auto"/>
              <w:left w:val="single" w:sz="6" w:space="0" w:color="000000"/>
              <w:bottom w:val="nil" w:sz="6" w:space="0" w:color="auto"/>
              <w:right w:val="single" w:sz="6" w:space="0" w:color="000000"/>
            </w:tcBorders>
          </w:tcPr>
          <w:p>
            <w:pPr>
              <w:pStyle w:val="TableParagraph"/>
              <w:spacing w:line="240" w:lineRule="auto" w:before="120"/>
              <w:ind w:right="96"/>
              <w:jc w:val="right"/>
              <w:rPr>
                <w:rFonts w:ascii="Times New Roman" w:hAnsi="Times New Roman" w:cs="Times New Roman" w:eastAsia="Times New Roman" w:hint="default"/>
                <w:sz w:val="21"/>
                <w:szCs w:val="21"/>
              </w:rPr>
            </w:pPr>
            <w:r>
              <w:rPr>
                <w:rFonts w:ascii="Times New Roman"/>
                <w:spacing w:val="-1"/>
                <w:sz w:val="21"/>
              </w:rPr>
              <w:t>300,600.00</w:t>
            </w:r>
          </w:p>
        </w:tc>
        <w:tc>
          <w:tcPr>
            <w:tcW w:w="1428" w:type="dxa"/>
            <w:tcBorders>
              <w:top w:val="nil" w:sz="6" w:space="0" w:color="auto"/>
              <w:left w:val="single" w:sz="6" w:space="0" w:color="000000"/>
              <w:bottom w:val="nil" w:sz="6" w:space="0" w:color="auto"/>
              <w:right w:val="nil" w:sz="6" w:space="0" w:color="auto"/>
            </w:tcBorders>
          </w:tcPr>
          <w:p>
            <w:pPr>
              <w:pStyle w:val="TableParagraph"/>
              <w:spacing w:line="240" w:lineRule="auto" w:before="120"/>
              <w:ind w:left="523" w:right="0"/>
              <w:jc w:val="left"/>
              <w:rPr>
                <w:rFonts w:ascii="Times New Roman" w:hAnsi="Times New Roman" w:cs="Times New Roman" w:eastAsia="Times New Roman" w:hint="default"/>
                <w:sz w:val="21"/>
                <w:szCs w:val="21"/>
              </w:rPr>
            </w:pPr>
            <w:r>
              <w:rPr>
                <w:rFonts w:ascii="Times New Roman"/>
                <w:sz w:val="21"/>
              </w:rPr>
              <w:t>0.14</w:t>
            </w:r>
          </w:p>
        </w:tc>
      </w:tr>
      <w:tr>
        <w:trPr>
          <w:trHeight w:val="370" w:hRule="exact"/>
        </w:trPr>
        <w:tc>
          <w:tcPr>
            <w:tcW w:w="4978" w:type="dxa"/>
            <w:tcBorders>
              <w:top w:val="nil" w:sz="6" w:space="0" w:color="auto"/>
              <w:left w:val="nil" w:sz="6" w:space="0" w:color="auto"/>
              <w:bottom w:val="single" w:sz="4" w:space="0" w:color="000000"/>
              <w:right w:val="single" w:sz="6"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南京银石计算机系统有限公司</w:t>
            </w:r>
          </w:p>
        </w:tc>
        <w:tc>
          <w:tcPr>
            <w:tcW w:w="1718"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60"/>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718"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19"/>
              <w:ind w:right="96"/>
              <w:jc w:val="right"/>
              <w:rPr>
                <w:rFonts w:ascii="Times New Roman" w:hAnsi="Times New Roman" w:cs="Times New Roman" w:eastAsia="Times New Roman" w:hint="default"/>
                <w:sz w:val="21"/>
                <w:szCs w:val="21"/>
              </w:rPr>
            </w:pPr>
            <w:r>
              <w:rPr>
                <w:rFonts w:ascii="Times New Roman"/>
                <w:spacing w:val="-1"/>
                <w:sz w:val="21"/>
              </w:rPr>
              <w:t>1,548.00</w:t>
            </w:r>
          </w:p>
        </w:tc>
        <w:tc>
          <w:tcPr>
            <w:tcW w:w="1428" w:type="dxa"/>
            <w:tcBorders>
              <w:top w:val="nil" w:sz="6" w:space="0" w:color="auto"/>
              <w:left w:val="single" w:sz="6" w:space="0" w:color="000000"/>
              <w:bottom w:val="single" w:sz="4" w:space="0" w:color="000000"/>
              <w:right w:val="nil" w:sz="6" w:space="0" w:color="auto"/>
            </w:tcBorders>
          </w:tcPr>
          <w:p>
            <w:pPr>
              <w:pStyle w:val="TableParagraph"/>
              <w:spacing w:line="240" w:lineRule="auto" w:before="119"/>
              <w:ind w:left="523" w:right="0"/>
              <w:jc w:val="left"/>
              <w:rPr>
                <w:rFonts w:ascii="Times New Roman" w:hAnsi="Times New Roman" w:cs="Times New Roman" w:eastAsia="Times New Roman" w:hint="default"/>
                <w:sz w:val="21"/>
                <w:szCs w:val="21"/>
              </w:rPr>
            </w:pPr>
            <w:r>
              <w:rPr>
                <w:rFonts w:ascii="Times New Roman"/>
                <w:sz w:val="21"/>
              </w:rPr>
              <w:t>0.00</w:t>
            </w:r>
          </w:p>
        </w:tc>
      </w:tr>
      <w:tr>
        <w:trPr>
          <w:trHeight w:val="502" w:hRule="exact"/>
        </w:trPr>
        <w:tc>
          <w:tcPr>
            <w:tcW w:w="4978" w:type="dxa"/>
            <w:tcBorders>
              <w:top w:val="single" w:sz="4" w:space="0" w:color="000000"/>
              <w:left w:val="nil" w:sz="6" w:space="0" w:color="auto"/>
              <w:bottom w:val="single" w:sz="12" w:space="0" w:color="000000"/>
              <w:right w:val="single" w:sz="6" w:space="0" w:color="000000"/>
            </w:tcBorders>
          </w:tcPr>
          <w:p>
            <w:pPr>
              <w:pStyle w:val="TableParagraph"/>
              <w:tabs>
                <w:tab w:pos="655" w:val="left" w:leader="none"/>
              </w:tabs>
              <w:spacing w:line="240" w:lineRule="auto" w:before="174"/>
              <w:ind w:left="2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18" w:type="dxa"/>
            <w:tcBorders>
              <w:top w:val="single" w:sz="4" w:space="0" w:color="000000"/>
              <w:left w:val="single" w:sz="6" w:space="0" w:color="000000"/>
              <w:bottom w:val="single" w:sz="12" w:space="0" w:color="000000"/>
              <w:right w:val="single" w:sz="6" w:space="0" w:color="000000"/>
            </w:tcBorders>
          </w:tcPr>
          <w:p>
            <w:pPr/>
          </w:p>
        </w:tc>
        <w:tc>
          <w:tcPr>
            <w:tcW w:w="171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210,425,314.93</w:t>
            </w:r>
          </w:p>
        </w:tc>
        <w:tc>
          <w:tcPr>
            <w:tcW w:w="1428"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70" w:right="0"/>
              <w:jc w:val="left"/>
              <w:rPr>
                <w:rFonts w:ascii="Times New Roman" w:hAnsi="Times New Roman" w:cs="Times New Roman" w:eastAsia="Times New Roman" w:hint="default"/>
                <w:sz w:val="21"/>
                <w:szCs w:val="21"/>
              </w:rPr>
            </w:pPr>
            <w:r>
              <w:rPr>
                <w:rFonts w:ascii="Times New Roman"/>
                <w:sz w:val="21"/>
              </w:rPr>
              <w:t>99.00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36"/>
        <w:ind w:left="652" w:right="5418"/>
        <w:jc w:val="left"/>
      </w:pPr>
      <w:r>
        <w:rPr>
          <w:rFonts w:ascii="Times New Roman" w:hAnsi="Times New Roman" w:cs="Times New Roman" w:eastAsia="Times New Roman" w:hint="default"/>
        </w:rPr>
        <w:t>3</w:t>
      </w:r>
      <w:r>
        <w:rPr/>
        <w:t>．长期股权投资</w:t>
      </w:r>
    </w:p>
    <w:tbl>
      <w:tblPr>
        <w:tblW w:w="0" w:type="auto"/>
        <w:jc w:val="left"/>
        <w:tblInd w:w="110" w:type="dxa"/>
        <w:tblLayout w:type="fixed"/>
        <w:tblCellMar>
          <w:top w:w="0" w:type="dxa"/>
          <w:left w:w="0" w:type="dxa"/>
          <w:bottom w:w="0" w:type="dxa"/>
          <w:right w:w="0" w:type="dxa"/>
        </w:tblCellMar>
        <w:tblLook w:val="01E0"/>
      </w:tblPr>
      <w:tblGrid>
        <w:gridCol w:w="5292"/>
        <w:gridCol w:w="2381"/>
        <w:gridCol w:w="2196"/>
      </w:tblGrid>
      <w:tr>
        <w:trPr>
          <w:trHeight w:val="499" w:hRule="exact"/>
        </w:trPr>
        <w:tc>
          <w:tcPr>
            <w:tcW w:w="52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股权投资类别</w:t>
            </w:r>
          </w:p>
        </w:tc>
        <w:tc>
          <w:tcPr>
            <w:tcW w:w="23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4"/>
              <w:ind w:left="767"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1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4"/>
              <w:ind w:left="674"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89" w:hRule="exact"/>
        </w:trPr>
        <w:tc>
          <w:tcPr>
            <w:tcW w:w="5292" w:type="dxa"/>
            <w:tcBorders>
              <w:top w:val="single" w:sz="4" w:space="0" w:color="000000"/>
              <w:left w:val="nil" w:sz="6" w:space="0" w:color="auto"/>
              <w:bottom w:val="nil" w:sz="6" w:space="0" w:color="auto"/>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w:t>
            </w:r>
          </w:p>
        </w:tc>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57" w:right="0"/>
              <w:jc w:val="left"/>
              <w:rPr>
                <w:rFonts w:ascii="Times New Roman" w:hAnsi="Times New Roman" w:cs="Times New Roman" w:eastAsia="Times New Roman" w:hint="default"/>
                <w:sz w:val="21"/>
                <w:szCs w:val="21"/>
              </w:rPr>
            </w:pPr>
            <w:r>
              <w:rPr>
                <w:rFonts w:ascii="Times New Roman"/>
                <w:sz w:val="21"/>
              </w:rPr>
              <w:t>388,093,500.00</w:t>
            </w:r>
          </w:p>
        </w:tc>
        <w:tc>
          <w:tcPr>
            <w:tcW w:w="2196"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72" w:right="0"/>
              <w:jc w:val="left"/>
              <w:rPr>
                <w:rFonts w:ascii="Times New Roman" w:hAnsi="Times New Roman" w:cs="Times New Roman" w:eastAsia="Times New Roman" w:hint="default"/>
                <w:sz w:val="21"/>
                <w:szCs w:val="21"/>
              </w:rPr>
            </w:pPr>
            <w:r>
              <w:rPr>
                <w:rFonts w:ascii="Times New Roman"/>
                <w:sz w:val="21"/>
              </w:rPr>
              <w:t>239,843,500.00</w:t>
            </w:r>
          </w:p>
        </w:tc>
      </w:tr>
      <w:tr>
        <w:trPr>
          <w:trHeight w:val="381" w:hRule="exact"/>
        </w:trPr>
        <w:tc>
          <w:tcPr>
            <w:tcW w:w="5292" w:type="dxa"/>
            <w:tcBorders>
              <w:top w:val="nil" w:sz="6" w:space="0" w:color="auto"/>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2381" w:type="dxa"/>
            <w:vMerge/>
            <w:tcBorders>
              <w:left w:val="single" w:sz="4" w:space="0" w:color="000000"/>
              <w:bottom w:val="single" w:sz="4" w:space="0" w:color="000000"/>
              <w:right w:val="single" w:sz="4" w:space="0" w:color="000000"/>
            </w:tcBorders>
          </w:tcPr>
          <w:p>
            <w:pPr/>
          </w:p>
        </w:tc>
        <w:tc>
          <w:tcPr>
            <w:tcW w:w="2196" w:type="dxa"/>
            <w:vMerge/>
            <w:tcBorders>
              <w:left w:val="single" w:sz="4" w:space="0" w:color="000000"/>
              <w:bottom w:val="single" w:sz="4" w:space="0" w:color="000000"/>
              <w:right w:val="nil" w:sz="6" w:space="0" w:color="auto"/>
            </w:tcBorders>
          </w:tcPr>
          <w:p>
            <w:pPr/>
          </w:p>
        </w:tc>
      </w:tr>
      <w:tr>
        <w:trPr>
          <w:trHeight w:val="502" w:hRule="exact"/>
        </w:trPr>
        <w:tc>
          <w:tcPr>
            <w:tcW w:w="5292"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63" w:right="0"/>
              <w:jc w:val="left"/>
              <w:rPr>
                <w:rFonts w:ascii="Times New Roman" w:hAnsi="Times New Roman" w:cs="Times New Roman" w:eastAsia="Times New Roman" w:hint="default"/>
                <w:sz w:val="21"/>
                <w:szCs w:val="21"/>
              </w:rPr>
            </w:pPr>
            <w:r>
              <w:rPr>
                <w:rFonts w:ascii="Times New Roman"/>
                <w:sz w:val="21"/>
              </w:rPr>
              <w:t>388,093,500.0</w:t>
            </w:r>
          </w:p>
        </w:tc>
        <w:tc>
          <w:tcPr>
            <w:tcW w:w="21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73" w:right="0"/>
              <w:jc w:val="left"/>
              <w:rPr>
                <w:rFonts w:ascii="Times New Roman" w:hAnsi="Times New Roman" w:cs="Times New Roman" w:eastAsia="Times New Roman" w:hint="default"/>
                <w:sz w:val="21"/>
                <w:szCs w:val="21"/>
              </w:rPr>
            </w:pPr>
            <w:r>
              <w:rPr>
                <w:rFonts w:ascii="Times New Roman"/>
                <w:sz w:val="21"/>
              </w:rPr>
              <w:t>239,843,500.00</w:t>
            </w:r>
          </w:p>
        </w:tc>
      </w:tr>
    </w:tbl>
    <w:p>
      <w:pPr>
        <w:spacing w:after="0" w:line="240" w:lineRule="auto"/>
        <w:jc w:val="left"/>
        <w:rPr>
          <w:rFonts w:ascii="Times New Roman" w:hAnsi="Times New Roman" w:cs="Times New Roman" w:eastAsia="Times New Roman" w:hint="default"/>
          <w:sz w:val="21"/>
          <w:szCs w:val="21"/>
        </w:rPr>
        <w:sectPr>
          <w:pgSz w:w="11910" w:h="16840"/>
          <w:pgMar w:header="850" w:footer="979" w:top="1200" w:bottom="1160" w:left="900" w:right="920"/>
        </w:sectPr>
      </w:pPr>
    </w:p>
    <w:p>
      <w:pPr>
        <w:spacing w:line="240" w:lineRule="auto" w:before="6"/>
        <w:rPr>
          <w:rFonts w:ascii="宋体" w:hAnsi="宋体" w:cs="宋体" w:eastAsia="宋体" w:hint="default"/>
          <w:sz w:val="15"/>
          <w:szCs w:val="15"/>
        </w:rPr>
      </w:pPr>
    </w:p>
    <w:p>
      <w:pPr>
        <w:pStyle w:val="BodyText"/>
        <w:spacing w:line="240" w:lineRule="auto" w:before="36"/>
        <w:ind w:left="652" w:right="5418"/>
        <w:jc w:val="left"/>
      </w:pPr>
      <w:r>
        <w:rPr/>
        <w:t>（</w:t>
      </w:r>
      <w:r>
        <w:rPr>
          <w:rFonts w:ascii="Times New Roman" w:hAnsi="Times New Roman" w:cs="Times New Roman" w:eastAsia="Times New Roman" w:hint="default"/>
        </w:rPr>
        <w:t>1</w:t>
      </w:r>
      <w:r>
        <w:rPr/>
        <w:t>）成本法核算的长期股权投资</w:t>
      </w:r>
    </w:p>
    <w:tbl>
      <w:tblPr>
        <w:tblW w:w="0" w:type="auto"/>
        <w:jc w:val="left"/>
        <w:tblInd w:w="110" w:type="dxa"/>
        <w:tblLayout w:type="fixed"/>
        <w:tblCellMar>
          <w:top w:w="0" w:type="dxa"/>
          <w:left w:w="0" w:type="dxa"/>
          <w:bottom w:w="0" w:type="dxa"/>
          <w:right w:w="0" w:type="dxa"/>
        </w:tblCellMar>
        <w:tblLook w:val="01E0"/>
      </w:tblPr>
      <w:tblGrid>
        <w:gridCol w:w="1747"/>
        <w:gridCol w:w="1529"/>
        <w:gridCol w:w="1529"/>
        <w:gridCol w:w="1529"/>
        <w:gridCol w:w="1529"/>
        <w:gridCol w:w="972"/>
        <w:gridCol w:w="1034"/>
      </w:tblGrid>
      <w:tr>
        <w:trPr>
          <w:trHeight w:val="1253" w:hRule="exact"/>
        </w:trPr>
        <w:tc>
          <w:tcPr>
            <w:tcW w:w="1747"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15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2"/>
              <w:jc w:val="right"/>
              <w:rPr>
                <w:rFonts w:ascii="宋体" w:hAnsi="宋体" w:cs="宋体" w:eastAsia="宋体" w:hint="default"/>
                <w:sz w:val="21"/>
                <w:szCs w:val="21"/>
              </w:rPr>
            </w:pPr>
            <w:r>
              <w:rPr>
                <w:rFonts w:ascii="宋体" w:hAnsi="宋体" w:cs="宋体" w:eastAsia="宋体" w:hint="default"/>
                <w:spacing w:val="-1"/>
                <w:sz w:val="21"/>
                <w:szCs w:val="21"/>
              </w:rPr>
              <w:t>初始投资金额</w:t>
            </w:r>
          </w:p>
        </w:tc>
        <w:tc>
          <w:tcPr>
            <w:tcW w:w="15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5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972"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40"/>
              <w:ind w:left="167" w:right="159"/>
              <w:jc w:val="center"/>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w w:val="100"/>
                <w:sz w:val="21"/>
                <w:szCs w:val="21"/>
              </w:rPr>
              <w:t> </w:t>
            </w:r>
            <w:r>
              <w:rPr>
                <w:rFonts w:ascii="宋体" w:hAnsi="宋体" w:cs="宋体" w:eastAsia="宋体" w:hint="default"/>
                <w:sz w:val="21"/>
                <w:szCs w:val="21"/>
              </w:rPr>
              <w:t>资单位</w:t>
            </w:r>
            <w:r>
              <w:rPr>
                <w:rFonts w:ascii="宋体" w:hAnsi="宋体" w:cs="宋体" w:eastAsia="宋体" w:hint="default"/>
                <w:w w:val="100"/>
                <w:sz w:val="21"/>
                <w:szCs w:val="21"/>
              </w:rPr>
              <w:t> </w:t>
            </w:r>
            <w:r>
              <w:rPr>
                <w:rFonts w:ascii="宋体" w:hAnsi="宋体" w:cs="宋体" w:eastAsia="宋体" w:hint="default"/>
                <w:sz w:val="21"/>
                <w:szCs w:val="21"/>
              </w:rPr>
              <w:t>持股比</w:t>
            </w:r>
            <w:r>
              <w:rPr>
                <w:rFonts w:ascii="宋体" w:hAnsi="宋体" w:cs="宋体" w:eastAsia="宋体" w:hint="default"/>
                <w:w w:val="100"/>
                <w:sz w:val="21"/>
                <w:szCs w:val="21"/>
              </w:rPr>
              <w:t> </w:t>
            </w:r>
            <w:r>
              <w:rPr>
                <w:rFonts w:ascii="宋体" w:hAnsi="宋体" w:cs="宋体" w:eastAsia="宋体" w:hint="default"/>
                <w:sz w:val="21"/>
                <w:szCs w:val="21"/>
              </w:rPr>
              <w:t>例</w:t>
            </w:r>
          </w:p>
        </w:tc>
        <w:tc>
          <w:tcPr>
            <w:tcW w:w="1034" w:type="dxa"/>
            <w:tcBorders>
              <w:top w:val="single" w:sz="12" w:space="0" w:color="000000"/>
              <w:left w:val="single" w:sz="4" w:space="0" w:color="000000"/>
              <w:bottom w:val="single" w:sz="4" w:space="0" w:color="000000"/>
              <w:right w:val="nil" w:sz="6" w:space="0" w:color="auto"/>
            </w:tcBorders>
          </w:tcPr>
          <w:p>
            <w:pPr>
              <w:pStyle w:val="TableParagraph"/>
              <w:spacing w:line="237" w:lineRule="auto" w:before="40"/>
              <w:ind w:left="196" w:right="197"/>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tc>
      </w:tr>
      <w:tr>
        <w:trPr>
          <w:trHeight w:val="689" w:hRule="exact"/>
        </w:trPr>
        <w:tc>
          <w:tcPr>
            <w:tcW w:w="1747" w:type="dxa"/>
            <w:tcBorders>
              <w:top w:val="single" w:sz="4" w:space="0" w:color="000000"/>
              <w:left w:val="nil" w:sz="6" w:space="0" w:color="auto"/>
              <w:bottom w:val="nil" w:sz="6" w:space="0" w:color="auto"/>
              <w:right w:val="single" w:sz="4" w:space="0" w:color="000000"/>
            </w:tcBorders>
          </w:tcPr>
          <w:p>
            <w:pPr>
              <w:pStyle w:val="TableParagraph"/>
              <w:spacing w:line="272" w:lineRule="exact" w:before="68"/>
              <w:ind w:left="122" w:right="98"/>
              <w:jc w:val="left"/>
              <w:rPr>
                <w:rFonts w:ascii="宋体" w:hAnsi="宋体" w:cs="宋体" w:eastAsia="宋体" w:hint="default"/>
                <w:sz w:val="21"/>
                <w:szCs w:val="21"/>
              </w:rPr>
            </w:pPr>
            <w:r>
              <w:rPr>
                <w:rFonts w:ascii="宋体" w:hAnsi="宋体" w:cs="宋体" w:eastAsia="宋体" w:hint="default"/>
                <w:spacing w:val="4"/>
                <w:sz w:val="21"/>
                <w:szCs w:val="21"/>
              </w:rPr>
              <w:t>上海石基信息技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术有限公司</w:t>
            </w:r>
          </w:p>
        </w:tc>
        <w:tc>
          <w:tcPr>
            <w:tcW w:w="15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96"/>
              <w:jc w:val="right"/>
              <w:rPr>
                <w:rFonts w:ascii="Times New Roman" w:hAnsi="Times New Roman" w:cs="Times New Roman" w:eastAsia="Times New Roman" w:hint="default"/>
                <w:sz w:val="21"/>
                <w:szCs w:val="21"/>
              </w:rPr>
            </w:pPr>
            <w:r>
              <w:rPr>
                <w:rFonts w:ascii="Times New Roman"/>
                <w:spacing w:val="-1"/>
                <w:sz w:val="21"/>
              </w:rPr>
              <w:t>1,000,000.00</w:t>
            </w:r>
          </w:p>
        </w:tc>
        <w:tc>
          <w:tcPr>
            <w:tcW w:w="15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96"/>
              <w:jc w:val="right"/>
              <w:rPr>
                <w:rFonts w:ascii="Times New Roman" w:hAnsi="Times New Roman" w:cs="Times New Roman" w:eastAsia="Times New Roman" w:hint="default"/>
                <w:sz w:val="21"/>
                <w:szCs w:val="21"/>
              </w:rPr>
            </w:pPr>
            <w:r>
              <w:rPr>
                <w:rFonts w:ascii="Times New Roman"/>
                <w:spacing w:val="-1"/>
                <w:sz w:val="21"/>
              </w:rPr>
              <w:t>1,000,000.00</w:t>
            </w:r>
          </w:p>
        </w:tc>
        <w:tc>
          <w:tcPr>
            <w:tcW w:w="1529" w:type="dxa"/>
            <w:tcBorders>
              <w:top w:val="single" w:sz="4" w:space="0" w:color="000000"/>
              <w:left w:val="single" w:sz="4" w:space="0" w:color="000000"/>
              <w:bottom w:val="nil" w:sz="6" w:space="0" w:color="auto"/>
              <w:right w:val="single" w:sz="4" w:space="0" w:color="000000"/>
            </w:tcBorders>
          </w:tcPr>
          <w:p>
            <w:pPr/>
          </w:p>
        </w:tc>
        <w:tc>
          <w:tcPr>
            <w:tcW w:w="15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9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6" w:right="0"/>
              <w:jc w:val="center"/>
              <w:rPr>
                <w:rFonts w:ascii="Times New Roman" w:hAnsi="Times New Roman" w:cs="Times New Roman" w:eastAsia="Times New Roman" w:hint="default"/>
                <w:sz w:val="21"/>
                <w:szCs w:val="21"/>
              </w:rPr>
            </w:pPr>
            <w:r>
              <w:rPr>
                <w:rFonts w:ascii="Times New Roman"/>
                <w:sz w:val="21"/>
              </w:rPr>
              <w:t>100%</w:t>
            </w:r>
          </w:p>
        </w:tc>
        <w:tc>
          <w:tcPr>
            <w:tcW w:w="1034" w:type="dxa"/>
            <w:tcBorders>
              <w:top w:val="single" w:sz="4" w:space="0" w:color="000000"/>
              <w:left w:val="single" w:sz="4" w:space="0" w:color="000000"/>
              <w:bottom w:val="nil" w:sz="6" w:space="0" w:color="auto"/>
              <w:right w:val="nil" w:sz="6" w:space="0" w:color="auto"/>
            </w:tcBorders>
          </w:tcPr>
          <w:p>
            <w:pPr>
              <w:pStyle w:val="TableParagraph"/>
              <w:spacing w:line="240" w:lineRule="auto" w:before="68"/>
              <w:ind w:right="1"/>
              <w:jc w:val="center"/>
              <w:rPr>
                <w:rFonts w:ascii="Times New Roman" w:hAnsi="Times New Roman" w:cs="Times New Roman" w:eastAsia="Times New Roman" w:hint="default"/>
                <w:sz w:val="21"/>
                <w:szCs w:val="21"/>
              </w:rPr>
            </w:pPr>
            <w:r>
              <w:rPr>
                <w:rFonts w:ascii="Times New Roman"/>
                <w:sz w:val="21"/>
              </w:rPr>
              <w:t>100%</w:t>
            </w:r>
          </w:p>
        </w:tc>
      </w:tr>
      <w:tr>
        <w:trPr>
          <w:trHeight w:val="687" w:hRule="exact"/>
        </w:trPr>
        <w:tc>
          <w:tcPr>
            <w:tcW w:w="1747" w:type="dxa"/>
            <w:tcBorders>
              <w:top w:val="nil" w:sz="6" w:space="0" w:color="auto"/>
              <w:left w:val="nil" w:sz="6" w:space="0" w:color="auto"/>
              <w:bottom w:val="nil" w:sz="6" w:space="0" w:color="auto"/>
              <w:right w:val="single" w:sz="4" w:space="0" w:color="000000"/>
            </w:tcBorders>
          </w:tcPr>
          <w:p>
            <w:pPr>
              <w:pStyle w:val="TableParagraph"/>
              <w:spacing w:line="272" w:lineRule="exact" w:before="72"/>
              <w:ind w:left="122" w:right="98"/>
              <w:jc w:val="left"/>
              <w:rPr>
                <w:rFonts w:ascii="宋体" w:hAnsi="宋体" w:cs="宋体" w:eastAsia="宋体" w:hint="default"/>
                <w:sz w:val="21"/>
                <w:szCs w:val="21"/>
              </w:rPr>
            </w:pPr>
            <w:r>
              <w:rPr>
                <w:rFonts w:ascii="宋体" w:hAnsi="宋体" w:cs="宋体" w:eastAsia="宋体" w:hint="default"/>
                <w:spacing w:val="4"/>
                <w:sz w:val="21"/>
                <w:szCs w:val="21"/>
              </w:rPr>
              <w:t>北京石基昆仑软</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件有限公司</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52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7"/>
              <w:jc w:val="right"/>
              <w:rPr>
                <w:rFonts w:ascii="Times New Roman" w:hAnsi="Times New Roman" w:cs="Times New Roman" w:eastAsia="Times New Roman" w:hint="default"/>
                <w:sz w:val="21"/>
                <w:szCs w:val="21"/>
              </w:rPr>
            </w:pPr>
            <w:r>
              <w:rPr>
                <w:rFonts w:ascii="Times New Roman"/>
                <w:spacing w:val="-1"/>
                <w:sz w:val="21"/>
              </w:rPr>
              <w:t>3,000,000.00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6" w:right="0"/>
              <w:jc w:val="center"/>
              <w:rPr>
                <w:rFonts w:ascii="Times New Roman" w:hAnsi="Times New Roman" w:cs="Times New Roman" w:eastAsia="Times New Roman" w:hint="default"/>
                <w:sz w:val="21"/>
                <w:szCs w:val="21"/>
              </w:rPr>
            </w:pPr>
            <w:r>
              <w:rPr>
                <w:rFonts w:ascii="Times New Roman"/>
                <w:sz w:val="21"/>
              </w:rPr>
              <w:t>82.40%</w:t>
            </w:r>
          </w:p>
        </w:tc>
        <w:tc>
          <w:tcPr>
            <w:tcW w:w="1034"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82.40%</w:t>
            </w:r>
          </w:p>
        </w:tc>
      </w:tr>
      <w:tr>
        <w:trPr>
          <w:trHeight w:val="689" w:hRule="exact"/>
        </w:trPr>
        <w:tc>
          <w:tcPr>
            <w:tcW w:w="1747"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22" w:right="98"/>
              <w:jc w:val="left"/>
              <w:rPr>
                <w:rFonts w:ascii="宋体" w:hAnsi="宋体" w:cs="宋体" w:eastAsia="宋体" w:hint="default"/>
                <w:sz w:val="21"/>
                <w:szCs w:val="21"/>
              </w:rPr>
            </w:pPr>
            <w:r>
              <w:rPr>
                <w:rFonts w:ascii="宋体" w:hAnsi="宋体" w:cs="宋体" w:eastAsia="宋体" w:hint="default"/>
                <w:spacing w:val="4"/>
                <w:sz w:val="21"/>
                <w:szCs w:val="21"/>
              </w:rPr>
              <w:t>杭州西软科技有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限公司</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6"/>
              <w:jc w:val="right"/>
              <w:rPr>
                <w:rFonts w:ascii="Times New Roman" w:hAnsi="Times New Roman" w:cs="Times New Roman" w:eastAsia="Times New Roman" w:hint="default"/>
                <w:sz w:val="21"/>
                <w:szCs w:val="21"/>
              </w:rPr>
            </w:pPr>
            <w:r>
              <w:rPr>
                <w:rFonts w:ascii="Times New Roman"/>
                <w:spacing w:val="-1"/>
                <w:sz w:val="21"/>
              </w:rPr>
              <w:t>87,500,000.00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6"/>
              <w:jc w:val="right"/>
              <w:rPr>
                <w:rFonts w:ascii="Times New Roman" w:hAnsi="Times New Roman" w:cs="Times New Roman" w:eastAsia="Times New Roman" w:hint="default"/>
                <w:sz w:val="21"/>
                <w:szCs w:val="21"/>
              </w:rPr>
            </w:pPr>
            <w:r>
              <w:rPr>
                <w:rFonts w:ascii="Times New Roman"/>
                <w:spacing w:val="-1"/>
                <w:sz w:val="21"/>
              </w:rPr>
              <w:t>87,500,000.00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13" w:right="0"/>
              <w:jc w:val="center"/>
              <w:rPr>
                <w:rFonts w:ascii="Times New Roman" w:hAnsi="Times New Roman" w:cs="Times New Roman" w:eastAsia="Times New Roman" w:hint="default"/>
                <w:sz w:val="21"/>
                <w:szCs w:val="21"/>
              </w:rPr>
            </w:pPr>
            <w:r>
              <w:rPr>
                <w:rFonts w:ascii="Times New Roman"/>
                <w:sz w:val="21"/>
              </w:rPr>
              <w:t>30,000,000.00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7"/>
              <w:jc w:val="right"/>
              <w:rPr>
                <w:rFonts w:ascii="Times New Roman" w:hAnsi="Times New Roman" w:cs="Times New Roman" w:eastAsia="Times New Roman" w:hint="default"/>
                <w:sz w:val="21"/>
                <w:szCs w:val="21"/>
              </w:rPr>
            </w:pPr>
            <w:r>
              <w:rPr>
                <w:rFonts w:ascii="Times New Roman"/>
                <w:spacing w:val="-1"/>
                <w:sz w:val="21"/>
              </w:rPr>
              <w:t>117,500,000.00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6" w:right="0"/>
              <w:jc w:val="center"/>
              <w:rPr>
                <w:rFonts w:ascii="Times New Roman" w:hAnsi="Times New Roman" w:cs="Times New Roman" w:eastAsia="Times New Roman" w:hint="default"/>
                <w:sz w:val="21"/>
                <w:szCs w:val="21"/>
              </w:rPr>
            </w:pPr>
            <w:r>
              <w:rPr>
                <w:rFonts w:ascii="Times New Roman"/>
                <w:sz w:val="21"/>
              </w:rPr>
              <w:t>100%</w:t>
            </w:r>
          </w:p>
        </w:tc>
        <w:tc>
          <w:tcPr>
            <w:tcW w:w="1034"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1"/>
              <w:jc w:val="center"/>
              <w:rPr>
                <w:rFonts w:ascii="Times New Roman" w:hAnsi="Times New Roman" w:cs="Times New Roman" w:eastAsia="Times New Roman" w:hint="default"/>
                <w:sz w:val="21"/>
                <w:szCs w:val="21"/>
              </w:rPr>
            </w:pPr>
            <w:r>
              <w:rPr>
                <w:rFonts w:ascii="Times New Roman"/>
                <w:sz w:val="21"/>
              </w:rPr>
              <w:t>100%</w:t>
            </w:r>
          </w:p>
        </w:tc>
      </w:tr>
      <w:tr>
        <w:trPr>
          <w:trHeight w:val="689" w:hRule="exact"/>
        </w:trPr>
        <w:tc>
          <w:tcPr>
            <w:tcW w:w="1747"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22" w:right="98"/>
              <w:jc w:val="left"/>
              <w:rPr>
                <w:rFonts w:ascii="宋体" w:hAnsi="宋体" w:cs="宋体" w:eastAsia="宋体" w:hint="default"/>
                <w:sz w:val="21"/>
                <w:szCs w:val="21"/>
              </w:rPr>
            </w:pPr>
            <w:r>
              <w:rPr>
                <w:rFonts w:ascii="宋体" w:hAnsi="宋体" w:cs="宋体" w:eastAsia="宋体" w:hint="default"/>
                <w:spacing w:val="4"/>
                <w:sz w:val="21"/>
                <w:szCs w:val="21"/>
              </w:rPr>
              <w:t>北海石基信息技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术有限公司</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6"/>
              <w:jc w:val="right"/>
              <w:rPr>
                <w:rFonts w:ascii="Times New Roman" w:hAnsi="Times New Roman" w:cs="Times New Roman" w:eastAsia="Times New Roman" w:hint="default"/>
                <w:sz w:val="21"/>
                <w:szCs w:val="21"/>
              </w:rPr>
            </w:pPr>
            <w:r>
              <w:rPr>
                <w:rFonts w:ascii="Times New Roman"/>
                <w:spacing w:val="-1"/>
                <w:sz w:val="21"/>
              </w:rPr>
              <w:t>6,660,000.00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6"/>
              <w:jc w:val="right"/>
              <w:rPr>
                <w:rFonts w:ascii="Times New Roman" w:hAnsi="Times New Roman" w:cs="Times New Roman" w:eastAsia="Times New Roman" w:hint="default"/>
                <w:sz w:val="21"/>
                <w:szCs w:val="21"/>
              </w:rPr>
            </w:pPr>
            <w:r>
              <w:rPr>
                <w:rFonts w:ascii="Times New Roman"/>
                <w:spacing w:val="-1"/>
                <w:sz w:val="21"/>
              </w:rPr>
              <w:t>6,660,000.00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7" w:right="0"/>
              <w:jc w:val="center"/>
              <w:rPr>
                <w:rFonts w:ascii="Times New Roman" w:hAnsi="Times New Roman" w:cs="Times New Roman" w:eastAsia="Times New Roman" w:hint="default"/>
                <w:sz w:val="21"/>
                <w:szCs w:val="21"/>
              </w:rPr>
            </w:pPr>
            <w:r>
              <w:rPr>
                <w:rFonts w:ascii="Times New Roman"/>
                <w:sz w:val="21"/>
              </w:rPr>
              <w:t>103,340,000.00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5"/>
              <w:jc w:val="right"/>
              <w:rPr>
                <w:rFonts w:ascii="Times New Roman" w:hAnsi="Times New Roman" w:cs="Times New Roman" w:eastAsia="Times New Roman" w:hint="default"/>
                <w:sz w:val="21"/>
                <w:szCs w:val="21"/>
              </w:rPr>
            </w:pPr>
            <w:r>
              <w:rPr>
                <w:rFonts w:ascii="Times New Roman"/>
                <w:spacing w:val="-1"/>
                <w:sz w:val="21"/>
              </w:rPr>
              <w:t>110,000,000.00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6" w:right="0"/>
              <w:jc w:val="center"/>
              <w:rPr>
                <w:rFonts w:ascii="Times New Roman" w:hAnsi="Times New Roman" w:cs="Times New Roman" w:eastAsia="Times New Roman" w:hint="default"/>
                <w:sz w:val="21"/>
                <w:szCs w:val="21"/>
              </w:rPr>
            </w:pPr>
            <w:r>
              <w:rPr>
                <w:rFonts w:ascii="Times New Roman"/>
                <w:sz w:val="21"/>
              </w:rPr>
              <w:t>100%</w:t>
            </w:r>
          </w:p>
        </w:tc>
        <w:tc>
          <w:tcPr>
            <w:tcW w:w="1034"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1"/>
              <w:jc w:val="center"/>
              <w:rPr>
                <w:rFonts w:ascii="Times New Roman" w:hAnsi="Times New Roman" w:cs="Times New Roman" w:eastAsia="Times New Roman" w:hint="default"/>
                <w:sz w:val="21"/>
                <w:szCs w:val="21"/>
              </w:rPr>
            </w:pPr>
            <w:r>
              <w:rPr>
                <w:rFonts w:ascii="Times New Roman"/>
                <w:sz w:val="21"/>
              </w:rPr>
              <w:t>100%</w:t>
            </w:r>
          </w:p>
        </w:tc>
      </w:tr>
      <w:tr>
        <w:trPr>
          <w:trHeight w:val="689" w:hRule="exact"/>
        </w:trPr>
        <w:tc>
          <w:tcPr>
            <w:tcW w:w="1747"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22" w:right="98"/>
              <w:jc w:val="left"/>
              <w:rPr>
                <w:rFonts w:ascii="宋体" w:hAnsi="宋体" w:cs="宋体" w:eastAsia="宋体" w:hint="default"/>
                <w:sz w:val="21"/>
                <w:szCs w:val="21"/>
              </w:rPr>
            </w:pPr>
            <w:r>
              <w:rPr>
                <w:rFonts w:ascii="宋体" w:hAnsi="宋体" w:cs="宋体" w:eastAsia="宋体" w:hint="default"/>
                <w:spacing w:val="4"/>
                <w:sz w:val="21"/>
                <w:szCs w:val="21"/>
              </w:rPr>
              <w:t>北京中长石基软</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件有限公司</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52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7"/>
              <w:jc w:val="right"/>
              <w:rPr>
                <w:rFonts w:ascii="Times New Roman" w:hAnsi="Times New Roman" w:cs="Times New Roman" w:eastAsia="Times New Roman" w:hint="default"/>
                <w:sz w:val="21"/>
                <w:szCs w:val="21"/>
              </w:rPr>
            </w:pPr>
            <w:r>
              <w:rPr>
                <w:rFonts w:ascii="Times New Roman"/>
                <w:spacing w:val="-1"/>
                <w:sz w:val="21"/>
              </w:rPr>
              <w:t>10,000,000.00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6" w:right="0"/>
              <w:jc w:val="center"/>
              <w:rPr>
                <w:rFonts w:ascii="Times New Roman" w:hAnsi="Times New Roman" w:cs="Times New Roman" w:eastAsia="Times New Roman" w:hint="default"/>
                <w:sz w:val="21"/>
                <w:szCs w:val="21"/>
              </w:rPr>
            </w:pPr>
            <w:r>
              <w:rPr>
                <w:rFonts w:ascii="Times New Roman"/>
                <w:sz w:val="21"/>
              </w:rPr>
              <w:t>100%</w:t>
            </w:r>
          </w:p>
        </w:tc>
        <w:tc>
          <w:tcPr>
            <w:tcW w:w="1034"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1"/>
              <w:jc w:val="center"/>
              <w:rPr>
                <w:rFonts w:ascii="Times New Roman" w:hAnsi="Times New Roman" w:cs="Times New Roman" w:eastAsia="Times New Roman" w:hint="default"/>
                <w:sz w:val="21"/>
                <w:szCs w:val="21"/>
              </w:rPr>
            </w:pPr>
            <w:r>
              <w:rPr>
                <w:rFonts w:ascii="Times New Roman"/>
                <w:sz w:val="21"/>
              </w:rPr>
              <w:t>100%</w:t>
            </w:r>
          </w:p>
        </w:tc>
      </w:tr>
      <w:tr>
        <w:trPr>
          <w:trHeight w:val="961" w:hRule="exact"/>
        </w:trPr>
        <w:tc>
          <w:tcPr>
            <w:tcW w:w="1747" w:type="dxa"/>
            <w:tcBorders>
              <w:top w:val="nil" w:sz="6" w:space="0" w:color="auto"/>
              <w:left w:val="nil" w:sz="6" w:space="0" w:color="auto"/>
              <w:bottom w:val="nil" w:sz="6" w:space="0" w:color="auto"/>
              <w:right w:val="single" w:sz="4" w:space="0" w:color="000000"/>
            </w:tcBorders>
          </w:tcPr>
          <w:p>
            <w:pPr>
              <w:pStyle w:val="TableParagraph"/>
              <w:spacing w:line="274" w:lineRule="exact" w:before="43"/>
              <w:ind w:left="122" w:right="0"/>
              <w:jc w:val="left"/>
              <w:rPr>
                <w:rFonts w:ascii="宋体" w:hAnsi="宋体" w:cs="宋体" w:eastAsia="宋体" w:hint="default"/>
                <w:sz w:val="21"/>
                <w:szCs w:val="21"/>
              </w:rPr>
            </w:pPr>
            <w:r>
              <w:rPr>
                <w:rFonts w:ascii="宋体" w:hAnsi="宋体" w:cs="宋体" w:eastAsia="宋体" w:hint="default"/>
                <w:spacing w:val="40"/>
                <w:sz w:val="21"/>
                <w:szCs w:val="21"/>
              </w:rPr>
              <w:t>焦点信息技术</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7"/>
              <w:ind w:left="122" w:right="98"/>
              <w:jc w:val="left"/>
              <w:rPr>
                <w:rFonts w:ascii="宋体" w:hAnsi="宋体" w:cs="宋体" w:eastAsia="宋体" w:hint="default"/>
                <w:sz w:val="21"/>
                <w:szCs w:val="21"/>
              </w:rPr>
            </w:pPr>
            <w:r>
              <w:rPr>
                <w:rFonts w:ascii="宋体" w:hAnsi="宋体" w:cs="宋体" w:eastAsia="宋体" w:hint="default"/>
                <w:spacing w:val="4"/>
                <w:sz w:val="21"/>
                <w:szCs w:val="21"/>
              </w:rPr>
              <w:t>（香港）有限公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司</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6"/>
              <w:jc w:val="right"/>
              <w:rPr>
                <w:rFonts w:ascii="Times New Roman" w:hAnsi="Times New Roman" w:cs="Times New Roman" w:eastAsia="Times New Roman" w:hint="default"/>
                <w:sz w:val="21"/>
                <w:szCs w:val="21"/>
              </w:rPr>
            </w:pPr>
            <w:r>
              <w:rPr>
                <w:rFonts w:ascii="Times New Roman"/>
                <w:spacing w:val="-1"/>
                <w:sz w:val="21"/>
              </w:rPr>
              <w:t>30,933,500.00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6"/>
              <w:jc w:val="right"/>
              <w:rPr>
                <w:rFonts w:ascii="Times New Roman" w:hAnsi="Times New Roman" w:cs="Times New Roman" w:eastAsia="Times New Roman" w:hint="default"/>
                <w:sz w:val="21"/>
                <w:szCs w:val="21"/>
              </w:rPr>
            </w:pPr>
            <w:r>
              <w:rPr>
                <w:rFonts w:ascii="Times New Roman"/>
                <w:spacing w:val="-1"/>
                <w:sz w:val="21"/>
              </w:rPr>
              <w:t>30,933,500.00</w:t>
            </w:r>
          </w:p>
        </w:tc>
        <w:tc>
          <w:tcPr>
            <w:tcW w:w="152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97"/>
              <w:jc w:val="right"/>
              <w:rPr>
                <w:rFonts w:ascii="Times New Roman" w:hAnsi="Times New Roman" w:cs="Times New Roman" w:eastAsia="Times New Roman" w:hint="default"/>
                <w:sz w:val="21"/>
                <w:szCs w:val="21"/>
              </w:rPr>
            </w:pPr>
            <w:r>
              <w:rPr>
                <w:rFonts w:ascii="Times New Roman"/>
                <w:spacing w:val="-1"/>
                <w:sz w:val="21"/>
              </w:rPr>
              <w:t>30,933,500.00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6" w:right="0"/>
              <w:jc w:val="center"/>
              <w:rPr>
                <w:rFonts w:ascii="Times New Roman" w:hAnsi="Times New Roman" w:cs="Times New Roman" w:eastAsia="Times New Roman" w:hint="default"/>
                <w:sz w:val="21"/>
                <w:szCs w:val="21"/>
              </w:rPr>
            </w:pPr>
            <w:r>
              <w:rPr>
                <w:rFonts w:ascii="Times New Roman"/>
                <w:sz w:val="21"/>
              </w:rPr>
              <w:t>100%</w:t>
            </w:r>
          </w:p>
        </w:tc>
        <w:tc>
          <w:tcPr>
            <w:tcW w:w="1034"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1"/>
              <w:jc w:val="center"/>
              <w:rPr>
                <w:rFonts w:ascii="Times New Roman" w:hAnsi="Times New Roman" w:cs="Times New Roman" w:eastAsia="Times New Roman" w:hint="default"/>
                <w:sz w:val="21"/>
                <w:szCs w:val="21"/>
              </w:rPr>
            </w:pPr>
            <w:r>
              <w:rPr>
                <w:rFonts w:ascii="Times New Roman"/>
                <w:sz w:val="21"/>
              </w:rPr>
              <w:t>100%</w:t>
            </w:r>
          </w:p>
        </w:tc>
      </w:tr>
      <w:tr>
        <w:trPr>
          <w:trHeight w:val="689" w:hRule="exact"/>
        </w:trPr>
        <w:tc>
          <w:tcPr>
            <w:tcW w:w="1747" w:type="dxa"/>
            <w:tcBorders>
              <w:top w:val="nil" w:sz="6" w:space="0" w:color="auto"/>
              <w:left w:val="nil" w:sz="6" w:space="0" w:color="auto"/>
              <w:bottom w:val="nil" w:sz="6" w:space="0" w:color="auto"/>
              <w:right w:val="single" w:sz="4" w:space="0" w:color="000000"/>
            </w:tcBorders>
          </w:tcPr>
          <w:p>
            <w:pPr>
              <w:pStyle w:val="TableParagraph"/>
              <w:spacing w:line="272" w:lineRule="exact" w:before="72"/>
              <w:ind w:left="122" w:right="98"/>
              <w:jc w:val="left"/>
              <w:rPr>
                <w:rFonts w:ascii="宋体" w:hAnsi="宋体" w:cs="宋体" w:eastAsia="宋体" w:hint="default"/>
                <w:sz w:val="21"/>
                <w:szCs w:val="21"/>
              </w:rPr>
            </w:pPr>
            <w:r>
              <w:rPr>
                <w:rFonts w:ascii="宋体" w:hAnsi="宋体" w:cs="宋体" w:eastAsia="宋体" w:hint="default"/>
                <w:spacing w:val="4"/>
                <w:sz w:val="21"/>
                <w:szCs w:val="21"/>
              </w:rPr>
              <w:t>南京银石计算机</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系统有限公司</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6"/>
              <w:jc w:val="right"/>
              <w:rPr>
                <w:rFonts w:ascii="Times New Roman" w:hAnsi="Times New Roman" w:cs="Times New Roman" w:eastAsia="Times New Roman" w:hint="default"/>
                <w:sz w:val="21"/>
                <w:szCs w:val="21"/>
              </w:rPr>
            </w:pPr>
            <w:r>
              <w:rPr>
                <w:rFonts w:ascii="Times New Roman"/>
                <w:spacing w:val="-1"/>
                <w:sz w:val="21"/>
              </w:rPr>
              <w:t>85,000,000.00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6"/>
              <w:jc w:val="right"/>
              <w:rPr>
                <w:rFonts w:ascii="Times New Roman" w:hAnsi="Times New Roman" w:cs="Times New Roman" w:eastAsia="Times New Roman" w:hint="default"/>
                <w:sz w:val="21"/>
                <w:szCs w:val="21"/>
              </w:rPr>
            </w:pPr>
            <w:r>
              <w:rPr>
                <w:rFonts w:ascii="Times New Roman"/>
                <w:spacing w:val="-1"/>
                <w:sz w:val="21"/>
              </w:rPr>
              <w:t>85,000,000.00</w:t>
            </w:r>
          </w:p>
        </w:tc>
        <w:tc>
          <w:tcPr>
            <w:tcW w:w="152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7"/>
              <w:jc w:val="right"/>
              <w:rPr>
                <w:rFonts w:ascii="Times New Roman" w:hAnsi="Times New Roman" w:cs="Times New Roman" w:eastAsia="Times New Roman" w:hint="default"/>
                <w:sz w:val="21"/>
                <w:szCs w:val="21"/>
              </w:rPr>
            </w:pPr>
            <w:r>
              <w:rPr>
                <w:rFonts w:ascii="Times New Roman"/>
                <w:spacing w:val="-1"/>
                <w:sz w:val="21"/>
              </w:rPr>
              <w:t>85,000,000.00</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6" w:right="0"/>
              <w:jc w:val="center"/>
              <w:rPr>
                <w:rFonts w:ascii="Times New Roman" w:hAnsi="Times New Roman" w:cs="Times New Roman" w:eastAsia="Times New Roman" w:hint="default"/>
                <w:sz w:val="21"/>
                <w:szCs w:val="21"/>
              </w:rPr>
            </w:pPr>
            <w:r>
              <w:rPr>
                <w:rFonts w:ascii="Times New Roman"/>
                <w:sz w:val="21"/>
              </w:rPr>
              <w:t>100%</w:t>
            </w:r>
          </w:p>
        </w:tc>
        <w:tc>
          <w:tcPr>
            <w:tcW w:w="1034"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100%</w:t>
            </w:r>
          </w:p>
        </w:tc>
      </w:tr>
      <w:tr>
        <w:trPr>
          <w:trHeight w:val="689" w:hRule="exact"/>
        </w:trPr>
        <w:tc>
          <w:tcPr>
            <w:tcW w:w="1747" w:type="dxa"/>
            <w:tcBorders>
              <w:top w:val="nil" w:sz="6" w:space="0" w:color="auto"/>
              <w:left w:val="nil" w:sz="6" w:space="0" w:color="auto"/>
              <w:bottom w:val="nil" w:sz="6" w:space="0" w:color="auto"/>
              <w:right w:val="single" w:sz="4" w:space="0" w:color="000000"/>
            </w:tcBorders>
          </w:tcPr>
          <w:p>
            <w:pPr>
              <w:pStyle w:val="TableParagraph"/>
              <w:spacing w:line="272" w:lineRule="exact" w:before="72"/>
              <w:ind w:left="122" w:right="98"/>
              <w:jc w:val="left"/>
              <w:rPr>
                <w:rFonts w:ascii="宋体" w:hAnsi="宋体" w:cs="宋体" w:eastAsia="宋体" w:hint="default"/>
                <w:sz w:val="21"/>
                <w:szCs w:val="21"/>
              </w:rPr>
            </w:pPr>
            <w:r>
              <w:rPr>
                <w:rFonts w:ascii="宋体" w:hAnsi="宋体" w:cs="宋体" w:eastAsia="宋体" w:hint="default"/>
                <w:spacing w:val="4"/>
                <w:sz w:val="21"/>
                <w:szCs w:val="21"/>
              </w:rPr>
              <w:t>上海迅付信息科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技有限公司</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6"/>
              <w:jc w:val="right"/>
              <w:rPr>
                <w:rFonts w:ascii="Times New Roman" w:hAnsi="Times New Roman" w:cs="Times New Roman" w:eastAsia="Times New Roman" w:hint="default"/>
                <w:sz w:val="21"/>
                <w:szCs w:val="21"/>
              </w:rPr>
            </w:pPr>
            <w:r>
              <w:rPr>
                <w:rFonts w:ascii="Times New Roman"/>
                <w:spacing w:val="-1"/>
                <w:sz w:val="21"/>
              </w:rPr>
              <w:t>15,750,000.00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6"/>
              <w:jc w:val="right"/>
              <w:rPr>
                <w:rFonts w:ascii="Times New Roman" w:hAnsi="Times New Roman" w:cs="Times New Roman" w:eastAsia="Times New Roman" w:hint="default"/>
                <w:sz w:val="21"/>
                <w:szCs w:val="21"/>
              </w:rPr>
            </w:pPr>
            <w:r>
              <w:rPr>
                <w:rFonts w:ascii="Times New Roman"/>
                <w:spacing w:val="-1"/>
                <w:sz w:val="21"/>
              </w:rPr>
              <w:t>15,750,000.00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43" w:right="0"/>
              <w:jc w:val="center"/>
              <w:rPr>
                <w:rFonts w:ascii="Times New Roman" w:hAnsi="Times New Roman" w:cs="Times New Roman" w:eastAsia="Times New Roman" w:hint="default"/>
                <w:sz w:val="21"/>
                <w:szCs w:val="21"/>
              </w:rPr>
            </w:pPr>
            <w:r>
              <w:rPr>
                <w:rFonts w:ascii="Times New Roman"/>
                <w:sz w:val="21"/>
              </w:rPr>
              <w:t>-15,750,000.00</w:t>
            </w:r>
          </w:p>
        </w:tc>
        <w:tc>
          <w:tcPr>
            <w:tcW w:w="1529"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1034" w:type="dxa"/>
            <w:tcBorders>
              <w:top w:val="nil" w:sz="6" w:space="0" w:color="auto"/>
              <w:left w:val="single" w:sz="4" w:space="0" w:color="000000"/>
              <w:bottom w:val="nil" w:sz="6" w:space="0" w:color="auto"/>
              <w:right w:val="nil" w:sz="6" w:space="0" w:color="auto"/>
            </w:tcBorders>
          </w:tcPr>
          <w:p>
            <w:pPr/>
          </w:p>
        </w:tc>
      </w:tr>
      <w:tr>
        <w:trPr>
          <w:trHeight w:val="700" w:hRule="exact"/>
        </w:trPr>
        <w:tc>
          <w:tcPr>
            <w:tcW w:w="1747" w:type="dxa"/>
            <w:tcBorders>
              <w:top w:val="nil" w:sz="6" w:space="0" w:color="auto"/>
              <w:left w:val="nil" w:sz="6" w:space="0" w:color="auto"/>
              <w:bottom w:val="single" w:sz="4" w:space="0" w:color="000000"/>
              <w:right w:val="single" w:sz="4" w:space="0" w:color="000000"/>
            </w:tcBorders>
          </w:tcPr>
          <w:p>
            <w:pPr>
              <w:pStyle w:val="TableParagraph"/>
              <w:spacing w:line="272" w:lineRule="exact" w:before="72"/>
              <w:ind w:left="122" w:right="98"/>
              <w:jc w:val="left"/>
              <w:rPr>
                <w:rFonts w:ascii="宋体" w:hAnsi="宋体" w:cs="宋体" w:eastAsia="宋体" w:hint="default"/>
                <w:sz w:val="21"/>
                <w:szCs w:val="21"/>
              </w:rPr>
            </w:pPr>
            <w:r>
              <w:rPr>
                <w:rFonts w:ascii="宋体" w:hAnsi="宋体" w:cs="宋体" w:eastAsia="宋体" w:hint="default"/>
                <w:spacing w:val="4"/>
                <w:sz w:val="21"/>
                <w:szCs w:val="21"/>
              </w:rPr>
              <w:t>上海正品贵德软</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件有限公司</w:t>
            </w:r>
          </w:p>
        </w:tc>
        <w:tc>
          <w:tcPr>
            <w:tcW w:w="15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96"/>
              <w:jc w:val="right"/>
              <w:rPr>
                <w:rFonts w:ascii="Times New Roman" w:hAnsi="Times New Roman" w:cs="Times New Roman" w:eastAsia="Times New Roman" w:hint="default"/>
                <w:sz w:val="21"/>
                <w:szCs w:val="21"/>
              </w:rPr>
            </w:pPr>
            <w:r>
              <w:rPr>
                <w:rFonts w:ascii="Times New Roman"/>
                <w:spacing w:val="-1"/>
                <w:sz w:val="21"/>
              </w:rPr>
              <w:t>30,660,000.00</w:t>
            </w:r>
          </w:p>
        </w:tc>
        <w:tc>
          <w:tcPr>
            <w:tcW w:w="1529" w:type="dxa"/>
            <w:tcBorders>
              <w:top w:val="nil" w:sz="6" w:space="0" w:color="auto"/>
              <w:left w:val="single" w:sz="4" w:space="0" w:color="000000"/>
              <w:bottom w:val="single" w:sz="4" w:space="0" w:color="000000"/>
              <w:right w:val="single" w:sz="4" w:space="0" w:color="000000"/>
            </w:tcBorders>
          </w:tcPr>
          <w:p>
            <w:pPr/>
          </w:p>
        </w:tc>
        <w:tc>
          <w:tcPr>
            <w:tcW w:w="15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left="113" w:right="0"/>
              <w:jc w:val="center"/>
              <w:rPr>
                <w:rFonts w:ascii="Times New Roman" w:hAnsi="Times New Roman" w:cs="Times New Roman" w:eastAsia="Times New Roman" w:hint="default"/>
                <w:sz w:val="21"/>
                <w:szCs w:val="21"/>
              </w:rPr>
            </w:pPr>
            <w:r>
              <w:rPr>
                <w:rFonts w:ascii="Times New Roman"/>
                <w:sz w:val="21"/>
              </w:rPr>
              <w:t>30,660,000.00</w:t>
            </w:r>
          </w:p>
        </w:tc>
        <w:tc>
          <w:tcPr>
            <w:tcW w:w="15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97"/>
              <w:jc w:val="right"/>
              <w:rPr>
                <w:rFonts w:ascii="Times New Roman" w:hAnsi="Times New Roman" w:cs="Times New Roman" w:eastAsia="Times New Roman" w:hint="default"/>
                <w:sz w:val="21"/>
                <w:szCs w:val="21"/>
              </w:rPr>
            </w:pPr>
            <w:r>
              <w:rPr>
                <w:rFonts w:ascii="Times New Roman"/>
                <w:spacing w:val="-1"/>
                <w:sz w:val="21"/>
              </w:rPr>
              <w:t>30,660,000.00</w:t>
            </w:r>
          </w:p>
        </w:tc>
        <w:tc>
          <w:tcPr>
            <w:tcW w:w="9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left="6" w:right="0"/>
              <w:jc w:val="center"/>
              <w:rPr>
                <w:rFonts w:ascii="Times New Roman" w:hAnsi="Times New Roman" w:cs="Times New Roman" w:eastAsia="Times New Roman" w:hint="default"/>
                <w:sz w:val="21"/>
                <w:szCs w:val="21"/>
              </w:rPr>
            </w:pPr>
            <w:r>
              <w:rPr>
                <w:rFonts w:ascii="Times New Roman"/>
                <w:sz w:val="21"/>
              </w:rPr>
              <w:t>70%</w:t>
            </w:r>
          </w:p>
        </w:tc>
        <w:tc>
          <w:tcPr>
            <w:tcW w:w="1034" w:type="dxa"/>
            <w:tcBorders>
              <w:top w:val="nil" w:sz="6" w:space="0" w:color="auto"/>
              <w:left w:val="single" w:sz="4" w:space="0" w:color="000000"/>
              <w:bottom w:val="single" w:sz="4" w:space="0" w:color="000000"/>
              <w:right w:val="nil" w:sz="6" w:space="0" w:color="auto"/>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70%</w:t>
            </w:r>
          </w:p>
        </w:tc>
      </w:tr>
      <w:tr>
        <w:trPr>
          <w:trHeight w:val="437" w:hRule="exact"/>
        </w:trPr>
        <w:tc>
          <w:tcPr>
            <w:tcW w:w="1747"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38"/>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270,503,500.00</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239,843,500.00</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left="7" w:right="0"/>
              <w:jc w:val="center"/>
              <w:rPr>
                <w:rFonts w:ascii="Times New Roman" w:hAnsi="Times New Roman" w:cs="Times New Roman" w:eastAsia="Times New Roman" w:hint="default"/>
                <w:sz w:val="21"/>
                <w:szCs w:val="21"/>
              </w:rPr>
            </w:pPr>
            <w:r>
              <w:rPr>
                <w:rFonts w:ascii="Times New Roman"/>
                <w:sz w:val="21"/>
              </w:rPr>
              <w:t>148,250,000.00</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95"/>
              <w:jc w:val="right"/>
              <w:rPr>
                <w:rFonts w:ascii="Times New Roman" w:hAnsi="Times New Roman" w:cs="Times New Roman" w:eastAsia="Times New Roman" w:hint="default"/>
                <w:sz w:val="21"/>
                <w:szCs w:val="21"/>
              </w:rPr>
            </w:pPr>
            <w:r>
              <w:rPr>
                <w:rFonts w:ascii="Times New Roman"/>
                <w:spacing w:val="-1"/>
                <w:sz w:val="21"/>
              </w:rPr>
              <w:t>388,093,500.00</w:t>
            </w:r>
          </w:p>
        </w:tc>
        <w:tc>
          <w:tcPr>
            <w:tcW w:w="972" w:type="dxa"/>
            <w:tcBorders>
              <w:top w:val="single" w:sz="4" w:space="0" w:color="000000"/>
              <w:left w:val="single" w:sz="4" w:space="0" w:color="000000"/>
              <w:bottom w:val="single" w:sz="12" w:space="0" w:color="000000"/>
              <w:right w:val="single" w:sz="4" w:space="0" w:color="000000"/>
            </w:tcBorders>
          </w:tcPr>
          <w:p>
            <w:pPr/>
          </w:p>
        </w:tc>
        <w:tc>
          <w:tcPr>
            <w:tcW w:w="103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0"/>
          <w:szCs w:val="10"/>
        </w:rPr>
      </w:pPr>
    </w:p>
    <w:p>
      <w:pPr>
        <w:pStyle w:val="BodyText"/>
        <w:spacing w:line="379" w:lineRule="auto" w:before="36"/>
        <w:ind w:left="233" w:right="206" w:firstLine="419"/>
        <w:jc w:val="both"/>
      </w:pPr>
      <w:r>
        <w:rPr>
          <w:spacing w:val="-3"/>
          <w:w w:val="100"/>
        </w:rPr>
        <w:t>（</w:t>
      </w:r>
      <w:r>
        <w:rPr>
          <w:rFonts w:ascii="Times New Roman" w:hAnsi="Times New Roman" w:cs="Times New Roman" w:eastAsia="Times New Roman" w:hint="default"/>
          <w:spacing w:val="-3"/>
          <w:w w:val="100"/>
        </w:rPr>
        <w:t>2</w:t>
      </w:r>
      <w:r>
        <w:rPr>
          <w:spacing w:val="-3"/>
          <w:w w:val="100"/>
        </w:rPr>
        <w:t>）</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5"/>
          <w:w w:val="100"/>
        </w:rPr>
        <w:t> </w:t>
      </w:r>
      <w:r>
        <w:rPr>
          <w:w w:val="100"/>
        </w:rPr>
        <w:t>年</w:t>
      </w:r>
      <w:r>
        <w:rPr>
          <w:spacing w:val="-51"/>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5"/>
          <w:w w:val="100"/>
        </w:rPr>
        <w:t> </w:t>
      </w:r>
      <w:r>
        <w:rPr>
          <w:spacing w:val="-6"/>
          <w:w w:val="100"/>
        </w:rPr>
        <w:t>月，经公司董事会决议，公司与杨铭魁签订了《股权转让协议》，以</w:t>
      </w:r>
      <w:r>
        <w:rPr>
          <w:spacing w:val="-52"/>
          <w:w w:val="100"/>
        </w:rPr>
        <w:t> </w:t>
      </w:r>
      <w:r>
        <w:rPr>
          <w:rFonts w:ascii="Times New Roman" w:hAnsi="Times New Roman" w:cs="Times New Roman" w:eastAsia="Times New Roman" w:hint="default"/>
          <w:spacing w:val="-1"/>
          <w:w w:val="100"/>
        </w:rPr>
        <w:t>3,000</w:t>
      </w:r>
      <w:r>
        <w:rPr>
          <w:rFonts w:ascii="Times New Roman" w:hAnsi="Times New Roman" w:cs="Times New Roman" w:eastAsia="Times New Roman" w:hint="default"/>
          <w:spacing w:val="5"/>
          <w:w w:val="100"/>
        </w:rPr>
        <w:t> </w:t>
      </w:r>
      <w:r>
        <w:rPr>
          <w:spacing w:val="-2"/>
          <w:w w:val="100"/>
        </w:rPr>
        <w:t>万元收购杨</w:t>
      </w:r>
      <w:r>
        <w:rPr>
          <w:spacing w:val="-3"/>
          <w:w w:val="100"/>
        </w:rPr>
        <w:t> </w:t>
      </w:r>
      <w:r>
        <w:rPr/>
        <w:t>铭魁持有杭州西软</w:t>
      </w:r>
      <w:r>
        <w:rPr>
          <w:spacing w:val="-29"/>
        </w:rPr>
        <w:t> </w:t>
      </w:r>
      <w:r>
        <w:rPr>
          <w:rFonts w:ascii="Times New Roman" w:hAnsi="Times New Roman" w:cs="Times New Roman" w:eastAsia="Times New Roman" w:hint="default"/>
        </w:rPr>
        <w:t>18%</w:t>
      </w:r>
      <w:r>
        <w:rPr/>
        <w:t>的股权，收购完成后公司持有杭州西软</w:t>
      </w:r>
      <w:r>
        <w:rPr>
          <w:spacing w:val="-29"/>
        </w:rPr>
        <w:t> </w:t>
      </w:r>
      <w:r>
        <w:rPr>
          <w:rFonts w:ascii="Times New Roman" w:hAnsi="Times New Roman" w:cs="Times New Roman" w:eastAsia="Times New Roman" w:hint="default"/>
        </w:rPr>
        <w:t>100%</w:t>
      </w:r>
      <w:r>
        <w:rPr/>
        <w:t>的股权。股权收购价</w:t>
      </w:r>
      <w:r>
        <w:rPr>
          <w:spacing w:val="-29"/>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1"/>
        </w:rPr>
        <w:t> </w:t>
      </w:r>
      <w:r>
        <w:rPr/>
        <w:t>万元与杭</w:t>
      </w:r>
      <w:r>
        <w:rPr>
          <w:w w:val="100"/>
        </w:rPr>
        <w:t> </w:t>
      </w:r>
      <w:r>
        <w:rPr/>
        <w:t>州西软股权收购日净资产 </w:t>
      </w:r>
      <w:r>
        <w:rPr>
          <w:rFonts w:ascii="Times New Roman" w:hAnsi="Times New Roman" w:cs="Times New Roman" w:eastAsia="Times New Roman" w:hint="default"/>
        </w:rPr>
        <w:t>11,181,154.05  </w:t>
      </w:r>
      <w:r>
        <w:rPr/>
        <w:t>元按比例计算应享有权益的差额 </w:t>
      </w:r>
      <w:r>
        <w:rPr>
          <w:rFonts w:ascii="Times New Roman" w:hAnsi="Times New Roman" w:cs="Times New Roman" w:eastAsia="Times New Roman" w:hint="default"/>
        </w:rPr>
        <w:t>18,818,845.95  </w:t>
      </w:r>
      <w:r>
        <w:rPr>
          <w:rFonts w:ascii="Times New Roman" w:hAnsi="Times New Roman" w:cs="Times New Roman" w:eastAsia="Times New Roman" w:hint="default"/>
          <w:spacing w:val="26"/>
        </w:rPr>
        <w:t> </w:t>
      </w:r>
      <w:r>
        <w:rPr/>
        <w:t>元冲减资本公积</w:t>
      </w:r>
    </w:p>
    <w:p>
      <w:pPr>
        <w:pStyle w:val="BodyText"/>
        <w:spacing w:line="240" w:lineRule="auto" w:before="35"/>
        <w:ind w:left="232" w:right="0"/>
        <w:jc w:val="left"/>
      </w:pPr>
      <w:r>
        <w:rPr>
          <w:rFonts w:ascii="Times New Roman" w:hAnsi="Times New Roman" w:cs="Times New Roman" w:eastAsia="Times New Roman" w:hint="default"/>
        </w:rPr>
        <w:t>1,142,108.98</w:t>
      </w:r>
      <w:r>
        <w:rPr>
          <w:rFonts w:ascii="Times New Roman" w:hAnsi="Times New Roman" w:cs="Times New Roman" w:eastAsia="Times New Roman" w:hint="default"/>
          <w:spacing w:val="-2"/>
        </w:rPr>
        <w:t> </w:t>
      </w:r>
      <w:r>
        <w:rPr/>
        <w:t>元，资本公积不足部分冲减盈余公积</w:t>
      </w:r>
      <w:r>
        <w:rPr>
          <w:spacing w:val="-55"/>
        </w:rPr>
        <w:t> </w:t>
      </w:r>
      <w:r>
        <w:rPr>
          <w:rFonts w:ascii="Times New Roman" w:hAnsi="Times New Roman" w:cs="Times New Roman" w:eastAsia="Times New Roman" w:hint="default"/>
        </w:rPr>
        <w:t>17,676,736.97</w:t>
      </w:r>
      <w:r>
        <w:rPr>
          <w:rFonts w:ascii="Times New Roman" w:hAnsi="Times New Roman" w:cs="Times New Roman" w:eastAsia="Times New Roman" w:hint="default"/>
          <w:spacing w:val="-5"/>
        </w:rPr>
        <w:t> </w:t>
      </w:r>
      <w:r>
        <w:rPr/>
        <w:t>元。</w:t>
      </w:r>
    </w:p>
    <w:p>
      <w:pPr>
        <w:pStyle w:val="BodyText"/>
        <w:spacing w:line="240" w:lineRule="auto" w:before="167"/>
        <w:ind w:left="653" w:right="0"/>
        <w:jc w:val="left"/>
      </w:pPr>
      <w:r>
        <w:rPr>
          <w:spacing w:val="-5"/>
        </w:rPr>
        <w:t>（</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1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3"/>
        </w:rPr>
        <w:t>月，经公司董事会决议，以自有资金向北海石基增资</w:t>
      </w:r>
      <w:r>
        <w:rPr>
          <w:spacing w:val="-43"/>
        </w:rPr>
        <w:t> </w:t>
      </w:r>
      <w:r>
        <w:rPr>
          <w:rFonts w:ascii="Times New Roman" w:hAnsi="Times New Roman" w:cs="Times New Roman" w:eastAsia="Times New Roman" w:hint="default"/>
        </w:rPr>
        <w:t>10,334.00</w:t>
      </w:r>
      <w:r>
        <w:rPr>
          <w:rFonts w:ascii="Times New Roman" w:hAnsi="Times New Roman" w:cs="Times New Roman" w:eastAsia="Times New Roman" w:hint="default"/>
          <w:spacing w:val="7"/>
        </w:rPr>
        <w:t> </w:t>
      </w:r>
      <w:r>
        <w:rPr>
          <w:spacing w:val="-3"/>
        </w:rPr>
        <w:t>万元，增资后北海石基</w:t>
      </w:r>
    </w:p>
    <w:p>
      <w:pPr>
        <w:pStyle w:val="BodyText"/>
        <w:spacing w:line="240" w:lineRule="auto" w:before="170"/>
        <w:ind w:left="232" w:right="5418"/>
        <w:jc w:val="left"/>
      </w:pPr>
      <w:r>
        <w:rPr/>
        <w:t>的注册资本变更为</w:t>
      </w:r>
      <w:r>
        <w:rPr>
          <w:spacing w:val="-59"/>
        </w:rPr>
        <w:t> </w:t>
      </w:r>
      <w:r>
        <w:rPr>
          <w:rFonts w:ascii="Times New Roman" w:hAnsi="Times New Roman" w:cs="Times New Roman" w:eastAsia="Times New Roman" w:hint="default"/>
        </w:rPr>
        <w:t>11,000.00</w:t>
      </w:r>
      <w:r>
        <w:rPr>
          <w:rFonts w:ascii="Times New Roman" w:hAnsi="Times New Roman" w:cs="Times New Roman" w:eastAsia="Times New Roman" w:hint="default"/>
          <w:spacing w:val="-5"/>
        </w:rPr>
        <w:t> </w:t>
      </w:r>
      <w:r>
        <w:rPr/>
        <w:t>万元。</w:t>
      </w:r>
    </w:p>
    <w:p>
      <w:pPr>
        <w:pStyle w:val="BodyText"/>
        <w:spacing w:line="379" w:lineRule="auto" w:before="170"/>
        <w:ind w:left="233" w:right="206" w:firstLine="419"/>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月，公司及其北海石基信息技术有限公司与上海环讯电子商务有限公司签署的“讯付</w:t>
      </w:r>
      <w:r>
        <w:rPr>
          <w:w w:val="100"/>
        </w:rPr>
        <w:t> </w:t>
      </w:r>
      <w:r>
        <w:rPr>
          <w:spacing w:val="-6"/>
          <w:w w:val="100"/>
        </w:rPr>
        <w:t>信息科技有限公司股权转让三方协议”，公司将持有上海讯付</w:t>
      </w:r>
      <w:r>
        <w:rPr>
          <w:spacing w:val="-27"/>
          <w:w w:val="100"/>
        </w:rPr>
        <w:t> </w:t>
      </w:r>
      <w:r>
        <w:rPr>
          <w:rFonts w:ascii="Times New Roman" w:hAnsi="Times New Roman" w:cs="Times New Roman" w:eastAsia="Times New Roman" w:hint="default"/>
          <w:spacing w:val="-2"/>
          <w:w w:val="100"/>
        </w:rPr>
        <w:t>15%</w:t>
      </w:r>
      <w:r>
        <w:rPr>
          <w:spacing w:val="-2"/>
          <w:w w:val="100"/>
        </w:rPr>
        <w:t>的股权等价转让给北海石基公司。</w:t>
      </w:r>
      <w:r>
        <w:rPr>
          <w:w w:val="100"/>
        </w:rPr>
      </w:r>
    </w:p>
    <w:p>
      <w:pPr>
        <w:pStyle w:val="BodyText"/>
        <w:spacing w:line="379" w:lineRule="auto" w:before="35"/>
        <w:ind w:left="233" w:right="207" w:firstLine="419"/>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31"/>
        </w:rPr>
        <w:t> </w:t>
      </w:r>
      <w:r>
        <w:rPr/>
        <w:t>月，经公司董事会决议，公司与唐鸿鸣等股东签署《上海正品贵德软件有限公司股权</w:t>
      </w:r>
      <w:r>
        <w:rPr>
          <w:w w:val="100"/>
        </w:rPr>
        <w:t> </w:t>
      </w:r>
      <w:r>
        <w:rPr>
          <w:spacing w:val="-12"/>
          <w:w w:val="100"/>
        </w:rPr>
        <w:t>转让协议》，以人民币</w:t>
      </w:r>
      <w:r>
        <w:rPr>
          <w:spacing w:val="-25"/>
          <w:w w:val="100"/>
        </w:rPr>
        <w:t> </w:t>
      </w:r>
      <w:r>
        <w:rPr>
          <w:rFonts w:ascii="Times New Roman" w:hAnsi="Times New Roman" w:cs="Times New Roman" w:eastAsia="Times New Roman" w:hint="default"/>
          <w:spacing w:val="-1"/>
          <w:w w:val="100"/>
        </w:rPr>
        <w:t>3,066.00</w:t>
      </w:r>
      <w:r>
        <w:rPr>
          <w:rFonts w:ascii="Times New Roman" w:hAnsi="Times New Roman" w:cs="Times New Roman" w:eastAsia="Times New Roman" w:hint="default"/>
          <w:spacing w:val="27"/>
          <w:w w:val="100"/>
        </w:rPr>
        <w:t> </w:t>
      </w:r>
      <w:r>
        <w:rPr>
          <w:spacing w:val="-2"/>
          <w:w w:val="100"/>
        </w:rPr>
        <w:t>万元的价格收购唐鸿鸣等股东所持有的上海正品贵德软件有限公司</w:t>
      </w:r>
      <w:r>
        <w:rPr>
          <w:spacing w:val="-29"/>
          <w:w w:val="100"/>
        </w:rPr>
        <w:t> </w:t>
      </w:r>
      <w:r>
        <w:rPr>
          <w:rFonts w:ascii="Times New Roman" w:hAnsi="Times New Roman" w:cs="Times New Roman" w:eastAsia="Times New Roman" w:hint="default"/>
          <w:spacing w:val="-1"/>
          <w:w w:val="100"/>
        </w:rPr>
        <w:t>70%</w:t>
      </w:r>
      <w:r>
        <w:rPr>
          <w:spacing w:val="-1"/>
          <w:w w:val="100"/>
        </w:rPr>
        <w:t>的</w:t>
      </w:r>
      <w:r>
        <w:rPr>
          <w:spacing w:val="-104"/>
          <w:w w:val="100"/>
        </w:rPr>
        <w:t> </w:t>
      </w:r>
      <w:r>
        <w:rPr/>
        <w:t>股权，上述股权转让款已于</w:t>
      </w:r>
      <w:r>
        <w:rPr>
          <w:spacing w:val="-53"/>
        </w:rPr>
        <w:t> </w:t>
      </w:r>
      <w:r>
        <w:rPr>
          <w:rFonts w:ascii="Times New Roman" w:hAnsi="Times New Roman" w:cs="Times New Roman" w:eastAsia="Times New Roman" w:hint="default"/>
          <w:spacing w:val="-3"/>
        </w:rPr>
        <w:t>2011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月前支付</w:t>
      </w:r>
      <w:r>
        <w:rPr>
          <w:spacing w:val="-55"/>
        </w:rPr>
        <w:t> </w:t>
      </w:r>
      <w:r>
        <w:rPr>
          <w:rFonts w:ascii="Times New Roman" w:hAnsi="Times New Roman" w:cs="Times New Roman" w:eastAsia="Times New Roman" w:hint="default"/>
        </w:rPr>
        <w:t>65%</w:t>
      </w:r>
      <w:r>
        <w:rPr/>
        <w:t>，并办理完毕工商变更登记手续。</w:t>
      </w:r>
    </w:p>
    <w:p>
      <w:pPr>
        <w:spacing w:after="0" w:line="379" w:lineRule="auto"/>
        <w:jc w:val="both"/>
        <w:sectPr>
          <w:pgSz w:w="11910" w:h="16840"/>
          <w:pgMar w:header="850" w:footer="979" w:top="1200" w:bottom="1160" w:left="900" w:right="920"/>
        </w:sectPr>
      </w:pPr>
    </w:p>
    <w:p>
      <w:pPr>
        <w:spacing w:line="240" w:lineRule="auto" w:before="11"/>
        <w:rPr>
          <w:rFonts w:ascii="宋体" w:hAnsi="宋体" w:cs="宋体" w:eastAsia="宋体" w:hint="default"/>
          <w:sz w:val="13"/>
          <w:szCs w:val="13"/>
        </w:rPr>
      </w:pPr>
    </w:p>
    <w:p>
      <w:pPr>
        <w:pStyle w:val="BodyText"/>
        <w:spacing w:line="240" w:lineRule="auto" w:before="36"/>
        <w:ind w:left="672" w:right="0"/>
        <w:jc w:val="left"/>
      </w:pPr>
      <w:r>
        <w:rPr>
          <w:rFonts w:ascii="Times New Roman" w:hAnsi="Times New Roman" w:cs="Times New Roman" w:eastAsia="Times New Roman" w:hint="default"/>
        </w:rPr>
        <w:t>4</w:t>
      </w:r>
      <w:r>
        <w:rPr/>
        <w:t>．营业收入和营业成本</w:t>
      </w:r>
    </w:p>
    <w:p>
      <w:pPr>
        <w:pStyle w:val="BodyText"/>
        <w:spacing w:line="240" w:lineRule="auto" w:before="170"/>
        <w:ind w:left="672" w:right="0"/>
        <w:jc w:val="left"/>
      </w:pPr>
      <w:r>
        <w:rPr/>
        <w:t>（</w:t>
      </w:r>
      <w:r>
        <w:rPr>
          <w:rFonts w:ascii="Times New Roman" w:hAnsi="Times New Roman" w:cs="Times New Roman" w:eastAsia="Times New Roman" w:hint="default"/>
        </w:rPr>
        <w:t>1</w:t>
      </w:r>
      <w:r>
        <w:rPr/>
        <w:t>）营业收入</w:t>
      </w:r>
    </w:p>
    <w:tbl>
      <w:tblPr>
        <w:tblW w:w="0" w:type="auto"/>
        <w:jc w:val="left"/>
        <w:tblInd w:w="130" w:type="dxa"/>
        <w:tblLayout w:type="fixed"/>
        <w:tblCellMar>
          <w:top w:w="0" w:type="dxa"/>
          <w:left w:w="0" w:type="dxa"/>
          <w:bottom w:w="0" w:type="dxa"/>
          <w:right w:w="0" w:type="dxa"/>
        </w:tblCellMar>
        <w:tblLook w:val="01E0"/>
      </w:tblPr>
      <w:tblGrid>
        <w:gridCol w:w="3298"/>
        <w:gridCol w:w="3286"/>
        <w:gridCol w:w="3286"/>
      </w:tblGrid>
      <w:tr>
        <w:trPr>
          <w:trHeight w:val="480" w:hRule="exact"/>
        </w:trPr>
        <w:tc>
          <w:tcPr>
            <w:tcW w:w="3298"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40" w:lineRule="auto" w:before="155"/>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69" w:hRule="exact"/>
        </w:trPr>
        <w:tc>
          <w:tcPr>
            <w:tcW w:w="3298" w:type="dxa"/>
            <w:tcBorders>
              <w:top w:val="single" w:sz="4" w:space="0" w:color="000000"/>
              <w:left w:val="nil" w:sz="6" w:space="0" w:color="auto"/>
              <w:bottom w:val="nil" w:sz="6" w:space="0" w:color="auto"/>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152,890,871.76</w:t>
            </w:r>
          </w:p>
        </w:tc>
        <w:tc>
          <w:tcPr>
            <w:tcW w:w="3286"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122,947,334.31</w:t>
            </w:r>
          </w:p>
        </w:tc>
      </w:tr>
      <w:tr>
        <w:trPr>
          <w:trHeight w:val="460" w:hRule="exact"/>
        </w:trPr>
        <w:tc>
          <w:tcPr>
            <w:tcW w:w="3298"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953,578.20</w:t>
            </w:r>
          </w:p>
        </w:tc>
        <w:tc>
          <w:tcPr>
            <w:tcW w:w="3286"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887,578.20</w:t>
            </w:r>
          </w:p>
        </w:tc>
      </w:tr>
      <w:tr>
        <w:trPr>
          <w:trHeight w:val="373" w:hRule="exact"/>
        </w:trPr>
        <w:tc>
          <w:tcPr>
            <w:tcW w:w="3298"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124,748,078.90</w:t>
            </w:r>
          </w:p>
        </w:tc>
        <w:tc>
          <w:tcPr>
            <w:tcW w:w="3286" w:type="dxa"/>
            <w:tcBorders>
              <w:top w:val="nil" w:sz="6" w:space="0" w:color="auto"/>
              <w:left w:val="single" w:sz="4" w:space="0" w:color="000000"/>
              <w:bottom w:val="single" w:sz="12" w:space="0" w:color="000000"/>
              <w:right w:val="nil" w:sz="6" w:space="0" w:color="auto"/>
            </w:tcBorders>
          </w:tcPr>
          <w:p>
            <w:pPr>
              <w:pStyle w:val="TableParagraph"/>
              <w:spacing w:line="240" w:lineRule="auto" w:before="109"/>
              <w:ind w:right="101"/>
              <w:jc w:val="right"/>
              <w:rPr>
                <w:rFonts w:ascii="Times New Roman" w:hAnsi="Times New Roman" w:cs="Times New Roman" w:eastAsia="Times New Roman" w:hint="default"/>
                <w:sz w:val="21"/>
                <w:szCs w:val="21"/>
              </w:rPr>
            </w:pPr>
            <w:r>
              <w:rPr>
                <w:rFonts w:ascii="Times New Roman"/>
                <w:spacing w:val="-1"/>
                <w:sz w:val="21"/>
              </w:rPr>
              <w:t>102,942,638.23</w:t>
            </w:r>
          </w:p>
        </w:tc>
      </w:tr>
    </w:tbl>
    <w:p>
      <w:pPr>
        <w:spacing w:line="240" w:lineRule="auto" w:before="1"/>
        <w:rPr>
          <w:rFonts w:ascii="宋体" w:hAnsi="宋体" w:cs="宋体" w:eastAsia="宋体" w:hint="default"/>
          <w:sz w:val="10"/>
          <w:szCs w:val="10"/>
        </w:rPr>
      </w:pPr>
    </w:p>
    <w:p>
      <w:pPr>
        <w:pStyle w:val="BodyText"/>
        <w:spacing w:line="240" w:lineRule="auto" w:before="36"/>
        <w:ind w:left="672" w:right="0"/>
        <w:jc w:val="left"/>
      </w:pPr>
      <w:r>
        <w:rPr/>
        <w:t>（</w:t>
      </w:r>
      <w:r>
        <w:rPr>
          <w:rFonts w:ascii="Times New Roman" w:hAnsi="Times New Roman" w:cs="Times New Roman" w:eastAsia="Times New Roman" w:hint="default"/>
        </w:rPr>
        <w:t>2</w:t>
      </w:r>
      <w:r>
        <w:rPr/>
        <w:t>）主营业务（分行业）</w:t>
      </w:r>
    </w:p>
    <w:tbl>
      <w:tblPr>
        <w:tblW w:w="0" w:type="auto"/>
        <w:jc w:val="left"/>
        <w:tblInd w:w="116" w:type="dxa"/>
        <w:tblLayout w:type="fixed"/>
        <w:tblCellMar>
          <w:top w:w="0" w:type="dxa"/>
          <w:left w:w="0" w:type="dxa"/>
          <w:bottom w:w="0" w:type="dxa"/>
          <w:right w:w="0" w:type="dxa"/>
        </w:tblCellMar>
        <w:tblLook w:val="01E0"/>
      </w:tblPr>
      <w:tblGrid>
        <w:gridCol w:w="3252"/>
        <w:gridCol w:w="1678"/>
        <w:gridCol w:w="1570"/>
        <w:gridCol w:w="1685"/>
        <w:gridCol w:w="1685"/>
      </w:tblGrid>
      <w:tr>
        <w:trPr>
          <w:trHeight w:val="480" w:hRule="exact"/>
        </w:trPr>
        <w:tc>
          <w:tcPr>
            <w:tcW w:w="3252"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行业名称</w:t>
            </w:r>
          </w:p>
        </w:tc>
        <w:tc>
          <w:tcPr>
            <w:tcW w:w="3247"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0"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70" w:hRule="exact"/>
        </w:trPr>
        <w:tc>
          <w:tcPr>
            <w:tcW w:w="3252" w:type="dxa"/>
            <w:vMerge/>
            <w:tcBorders>
              <w:left w:val="nil" w:sz="6" w:space="0" w:color="auto"/>
              <w:bottom w:val="single" w:sz="4" w:space="0" w:color="000000"/>
              <w:right w:val="single" w:sz="6" w:space="0" w:color="000000"/>
            </w:tcBorders>
          </w:tcPr>
          <w:p>
            <w:pPr/>
          </w:p>
        </w:tc>
        <w:tc>
          <w:tcPr>
            <w:tcW w:w="167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3"/>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3"/>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53"/>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70" w:hRule="exact"/>
        </w:trPr>
        <w:tc>
          <w:tcPr>
            <w:tcW w:w="3252" w:type="dxa"/>
            <w:tcBorders>
              <w:top w:val="single" w:sz="4" w:space="0" w:color="000000"/>
              <w:left w:val="nil" w:sz="6" w:space="0" w:color="auto"/>
              <w:bottom w:val="single" w:sz="4" w:space="0" w:color="000000"/>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计算机服务和软件行业</w:t>
            </w:r>
          </w:p>
        </w:tc>
        <w:tc>
          <w:tcPr>
            <w:tcW w:w="167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152,890,871.76</w:t>
            </w:r>
          </w:p>
        </w:tc>
        <w:tc>
          <w:tcPr>
            <w:tcW w:w="157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124,694,579.76</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122,947,334.31</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102,893,470.67</w:t>
            </w:r>
          </w:p>
        </w:tc>
      </w:tr>
      <w:tr>
        <w:trPr>
          <w:trHeight w:val="480" w:hRule="exact"/>
        </w:trPr>
        <w:tc>
          <w:tcPr>
            <w:tcW w:w="3252" w:type="dxa"/>
            <w:tcBorders>
              <w:top w:val="single" w:sz="4" w:space="0" w:color="000000"/>
              <w:left w:val="nil" w:sz="6" w:space="0" w:color="auto"/>
              <w:bottom w:val="single" w:sz="12" w:space="0" w:color="000000"/>
              <w:right w:val="single" w:sz="6" w:space="0" w:color="000000"/>
            </w:tcBorders>
          </w:tcPr>
          <w:p>
            <w:pPr>
              <w:pStyle w:val="TableParagraph"/>
              <w:tabs>
                <w:tab w:pos="652" w:val="left" w:leader="none"/>
              </w:tabs>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7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152,890,871.76</w:t>
            </w:r>
          </w:p>
        </w:tc>
        <w:tc>
          <w:tcPr>
            <w:tcW w:w="1570"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124,694,579.76</w:t>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122,947,334.31</w:t>
            </w:r>
          </w:p>
        </w:tc>
        <w:tc>
          <w:tcPr>
            <w:tcW w:w="168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102,893,470.67</w:t>
            </w:r>
          </w:p>
        </w:tc>
      </w:tr>
    </w:tbl>
    <w:p>
      <w:pPr>
        <w:spacing w:line="240" w:lineRule="auto" w:before="3"/>
        <w:rPr>
          <w:rFonts w:ascii="宋体" w:hAnsi="宋体" w:cs="宋体" w:eastAsia="宋体" w:hint="default"/>
          <w:sz w:val="10"/>
          <w:szCs w:val="10"/>
        </w:rPr>
      </w:pPr>
    </w:p>
    <w:p>
      <w:pPr>
        <w:pStyle w:val="BodyText"/>
        <w:spacing w:line="240" w:lineRule="auto" w:before="36"/>
        <w:ind w:left="672" w:right="0"/>
        <w:jc w:val="left"/>
      </w:pPr>
      <w:r>
        <w:rPr/>
        <w:t>（</w:t>
      </w:r>
      <w:r>
        <w:rPr>
          <w:rFonts w:ascii="Times New Roman" w:hAnsi="Times New Roman" w:cs="Times New Roman" w:eastAsia="Times New Roman" w:hint="default"/>
        </w:rPr>
        <w:t>3</w:t>
      </w:r>
      <w:r>
        <w:rPr/>
        <w:t>）主营业务（分产品）</w:t>
      </w:r>
    </w:p>
    <w:tbl>
      <w:tblPr>
        <w:tblW w:w="0" w:type="auto"/>
        <w:jc w:val="left"/>
        <w:tblInd w:w="130" w:type="dxa"/>
        <w:tblLayout w:type="fixed"/>
        <w:tblCellMar>
          <w:top w:w="0" w:type="dxa"/>
          <w:left w:w="0" w:type="dxa"/>
          <w:bottom w:w="0" w:type="dxa"/>
          <w:right w:w="0" w:type="dxa"/>
        </w:tblCellMar>
        <w:tblLook w:val="01E0"/>
      </w:tblPr>
      <w:tblGrid>
        <w:gridCol w:w="3127"/>
        <w:gridCol w:w="1687"/>
        <w:gridCol w:w="1685"/>
        <w:gridCol w:w="1685"/>
        <w:gridCol w:w="1685"/>
      </w:tblGrid>
      <w:tr>
        <w:trPr>
          <w:trHeight w:val="480" w:hRule="exact"/>
        </w:trPr>
        <w:tc>
          <w:tcPr>
            <w:tcW w:w="3127"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产品名称</w:t>
            </w:r>
          </w:p>
        </w:tc>
        <w:tc>
          <w:tcPr>
            <w:tcW w:w="3372"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0"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53"/>
              <w:ind w:right="3"/>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70" w:hRule="exact"/>
        </w:trPr>
        <w:tc>
          <w:tcPr>
            <w:tcW w:w="3127" w:type="dxa"/>
            <w:vMerge/>
            <w:tcBorders>
              <w:left w:val="nil" w:sz="6" w:space="0" w:color="auto"/>
              <w:bottom w:val="single" w:sz="4" w:space="0" w:color="000000"/>
              <w:right w:val="single" w:sz="6" w:space="0" w:color="000000"/>
            </w:tcBorders>
          </w:tcPr>
          <w:p>
            <w:pPr/>
          </w:p>
        </w:tc>
        <w:tc>
          <w:tcPr>
            <w:tcW w:w="1687"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3"/>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3"/>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3"/>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53"/>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67" w:hRule="exact"/>
        </w:trPr>
        <w:tc>
          <w:tcPr>
            <w:tcW w:w="3127" w:type="dxa"/>
            <w:tcBorders>
              <w:top w:val="single" w:sz="4" w:space="0" w:color="000000"/>
              <w:left w:val="nil" w:sz="6" w:space="0" w:color="auto"/>
              <w:bottom w:val="nil" w:sz="6" w:space="0" w:color="auto"/>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、酒店信息管理系统业务</w:t>
            </w:r>
          </w:p>
        </w:tc>
        <w:tc>
          <w:tcPr>
            <w:tcW w:w="1687"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145,943,910.55</w:t>
            </w:r>
          </w:p>
        </w:tc>
        <w:tc>
          <w:tcPr>
            <w:tcW w:w="1685"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120,073,940.40</w:t>
            </w:r>
          </w:p>
        </w:tc>
        <w:tc>
          <w:tcPr>
            <w:tcW w:w="1685"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116,213,877.81</w:t>
            </w:r>
          </w:p>
        </w:tc>
        <w:tc>
          <w:tcPr>
            <w:tcW w:w="1685" w:type="dxa"/>
            <w:tcBorders>
              <w:top w:val="single" w:sz="4" w:space="0" w:color="000000"/>
              <w:left w:val="single" w:sz="6"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100,238,676.99</w:t>
            </w:r>
          </w:p>
        </w:tc>
      </w:tr>
      <w:tr>
        <w:trPr>
          <w:trHeight w:val="362" w:hRule="exact"/>
        </w:trPr>
        <w:tc>
          <w:tcPr>
            <w:tcW w:w="3127" w:type="dxa"/>
            <w:tcBorders>
              <w:top w:val="nil" w:sz="6" w:space="0" w:color="auto"/>
              <w:left w:val="nil" w:sz="6" w:space="0" w:color="auto"/>
              <w:bottom w:val="single" w:sz="4"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、餐饮信息管理系统业务</w:t>
            </w:r>
          </w:p>
        </w:tc>
        <w:tc>
          <w:tcPr>
            <w:tcW w:w="1687"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08"/>
              <w:ind w:right="93"/>
              <w:jc w:val="right"/>
              <w:rPr>
                <w:rFonts w:ascii="Times New Roman" w:hAnsi="Times New Roman" w:cs="Times New Roman" w:eastAsia="Times New Roman" w:hint="default"/>
                <w:sz w:val="21"/>
                <w:szCs w:val="21"/>
              </w:rPr>
            </w:pPr>
            <w:r>
              <w:rPr>
                <w:rFonts w:ascii="Times New Roman"/>
                <w:spacing w:val="-1"/>
                <w:sz w:val="21"/>
              </w:rPr>
              <w:t>6,946,961.21</w:t>
            </w:r>
          </w:p>
        </w:tc>
        <w:tc>
          <w:tcPr>
            <w:tcW w:w="1685"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4,620,639.36</w:t>
            </w:r>
          </w:p>
        </w:tc>
        <w:tc>
          <w:tcPr>
            <w:tcW w:w="1685"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6,733,456.50</w:t>
            </w:r>
          </w:p>
        </w:tc>
        <w:tc>
          <w:tcPr>
            <w:tcW w:w="1685" w:type="dxa"/>
            <w:tcBorders>
              <w:top w:val="nil" w:sz="6" w:space="0" w:color="auto"/>
              <w:left w:val="single" w:sz="6" w:space="0" w:color="000000"/>
              <w:bottom w:val="single" w:sz="4" w:space="0" w:color="000000"/>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21"/>
                <w:szCs w:val="21"/>
              </w:rPr>
            </w:pPr>
            <w:r>
              <w:rPr>
                <w:rFonts w:ascii="Times New Roman"/>
                <w:spacing w:val="-1"/>
                <w:sz w:val="21"/>
              </w:rPr>
              <w:t>2,654,793.68</w:t>
            </w:r>
          </w:p>
        </w:tc>
      </w:tr>
      <w:tr>
        <w:trPr>
          <w:trHeight w:val="480" w:hRule="exact"/>
        </w:trPr>
        <w:tc>
          <w:tcPr>
            <w:tcW w:w="3127" w:type="dxa"/>
            <w:tcBorders>
              <w:top w:val="single" w:sz="4" w:space="0" w:color="000000"/>
              <w:left w:val="nil" w:sz="6" w:space="0" w:color="auto"/>
              <w:bottom w:val="single" w:sz="12" w:space="0" w:color="000000"/>
              <w:right w:val="single" w:sz="6" w:space="0" w:color="000000"/>
            </w:tcBorders>
          </w:tcPr>
          <w:p>
            <w:pPr>
              <w:pStyle w:val="TableParagraph"/>
              <w:tabs>
                <w:tab w:pos="652" w:val="left" w:leader="none"/>
              </w:tabs>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7"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152,890,871.76</w:t>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124,694,579.76</w:t>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122,947,334.31</w:t>
            </w:r>
          </w:p>
        </w:tc>
        <w:tc>
          <w:tcPr>
            <w:tcW w:w="168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102,893,470.67</w:t>
            </w:r>
          </w:p>
        </w:tc>
      </w:tr>
    </w:tbl>
    <w:p>
      <w:pPr>
        <w:spacing w:line="240" w:lineRule="auto" w:before="3"/>
        <w:rPr>
          <w:rFonts w:ascii="宋体" w:hAnsi="宋体" w:cs="宋体" w:eastAsia="宋体" w:hint="default"/>
          <w:sz w:val="10"/>
          <w:szCs w:val="10"/>
        </w:rPr>
      </w:pPr>
    </w:p>
    <w:p>
      <w:pPr>
        <w:pStyle w:val="BodyText"/>
        <w:spacing w:line="240" w:lineRule="auto" w:before="36"/>
        <w:ind w:left="672" w:right="0"/>
        <w:jc w:val="left"/>
      </w:pPr>
      <w:r>
        <w:rPr/>
        <w:t>（</w:t>
      </w:r>
      <w:r>
        <w:rPr>
          <w:rFonts w:ascii="Times New Roman" w:hAnsi="Times New Roman" w:cs="Times New Roman" w:eastAsia="Times New Roman" w:hint="default"/>
        </w:rPr>
        <w:t>4</w:t>
      </w:r>
      <w:r>
        <w:rPr/>
        <w:t>）主营业务（分地区）</w:t>
      </w:r>
    </w:p>
    <w:tbl>
      <w:tblPr>
        <w:tblW w:w="0" w:type="auto"/>
        <w:jc w:val="left"/>
        <w:tblInd w:w="116" w:type="dxa"/>
        <w:tblLayout w:type="fixed"/>
        <w:tblCellMar>
          <w:top w:w="0" w:type="dxa"/>
          <w:left w:w="0" w:type="dxa"/>
          <w:bottom w:w="0" w:type="dxa"/>
          <w:right w:w="0" w:type="dxa"/>
        </w:tblCellMar>
        <w:tblLook w:val="01E0"/>
      </w:tblPr>
      <w:tblGrid>
        <w:gridCol w:w="3182"/>
        <w:gridCol w:w="1656"/>
        <w:gridCol w:w="1661"/>
        <w:gridCol w:w="1685"/>
        <w:gridCol w:w="1685"/>
      </w:tblGrid>
      <w:tr>
        <w:trPr>
          <w:trHeight w:val="480" w:hRule="exact"/>
        </w:trPr>
        <w:tc>
          <w:tcPr>
            <w:tcW w:w="3182" w:type="dxa"/>
            <w:vMerge w:val="restart"/>
            <w:tcBorders>
              <w:top w:val="single" w:sz="12"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地区名称</w:t>
            </w:r>
          </w:p>
        </w:tc>
        <w:tc>
          <w:tcPr>
            <w:tcW w:w="3317"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55"/>
              <w:ind w:left="7"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0"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70" w:hRule="exact"/>
        </w:trPr>
        <w:tc>
          <w:tcPr>
            <w:tcW w:w="3182" w:type="dxa"/>
            <w:vMerge/>
            <w:tcBorders>
              <w:left w:val="nil" w:sz="6" w:space="0" w:color="auto"/>
              <w:bottom w:val="single" w:sz="4" w:space="0" w:color="000000"/>
              <w:right w:val="single" w:sz="6" w:space="0" w:color="000000"/>
            </w:tcBorders>
          </w:tcPr>
          <w:p>
            <w:pPr/>
          </w:p>
        </w:tc>
        <w:tc>
          <w:tcPr>
            <w:tcW w:w="165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3"/>
              <w:ind w:left="4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3"/>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53"/>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70" w:hRule="exact"/>
        </w:trPr>
        <w:tc>
          <w:tcPr>
            <w:tcW w:w="3182" w:type="dxa"/>
            <w:tcBorders>
              <w:top w:val="single" w:sz="4" w:space="0" w:color="000000"/>
              <w:left w:val="nil" w:sz="6" w:space="0" w:color="auto"/>
              <w:bottom w:val="single" w:sz="4" w:space="0" w:color="000000"/>
              <w:right w:val="single" w:sz="6"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大陆地区</w:t>
            </w:r>
          </w:p>
        </w:tc>
        <w:tc>
          <w:tcPr>
            <w:tcW w:w="165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152,890,871.76</w:t>
            </w:r>
          </w:p>
        </w:tc>
        <w:tc>
          <w:tcPr>
            <w:tcW w:w="166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4" w:right="0"/>
              <w:jc w:val="center"/>
              <w:rPr>
                <w:rFonts w:ascii="Times New Roman" w:hAnsi="Times New Roman" w:cs="Times New Roman" w:eastAsia="Times New Roman" w:hint="default"/>
                <w:sz w:val="21"/>
                <w:szCs w:val="21"/>
              </w:rPr>
            </w:pPr>
            <w:r>
              <w:rPr>
                <w:rFonts w:ascii="Times New Roman"/>
                <w:sz w:val="21"/>
              </w:rPr>
              <w:t>124,694,579.76</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122,947,334.31</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102,893,470.67</w:t>
            </w:r>
          </w:p>
        </w:tc>
      </w:tr>
      <w:tr>
        <w:trPr>
          <w:trHeight w:val="480" w:hRule="exact"/>
        </w:trPr>
        <w:tc>
          <w:tcPr>
            <w:tcW w:w="3182" w:type="dxa"/>
            <w:tcBorders>
              <w:top w:val="single" w:sz="4" w:space="0" w:color="000000"/>
              <w:left w:val="nil" w:sz="6" w:space="0" w:color="auto"/>
              <w:bottom w:val="single" w:sz="12" w:space="0" w:color="000000"/>
              <w:right w:val="single" w:sz="6" w:space="0" w:color="000000"/>
            </w:tcBorders>
          </w:tcPr>
          <w:p>
            <w:pPr>
              <w:pStyle w:val="TableParagraph"/>
              <w:tabs>
                <w:tab w:pos="655" w:val="left" w:leader="none"/>
              </w:tabs>
              <w:spacing w:line="240" w:lineRule="auto" w:before="153"/>
              <w:ind w:left="2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5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152,890,871.76</w:t>
            </w:r>
          </w:p>
        </w:tc>
        <w:tc>
          <w:tcPr>
            <w:tcW w:w="1661"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34" w:right="0"/>
              <w:jc w:val="center"/>
              <w:rPr>
                <w:rFonts w:ascii="Times New Roman" w:hAnsi="Times New Roman" w:cs="Times New Roman" w:eastAsia="Times New Roman" w:hint="default"/>
                <w:sz w:val="21"/>
                <w:szCs w:val="21"/>
              </w:rPr>
            </w:pPr>
            <w:r>
              <w:rPr>
                <w:rFonts w:ascii="Times New Roman"/>
                <w:sz w:val="21"/>
              </w:rPr>
              <w:t>124,694,579.76</w:t>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122,947,334.31</w:t>
            </w:r>
          </w:p>
        </w:tc>
        <w:tc>
          <w:tcPr>
            <w:tcW w:w="168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102,893,470.67</w:t>
            </w:r>
          </w:p>
        </w:tc>
      </w:tr>
    </w:tbl>
    <w:p>
      <w:pPr>
        <w:spacing w:line="240" w:lineRule="auto" w:before="3"/>
        <w:rPr>
          <w:rFonts w:ascii="宋体" w:hAnsi="宋体" w:cs="宋体" w:eastAsia="宋体" w:hint="default"/>
          <w:sz w:val="10"/>
          <w:szCs w:val="10"/>
        </w:rPr>
      </w:pPr>
    </w:p>
    <w:p>
      <w:pPr>
        <w:pStyle w:val="BodyText"/>
        <w:spacing w:line="240" w:lineRule="auto" w:before="36"/>
        <w:ind w:left="672" w:right="0"/>
        <w:jc w:val="left"/>
      </w:pPr>
      <w:r>
        <w:rPr/>
        <w:t>（</w:t>
      </w:r>
      <w:r>
        <w:rPr>
          <w:rFonts w:ascii="Times New Roman" w:hAnsi="Times New Roman" w:cs="Times New Roman" w:eastAsia="Times New Roman" w:hint="default"/>
        </w:rPr>
        <w:t>5</w:t>
      </w:r>
      <w:r>
        <w:rPr/>
        <w:t>）公司前五名客户的营业收入情况</w:t>
      </w:r>
    </w:p>
    <w:tbl>
      <w:tblPr>
        <w:tblW w:w="0" w:type="auto"/>
        <w:jc w:val="left"/>
        <w:tblInd w:w="130" w:type="dxa"/>
        <w:tblLayout w:type="fixed"/>
        <w:tblCellMar>
          <w:top w:w="0" w:type="dxa"/>
          <w:left w:w="0" w:type="dxa"/>
          <w:bottom w:w="0" w:type="dxa"/>
          <w:right w:w="0" w:type="dxa"/>
        </w:tblCellMar>
        <w:tblLook w:val="01E0"/>
      </w:tblPr>
      <w:tblGrid>
        <w:gridCol w:w="4301"/>
        <w:gridCol w:w="1985"/>
        <w:gridCol w:w="3583"/>
      </w:tblGrid>
      <w:tr>
        <w:trPr>
          <w:trHeight w:val="480" w:hRule="exact"/>
        </w:trPr>
        <w:tc>
          <w:tcPr>
            <w:tcW w:w="43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56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5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575" w:hRule="exact"/>
        </w:trPr>
        <w:tc>
          <w:tcPr>
            <w:tcW w:w="4301" w:type="dxa"/>
            <w:tcBorders>
              <w:top w:val="single" w:sz="4" w:space="0" w:color="000000"/>
              <w:left w:val="nil" w:sz="6" w:space="0" w:color="auto"/>
              <w:bottom w:val="nil" w:sz="6" w:space="0" w:color="auto"/>
              <w:right w:val="single" w:sz="4" w:space="0" w:color="000000"/>
            </w:tcBorders>
          </w:tcPr>
          <w:p>
            <w:pPr>
              <w:pStyle w:val="TableParagraph"/>
              <w:spacing w:line="240" w:lineRule="auto" w:before="158"/>
              <w:ind w:left="122" w:right="0"/>
              <w:jc w:val="left"/>
              <w:rPr>
                <w:rFonts w:ascii="宋体" w:hAnsi="宋体" w:cs="宋体" w:eastAsia="宋体" w:hint="default"/>
                <w:sz w:val="21"/>
                <w:szCs w:val="21"/>
              </w:rPr>
            </w:pPr>
            <w:r>
              <w:rPr>
                <w:rFonts w:ascii="宋体" w:hAnsi="宋体" w:cs="宋体" w:eastAsia="宋体" w:hint="default"/>
                <w:sz w:val="21"/>
                <w:szCs w:val="21"/>
              </w:rPr>
              <w:t>北京中长石基软件有限公司</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103,593,948.71</w:t>
            </w:r>
          </w:p>
        </w:tc>
        <w:tc>
          <w:tcPr>
            <w:tcW w:w="3583"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67.34</w:t>
            </w:r>
          </w:p>
        </w:tc>
      </w:tr>
      <w:tr>
        <w:trPr>
          <w:trHeight w:val="466" w:hRule="exact"/>
        </w:trPr>
        <w:tc>
          <w:tcPr>
            <w:tcW w:w="4301"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现化电脑系统（北京）有限公司</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2"/>
                <w:sz w:val="21"/>
              </w:rPr>
              <w:t>11,072,182.69</w:t>
            </w:r>
          </w:p>
        </w:tc>
        <w:tc>
          <w:tcPr>
            <w:tcW w:w="3583"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7.20</w:t>
            </w:r>
          </w:p>
        </w:tc>
      </w:tr>
      <w:tr>
        <w:trPr>
          <w:trHeight w:val="466" w:hRule="exact"/>
        </w:trPr>
        <w:tc>
          <w:tcPr>
            <w:tcW w:w="4301"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广州中环鼎业信息系统有限公司</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4,615,384.60</w:t>
            </w:r>
          </w:p>
        </w:tc>
        <w:tc>
          <w:tcPr>
            <w:tcW w:w="3583"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3.00</w:t>
            </w:r>
          </w:p>
        </w:tc>
      </w:tr>
      <w:tr>
        <w:trPr>
          <w:trHeight w:val="475" w:hRule="exact"/>
        </w:trPr>
        <w:tc>
          <w:tcPr>
            <w:tcW w:w="4301"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天津高银国际俱乐部有限公司</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2,400,000.00</w:t>
            </w:r>
          </w:p>
        </w:tc>
        <w:tc>
          <w:tcPr>
            <w:tcW w:w="3583"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1.56</w:t>
            </w:r>
          </w:p>
        </w:tc>
      </w:tr>
      <w:tr>
        <w:trPr>
          <w:trHeight w:val="354" w:hRule="exact"/>
        </w:trPr>
        <w:tc>
          <w:tcPr>
            <w:tcW w:w="4301" w:type="dxa"/>
            <w:tcBorders>
              <w:top w:val="nil" w:sz="6" w:space="0" w:color="auto"/>
              <w:left w:val="nil" w:sz="6" w:space="0" w:color="auto"/>
              <w:bottom w:val="single" w:sz="4" w:space="0" w:color="000000"/>
              <w:right w:val="single" w:sz="4" w:space="0" w:color="000000"/>
            </w:tcBorders>
          </w:tcPr>
          <w:p>
            <w:pPr>
              <w:pStyle w:val="TableParagraph"/>
              <w:spacing w:line="240" w:lineRule="auto" w:before="100"/>
              <w:ind w:left="122" w:right="0"/>
              <w:jc w:val="left"/>
              <w:rPr>
                <w:rFonts w:ascii="Times New Roman" w:hAnsi="Times New Roman" w:cs="Times New Roman" w:eastAsia="Times New Roman" w:hint="default"/>
                <w:sz w:val="21"/>
                <w:szCs w:val="21"/>
              </w:rPr>
            </w:pPr>
            <w:r>
              <w:rPr>
                <w:rFonts w:ascii="Times New Roman"/>
                <w:sz w:val="21"/>
              </w:rPr>
              <w:t>Monex Financial</w:t>
            </w:r>
            <w:r>
              <w:rPr>
                <w:rFonts w:ascii="Times New Roman"/>
                <w:spacing w:val="-15"/>
                <w:sz w:val="21"/>
              </w:rPr>
              <w:t> </w:t>
            </w:r>
            <w:r>
              <w:rPr>
                <w:rFonts w:ascii="Times New Roman"/>
                <w:sz w:val="21"/>
              </w:rPr>
              <w:t>Servicesltd</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2,055,353.25</w:t>
            </w:r>
          </w:p>
        </w:tc>
        <w:tc>
          <w:tcPr>
            <w:tcW w:w="3583" w:type="dxa"/>
            <w:tcBorders>
              <w:top w:val="nil" w:sz="6" w:space="0" w:color="auto"/>
              <w:left w:val="single" w:sz="4" w:space="0" w:color="000000"/>
              <w:bottom w:val="single" w:sz="4" w:space="0" w:color="000000"/>
              <w:right w:val="nil" w:sz="6" w:space="0" w:color="auto"/>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1.34</w:t>
            </w:r>
          </w:p>
        </w:tc>
      </w:tr>
      <w:tr>
        <w:trPr>
          <w:trHeight w:val="485" w:hRule="exact"/>
        </w:trPr>
        <w:tc>
          <w:tcPr>
            <w:tcW w:w="4301"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123,736,869.25</w:t>
            </w:r>
          </w:p>
        </w:tc>
        <w:tc>
          <w:tcPr>
            <w:tcW w:w="35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80.44</w:t>
            </w:r>
          </w:p>
        </w:tc>
      </w:tr>
    </w:tbl>
    <w:p>
      <w:pPr>
        <w:spacing w:after="0" w:line="240" w:lineRule="auto"/>
        <w:jc w:val="center"/>
        <w:rPr>
          <w:rFonts w:ascii="Times New Roman" w:hAnsi="Times New Roman" w:cs="Times New Roman" w:eastAsia="Times New Roman" w:hint="default"/>
          <w:sz w:val="21"/>
          <w:szCs w:val="21"/>
        </w:rPr>
        <w:sectPr>
          <w:pgSz w:w="11910" w:h="16840"/>
          <w:pgMar w:header="850" w:footer="979" w:top="1200" w:bottom="1160" w:left="88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240" w:lineRule="auto" w:before="36"/>
        <w:ind w:left="652" w:right="5418"/>
        <w:jc w:val="left"/>
      </w:pPr>
      <w:r>
        <w:rPr>
          <w:rFonts w:ascii="Times New Roman" w:hAnsi="Times New Roman" w:cs="Times New Roman" w:eastAsia="Times New Roman" w:hint="default"/>
        </w:rPr>
        <w:t>5</w:t>
      </w:r>
      <w:r>
        <w:rPr/>
        <w:t>．投资收益</w:t>
      </w:r>
    </w:p>
    <w:p>
      <w:pPr>
        <w:pStyle w:val="BodyText"/>
        <w:spacing w:line="240" w:lineRule="auto" w:before="167"/>
        <w:ind w:left="652" w:right="5418"/>
        <w:jc w:val="left"/>
      </w:pPr>
      <w:r>
        <w:rPr/>
        <w:t>（</w:t>
      </w:r>
      <w:r>
        <w:rPr>
          <w:rFonts w:ascii="Times New Roman" w:hAnsi="Times New Roman" w:cs="Times New Roman" w:eastAsia="Times New Roman" w:hint="default"/>
        </w:rPr>
        <w:t>1</w:t>
      </w:r>
      <w:r>
        <w:rPr/>
        <w:t>）投资收益的来源：</w:t>
      </w:r>
    </w:p>
    <w:tbl>
      <w:tblPr>
        <w:tblW w:w="0" w:type="auto"/>
        <w:jc w:val="left"/>
        <w:tblInd w:w="110" w:type="dxa"/>
        <w:tblLayout w:type="fixed"/>
        <w:tblCellMar>
          <w:top w:w="0" w:type="dxa"/>
          <w:left w:w="0" w:type="dxa"/>
          <w:bottom w:w="0" w:type="dxa"/>
          <w:right w:w="0" w:type="dxa"/>
        </w:tblCellMar>
        <w:tblLook w:val="01E0"/>
      </w:tblPr>
      <w:tblGrid>
        <w:gridCol w:w="6228"/>
        <w:gridCol w:w="1718"/>
        <w:gridCol w:w="1922"/>
      </w:tblGrid>
      <w:tr>
        <w:trPr>
          <w:trHeight w:val="480" w:hRule="exact"/>
        </w:trPr>
        <w:tc>
          <w:tcPr>
            <w:tcW w:w="62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17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32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9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42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68" w:hRule="exact"/>
        </w:trPr>
        <w:tc>
          <w:tcPr>
            <w:tcW w:w="6228"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7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87,687,686.26</w:t>
            </w:r>
          </w:p>
        </w:tc>
        <w:tc>
          <w:tcPr>
            <w:tcW w:w="1922"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96" w:right="0"/>
              <w:jc w:val="left"/>
              <w:rPr>
                <w:rFonts w:ascii="Times New Roman" w:hAnsi="Times New Roman" w:cs="Times New Roman" w:eastAsia="Times New Roman" w:hint="default"/>
                <w:sz w:val="21"/>
                <w:szCs w:val="21"/>
              </w:rPr>
            </w:pPr>
            <w:r>
              <w:rPr>
                <w:rFonts w:ascii="Times New Roman"/>
                <w:sz w:val="21"/>
              </w:rPr>
              <w:t>184,151,169.79</w:t>
            </w:r>
          </w:p>
        </w:tc>
      </w:tr>
      <w:tr>
        <w:trPr>
          <w:trHeight w:val="363" w:hRule="exact"/>
        </w:trPr>
        <w:tc>
          <w:tcPr>
            <w:tcW w:w="6228" w:type="dxa"/>
            <w:tcBorders>
              <w:top w:val="nil" w:sz="6" w:space="0" w:color="auto"/>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17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1,032,771.63</w:t>
            </w:r>
          </w:p>
        </w:tc>
        <w:tc>
          <w:tcPr>
            <w:tcW w:w="1922" w:type="dxa"/>
            <w:vMerge/>
            <w:tcBorders>
              <w:left w:val="single" w:sz="4" w:space="0" w:color="000000"/>
              <w:bottom w:val="single" w:sz="4" w:space="0" w:color="000000"/>
              <w:right w:val="nil" w:sz="6" w:space="0" w:color="auto"/>
            </w:tcBorders>
          </w:tcPr>
          <w:p>
            <w:pPr/>
          </w:p>
        </w:tc>
      </w:tr>
      <w:tr>
        <w:trPr>
          <w:trHeight w:val="480" w:hRule="exact"/>
        </w:trPr>
        <w:tc>
          <w:tcPr>
            <w:tcW w:w="6228"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88,720,457.89</w:t>
            </w:r>
          </w:p>
        </w:tc>
        <w:tc>
          <w:tcPr>
            <w:tcW w:w="19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96" w:right="0"/>
              <w:jc w:val="left"/>
              <w:rPr>
                <w:rFonts w:ascii="Times New Roman" w:hAnsi="Times New Roman" w:cs="Times New Roman" w:eastAsia="Times New Roman" w:hint="default"/>
                <w:sz w:val="21"/>
                <w:szCs w:val="21"/>
              </w:rPr>
            </w:pPr>
            <w:r>
              <w:rPr>
                <w:rFonts w:ascii="Times New Roman"/>
                <w:sz w:val="21"/>
              </w:rPr>
              <w:t>184,151,169.79</w:t>
            </w:r>
          </w:p>
        </w:tc>
      </w:tr>
    </w:tbl>
    <w:p>
      <w:pPr>
        <w:spacing w:line="240" w:lineRule="auto" w:before="3"/>
        <w:rPr>
          <w:rFonts w:ascii="宋体" w:hAnsi="宋体" w:cs="宋体" w:eastAsia="宋体" w:hint="default"/>
          <w:sz w:val="10"/>
          <w:szCs w:val="10"/>
        </w:rPr>
      </w:pPr>
    </w:p>
    <w:p>
      <w:pPr>
        <w:pStyle w:val="BodyText"/>
        <w:spacing w:line="240" w:lineRule="auto" w:before="36"/>
        <w:ind w:left="652" w:right="0"/>
        <w:jc w:val="left"/>
      </w:pPr>
      <w:r>
        <w:rPr/>
        <w:t>（</w:t>
      </w:r>
      <w:r>
        <w:rPr>
          <w:rFonts w:ascii="Times New Roman" w:hAnsi="Times New Roman" w:cs="Times New Roman" w:eastAsia="Times New Roman" w:hint="default"/>
        </w:rPr>
        <w:t>2</w:t>
      </w:r>
      <w:r>
        <w:rPr/>
        <w:t>）按成本法核算的长期股权投资按投资单位分项列示投资收益：</w:t>
      </w:r>
    </w:p>
    <w:tbl>
      <w:tblPr>
        <w:tblW w:w="0" w:type="auto"/>
        <w:jc w:val="left"/>
        <w:tblInd w:w="110" w:type="dxa"/>
        <w:tblLayout w:type="fixed"/>
        <w:tblCellMar>
          <w:top w:w="0" w:type="dxa"/>
          <w:left w:w="0" w:type="dxa"/>
          <w:bottom w:w="0" w:type="dxa"/>
          <w:right w:w="0" w:type="dxa"/>
        </w:tblCellMar>
        <w:tblLook w:val="01E0"/>
      </w:tblPr>
      <w:tblGrid>
        <w:gridCol w:w="3214"/>
        <w:gridCol w:w="1666"/>
        <w:gridCol w:w="1788"/>
        <w:gridCol w:w="3202"/>
      </w:tblGrid>
      <w:tr>
        <w:trPr>
          <w:trHeight w:val="480" w:hRule="exact"/>
        </w:trPr>
        <w:tc>
          <w:tcPr>
            <w:tcW w:w="32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0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30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7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364"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32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本年比上期增减变动的原因</w:t>
            </w:r>
          </w:p>
        </w:tc>
      </w:tr>
      <w:tr>
        <w:trPr>
          <w:trHeight w:val="568" w:hRule="exact"/>
        </w:trPr>
        <w:tc>
          <w:tcPr>
            <w:tcW w:w="3214"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北京石基昆仑软件有限公司</w:t>
            </w:r>
          </w:p>
        </w:tc>
        <w:tc>
          <w:tcPr>
            <w:tcW w:w="16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3,296,000.00</w:t>
            </w:r>
            <w:r>
              <w:rPr>
                <w:rFonts w:ascii="Times New Roman"/>
                <w:sz w:val="21"/>
              </w:rPr>
            </w: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1,648,000.00</w:t>
            </w:r>
          </w:p>
        </w:tc>
        <w:tc>
          <w:tcPr>
            <w:tcW w:w="3202" w:type="dxa"/>
            <w:tcBorders>
              <w:top w:val="single" w:sz="4" w:space="0" w:color="000000"/>
              <w:left w:val="single" w:sz="4" w:space="0" w:color="000000"/>
              <w:bottom w:val="nil" w:sz="6" w:space="0" w:color="auto"/>
              <w:right w:val="nil" w:sz="6" w:space="0" w:color="auto"/>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本年分配普通股股利</w:t>
            </w:r>
          </w:p>
        </w:tc>
      </w:tr>
      <w:tr>
        <w:trPr>
          <w:trHeight w:val="460" w:hRule="exact"/>
        </w:trPr>
        <w:tc>
          <w:tcPr>
            <w:tcW w:w="3214"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北京中长石基软件有限公司</w:t>
            </w:r>
          </w:p>
        </w:tc>
        <w:tc>
          <w:tcPr>
            <w:tcW w:w="1666" w:type="dxa"/>
            <w:tcBorders>
              <w:top w:val="nil" w:sz="6" w:space="0" w:color="auto"/>
              <w:left w:val="single" w:sz="4" w:space="0" w:color="000000"/>
              <w:bottom w:val="nil" w:sz="6" w:space="0" w:color="auto"/>
              <w:right w:val="single" w:sz="4" w:space="0" w:color="000000"/>
            </w:tcBorders>
          </w:tcPr>
          <w:p>
            <w:pP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53,789,370.15</w:t>
            </w:r>
          </w:p>
        </w:tc>
        <w:tc>
          <w:tcPr>
            <w:tcW w:w="3202" w:type="dxa"/>
            <w:tcBorders>
              <w:top w:val="nil" w:sz="6" w:space="0" w:color="auto"/>
              <w:left w:val="single" w:sz="4" w:space="0" w:color="000000"/>
              <w:bottom w:val="nil" w:sz="6" w:space="0" w:color="auto"/>
              <w:right w:val="nil" w:sz="6" w:space="0" w:color="auto"/>
            </w:tcBorders>
          </w:tcPr>
          <w:p>
            <w:pPr/>
          </w:p>
        </w:tc>
      </w:tr>
      <w:tr>
        <w:trPr>
          <w:trHeight w:val="460" w:hRule="exact"/>
        </w:trPr>
        <w:tc>
          <w:tcPr>
            <w:tcW w:w="3214"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北海石基信息技术有限公司</w:t>
            </w:r>
          </w:p>
        </w:tc>
        <w:tc>
          <w:tcPr>
            <w:tcW w:w="16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84,391,686.26</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21"/>
                <w:szCs w:val="21"/>
              </w:rPr>
            </w:pPr>
            <w:r>
              <w:rPr>
                <w:rFonts w:ascii="Times New Roman"/>
                <w:spacing w:val="-1"/>
                <w:sz w:val="21"/>
              </w:rPr>
              <w:t>101,571,469.02</w:t>
            </w:r>
          </w:p>
        </w:tc>
        <w:tc>
          <w:tcPr>
            <w:tcW w:w="3202"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left="2" w:right="0"/>
              <w:jc w:val="center"/>
              <w:rPr>
                <w:rFonts w:ascii="宋体" w:hAnsi="宋体" w:cs="宋体" w:eastAsia="宋体" w:hint="default"/>
                <w:sz w:val="21"/>
                <w:szCs w:val="21"/>
              </w:rPr>
            </w:pPr>
            <w:r>
              <w:rPr>
                <w:rFonts w:ascii="宋体" w:hAnsi="宋体" w:cs="宋体" w:eastAsia="宋体" w:hint="default"/>
                <w:sz w:val="21"/>
                <w:szCs w:val="21"/>
              </w:rPr>
              <w:t>本年分配普通股股利</w:t>
            </w:r>
          </w:p>
        </w:tc>
      </w:tr>
      <w:tr>
        <w:trPr>
          <w:trHeight w:val="363" w:hRule="exact"/>
        </w:trPr>
        <w:tc>
          <w:tcPr>
            <w:tcW w:w="3214" w:type="dxa"/>
            <w:tcBorders>
              <w:top w:val="nil" w:sz="6" w:space="0" w:color="auto"/>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杭州西软科技有限公司</w:t>
            </w:r>
          </w:p>
        </w:tc>
        <w:tc>
          <w:tcPr>
            <w:tcW w:w="1666" w:type="dxa"/>
            <w:tcBorders>
              <w:top w:val="nil" w:sz="6" w:space="0" w:color="auto"/>
              <w:left w:val="single" w:sz="4" w:space="0" w:color="000000"/>
              <w:bottom w:val="single" w:sz="4" w:space="0" w:color="000000"/>
              <w:right w:val="single" w:sz="4" w:space="0" w:color="000000"/>
            </w:tcBorders>
          </w:tcPr>
          <w:p>
            <w:pP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9"/>
              <w:ind w:right="96"/>
              <w:jc w:val="right"/>
              <w:rPr>
                <w:rFonts w:ascii="Times New Roman" w:hAnsi="Times New Roman" w:cs="Times New Roman" w:eastAsia="Times New Roman" w:hint="default"/>
                <w:sz w:val="21"/>
                <w:szCs w:val="21"/>
              </w:rPr>
            </w:pPr>
            <w:r>
              <w:rPr>
                <w:rFonts w:ascii="Times New Roman"/>
                <w:spacing w:val="-1"/>
                <w:sz w:val="21"/>
              </w:rPr>
              <w:t>27,142,330.62</w:t>
            </w:r>
          </w:p>
        </w:tc>
        <w:tc>
          <w:tcPr>
            <w:tcW w:w="3202" w:type="dxa"/>
            <w:tcBorders>
              <w:top w:val="nil" w:sz="6" w:space="0" w:color="auto"/>
              <w:left w:val="single" w:sz="4" w:space="0" w:color="000000"/>
              <w:bottom w:val="single" w:sz="4" w:space="0" w:color="000000"/>
              <w:right w:val="nil" w:sz="6" w:space="0" w:color="auto"/>
            </w:tcBorders>
          </w:tcPr>
          <w:p>
            <w:pPr/>
          </w:p>
        </w:tc>
      </w:tr>
      <w:tr>
        <w:trPr>
          <w:trHeight w:val="480" w:hRule="exact"/>
        </w:trPr>
        <w:tc>
          <w:tcPr>
            <w:tcW w:w="3214"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87,687,686.26</w:t>
            </w:r>
          </w:p>
        </w:tc>
        <w:tc>
          <w:tcPr>
            <w:tcW w:w="17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184,151,169.79</w:t>
            </w:r>
          </w:p>
        </w:tc>
        <w:tc>
          <w:tcPr>
            <w:tcW w:w="320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6"/>
        <w:ind w:left="652" w:right="5418"/>
        <w:jc w:val="left"/>
      </w:pPr>
      <w:r>
        <w:rPr>
          <w:rFonts w:ascii="Times New Roman" w:hAnsi="Times New Roman" w:cs="Times New Roman" w:eastAsia="Times New Roman" w:hint="default"/>
        </w:rPr>
        <w:t>6</w:t>
      </w:r>
      <w:r>
        <w:rPr/>
        <w:t>．现金流量表补充资料</w:t>
      </w:r>
    </w:p>
    <w:tbl>
      <w:tblPr>
        <w:tblW w:w="0" w:type="auto"/>
        <w:jc w:val="left"/>
        <w:tblInd w:w="110" w:type="dxa"/>
        <w:tblLayout w:type="fixed"/>
        <w:tblCellMar>
          <w:top w:w="0" w:type="dxa"/>
          <w:left w:w="0" w:type="dxa"/>
          <w:bottom w:w="0" w:type="dxa"/>
          <w:right w:w="0" w:type="dxa"/>
        </w:tblCellMar>
        <w:tblLook w:val="01E0"/>
      </w:tblPr>
      <w:tblGrid>
        <w:gridCol w:w="6670"/>
        <w:gridCol w:w="1601"/>
        <w:gridCol w:w="1598"/>
      </w:tblGrid>
      <w:tr>
        <w:trPr>
          <w:trHeight w:val="480" w:hRule="exact"/>
        </w:trPr>
        <w:tc>
          <w:tcPr>
            <w:tcW w:w="66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5"/>
              <w:ind w:left="19"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5"/>
              <w:ind w:left="376"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5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5"/>
              <w:ind w:left="37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65" w:hRule="exact"/>
        </w:trPr>
        <w:tc>
          <w:tcPr>
            <w:tcW w:w="6670" w:type="dxa"/>
            <w:tcBorders>
              <w:top w:val="single" w:sz="4" w:space="0" w:color="000000"/>
              <w:left w:val="nil" w:sz="6" w:space="0" w:color="auto"/>
              <w:bottom w:val="nil" w:sz="6" w:space="0" w:color="auto"/>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1601" w:type="dxa"/>
            <w:tcBorders>
              <w:top w:val="single" w:sz="4" w:space="0" w:color="000000"/>
              <w:left w:val="single" w:sz="4" w:space="0" w:color="000000"/>
              <w:bottom w:val="nil" w:sz="6" w:space="0" w:color="auto"/>
              <w:right w:val="single" w:sz="4" w:space="0" w:color="000000"/>
            </w:tcBorders>
          </w:tcPr>
          <w:p>
            <w:pPr/>
          </w:p>
        </w:tc>
        <w:tc>
          <w:tcPr>
            <w:tcW w:w="1598" w:type="dxa"/>
            <w:tcBorders>
              <w:top w:val="single" w:sz="4" w:space="0" w:color="000000"/>
              <w:left w:val="single" w:sz="4" w:space="0" w:color="000000"/>
              <w:bottom w:val="nil" w:sz="6" w:space="0" w:color="auto"/>
              <w:right w:val="nil" w:sz="6" w:space="0" w:color="auto"/>
            </w:tcBorders>
          </w:tcPr>
          <w:p>
            <w:pPr/>
          </w:p>
        </w:tc>
      </w:tr>
      <w:tr>
        <w:trPr>
          <w:trHeight w:val="464"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01"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89,468,333.39</w:t>
            </w:r>
          </w:p>
        </w:tc>
        <w:tc>
          <w:tcPr>
            <w:tcW w:w="1598" w:type="dxa"/>
            <w:tcBorders>
              <w:top w:val="nil" w:sz="6" w:space="0" w:color="auto"/>
              <w:left w:val="single" w:sz="4" w:space="0" w:color="000000"/>
              <w:bottom w:val="nil" w:sz="6" w:space="0" w:color="auto"/>
              <w:right w:val="nil" w:sz="6" w:space="0" w:color="auto"/>
            </w:tcBorders>
          </w:tcPr>
          <w:p>
            <w:pPr>
              <w:pStyle w:val="TableParagraph"/>
              <w:spacing w:line="240" w:lineRule="auto" w:before="113"/>
              <w:ind w:right="103"/>
              <w:jc w:val="right"/>
              <w:rPr>
                <w:rFonts w:ascii="Times New Roman" w:hAnsi="Times New Roman" w:cs="Times New Roman" w:eastAsia="Times New Roman" w:hint="default"/>
                <w:sz w:val="21"/>
                <w:szCs w:val="21"/>
              </w:rPr>
            </w:pPr>
            <w:r>
              <w:rPr>
                <w:rFonts w:ascii="Times New Roman"/>
                <w:spacing w:val="-1"/>
                <w:sz w:val="21"/>
              </w:rPr>
              <w:t>139,321,220.53</w:t>
            </w:r>
          </w:p>
        </w:tc>
      </w:tr>
      <w:tr>
        <w:trPr>
          <w:trHeight w:val="461"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6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8,819,880.78</w:t>
            </w:r>
          </w:p>
        </w:tc>
        <w:tc>
          <w:tcPr>
            <w:tcW w:w="159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3,187,720.06</w:t>
            </w:r>
          </w:p>
        </w:tc>
      </w:tr>
      <w:tr>
        <w:trPr>
          <w:trHeight w:val="919"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400" w:lineRule="auto" w:before="50"/>
              <w:ind w:left="122" w:right="95"/>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固定资产折旧、油气资产折耗、生产性生物资产折旧、投资性房地产摊</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销等</w:t>
            </w:r>
          </w:p>
        </w:tc>
        <w:tc>
          <w:tcPr>
            <w:tcW w:w="16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6,683,907.65</w:t>
            </w:r>
          </w:p>
        </w:tc>
        <w:tc>
          <w:tcPr>
            <w:tcW w:w="159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7,380,480.25</w:t>
            </w:r>
          </w:p>
        </w:tc>
      </w:tr>
      <w:tr>
        <w:trPr>
          <w:trHeight w:val="461"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12,871,402.32</w:t>
            </w:r>
          </w:p>
        </w:tc>
        <w:tc>
          <w:tcPr>
            <w:tcW w:w="159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12,871,402.32</w:t>
            </w:r>
          </w:p>
        </w:tc>
      </w:tr>
      <w:tr>
        <w:trPr>
          <w:trHeight w:val="449"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601"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
        </w:tc>
      </w:tr>
      <w:tr>
        <w:trPr>
          <w:trHeight w:val="465"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处置固定资产、无形资产和其他长期资产的损失（收益以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r>
              <w:rPr>
                <w:rFonts w:ascii="宋体" w:hAnsi="宋体" w:cs="宋体" w:eastAsia="宋体" w:hint="default"/>
                <w:sz w:val="21"/>
                <w:szCs w:val="21"/>
              </w:rPr>
            </w:r>
          </w:p>
        </w:tc>
        <w:tc>
          <w:tcPr>
            <w:tcW w:w="1601"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
        </w:tc>
      </w:tr>
      <w:tr>
        <w:trPr>
          <w:trHeight w:val="461"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01"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01"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01"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
        </w:tc>
      </w:tr>
      <w:tr>
        <w:trPr>
          <w:trHeight w:val="466"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01"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21"/>
                <w:szCs w:val="21"/>
              </w:rPr>
            </w:pPr>
            <w:r>
              <w:rPr>
                <w:rFonts w:ascii="Times New Roman"/>
                <w:spacing w:val="-1"/>
                <w:sz w:val="21"/>
              </w:rPr>
              <w:t>-88,720,457.89</w:t>
            </w:r>
          </w:p>
        </w:tc>
        <w:tc>
          <w:tcPr>
            <w:tcW w:w="1598" w:type="dxa"/>
            <w:tcBorders>
              <w:top w:val="nil" w:sz="6" w:space="0" w:color="auto"/>
              <w:left w:val="single" w:sz="4" w:space="0" w:color="000000"/>
              <w:bottom w:val="nil" w:sz="6" w:space="0" w:color="auto"/>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21"/>
                <w:szCs w:val="21"/>
              </w:rPr>
            </w:pPr>
            <w:r>
              <w:rPr>
                <w:rFonts w:ascii="Times New Roman"/>
                <w:spacing w:val="-1"/>
                <w:sz w:val="21"/>
              </w:rPr>
              <w:t>-184,151,169.79</w:t>
            </w:r>
          </w:p>
        </w:tc>
      </w:tr>
      <w:tr>
        <w:trPr>
          <w:trHeight w:val="373" w:hRule="exact"/>
        </w:trPr>
        <w:tc>
          <w:tcPr>
            <w:tcW w:w="6670"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01" w:type="dxa"/>
            <w:tcBorders>
              <w:top w:val="nil" w:sz="6" w:space="0" w:color="auto"/>
              <w:left w:val="single" w:sz="4" w:space="0" w:color="000000"/>
              <w:bottom w:val="single" w:sz="12" w:space="0" w:color="000000"/>
              <w:right w:val="single" w:sz="4" w:space="0" w:color="000000"/>
            </w:tcBorders>
          </w:tcPr>
          <w:p>
            <w:pPr/>
          </w:p>
        </w:tc>
        <w:tc>
          <w:tcPr>
            <w:tcW w:w="1598" w:type="dxa"/>
            <w:tcBorders>
              <w:top w:val="nil" w:sz="6" w:space="0" w:color="auto"/>
              <w:left w:val="single" w:sz="4" w:space="0" w:color="000000"/>
              <w:bottom w:val="single" w:sz="12" w:space="0" w:color="000000"/>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809,730.37</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979" w:top="1200" w:bottom="1160" w:left="900" w:right="920"/>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6670"/>
        <w:gridCol w:w="1601"/>
        <w:gridCol w:w="1598"/>
      </w:tblGrid>
      <w:tr>
        <w:trPr>
          <w:trHeight w:val="487" w:hRule="exact"/>
        </w:trPr>
        <w:tc>
          <w:tcPr>
            <w:tcW w:w="667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0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53"/>
              <w:ind w:left="376"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598"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53"/>
              <w:ind w:left="37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68" w:hRule="exact"/>
        </w:trPr>
        <w:tc>
          <w:tcPr>
            <w:tcW w:w="6670"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-528,614.17</w:t>
            </w:r>
          </w:p>
        </w:tc>
        <w:tc>
          <w:tcPr>
            <w:tcW w:w="1598" w:type="dxa"/>
            <w:tcBorders>
              <w:top w:val="single" w:sz="4" w:space="0" w:color="000000"/>
              <w:left w:val="single" w:sz="4" w:space="0" w:color="000000"/>
              <w:bottom w:val="nil" w:sz="6" w:space="0" w:color="auto"/>
              <w:right w:val="nil" w:sz="6" w:space="0" w:color="auto"/>
            </w:tcBorders>
          </w:tcPr>
          <w:p>
            <w:pPr/>
          </w:p>
        </w:tc>
      </w:tr>
      <w:tr>
        <w:trPr>
          <w:trHeight w:val="461"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2"/>
                <w:sz w:val="21"/>
              </w:rPr>
              <w:t>9,686,112.99</w:t>
            </w:r>
          </w:p>
        </w:tc>
        <w:tc>
          <w:tcPr>
            <w:tcW w:w="159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5,471,429.58</w:t>
            </w:r>
          </w:p>
        </w:tc>
      </w:tr>
      <w:tr>
        <w:trPr>
          <w:trHeight w:val="460"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-86,890,599.92</w:t>
            </w:r>
          </w:p>
        </w:tc>
        <w:tc>
          <w:tcPr>
            <w:tcW w:w="159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61,486,870.47</w:t>
            </w:r>
          </w:p>
        </w:tc>
      </w:tr>
      <w:tr>
        <w:trPr>
          <w:trHeight w:val="460"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54,096,446.35</w:t>
            </w:r>
          </w:p>
        </w:tc>
        <w:tc>
          <w:tcPr>
            <w:tcW w:w="1598"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-29,308,157.67</w:t>
            </w:r>
          </w:p>
        </w:tc>
      </w:tr>
      <w:tr>
        <w:trPr>
          <w:trHeight w:val="461"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2,718,521.23</w:t>
            </w:r>
          </w:p>
        </w:tc>
        <w:tc>
          <w:tcPr>
            <w:tcW w:w="159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7,602,355.17</w:t>
            </w:r>
          </w:p>
        </w:tc>
      </w:tr>
      <w:tr>
        <w:trPr>
          <w:trHeight w:val="460"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21"/>
                <w:szCs w:val="21"/>
              </w:rPr>
            </w:pPr>
            <w:r>
              <w:rPr>
                <w:rFonts w:ascii="Times New Roman"/>
                <w:spacing w:val="-1"/>
                <w:sz w:val="21"/>
              </w:rPr>
              <w:t>8,204,932.73</w:t>
            </w:r>
          </w:p>
        </w:tc>
        <w:tc>
          <w:tcPr>
            <w:tcW w:w="159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21"/>
                <w:szCs w:val="21"/>
              </w:rPr>
            </w:pPr>
            <w:r>
              <w:rPr>
                <w:rFonts w:ascii="Times New Roman"/>
                <w:spacing w:val="-1"/>
                <w:sz w:val="21"/>
              </w:rPr>
              <w:t>24,671,881.29</w:t>
            </w:r>
          </w:p>
        </w:tc>
      </w:tr>
      <w:tr>
        <w:trPr>
          <w:trHeight w:val="455"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1601"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
        </w:tc>
      </w:tr>
      <w:tr>
        <w:trPr>
          <w:trHeight w:val="455"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601"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601"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601"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
        </w:tc>
      </w:tr>
      <w:tr>
        <w:trPr>
          <w:trHeight w:val="467"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1601"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
        </w:tc>
      </w:tr>
      <w:tr>
        <w:trPr>
          <w:trHeight w:val="464"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601"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21"/>
                <w:szCs w:val="21"/>
              </w:rPr>
            </w:pPr>
            <w:r>
              <w:rPr>
                <w:rFonts w:ascii="Times New Roman"/>
                <w:spacing w:val="-1"/>
                <w:sz w:val="21"/>
              </w:rPr>
              <w:t>82,654,828.91</w:t>
            </w:r>
          </w:p>
        </w:tc>
        <w:tc>
          <w:tcPr>
            <w:tcW w:w="1598" w:type="dxa"/>
            <w:tcBorders>
              <w:top w:val="nil" w:sz="6" w:space="0" w:color="auto"/>
              <w:left w:val="single" w:sz="4" w:space="0" w:color="000000"/>
              <w:bottom w:val="nil" w:sz="6" w:space="0" w:color="auto"/>
              <w:right w:val="nil" w:sz="6" w:space="0" w:color="auto"/>
            </w:tcBorders>
          </w:tcPr>
          <w:p>
            <w:pPr>
              <w:pStyle w:val="TableParagraph"/>
              <w:spacing w:line="240" w:lineRule="auto" w:before="114"/>
              <w:ind w:right="103"/>
              <w:jc w:val="right"/>
              <w:rPr>
                <w:rFonts w:ascii="Times New Roman" w:hAnsi="Times New Roman" w:cs="Times New Roman" w:eastAsia="Times New Roman" w:hint="default"/>
                <w:sz w:val="21"/>
                <w:szCs w:val="21"/>
              </w:rPr>
            </w:pPr>
            <w:r>
              <w:rPr>
                <w:rFonts w:ascii="Times New Roman"/>
                <w:spacing w:val="-1"/>
                <w:sz w:val="21"/>
              </w:rPr>
              <w:t>224,363,560.34</w:t>
            </w:r>
          </w:p>
        </w:tc>
      </w:tr>
      <w:tr>
        <w:trPr>
          <w:trHeight w:val="460"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6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pacing w:val="-1"/>
                <w:sz w:val="21"/>
              </w:rPr>
              <w:t>224,363,560.34</w:t>
            </w:r>
          </w:p>
        </w:tc>
        <w:tc>
          <w:tcPr>
            <w:tcW w:w="1598"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21"/>
                <w:szCs w:val="21"/>
              </w:rPr>
            </w:pPr>
            <w:r>
              <w:rPr>
                <w:rFonts w:ascii="Times New Roman"/>
                <w:spacing w:val="-1"/>
                <w:sz w:val="21"/>
              </w:rPr>
              <w:t>268,808,574.98</w:t>
            </w:r>
          </w:p>
        </w:tc>
      </w:tr>
      <w:tr>
        <w:trPr>
          <w:trHeight w:val="450"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601"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670"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601"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nil" w:sz="6" w:space="0" w:color="auto"/>
            </w:tcBorders>
          </w:tcPr>
          <w:p>
            <w:pPr/>
          </w:p>
        </w:tc>
      </w:tr>
      <w:tr>
        <w:trPr>
          <w:trHeight w:val="382" w:hRule="exact"/>
        </w:trPr>
        <w:tc>
          <w:tcPr>
            <w:tcW w:w="6670" w:type="dxa"/>
            <w:tcBorders>
              <w:top w:val="nil" w:sz="6" w:space="0" w:color="auto"/>
              <w:left w:val="nil" w:sz="6" w:space="0" w:color="auto"/>
              <w:bottom w:val="single" w:sz="12"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0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spacing w:val="-1"/>
                <w:sz w:val="21"/>
              </w:rPr>
              <w:t>-141,708,731.43</w:t>
            </w:r>
          </w:p>
        </w:tc>
        <w:tc>
          <w:tcPr>
            <w:tcW w:w="1598" w:type="dxa"/>
            <w:tcBorders>
              <w:top w:val="nil" w:sz="6" w:space="0" w:color="auto"/>
              <w:left w:val="single" w:sz="4" w:space="0" w:color="000000"/>
              <w:bottom w:val="single" w:sz="12" w:space="0" w:color="000000"/>
              <w:right w:val="nil" w:sz="6" w:space="0" w:color="auto"/>
            </w:tcBorders>
          </w:tcPr>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spacing w:val="-1"/>
                <w:sz w:val="21"/>
              </w:rPr>
              <w:t>-44,445,014.64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4"/>
        <w:spacing w:line="240" w:lineRule="auto" w:before="36"/>
        <w:ind w:left="655" w:right="5418"/>
        <w:jc w:val="left"/>
        <w:rPr>
          <w:b w:val="0"/>
          <w:bCs w:val="0"/>
        </w:rPr>
      </w:pPr>
      <w:r>
        <w:rPr/>
        <w:t>（十二）补充资料</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652" w:right="5418"/>
        <w:jc w:val="left"/>
      </w:pPr>
      <w:r>
        <w:rPr>
          <w:rFonts w:ascii="Times New Roman" w:hAnsi="Times New Roman" w:cs="Times New Roman" w:eastAsia="Times New Roman" w:hint="default"/>
        </w:rPr>
        <w:t>1</w:t>
      </w:r>
      <w:r>
        <w:rPr/>
        <w:t>．非经常性损益</w:t>
      </w:r>
    </w:p>
    <w:p>
      <w:pPr>
        <w:pStyle w:val="BodyText"/>
        <w:spacing w:line="240" w:lineRule="auto" w:before="167"/>
        <w:ind w:left="652" w:right="0"/>
        <w:jc w:val="left"/>
      </w:pPr>
      <w:r>
        <w:rPr/>
        <w:t>（</w:t>
      </w:r>
      <w:r>
        <w:rPr>
          <w:rFonts w:ascii="Times New Roman" w:hAnsi="Times New Roman" w:cs="Times New Roman" w:eastAsia="Times New Roman" w:hint="default"/>
        </w:rPr>
        <w:t>1</w:t>
      </w:r>
      <w:r>
        <w:rPr/>
        <w:t>）根据中国证券监督管理委员会公告</w:t>
      </w:r>
      <w:r>
        <w:rPr>
          <w:rFonts w:ascii="Times New Roman" w:hAnsi="Times New Roman" w:cs="Times New Roman" w:eastAsia="Times New Roman" w:hint="default"/>
        </w:rPr>
        <w:t>[2008]43</w:t>
      </w:r>
      <w:r>
        <w:rPr/>
        <w:t>号《公开发行证券的公司信息披露解释性公告第</w:t>
      </w:r>
      <w:r>
        <w:rPr>
          <w:rFonts w:ascii="Times New Roman" w:hAnsi="Times New Roman" w:cs="Times New Roman" w:eastAsia="Times New Roman" w:hint="default"/>
        </w:rPr>
        <w:t>1</w:t>
      </w:r>
      <w:r>
        <w:rPr/>
        <w:t>号</w:t>
      </w:r>
    </w:p>
    <w:p>
      <w:pPr>
        <w:pStyle w:val="BodyText"/>
        <w:spacing w:line="240" w:lineRule="auto" w:before="170"/>
        <w:ind w:left="232" w:right="0"/>
        <w:jc w:val="left"/>
      </w:pPr>
      <w:r>
        <w:rPr>
          <w:rFonts w:ascii="Times New Roman" w:hAnsi="Times New Roman" w:cs="Times New Roman" w:eastAsia="Times New Roman" w:hint="default"/>
        </w:rPr>
        <w:t>——</w:t>
      </w:r>
      <w:r>
        <w:rPr/>
        <w:t>非经常性损益</w:t>
      </w:r>
      <w:r>
        <w:rPr>
          <w:rFonts w:ascii="Times New Roman" w:hAnsi="Times New Roman" w:cs="Times New Roman" w:eastAsia="Times New Roman" w:hint="default"/>
        </w:rPr>
        <w:t>[2008]</w:t>
      </w:r>
      <w:r>
        <w:rPr/>
        <w:t>》的规定，本报告期公司非经常性损益发生情况如下：</w:t>
      </w:r>
    </w:p>
    <w:p>
      <w:pPr>
        <w:pStyle w:val="BodyText"/>
        <w:spacing w:line="240" w:lineRule="auto" w:before="170"/>
        <w:ind w:left="5378" w:right="0"/>
        <w:jc w:val="left"/>
      </w:pPr>
      <w:r>
        <w:rPr/>
        <w:t>（收益以正数列示，损失以负数列示）</w:t>
      </w:r>
    </w:p>
    <w:p>
      <w:pPr>
        <w:spacing w:line="240" w:lineRule="auto" w:before="4"/>
        <w:rPr>
          <w:rFonts w:ascii="宋体" w:hAnsi="宋体" w:cs="宋体" w:eastAsia="宋体" w:hint="default"/>
          <w:sz w:val="2"/>
          <w:szCs w:val="2"/>
        </w:rPr>
      </w:pPr>
    </w:p>
    <w:tbl>
      <w:tblPr>
        <w:tblW w:w="0" w:type="auto"/>
        <w:jc w:val="left"/>
        <w:tblInd w:w="189" w:type="dxa"/>
        <w:tblLayout w:type="fixed"/>
        <w:tblCellMar>
          <w:top w:w="0" w:type="dxa"/>
          <w:left w:w="0" w:type="dxa"/>
          <w:bottom w:w="0" w:type="dxa"/>
          <w:right w:w="0" w:type="dxa"/>
        </w:tblCellMar>
        <w:tblLook w:val="01E0"/>
      </w:tblPr>
      <w:tblGrid>
        <w:gridCol w:w="6607"/>
        <w:gridCol w:w="1579"/>
        <w:gridCol w:w="1524"/>
      </w:tblGrid>
      <w:tr>
        <w:trPr>
          <w:trHeight w:val="482" w:hRule="exact"/>
        </w:trPr>
        <w:tc>
          <w:tcPr>
            <w:tcW w:w="6607"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55"/>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25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5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232"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67" w:hRule="exact"/>
        </w:trPr>
        <w:tc>
          <w:tcPr>
            <w:tcW w:w="6607"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非流动性资产处置损益，包括已计提资产减值准备的冲销部分</w:t>
            </w:r>
          </w:p>
        </w:tc>
        <w:tc>
          <w:tcPr>
            <w:tcW w:w="15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-542,107.79</w:t>
            </w:r>
          </w:p>
        </w:tc>
        <w:tc>
          <w:tcPr>
            <w:tcW w:w="1524"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-66,122.46</w:t>
            </w:r>
          </w:p>
        </w:tc>
      </w:tr>
      <w:tr>
        <w:trPr>
          <w:trHeight w:val="460"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4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21"/>
                <w:szCs w:val="21"/>
              </w:rPr>
            </w:pPr>
            <w:r>
              <w:rPr>
                <w:rFonts w:ascii="Times New Roman"/>
                <w:spacing w:val="-1"/>
                <w:sz w:val="21"/>
              </w:rPr>
              <w:t>2,982,647.05</w:t>
            </w:r>
          </w:p>
        </w:tc>
        <w:tc>
          <w:tcPr>
            <w:tcW w:w="1524"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24"/>
              <w:jc w:val="right"/>
              <w:rPr>
                <w:rFonts w:ascii="Times New Roman" w:hAnsi="Times New Roman" w:cs="Times New Roman" w:eastAsia="Times New Roman" w:hint="default"/>
                <w:sz w:val="21"/>
                <w:szCs w:val="21"/>
              </w:rPr>
            </w:pPr>
            <w:r>
              <w:rPr>
                <w:rFonts w:ascii="Times New Roman"/>
                <w:spacing w:val="-1"/>
                <w:sz w:val="21"/>
              </w:rPr>
              <w:t>2,185,918.10</w:t>
            </w:r>
          </w:p>
        </w:tc>
      </w:tr>
      <w:tr>
        <w:trPr>
          <w:trHeight w:val="910"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403" w:lineRule="auto" w:before="50"/>
              <w:ind w:left="43" w:right="16"/>
              <w:jc w:val="left"/>
              <w:rPr>
                <w:rFonts w:ascii="宋体" w:hAnsi="宋体" w:cs="宋体" w:eastAsia="宋体" w:hint="default"/>
                <w:sz w:val="21"/>
                <w:szCs w:val="21"/>
              </w:rPr>
            </w:pPr>
            <w:r>
              <w:rPr>
                <w:rFonts w:ascii="宋体" w:hAnsi="宋体" w:cs="宋体" w:eastAsia="宋体" w:hint="default"/>
                <w:spacing w:val="-1"/>
                <w:sz w:val="21"/>
                <w:szCs w:val="21"/>
              </w:rPr>
              <w:t>计入当期损益的政府补助，但与公司正常经营业务密切相关，符合国家</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政策规定、按照一定标准定额或定量持续享受的政府补助除外</w:t>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2,620,000.00</w:t>
            </w:r>
            <w:r>
              <w:rPr>
                <w:rFonts w:ascii="Times New Roman"/>
                <w:sz w:val="21"/>
              </w:rPr>
            </w:r>
          </w:p>
        </w:tc>
        <w:tc>
          <w:tcPr>
            <w:tcW w:w="1524"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2,453,474.54</w:t>
            </w:r>
          </w:p>
        </w:tc>
      </w:tr>
      <w:tr>
        <w:trPr>
          <w:trHeight w:val="384" w:hRule="exact"/>
        </w:trPr>
        <w:tc>
          <w:tcPr>
            <w:tcW w:w="6607" w:type="dxa"/>
            <w:tcBorders>
              <w:top w:val="nil" w:sz="6" w:space="0" w:color="auto"/>
              <w:left w:val="nil" w:sz="6" w:space="0" w:color="auto"/>
              <w:bottom w:val="single" w:sz="12" w:space="0" w:color="000000"/>
              <w:right w:val="single" w:sz="4" w:space="0" w:color="000000"/>
            </w:tcBorders>
          </w:tcPr>
          <w:p>
            <w:pPr>
              <w:pStyle w:val="TableParagraph"/>
              <w:spacing w:line="240" w:lineRule="auto" w:before="60"/>
              <w:ind w:left="4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579" w:type="dxa"/>
            <w:tcBorders>
              <w:top w:val="nil" w:sz="6" w:space="0" w:color="auto"/>
              <w:left w:val="single" w:sz="4" w:space="0" w:color="000000"/>
              <w:bottom w:val="single" w:sz="12" w:space="0" w:color="000000"/>
              <w:right w:val="single" w:sz="4" w:space="0" w:color="000000"/>
            </w:tcBorders>
          </w:tcPr>
          <w:p>
            <w:pPr/>
          </w:p>
        </w:tc>
        <w:tc>
          <w:tcPr>
            <w:tcW w:w="1524"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850" w:footer="979" w:top="1200" w:bottom="1160" w:left="900" w:right="920"/>
        </w:sectPr>
      </w:pPr>
    </w:p>
    <w:tbl>
      <w:tblPr>
        <w:tblW w:w="0" w:type="auto"/>
        <w:jc w:val="left"/>
        <w:tblInd w:w="109" w:type="dxa"/>
        <w:tblLayout w:type="fixed"/>
        <w:tblCellMar>
          <w:top w:w="0" w:type="dxa"/>
          <w:left w:w="0" w:type="dxa"/>
          <w:bottom w:w="0" w:type="dxa"/>
          <w:right w:w="0" w:type="dxa"/>
        </w:tblCellMar>
        <w:tblLook w:val="01E0"/>
      </w:tblPr>
      <w:tblGrid>
        <w:gridCol w:w="6607"/>
        <w:gridCol w:w="1579"/>
        <w:gridCol w:w="1524"/>
      </w:tblGrid>
      <w:tr>
        <w:trPr>
          <w:trHeight w:val="487" w:hRule="exact"/>
        </w:trPr>
        <w:tc>
          <w:tcPr>
            <w:tcW w:w="6607" w:type="dxa"/>
            <w:tcBorders>
              <w:top w:val="single" w:sz="17"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7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51"/>
              <w:ind w:left="25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52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51"/>
              <w:ind w:left="232"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1019" w:hRule="exact"/>
        </w:trPr>
        <w:tc>
          <w:tcPr>
            <w:tcW w:w="6607" w:type="dxa"/>
            <w:tcBorders>
              <w:top w:val="single" w:sz="4" w:space="0" w:color="000000"/>
              <w:left w:val="nil" w:sz="6" w:space="0" w:color="auto"/>
              <w:bottom w:val="nil" w:sz="6" w:space="0" w:color="auto"/>
              <w:right w:val="single" w:sz="4" w:space="0" w:color="000000"/>
            </w:tcBorders>
          </w:tcPr>
          <w:p>
            <w:pPr>
              <w:pStyle w:val="TableParagraph"/>
              <w:spacing w:line="403" w:lineRule="auto" w:before="153"/>
              <w:ind w:left="43" w:right="16"/>
              <w:jc w:val="left"/>
              <w:rPr>
                <w:rFonts w:ascii="宋体" w:hAnsi="宋体" w:cs="宋体" w:eastAsia="宋体" w:hint="default"/>
                <w:sz w:val="21"/>
                <w:szCs w:val="21"/>
              </w:rPr>
            </w:pPr>
            <w:r>
              <w:rPr>
                <w:rFonts w:ascii="宋体" w:hAnsi="宋体" w:cs="宋体" w:eastAsia="宋体" w:hint="default"/>
                <w:spacing w:val="-1"/>
                <w:sz w:val="21"/>
                <w:szCs w:val="21"/>
              </w:rPr>
              <w:t>企业取得子公司、联营企业及合营企业的投资成本小于取得投资时应享</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有被投资单位可辨认净资产公允价值产生的收益</w:t>
            </w:r>
          </w:p>
        </w:tc>
        <w:tc>
          <w:tcPr>
            <w:tcW w:w="1579" w:type="dxa"/>
            <w:tcBorders>
              <w:top w:val="single" w:sz="4" w:space="0" w:color="000000"/>
              <w:left w:val="single" w:sz="4" w:space="0" w:color="000000"/>
              <w:bottom w:val="nil" w:sz="6" w:space="0" w:color="auto"/>
              <w:right w:val="single" w:sz="4" w:space="0" w:color="000000"/>
            </w:tcBorders>
          </w:tcPr>
          <w:p>
            <w:pPr/>
          </w:p>
        </w:tc>
        <w:tc>
          <w:tcPr>
            <w:tcW w:w="1524" w:type="dxa"/>
            <w:tcBorders>
              <w:top w:val="single" w:sz="4" w:space="0" w:color="000000"/>
              <w:left w:val="single" w:sz="4" w:space="0" w:color="000000"/>
              <w:bottom w:val="nil" w:sz="6" w:space="0" w:color="auto"/>
              <w:right w:val="nil" w:sz="6" w:space="0" w:color="auto"/>
            </w:tcBorders>
          </w:tcPr>
          <w:p>
            <w:pPr/>
          </w:p>
        </w:tc>
      </w:tr>
      <w:tr>
        <w:trPr>
          <w:trHeight w:val="460"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4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79" w:type="dxa"/>
            <w:tcBorders>
              <w:top w:val="nil" w:sz="6" w:space="0" w:color="auto"/>
              <w:left w:val="single" w:sz="4" w:space="0" w:color="000000"/>
              <w:bottom w:val="nil" w:sz="6" w:space="0" w:color="auto"/>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4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79" w:type="dxa"/>
            <w:tcBorders>
              <w:top w:val="nil" w:sz="6" w:space="0" w:color="auto"/>
              <w:left w:val="single" w:sz="4" w:space="0" w:color="000000"/>
              <w:bottom w:val="nil" w:sz="6" w:space="0" w:color="auto"/>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
        </w:tc>
      </w:tr>
      <w:tr>
        <w:trPr>
          <w:trHeight w:val="461"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4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579" w:type="dxa"/>
            <w:tcBorders>
              <w:top w:val="nil" w:sz="6" w:space="0" w:color="auto"/>
              <w:left w:val="single" w:sz="4" w:space="0" w:color="000000"/>
              <w:bottom w:val="nil" w:sz="6" w:space="0" w:color="auto"/>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4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79" w:type="dxa"/>
            <w:tcBorders>
              <w:top w:val="nil" w:sz="6" w:space="0" w:color="auto"/>
              <w:left w:val="single" w:sz="4" w:space="0" w:color="000000"/>
              <w:bottom w:val="nil" w:sz="6" w:space="0" w:color="auto"/>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4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579" w:type="dxa"/>
            <w:tcBorders>
              <w:top w:val="nil" w:sz="6" w:space="0" w:color="auto"/>
              <w:left w:val="single" w:sz="4" w:space="0" w:color="000000"/>
              <w:bottom w:val="nil" w:sz="6" w:space="0" w:color="auto"/>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
        </w:tc>
      </w:tr>
      <w:tr>
        <w:trPr>
          <w:trHeight w:val="461"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4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579" w:type="dxa"/>
            <w:tcBorders>
              <w:top w:val="nil" w:sz="6" w:space="0" w:color="auto"/>
              <w:left w:val="single" w:sz="4" w:space="0" w:color="000000"/>
              <w:bottom w:val="nil" w:sz="6" w:space="0" w:color="auto"/>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4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579" w:type="dxa"/>
            <w:tcBorders>
              <w:top w:val="nil" w:sz="6" w:space="0" w:color="auto"/>
              <w:left w:val="single" w:sz="4" w:space="0" w:color="000000"/>
              <w:bottom w:val="nil" w:sz="6" w:space="0" w:color="auto"/>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4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579" w:type="dxa"/>
            <w:tcBorders>
              <w:top w:val="nil" w:sz="6" w:space="0" w:color="auto"/>
              <w:left w:val="single" w:sz="4" w:space="0" w:color="000000"/>
              <w:bottom w:val="nil" w:sz="6" w:space="0" w:color="auto"/>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
        </w:tc>
      </w:tr>
      <w:tr>
        <w:trPr>
          <w:trHeight w:val="1380"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400" w:lineRule="auto" w:before="61"/>
              <w:ind w:left="43" w:right="16"/>
              <w:jc w:val="both"/>
              <w:rPr>
                <w:rFonts w:ascii="宋体" w:hAnsi="宋体" w:cs="宋体" w:eastAsia="宋体" w:hint="default"/>
                <w:sz w:val="21"/>
                <w:szCs w:val="21"/>
              </w:rPr>
            </w:pPr>
            <w:r>
              <w:rPr>
                <w:rFonts w:ascii="宋体" w:hAnsi="宋体" w:cs="宋体" w:eastAsia="宋体" w:hint="default"/>
                <w:spacing w:val="-1"/>
                <w:sz w:val="21"/>
                <w:szCs w:val="21"/>
              </w:rPr>
              <w:t>除同公司正常经营业务相关的有效套期保值业务外，持有交易性金融资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1"/>
                <w:sz w:val="21"/>
                <w:szCs w:val="21"/>
              </w:rPr>
              <w:t>产、交易性金融负债产生的公允价值变动损益，以及处置交易性金融资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产、交易性金融负债和可供出售金融资产取得的投资收益</w:t>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4,269,847.90</w:t>
            </w:r>
          </w:p>
        </w:tc>
        <w:tc>
          <w:tcPr>
            <w:tcW w:w="1524"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18,976.37</w:t>
            </w:r>
          </w:p>
        </w:tc>
      </w:tr>
      <w:tr>
        <w:trPr>
          <w:trHeight w:val="461"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4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579" w:type="dxa"/>
            <w:tcBorders>
              <w:top w:val="nil" w:sz="6" w:space="0" w:color="auto"/>
              <w:left w:val="single" w:sz="4" w:space="0" w:color="000000"/>
              <w:bottom w:val="nil" w:sz="6" w:space="0" w:color="auto"/>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4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79" w:type="dxa"/>
            <w:tcBorders>
              <w:top w:val="nil" w:sz="6" w:space="0" w:color="auto"/>
              <w:left w:val="single" w:sz="4" w:space="0" w:color="000000"/>
              <w:bottom w:val="nil" w:sz="6" w:space="0" w:color="auto"/>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
        </w:tc>
      </w:tr>
      <w:tr>
        <w:trPr>
          <w:trHeight w:val="920"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403" w:lineRule="auto" w:before="60"/>
              <w:ind w:left="43" w:right="16"/>
              <w:jc w:val="left"/>
              <w:rPr>
                <w:rFonts w:ascii="宋体" w:hAnsi="宋体" w:cs="宋体" w:eastAsia="宋体" w:hint="default"/>
                <w:sz w:val="21"/>
                <w:szCs w:val="21"/>
              </w:rPr>
            </w:pPr>
            <w:r>
              <w:rPr>
                <w:rFonts w:ascii="宋体" w:hAnsi="宋体" w:cs="宋体" w:eastAsia="宋体" w:hint="default"/>
                <w:spacing w:val="-1"/>
                <w:sz w:val="21"/>
                <w:szCs w:val="21"/>
              </w:rPr>
              <w:t>采用公允价值模式进行后续计量的投资性房地产公允价值变动产生的损</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益</w:t>
            </w:r>
          </w:p>
        </w:tc>
        <w:tc>
          <w:tcPr>
            <w:tcW w:w="1579" w:type="dxa"/>
            <w:tcBorders>
              <w:top w:val="nil" w:sz="6" w:space="0" w:color="auto"/>
              <w:left w:val="single" w:sz="4" w:space="0" w:color="000000"/>
              <w:bottom w:val="nil" w:sz="6" w:space="0" w:color="auto"/>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
        </w:tc>
      </w:tr>
      <w:tr>
        <w:trPr>
          <w:trHeight w:val="919"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400" w:lineRule="auto" w:before="61"/>
              <w:ind w:left="43" w:right="16"/>
              <w:jc w:val="left"/>
              <w:rPr>
                <w:rFonts w:ascii="宋体" w:hAnsi="宋体" w:cs="宋体" w:eastAsia="宋体" w:hint="default"/>
                <w:sz w:val="21"/>
                <w:szCs w:val="21"/>
              </w:rPr>
            </w:pPr>
            <w:r>
              <w:rPr>
                <w:rFonts w:ascii="宋体" w:hAnsi="宋体" w:cs="宋体" w:eastAsia="宋体" w:hint="default"/>
                <w:spacing w:val="-1"/>
                <w:sz w:val="21"/>
                <w:szCs w:val="21"/>
              </w:rPr>
              <w:t>根据税收、会计等法律、法规的要求对当期损益进行一次性调整对当期</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损益的影响</w:t>
            </w:r>
          </w:p>
        </w:tc>
        <w:tc>
          <w:tcPr>
            <w:tcW w:w="1579" w:type="dxa"/>
            <w:tcBorders>
              <w:top w:val="nil" w:sz="6" w:space="0" w:color="auto"/>
              <w:left w:val="single" w:sz="4" w:space="0" w:color="000000"/>
              <w:bottom w:val="nil" w:sz="6" w:space="0" w:color="auto"/>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
        </w:tc>
      </w:tr>
      <w:tr>
        <w:trPr>
          <w:trHeight w:val="461"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4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79" w:type="dxa"/>
            <w:tcBorders>
              <w:top w:val="nil" w:sz="6" w:space="0" w:color="auto"/>
              <w:left w:val="single" w:sz="4" w:space="0" w:color="000000"/>
              <w:bottom w:val="nil" w:sz="6" w:space="0" w:color="auto"/>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
        </w:tc>
      </w:tr>
      <w:tr>
        <w:trPr>
          <w:trHeight w:val="470"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4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21"/>
                <w:szCs w:val="21"/>
              </w:rPr>
            </w:pPr>
            <w:r>
              <w:rPr>
                <w:rFonts w:ascii="Times New Roman"/>
                <w:spacing w:val="-2"/>
                <w:sz w:val="21"/>
              </w:rPr>
              <w:t>237,454.11</w:t>
            </w:r>
          </w:p>
        </w:tc>
        <w:tc>
          <w:tcPr>
            <w:tcW w:w="1524" w:type="dxa"/>
            <w:tcBorders>
              <w:top w:val="nil" w:sz="6" w:space="0" w:color="auto"/>
              <w:left w:val="single" w:sz="4" w:space="0" w:color="000000"/>
              <w:bottom w:val="nil" w:sz="6" w:space="0" w:color="auto"/>
              <w:right w:val="nil" w:sz="6" w:space="0" w:color="auto"/>
            </w:tcBorders>
          </w:tcPr>
          <w:p>
            <w:pPr>
              <w:pStyle w:val="TableParagraph"/>
              <w:spacing w:line="240" w:lineRule="auto" w:before="120"/>
              <w:ind w:right="23"/>
              <w:jc w:val="right"/>
              <w:rPr>
                <w:rFonts w:ascii="Times New Roman" w:hAnsi="Times New Roman" w:cs="Times New Roman" w:eastAsia="Times New Roman" w:hint="default"/>
                <w:sz w:val="21"/>
                <w:szCs w:val="21"/>
              </w:rPr>
            </w:pPr>
            <w:r>
              <w:rPr>
                <w:rFonts w:ascii="Times New Roman"/>
                <w:spacing w:val="-1"/>
                <w:sz w:val="21"/>
              </w:rPr>
              <w:t>-1,730,334.30</w:t>
            </w:r>
          </w:p>
        </w:tc>
      </w:tr>
      <w:tr>
        <w:trPr>
          <w:trHeight w:val="449"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4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579" w:type="dxa"/>
            <w:tcBorders>
              <w:top w:val="nil" w:sz="6" w:space="0" w:color="auto"/>
              <w:left w:val="single" w:sz="4" w:space="0" w:color="000000"/>
              <w:bottom w:val="nil" w:sz="6" w:space="0" w:color="auto"/>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
        </w:tc>
      </w:tr>
      <w:tr>
        <w:trPr>
          <w:trHeight w:val="471" w:hRule="exact"/>
        </w:trPr>
        <w:tc>
          <w:tcPr>
            <w:tcW w:w="6607" w:type="dxa"/>
            <w:tcBorders>
              <w:top w:val="nil" w:sz="6" w:space="0" w:color="auto"/>
              <w:left w:val="nil" w:sz="6" w:space="0" w:color="auto"/>
              <w:bottom w:val="nil" w:sz="6" w:space="0" w:color="auto"/>
              <w:right w:val="single" w:sz="4" w:space="0" w:color="000000"/>
            </w:tcBorders>
          </w:tcPr>
          <w:p>
            <w:pPr>
              <w:pStyle w:val="TableParagraph"/>
              <w:tabs>
                <w:tab w:pos="650" w:val="left" w:leader="none"/>
              </w:tabs>
              <w:spacing w:line="240" w:lineRule="auto" w:before="61"/>
              <w:ind w:left="19"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21"/>
                <w:szCs w:val="21"/>
              </w:rPr>
            </w:pPr>
            <w:r>
              <w:rPr>
                <w:rFonts w:ascii="Times New Roman"/>
                <w:spacing w:val="-1"/>
                <w:sz w:val="21"/>
              </w:rPr>
              <w:t>9,567,841.27</w:t>
            </w:r>
          </w:p>
        </w:tc>
        <w:tc>
          <w:tcPr>
            <w:tcW w:w="1524" w:type="dxa"/>
            <w:tcBorders>
              <w:top w:val="nil" w:sz="6" w:space="0" w:color="auto"/>
              <w:left w:val="single" w:sz="4" w:space="0" w:color="000000"/>
              <w:bottom w:val="nil" w:sz="6" w:space="0" w:color="auto"/>
              <w:right w:val="nil" w:sz="6" w:space="0" w:color="auto"/>
            </w:tcBorders>
          </w:tcPr>
          <w:p>
            <w:pPr>
              <w:pStyle w:val="TableParagraph"/>
              <w:spacing w:line="240" w:lineRule="auto" w:before="120"/>
              <w:ind w:right="24"/>
              <w:jc w:val="right"/>
              <w:rPr>
                <w:rFonts w:ascii="Times New Roman" w:hAnsi="Times New Roman" w:cs="Times New Roman" w:eastAsia="Times New Roman" w:hint="default"/>
                <w:sz w:val="21"/>
                <w:szCs w:val="21"/>
              </w:rPr>
            </w:pPr>
            <w:r>
              <w:rPr>
                <w:rFonts w:ascii="Times New Roman"/>
                <w:spacing w:val="-1"/>
                <w:sz w:val="21"/>
              </w:rPr>
              <w:t>2,861,912.25</w:t>
            </w:r>
          </w:p>
        </w:tc>
      </w:tr>
      <w:tr>
        <w:trPr>
          <w:trHeight w:val="460" w:hRule="exact"/>
        </w:trPr>
        <w:tc>
          <w:tcPr>
            <w:tcW w:w="6607"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43"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15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21"/>
                <w:szCs w:val="21"/>
              </w:rPr>
            </w:pPr>
            <w:r>
              <w:rPr>
                <w:rFonts w:ascii="Times New Roman"/>
                <w:spacing w:val="-1"/>
                <w:sz w:val="21"/>
              </w:rPr>
              <w:t>648,723.64</w:t>
            </w:r>
          </w:p>
        </w:tc>
        <w:tc>
          <w:tcPr>
            <w:tcW w:w="1524"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24"/>
              <w:jc w:val="right"/>
              <w:rPr>
                <w:rFonts w:ascii="Times New Roman" w:hAnsi="Times New Roman" w:cs="Times New Roman" w:eastAsia="Times New Roman" w:hint="default"/>
                <w:sz w:val="21"/>
                <w:szCs w:val="21"/>
              </w:rPr>
            </w:pPr>
            <w:r>
              <w:rPr>
                <w:rFonts w:ascii="Times New Roman"/>
                <w:spacing w:val="-1"/>
                <w:sz w:val="21"/>
              </w:rPr>
              <w:t>387,177.13</w:t>
            </w:r>
          </w:p>
        </w:tc>
      </w:tr>
      <w:tr>
        <w:trPr>
          <w:trHeight w:val="362" w:hRule="exact"/>
        </w:trPr>
        <w:tc>
          <w:tcPr>
            <w:tcW w:w="6607" w:type="dxa"/>
            <w:tcBorders>
              <w:top w:val="nil" w:sz="6" w:space="0" w:color="auto"/>
              <w:left w:val="nil" w:sz="6" w:space="0" w:color="auto"/>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21"/>
                <w:szCs w:val="21"/>
              </w:rPr>
            </w:pPr>
            <w:r>
              <w:rPr>
                <w:rFonts w:ascii="宋体" w:hAnsi="宋体" w:cs="宋体" w:eastAsia="宋体" w:hint="default"/>
                <w:sz w:val="21"/>
                <w:szCs w:val="21"/>
              </w:rPr>
              <w:t>少数股东损益的影响数</w:t>
            </w:r>
          </w:p>
        </w:tc>
        <w:tc>
          <w:tcPr>
            <w:tcW w:w="15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21"/>
                <w:szCs w:val="21"/>
              </w:rPr>
            </w:pPr>
            <w:r>
              <w:rPr>
                <w:rFonts w:ascii="Times New Roman"/>
                <w:sz w:val="21"/>
              </w:rPr>
              <w:t>30.00</w:t>
            </w:r>
          </w:p>
        </w:tc>
        <w:tc>
          <w:tcPr>
            <w:tcW w:w="1524" w:type="dxa"/>
            <w:tcBorders>
              <w:top w:val="nil" w:sz="6" w:space="0" w:color="auto"/>
              <w:left w:val="single" w:sz="4" w:space="0" w:color="000000"/>
              <w:bottom w:val="single" w:sz="4" w:space="0" w:color="000000"/>
              <w:right w:val="nil" w:sz="6" w:space="0" w:color="auto"/>
            </w:tcBorders>
          </w:tcPr>
          <w:p>
            <w:pPr>
              <w:pStyle w:val="TableParagraph"/>
              <w:spacing w:line="240" w:lineRule="auto" w:before="108"/>
              <w:ind w:right="24"/>
              <w:jc w:val="right"/>
              <w:rPr>
                <w:rFonts w:ascii="Times New Roman" w:hAnsi="Times New Roman" w:cs="Times New Roman" w:eastAsia="Times New Roman" w:hint="default"/>
                <w:sz w:val="21"/>
                <w:szCs w:val="21"/>
              </w:rPr>
            </w:pPr>
            <w:r>
              <w:rPr>
                <w:rFonts w:ascii="Times New Roman"/>
                <w:spacing w:val="-1"/>
                <w:sz w:val="21"/>
              </w:rPr>
              <w:t>72,103.49</w:t>
            </w:r>
          </w:p>
        </w:tc>
      </w:tr>
      <w:tr>
        <w:trPr>
          <w:trHeight w:val="480" w:hRule="exact"/>
        </w:trPr>
        <w:tc>
          <w:tcPr>
            <w:tcW w:w="6607" w:type="dxa"/>
            <w:tcBorders>
              <w:top w:val="single" w:sz="4" w:space="0" w:color="000000"/>
              <w:left w:val="nil" w:sz="6" w:space="0" w:color="auto"/>
              <w:bottom w:val="single" w:sz="12" w:space="0" w:color="000000"/>
              <w:right w:val="single" w:sz="4" w:space="0" w:color="000000"/>
            </w:tcBorders>
          </w:tcPr>
          <w:p>
            <w:pPr>
              <w:pStyle w:val="TableParagraph"/>
              <w:tabs>
                <w:tab w:pos="756"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8,919,087.63</w:t>
            </w:r>
          </w:p>
        </w:tc>
        <w:tc>
          <w:tcPr>
            <w:tcW w:w="15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2,402,631.63</w:t>
            </w:r>
          </w:p>
        </w:tc>
      </w:tr>
    </w:tbl>
    <w:p>
      <w:pPr>
        <w:spacing w:line="240" w:lineRule="auto" w:before="12"/>
        <w:rPr>
          <w:rFonts w:ascii="宋体" w:hAnsi="宋体" w:cs="宋体" w:eastAsia="宋体" w:hint="default"/>
          <w:sz w:val="8"/>
          <w:szCs w:val="8"/>
        </w:rPr>
      </w:pPr>
    </w:p>
    <w:p>
      <w:pPr>
        <w:pStyle w:val="BodyText"/>
        <w:spacing w:line="381" w:lineRule="auto" w:before="36"/>
        <w:ind w:left="572" w:right="0"/>
        <w:jc w:val="left"/>
      </w:pPr>
      <w:r>
        <w:rPr>
          <w:rFonts w:ascii="Times New Roman" w:hAnsi="Times New Roman" w:cs="Times New Roman" w:eastAsia="Times New Roman" w:hint="default"/>
        </w:rPr>
        <w:t>2</w:t>
      </w:r>
      <w:r>
        <w:rPr/>
        <w:t>．境内外会计准则下会计数据差异</w:t>
      </w:r>
      <w:r>
        <w:rPr>
          <w:spacing w:val="-3"/>
          <w:w w:val="100"/>
        </w:rPr>
        <w:t> </w:t>
      </w:r>
      <w:r>
        <w:rPr/>
        <w:t>本报告期内按照境外会计准则与按中国会计准则披露的财务报告中净利润和净资产未产生差异。</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572" w:right="0"/>
        <w:jc w:val="left"/>
      </w:pPr>
      <w:r>
        <w:rPr>
          <w:rFonts w:ascii="Times New Roman" w:hAnsi="Times New Roman" w:cs="Times New Roman" w:eastAsia="Times New Roman" w:hint="default"/>
        </w:rPr>
        <w:t>3</w:t>
      </w:r>
      <w:r>
        <w:rPr/>
        <w:t>．根据中国证监会《公开发行证券的公司信息披露编报规则第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净资产收益率和每股收益的计</w:t>
      </w:r>
    </w:p>
    <w:p>
      <w:pPr>
        <w:spacing w:after="0" w:line="240" w:lineRule="auto"/>
        <w:jc w:val="left"/>
        <w:sectPr>
          <w:pgSz w:w="11910" w:h="16840"/>
          <w:pgMar w:header="850" w:footer="979" w:top="1260" w:bottom="1160" w:left="980" w:right="1000"/>
        </w:sectPr>
      </w:pPr>
    </w:p>
    <w:p>
      <w:pPr>
        <w:spacing w:line="240" w:lineRule="auto" w:before="10"/>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8"/>
          <w:szCs w:val="8"/>
        </w:rPr>
      </w:pPr>
    </w:p>
    <w:p>
      <w:pPr>
        <w:pStyle w:val="BodyText"/>
        <w:spacing w:line="240" w:lineRule="auto" w:before="36"/>
        <w:ind w:left="232" w:right="0"/>
        <w:jc w:val="left"/>
      </w:pPr>
      <w:r>
        <w:rPr/>
        <w:t>算及披露》（</w:t>
      </w:r>
      <w:r>
        <w:rPr>
          <w:rFonts w:ascii="Times New Roman" w:hAnsi="Times New Roman" w:cs="Times New Roman" w:eastAsia="Times New Roman" w:hint="default"/>
        </w:rPr>
        <w:t>2010</w:t>
      </w:r>
      <w:r>
        <w:rPr/>
        <w:t>年修订）的要求计算净资产收益率、每股收益：</w:t>
      </w:r>
    </w:p>
    <w:tbl>
      <w:tblPr>
        <w:tblW w:w="0" w:type="auto"/>
        <w:jc w:val="left"/>
        <w:tblInd w:w="110" w:type="dxa"/>
        <w:tblLayout w:type="fixed"/>
        <w:tblCellMar>
          <w:top w:w="0" w:type="dxa"/>
          <w:left w:w="0" w:type="dxa"/>
          <w:bottom w:w="0" w:type="dxa"/>
          <w:right w:w="0" w:type="dxa"/>
        </w:tblCellMar>
        <w:tblLook w:val="01E0"/>
      </w:tblPr>
      <w:tblGrid>
        <w:gridCol w:w="5095"/>
        <w:gridCol w:w="1586"/>
        <w:gridCol w:w="1586"/>
        <w:gridCol w:w="1601"/>
      </w:tblGrid>
      <w:tr>
        <w:trPr>
          <w:trHeight w:val="480" w:hRule="exact"/>
        </w:trPr>
        <w:tc>
          <w:tcPr>
            <w:tcW w:w="5095"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586" w:type="dxa"/>
            <w:vMerge w:val="restart"/>
            <w:tcBorders>
              <w:top w:val="single" w:sz="12"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403" w:lineRule="auto"/>
              <w:ind w:left="210" w:right="154"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加权平均净资</w:t>
            </w:r>
            <w:r>
              <w:rPr>
                <w:rFonts w:ascii="宋体" w:hAnsi="宋体" w:cs="宋体" w:eastAsia="宋体" w:hint="default"/>
                <w:w w:val="100"/>
                <w:sz w:val="21"/>
                <w:szCs w:val="21"/>
              </w:rPr>
              <w:t> </w:t>
            </w:r>
            <w:r>
              <w:rPr>
                <w:rFonts w:ascii="宋体" w:hAnsi="宋体" w:cs="宋体" w:eastAsia="宋体" w:hint="default"/>
                <w:sz w:val="21"/>
                <w:szCs w:val="21"/>
              </w:rPr>
              <w:t>产收益率</w:t>
            </w:r>
            <w:r>
              <w:rPr>
                <w:rFonts w:ascii="Times New Roman" w:hAnsi="Times New Roman" w:cs="Times New Roman" w:eastAsia="Times New Roman" w:hint="default"/>
                <w:sz w:val="21"/>
                <w:szCs w:val="21"/>
              </w:rPr>
              <w:t>(%)</w:t>
            </w:r>
          </w:p>
        </w:tc>
        <w:tc>
          <w:tcPr>
            <w:tcW w:w="3187"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929" w:hRule="exact"/>
        </w:trPr>
        <w:tc>
          <w:tcPr>
            <w:tcW w:w="5095" w:type="dxa"/>
            <w:vMerge/>
            <w:tcBorders>
              <w:left w:val="nil" w:sz="6" w:space="0" w:color="auto"/>
              <w:bottom w:val="single" w:sz="4" w:space="0" w:color="000000"/>
              <w:right w:val="single" w:sz="4" w:space="0" w:color="000000"/>
            </w:tcBorders>
          </w:tcPr>
          <w:p>
            <w:pPr/>
          </w:p>
        </w:tc>
        <w:tc>
          <w:tcPr>
            <w:tcW w:w="1586" w:type="dxa"/>
            <w:vMerge/>
            <w:tcBorders>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460" w:lineRule="exact" w:before="30"/>
              <w:ind w:left="578" w:right="362" w:hanging="209"/>
              <w:jc w:val="left"/>
              <w:rPr>
                <w:rFonts w:ascii="宋体" w:hAnsi="宋体" w:cs="宋体" w:eastAsia="宋体" w:hint="default"/>
                <w:sz w:val="21"/>
                <w:szCs w:val="21"/>
              </w:rPr>
            </w:pPr>
            <w:r>
              <w:rPr>
                <w:rFonts w:ascii="宋体" w:hAnsi="宋体" w:cs="宋体" w:eastAsia="宋体" w:hint="default"/>
                <w:sz w:val="21"/>
                <w:szCs w:val="21"/>
              </w:rPr>
              <w:t>基本每股</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460" w:lineRule="exact" w:before="30"/>
              <w:ind w:left="587" w:right="374" w:hanging="212"/>
              <w:jc w:val="left"/>
              <w:rPr>
                <w:rFonts w:ascii="宋体" w:hAnsi="宋体" w:cs="宋体" w:eastAsia="宋体" w:hint="default"/>
                <w:sz w:val="21"/>
                <w:szCs w:val="21"/>
              </w:rPr>
            </w:pPr>
            <w:r>
              <w:rPr>
                <w:rFonts w:ascii="宋体" w:hAnsi="宋体" w:cs="宋体" w:eastAsia="宋体" w:hint="default"/>
                <w:sz w:val="21"/>
                <w:szCs w:val="21"/>
              </w:rPr>
              <w:t>稀释每股</w:t>
            </w:r>
            <w:r>
              <w:rPr>
                <w:rFonts w:ascii="宋体" w:hAnsi="宋体" w:cs="宋体" w:eastAsia="宋体" w:hint="default"/>
                <w:w w:val="100"/>
                <w:sz w:val="21"/>
                <w:szCs w:val="21"/>
              </w:rPr>
              <w:t> </w:t>
            </w:r>
            <w:r>
              <w:rPr>
                <w:rFonts w:ascii="宋体" w:hAnsi="宋体" w:cs="宋体" w:eastAsia="宋体" w:hint="default"/>
                <w:sz w:val="21"/>
                <w:szCs w:val="21"/>
              </w:rPr>
              <w:t>收益</w:t>
            </w:r>
          </w:p>
        </w:tc>
      </w:tr>
      <w:tr>
        <w:trPr>
          <w:trHeight w:val="568" w:hRule="exact"/>
        </w:trPr>
        <w:tc>
          <w:tcPr>
            <w:tcW w:w="5095"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26.92%</w:t>
            </w:r>
          </w:p>
        </w:tc>
        <w:tc>
          <w:tcPr>
            <w:tcW w:w="1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0.85</w:t>
            </w:r>
          </w:p>
        </w:tc>
        <w:tc>
          <w:tcPr>
            <w:tcW w:w="1601"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0.85</w:t>
            </w:r>
          </w:p>
        </w:tc>
      </w:tr>
      <w:tr>
        <w:trPr>
          <w:trHeight w:val="373" w:hRule="exact"/>
        </w:trPr>
        <w:tc>
          <w:tcPr>
            <w:tcW w:w="5095"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5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sz w:val="21"/>
              </w:rPr>
              <w:t>26.01%</w:t>
            </w:r>
          </w:p>
        </w:tc>
        <w:tc>
          <w:tcPr>
            <w:tcW w:w="15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left="2" w:right="0"/>
              <w:jc w:val="center"/>
              <w:rPr>
                <w:rFonts w:ascii="Times New Roman" w:hAnsi="Times New Roman" w:cs="Times New Roman" w:eastAsia="Times New Roman" w:hint="default"/>
                <w:sz w:val="21"/>
                <w:szCs w:val="21"/>
              </w:rPr>
            </w:pPr>
            <w:r>
              <w:rPr>
                <w:rFonts w:ascii="Times New Roman"/>
                <w:sz w:val="21"/>
              </w:rPr>
              <w:t>0.83</w:t>
            </w:r>
          </w:p>
        </w:tc>
        <w:tc>
          <w:tcPr>
            <w:tcW w:w="1601" w:type="dxa"/>
            <w:tcBorders>
              <w:top w:val="nil" w:sz="6" w:space="0" w:color="auto"/>
              <w:left w:val="single" w:sz="4" w:space="0" w:color="000000"/>
              <w:bottom w:val="single" w:sz="12" w:space="0" w:color="000000"/>
              <w:right w:val="nil" w:sz="6" w:space="0" w:color="auto"/>
            </w:tcBorders>
          </w:tcPr>
          <w:p>
            <w:pPr>
              <w:pStyle w:val="TableParagraph"/>
              <w:spacing w:line="240" w:lineRule="auto" w:before="109"/>
              <w:ind w:left="2" w:right="0"/>
              <w:jc w:val="center"/>
              <w:rPr>
                <w:rFonts w:ascii="Times New Roman" w:hAnsi="Times New Roman" w:cs="Times New Roman" w:eastAsia="Times New Roman" w:hint="default"/>
                <w:sz w:val="21"/>
                <w:szCs w:val="21"/>
              </w:rPr>
            </w:pPr>
            <w:r>
              <w:rPr>
                <w:rFonts w:ascii="Times New Roman"/>
                <w:sz w:val="21"/>
              </w:rPr>
              <w:t>0.83</w:t>
            </w:r>
          </w:p>
        </w:tc>
      </w:tr>
    </w:tbl>
    <w:p>
      <w:pPr>
        <w:spacing w:after="0" w:line="240" w:lineRule="auto"/>
        <w:jc w:val="center"/>
        <w:rPr>
          <w:rFonts w:ascii="Times New Roman" w:hAnsi="Times New Roman" w:cs="Times New Roman" w:eastAsia="Times New Roman" w:hint="default"/>
          <w:sz w:val="21"/>
          <w:szCs w:val="21"/>
        </w:rPr>
        <w:sectPr>
          <w:pgSz w:w="11910" w:h="16840"/>
          <w:pgMar w:header="850" w:footer="979" w:top="1200" w:bottom="1160" w:left="900" w:right="920"/>
        </w:sectPr>
      </w:pPr>
    </w:p>
    <w:p>
      <w:pPr>
        <w:spacing w:line="240" w:lineRule="auto" w:before="7"/>
        <w:rPr>
          <w:rFonts w:ascii="宋体" w:hAnsi="宋体" w:cs="宋体" w:eastAsia="宋体" w:hint="default"/>
          <w:sz w:val="21"/>
          <w:szCs w:val="21"/>
        </w:rPr>
      </w:pPr>
    </w:p>
    <w:p>
      <w:pPr>
        <w:pStyle w:val="Heading1"/>
        <w:spacing w:line="240" w:lineRule="auto"/>
        <w:ind w:right="1416"/>
        <w:jc w:val="center"/>
        <w:rPr>
          <w:b w:val="0"/>
          <w:bCs w:val="0"/>
        </w:rPr>
      </w:pPr>
      <w:bookmarkStart w:name="第十一节 备查文件目录" w:id="37"/>
      <w:bookmarkEnd w:id="37"/>
      <w:r>
        <w:rPr>
          <w:b w:val="0"/>
          <w:bCs w:val="0"/>
        </w:rPr>
      </w:r>
      <w:bookmarkStart w:name="_bookmark10" w:id="38"/>
      <w:bookmarkEnd w:id="38"/>
      <w:r>
        <w:rPr>
          <w:b w:val="0"/>
          <w:bCs w:val="0"/>
        </w:rPr>
      </w:r>
      <w:r>
        <w:rPr/>
        <w:t>第十一节</w:t>
      </w:r>
      <w:r>
        <w:rPr>
          <w:spacing w:val="-2"/>
        </w:rPr>
        <w:t> </w:t>
      </w:r>
      <w:r>
        <w:rPr/>
        <w:t>备查文件目录</w:t>
      </w:r>
      <w:r>
        <w:rPr>
          <w:b w:val="0"/>
          <w:bCs w:val="0"/>
        </w:rPr>
      </w:r>
    </w:p>
    <w:p>
      <w:pPr>
        <w:spacing w:line="240" w:lineRule="auto" w:before="0"/>
        <w:rPr>
          <w:rFonts w:ascii="宋体" w:hAnsi="宋体" w:cs="宋体" w:eastAsia="宋体" w:hint="default"/>
          <w:b/>
          <w:bCs/>
          <w:sz w:val="36"/>
          <w:szCs w:val="36"/>
        </w:rPr>
      </w:pPr>
    </w:p>
    <w:p>
      <w:pPr>
        <w:pStyle w:val="BodyText"/>
        <w:spacing w:line="482" w:lineRule="auto"/>
        <w:ind w:left="513" w:right="0" w:hanging="1"/>
        <w:jc w:val="left"/>
      </w:pPr>
      <w:r>
        <w:rPr/>
        <w:t>一、载有本公司法定代表人、主管会计工作负责人、会计主管签名并盖章的财务报表。</w:t>
      </w:r>
      <w:r>
        <w:rPr>
          <w:w w:val="100"/>
        </w:rPr>
        <w:t> </w:t>
      </w:r>
      <w:r>
        <w:rPr>
          <w:spacing w:val="-2"/>
        </w:rPr>
        <w:t>二、载有武汉众环海华会计师事务所有限责任公司盖章、注册会计师签名并盖章的审计报告原件。</w:t>
      </w:r>
      <w:r>
        <w:rPr>
          <w:spacing w:val="-27"/>
        </w:rPr>
        <w:t> </w:t>
      </w:r>
      <w:r>
        <w:rPr>
          <w:spacing w:val="-27"/>
        </w:rPr>
      </w:r>
      <w:r>
        <w:rPr/>
        <w:t>三、报告期内在中国证监会指定报纸上公开披露过的所有本公司文件的正本及公告的原稿。</w:t>
      </w:r>
      <w:r>
        <w:rPr>
          <w:w w:val="100"/>
        </w:rPr>
        <w:t> </w:t>
      </w:r>
      <w:r>
        <w:rPr/>
        <w:t>四、载有董事长李仲初先生签名的</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年年度报告全文。</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9"/>
          <w:szCs w:val="19"/>
        </w:rPr>
      </w:pPr>
    </w:p>
    <w:p>
      <w:pPr>
        <w:pStyle w:val="Heading2"/>
        <w:tabs>
          <w:tab w:pos="7071" w:val="left" w:leader="none"/>
          <w:tab w:pos="8494" w:val="left" w:leader="none"/>
        </w:tabs>
        <w:spacing w:line="453" w:lineRule="auto"/>
        <w:ind w:right="1432"/>
        <w:jc w:val="left"/>
        <w:rPr>
          <w:rFonts w:ascii="Times New Roman" w:hAnsi="Times New Roman" w:cs="Times New Roman" w:eastAsia="Times New Roman" w:hint="default"/>
        </w:rPr>
      </w:pPr>
      <w:r>
        <w:rPr/>
        <w:t>北京中长石基信息技术股份有限公司 董事长： 李仲初</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28"/>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p>
    <w:p>
      <w:pPr>
        <w:pStyle w:val="Heading2"/>
        <w:spacing w:line="240" w:lineRule="auto" w:before="62"/>
        <w:ind w:left="5332" w:right="0" w:firstLine="0"/>
        <w:jc w:val="left"/>
      </w:pPr>
      <w:r>
        <w:rPr/>
        <w:t>二〇一二年三月十五日</w:t>
      </w:r>
    </w:p>
    <w:sectPr>
      <w:pgSz w:w="11910" w:h="16840"/>
      <w:pgMar w:header="850" w:footer="979" w:top="12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新宋体">
    <w:altName w:val="新宋体"/>
    <w:charset w:val="86"/>
    <w:family w:val="modern"/>
    <w:pitch w:val="fixed"/>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20007pt;margin-top:771.517944pt;width:6.5pt;height:11pt;mso-position-horizontal-relative:page;mso-position-vertical-relative:page;z-index:-7733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3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357971pt;width:13.15pt;height:11pt;mso-position-horizontal-relative:page;mso-position-vertical-relative:page;z-index:-773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95.637939pt;width:13.15pt;height:11pt;mso-position-horizontal-relative:page;mso-position-vertical-relative:page;z-index:-772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399994pt;margin-top:538.237976pt;width:11.15pt;height:11pt;mso-position-horizontal-relative:page;mso-position-vertical-relative:page;z-index:-7728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71</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519989pt;margin-top:548.67804pt;width:13.15pt;height:11pt;mso-position-horizontal-relative:page;mso-position-vertical-relative:page;z-index:-772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920013pt;margin-top:785.197937pt;width:11.15pt;height:11pt;mso-position-horizontal-relative:page;mso-position-vertical-relative:page;z-index:-7727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74</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95.637939pt;width:13.15pt;height:11pt;mso-position-horizontal-relative:page;mso-position-vertical-relative:page;z-index:-772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1.957947pt;width:8.5pt;height:11pt;mso-position-horizontal-relative:page;mso-position-vertical-relative:page;z-index:-773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2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2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2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2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2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2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2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2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2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2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3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2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r>
                  <w:rPr>
                    <w:rFonts w:ascii="Times New Roman"/>
                    <w:spacing w:val="1"/>
                    <w:sz w:val="18"/>
                  </w:rPr>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81.957947pt;width:11.15pt;height:11pt;mso-position-horizontal-relative:page;mso-position-vertical-relative:page;z-index:-7722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957947pt;width:15.7pt;height:11pt;mso-position-horizontal-relative:page;mso-position-vertical-relative:page;z-index:-7721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957947pt;width:15.7pt;height:11pt;mso-position-horizontal-relative:page;mso-position-vertical-relative:page;z-index:-7721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957947pt;width:17.7pt;height:11pt;mso-position-horizontal-relative:page;mso-position-vertical-relative:page;z-index:-772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r>
                  <w:rPr>
                    <w:rFonts w:ascii="Times New Roman"/>
                    <w:spacing w:val="1"/>
                    <w:sz w:val="18"/>
                  </w:rPr>
                </w:r>
                <w:r>
                  <w:rPr>
                    <w:rFonts w:ascii="Times New Roman"/>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1.957947pt;width:17.3pt;height:11pt;mso-position-horizontal-relative:page;mso-position-vertical-relative:page;z-index:-772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957947pt;width:17.7pt;height:11pt;mso-position-horizontal-relative:page;mso-position-vertical-relative:page;z-index:-772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3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3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3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3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3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773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9999pt;margin-top:42.480011pt;width:30.23999pt;height:19.440002pt;mso-position-horizontal-relative:page;mso-position-vertical-relative:page;z-index:-773464" type="#_x0000_t75" stroked="false">
          <v:imagedata r:id="rId1" o:title=""/>
        </v:shape>
      </w:pict>
    </w:r>
    <w:r>
      <w:rPr/>
      <w:pict>
        <v:group style="position:absolute;margin-left:55.200001pt;margin-top:66.47998pt;width:484.8pt;height:.1pt;mso-position-horizontal-relative:page;mso-position-vertical-relative:page;z-index:-773440" coordorigin="1104,1330" coordsize="9696,2">
          <v:shape style="position:absolute;left:1104;top:1330;width:9696;height:2" coordorigin="1104,1330" coordsize="9696,0" path="m1104,1330l10800,1330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1.440002pt;margin-top:48.964981pt;width:170.3pt;height:12.6pt;mso-position-horizontal-relative:page;mso-position-vertical-relative:page;z-index:-773416" type="#_x0000_t202" filled="false" stroked="false">
          <v:textbox inset="0,0,0,0">
            <w:txbxContent>
              <w:p>
                <w:pPr>
                  <w:pStyle w:val="BodyText"/>
                  <w:spacing w:line="231" w:lineRule="exact"/>
                  <w:ind w:left="20" w:right="0"/>
                  <w:jc w:val="left"/>
                  <w:rPr>
                    <w:rFonts w:ascii="新宋体" w:hAnsi="新宋体" w:cs="新宋体" w:eastAsia="新宋体" w:hint="default"/>
                  </w:rPr>
                </w:pPr>
                <w:r>
                  <w:rPr>
                    <w:rFonts w:ascii="新宋体" w:hAnsi="新宋体" w:cs="新宋体" w:eastAsia="新宋体" w:hint="default"/>
                    <w:spacing w:val="-2"/>
                  </w:rPr>
                  <w:t>北京中长石基信息技术股份有限公司</w:t>
                </w:r>
              </w:p>
            </w:txbxContent>
          </v:textbox>
          <w10:wrap type="none"/>
        </v:shape>
      </w:pict>
    </w:r>
    <w:r>
      <w:rPr/>
      <w:pict>
        <v:shape style="position:absolute;margin-left:449.012482pt;margin-top:48.964981pt;width:78.2pt;height:12.6pt;mso-position-horizontal-relative:page;mso-position-vertical-relative:page;z-index:-773392" type="#_x0000_t202" filled="false" stroked="false">
          <v:textbox inset="0,0,0,0">
            <w:txbxContent>
              <w:p>
                <w:pPr>
                  <w:pStyle w:val="BodyText"/>
                  <w:spacing w:line="231" w:lineRule="exact"/>
                  <w:ind w:left="20" w:right="0"/>
                  <w:jc w:val="left"/>
                  <w:rPr>
                    <w:rFonts w:ascii="新宋体" w:hAnsi="新宋体" w:cs="新宋体" w:eastAsia="新宋体" w:hint="default"/>
                  </w:rPr>
                </w:pPr>
                <w:r>
                  <w:rPr>
                    <w:rFonts w:ascii="新宋体" w:hAnsi="新宋体" w:cs="新宋体" w:eastAsia="新宋体" w:hint="default"/>
                  </w:rPr>
                  <w:t>2011</w:t>
                </w:r>
                <w:r>
                  <w:rPr>
                    <w:rFonts w:ascii="新宋体" w:hAnsi="新宋体" w:cs="新宋体" w:eastAsia="新宋体" w:hint="default"/>
                    <w:spacing w:val="-54"/>
                  </w:rPr>
                  <w:t> </w:t>
                </w:r>
                <w:r>
                  <w:rPr>
                    <w:rFonts w:ascii="新宋体" w:hAnsi="新宋体" w:cs="新宋体" w:eastAsia="新宋体" w:hint="default"/>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9999pt;margin-top:42.479965pt;width:25.679993pt;height:16.440002pt;mso-position-horizontal-relative:page;mso-position-vertical-relative:page;z-index:-773128" type="#_x0000_t75" stroked="false">
          <v:imagedata r:id="rId1" o:title=""/>
        </v:shape>
      </w:pict>
    </w:r>
    <w:r>
      <w:rPr/>
      <w:pict>
        <v:shape style="position:absolute;margin-left:81.440002pt;margin-top:48.965008pt;width:170.3pt;height:12.6pt;mso-position-horizontal-relative:page;mso-position-vertical-relative:page;z-index:-773104" type="#_x0000_t202" filled="false" stroked="false">
          <v:textbox inset="0,0,0,0">
            <w:txbxContent>
              <w:p>
                <w:pPr>
                  <w:pStyle w:val="BodyText"/>
                  <w:spacing w:line="231" w:lineRule="exact"/>
                  <w:ind w:left="20" w:right="0"/>
                  <w:jc w:val="left"/>
                  <w:rPr>
                    <w:rFonts w:ascii="新宋体" w:hAnsi="新宋体" w:cs="新宋体" w:eastAsia="新宋体" w:hint="default"/>
                  </w:rPr>
                </w:pPr>
                <w:r>
                  <w:rPr>
                    <w:rFonts w:ascii="新宋体" w:hAnsi="新宋体" w:cs="新宋体" w:eastAsia="新宋体" w:hint="default"/>
                    <w:spacing w:val="-2"/>
                  </w:rPr>
                  <w:t>北京中长石基信息技术股份有限公司</w:t>
                </w:r>
              </w:p>
            </w:txbxContent>
          </v:textbox>
          <w10:wrap type="none"/>
        </v:shape>
      </w:pict>
    </w:r>
    <w:r>
      <w:rPr/>
      <w:pict>
        <v:shape style="position:absolute;margin-left:449.012482pt;margin-top:48.965008pt;width:78.2pt;height:12.6pt;mso-position-horizontal-relative:page;mso-position-vertical-relative:page;z-index:-773080" type="#_x0000_t202" filled="false" stroked="false">
          <v:textbox inset="0,0,0,0">
            <w:txbxContent>
              <w:p>
                <w:pPr>
                  <w:pStyle w:val="BodyText"/>
                  <w:spacing w:line="231" w:lineRule="exact"/>
                  <w:ind w:left="20" w:right="0"/>
                  <w:jc w:val="left"/>
                  <w:rPr>
                    <w:rFonts w:ascii="新宋体" w:hAnsi="新宋体" w:cs="新宋体" w:eastAsia="新宋体" w:hint="default"/>
                  </w:rPr>
                </w:pPr>
                <w:r>
                  <w:rPr>
                    <w:rFonts w:ascii="新宋体" w:hAnsi="新宋体" w:cs="新宋体" w:eastAsia="新宋体" w:hint="default"/>
                  </w:rPr>
                  <w:t>2011</w:t>
                </w:r>
                <w:r>
                  <w:rPr>
                    <w:rFonts w:ascii="新宋体" w:hAnsi="新宋体" w:cs="新宋体" w:eastAsia="新宋体" w:hint="default"/>
                    <w:spacing w:val="-54"/>
                  </w:rPr>
                  <w:t> </w:t>
                </w:r>
                <w:r>
                  <w:rPr>
                    <w:rFonts w:ascii="新宋体" w:hAnsi="新宋体" w:cs="新宋体" w:eastAsia="新宋体" w:hint="default"/>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9999pt;margin-top:35.880005pt;width:30.23999pt;height:19.440002pt;mso-position-horizontal-relative:page;mso-position-vertical-relative:page;z-index:-773032" type="#_x0000_t75" stroked="false">
          <v:imagedata r:id="rId1" o:title=""/>
        </v:shape>
      </w:pict>
    </w:r>
    <w:r>
      <w:rPr/>
      <w:pict>
        <v:shape style="position:absolute;margin-left:81.440002pt;margin-top:42.364979pt;width:170.3pt;height:12.6pt;mso-position-horizontal-relative:page;mso-position-vertical-relative:page;z-index:-773008" type="#_x0000_t202" filled="false" stroked="false">
          <v:textbox inset="0,0,0,0">
            <w:txbxContent>
              <w:p>
                <w:pPr>
                  <w:pStyle w:val="BodyText"/>
                  <w:spacing w:line="231" w:lineRule="exact"/>
                  <w:ind w:left="20" w:right="0"/>
                  <w:jc w:val="left"/>
                  <w:rPr>
                    <w:rFonts w:ascii="新宋体" w:hAnsi="新宋体" w:cs="新宋体" w:eastAsia="新宋体" w:hint="default"/>
                  </w:rPr>
                </w:pPr>
                <w:r>
                  <w:rPr>
                    <w:rFonts w:ascii="新宋体" w:hAnsi="新宋体" w:cs="新宋体" w:eastAsia="新宋体" w:hint="default"/>
                    <w:spacing w:val="-2"/>
                  </w:rPr>
                  <w:t>北京中长石基信息技术股份有限公司</w:t>
                </w:r>
              </w:p>
            </w:txbxContent>
          </v:textbox>
          <w10:wrap type="none"/>
        </v:shape>
      </w:pict>
    </w:r>
    <w:r>
      <w:rPr/>
      <w:pict>
        <v:shape style="position:absolute;margin-left:449.012482pt;margin-top:42.364979pt;width:78.2pt;height:12.6pt;mso-position-horizontal-relative:page;mso-position-vertical-relative:page;z-index:-772984" type="#_x0000_t202" filled="false" stroked="false">
          <v:textbox inset="0,0,0,0">
            <w:txbxContent>
              <w:p>
                <w:pPr>
                  <w:pStyle w:val="BodyText"/>
                  <w:spacing w:line="231" w:lineRule="exact"/>
                  <w:ind w:left="20" w:right="0"/>
                  <w:jc w:val="left"/>
                  <w:rPr>
                    <w:rFonts w:ascii="新宋体" w:hAnsi="新宋体" w:cs="新宋体" w:eastAsia="新宋体" w:hint="default"/>
                  </w:rPr>
                </w:pPr>
                <w:r>
                  <w:rPr>
                    <w:rFonts w:ascii="新宋体" w:hAnsi="新宋体" w:cs="新宋体" w:eastAsia="新宋体" w:hint="default"/>
                  </w:rPr>
                  <w:t>2011</w:t>
                </w:r>
                <w:r>
                  <w:rPr>
                    <w:rFonts w:ascii="新宋体" w:hAnsi="新宋体" w:cs="新宋体" w:eastAsia="新宋体" w:hint="default"/>
                    <w:spacing w:val="-54"/>
                  </w:rPr>
                  <w:t> </w:t>
                </w:r>
                <w:r>
                  <w:rPr>
                    <w:rFonts w:ascii="新宋体" w:hAnsi="新宋体" w:cs="新宋体" w:eastAsia="新宋体" w:hint="default"/>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9999pt;margin-top:35.880066pt;width:30.23999pt;height:19.440002pt;mso-position-horizontal-relative:page;mso-position-vertical-relative:page;z-index:-772936" type="#_x0000_t75" stroked="false">
          <v:imagedata r:id="rId1" o:title=""/>
        </v:shape>
      </w:pict>
    </w:r>
    <w:r>
      <w:rPr/>
      <w:pict>
        <v:shape style="position:absolute;margin-left:81.440002pt;margin-top:42.365021pt;width:170.3pt;height:12.6pt;mso-position-horizontal-relative:page;mso-position-vertical-relative:page;z-index:-772912" type="#_x0000_t202" filled="false" stroked="false">
          <v:textbox inset="0,0,0,0">
            <w:txbxContent>
              <w:p>
                <w:pPr>
                  <w:pStyle w:val="BodyText"/>
                  <w:spacing w:line="231" w:lineRule="exact"/>
                  <w:ind w:left="20" w:right="0"/>
                  <w:jc w:val="left"/>
                  <w:rPr>
                    <w:rFonts w:ascii="新宋体" w:hAnsi="新宋体" w:cs="新宋体" w:eastAsia="新宋体" w:hint="default"/>
                  </w:rPr>
                </w:pPr>
                <w:r>
                  <w:rPr>
                    <w:rFonts w:ascii="新宋体" w:hAnsi="新宋体" w:cs="新宋体" w:eastAsia="新宋体" w:hint="default"/>
                    <w:spacing w:val="-2"/>
                  </w:rPr>
                  <w:t>北京中长石基信息技术股份有限公司</w:t>
                </w:r>
              </w:p>
            </w:txbxContent>
          </v:textbox>
          <w10:wrap type="none"/>
        </v:shape>
      </w:pict>
    </w:r>
    <w:r>
      <w:rPr/>
      <w:pict>
        <v:shape style="position:absolute;margin-left:449.012482pt;margin-top:42.365021pt;width:78.2pt;height:12.6pt;mso-position-horizontal-relative:page;mso-position-vertical-relative:page;z-index:-772888" type="#_x0000_t202" filled="false" stroked="false">
          <v:textbox inset="0,0,0,0">
            <w:txbxContent>
              <w:p>
                <w:pPr>
                  <w:pStyle w:val="BodyText"/>
                  <w:spacing w:line="231" w:lineRule="exact"/>
                  <w:ind w:left="20" w:right="0"/>
                  <w:jc w:val="left"/>
                  <w:rPr>
                    <w:rFonts w:ascii="新宋体" w:hAnsi="新宋体" w:cs="新宋体" w:eastAsia="新宋体" w:hint="default"/>
                  </w:rPr>
                </w:pPr>
                <w:r>
                  <w:rPr>
                    <w:rFonts w:ascii="新宋体" w:hAnsi="新宋体" w:cs="新宋体" w:eastAsia="新宋体" w:hint="default"/>
                  </w:rPr>
                  <w:t>2011</w:t>
                </w:r>
                <w:r>
                  <w:rPr>
                    <w:rFonts w:ascii="新宋体" w:hAnsi="新宋体" w:cs="新宋体" w:eastAsia="新宋体" w:hint="default"/>
                    <w:spacing w:val="-54"/>
                  </w:rPr>
                  <w:t> </w:t>
                </w:r>
                <w:r>
                  <w:rPr>
                    <w:rFonts w:ascii="新宋体" w:hAnsi="新宋体" w:cs="新宋体" w:eastAsia="新宋体" w:hint="default"/>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9999pt;margin-top:35.880005pt;width:30.23999pt;height:19.440002pt;mso-position-horizontal-relative:page;mso-position-vertical-relative:page;z-index:-772816" type="#_x0000_t75" stroked="false">
          <v:imagedata r:id="rId1" o:title=""/>
        </v:shape>
      </w:pict>
    </w:r>
    <w:r>
      <w:rPr/>
      <w:pict>
        <v:shape style="position:absolute;margin-left:81.440002pt;margin-top:42.364979pt;width:170.3pt;height:12.6pt;mso-position-horizontal-relative:page;mso-position-vertical-relative:page;z-index:-772792" type="#_x0000_t202" filled="false" stroked="false">
          <v:textbox inset="0,0,0,0">
            <w:txbxContent>
              <w:p>
                <w:pPr>
                  <w:pStyle w:val="BodyText"/>
                  <w:spacing w:line="231" w:lineRule="exact"/>
                  <w:ind w:left="20" w:right="0"/>
                  <w:jc w:val="left"/>
                  <w:rPr>
                    <w:rFonts w:ascii="新宋体" w:hAnsi="新宋体" w:cs="新宋体" w:eastAsia="新宋体" w:hint="default"/>
                  </w:rPr>
                </w:pPr>
                <w:r>
                  <w:rPr>
                    <w:rFonts w:ascii="新宋体" w:hAnsi="新宋体" w:cs="新宋体" w:eastAsia="新宋体" w:hint="default"/>
                    <w:spacing w:val="-2"/>
                  </w:rPr>
                  <w:t>北京中长石基信息技术股份有限公司</w:t>
                </w:r>
              </w:p>
            </w:txbxContent>
          </v:textbox>
          <w10:wrap type="none"/>
        </v:shape>
      </w:pict>
    </w:r>
    <w:r>
      <w:rPr/>
      <w:pict>
        <v:shape style="position:absolute;margin-left:449.012482pt;margin-top:42.364979pt;width:78.2pt;height:12.6pt;mso-position-horizontal-relative:page;mso-position-vertical-relative:page;z-index:-772768" type="#_x0000_t202" filled="false" stroked="false">
          <v:textbox inset="0,0,0,0">
            <w:txbxContent>
              <w:p>
                <w:pPr>
                  <w:pStyle w:val="BodyText"/>
                  <w:spacing w:line="231" w:lineRule="exact"/>
                  <w:ind w:left="20" w:right="0"/>
                  <w:jc w:val="left"/>
                  <w:rPr>
                    <w:rFonts w:ascii="新宋体" w:hAnsi="新宋体" w:cs="新宋体" w:eastAsia="新宋体" w:hint="default"/>
                  </w:rPr>
                </w:pPr>
                <w:r>
                  <w:rPr>
                    <w:rFonts w:ascii="新宋体" w:hAnsi="新宋体" w:cs="新宋体" w:eastAsia="新宋体" w:hint="default"/>
                  </w:rPr>
                  <w:t>2011</w:t>
                </w:r>
                <w:r>
                  <w:rPr>
                    <w:rFonts w:ascii="新宋体" w:hAnsi="新宋体" w:cs="新宋体" w:eastAsia="新宋体" w:hint="default"/>
                    <w:spacing w:val="-54"/>
                  </w:rPr>
                  <w:t> </w:t>
                </w:r>
                <w:r>
                  <w:rPr>
                    <w:rFonts w:ascii="新宋体" w:hAnsi="新宋体" w:cs="新宋体" w:eastAsia="新宋体" w:hint="default"/>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9999pt;margin-top:35.880066pt;width:30.23999pt;height:19.440002pt;mso-position-horizontal-relative:page;mso-position-vertical-relative:page;z-index:-772696" type="#_x0000_t75" stroked="false">
          <v:imagedata r:id="rId1" o:title=""/>
        </v:shape>
      </w:pict>
    </w:r>
    <w:r>
      <w:rPr/>
      <w:pict>
        <v:shape style="position:absolute;margin-left:86pt;margin-top:45.365021pt;width:170.3pt;height:12.6pt;mso-position-horizontal-relative:page;mso-position-vertical-relative:page;z-index:-772672" type="#_x0000_t202" filled="false" stroked="false">
          <v:textbox inset="0,0,0,0">
            <w:txbxContent>
              <w:p>
                <w:pPr>
                  <w:pStyle w:val="BodyText"/>
                  <w:spacing w:line="231" w:lineRule="exact"/>
                  <w:ind w:left="20" w:right="0"/>
                  <w:jc w:val="left"/>
                  <w:rPr>
                    <w:rFonts w:ascii="新宋体" w:hAnsi="新宋体" w:cs="新宋体" w:eastAsia="新宋体" w:hint="default"/>
                  </w:rPr>
                </w:pPr>
                <w:r>
                  <w:rPr>
                    <w:rFonts w:ascii="新宋体" w:hAnsi="新宋体" w:cs="新宋体" w:eastAsia="新宋体" w:hint="default"/>
                    <w:spacing w:val="-2"/>
                  </w:rPr>
                  <w:t>北京中长石基信息技术股份有限公司</w:t>
                </w:r>
              </w:p>
            </w:txbxContent>
          </v:textbox>
          <w10:wrap type="none"/>
        </v:shape>
      </w:pict>
    </w:r>
    <w:r>
      <w:rPr/>
      <w:pict>
        <v:shape style="position:absolute;margin-left:453.572479pt;margin-top:45.365021pt;width:78.2pt;height:12.6pt;mso-position-horizontal-relative:page;mso-position-vertical-relative:page;z-index:-772648" type="#_x0000_t202" filled="false" stroked="false">
          <v:textbox inset="0,0,0,0">
            <w:txbxContent>
              <w:p>
                <w:pPr>
                  <w:pStyle w:val="BodyText"/>
                  <w:spacing w:line="231" w:lineRule="exact"/>
                  <w:ind w:left="20" w:right="0"/>
                  <w:jc w:val="left"/>
                  <w:rPr>
                    <w:rFonts w:ascii="新宋体" w:hAnsi="新宋体" w:cs="新宋体" w:eastAsia="新宋体" w:hint="default"/>
                  </w:rPr>
                </w:pPr>
                <w:r>
                  <w:rPr>
                    <w:rFonts w:ascii="新宋体" w:hAnsi="新宋体" w:cs="新宋体" w:eastAsia="新宋体" w:hint="default"/>
                  </w:rPr>
                  <w:t>2011</w:t>
                </w:r>
                <w:r>
                  <w:rPr>
                    <w:rFonts w:ascii="新宋体" w:hAnsi="新宋体" w:cs="新宋体" w:eastAsia="新宋体" w:hint="default"/>
                    <w:spacing w:val="-54"/>
                  </w:rPr>
                  <w:t> </w:t>
                </w:r>
                <w:r>
                  <w:rPr>
                    <w:rFonts w:ascii="新宋体" w:hAnsi="新宋体" w:cs="新宋体" w:eastAsia="新宋体" w:hint="default"/>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9999pt;margin-top:35.880066pt;width:25.679993pt;height:16.440002pt;mso-position-horizontal-relative:page;mso-position-vertical-relative:page;z-index:-772624" type="#_x0000_t75" stroked="false">
          <v:imagedata r:id="rId1" o:title=""/>
        </v:shape>
      </w:pict>
    </w:r>
    <w:r>
      <w:rPr/>
      <w:pict>
        <v:shape style="position:absolute;margin-left:81.440002pt;margin-top:42.365021pt;width:170.3pt;height:12.6pt;mso-position-horizontal-relative:page;mso-position-vertical-relative:page;z-index:-772600" type="#_x0000_t202" filled="false" stroked="false">
          <v:textbox inset="0,0,0,0">
            <w:txbxContent>
              <w:p>
                <w:pPr>
                  <w:pStyle w:val="BodyText"/>
                  <w:spacing w:line="231" w:lineRule="exact"/>
                  <w:ind w:left="20" w:right="0"/>
                  <w:jc w:val="left"/>
                  <w:rPr>
                    <w:rFonts w:ascii="新宋体" w:hAnsi="新宋体" w:cs="新宋体" w:eastAsia="新宋体" w:hint="default"/>
                  </w:rPr>
                </w:pPr>
                <w:r>
                  <w:rPr>
                    <w:rFonts w:ascii="新宋体" w:hAnsi="新宋体" w:cs="新宋体" w:eastAsia="新宋体" w:hint="default"/>
                    <w:spacing w:val="-2"/>
                  </w:rPr>
                  <w:t>北京中长石基信息技术股份有限公司</w:t>
                </w:r>
              </w:p>
            </w:txbxContent>
          </v:textbox>
          <w10:wrap type="none"/>
        </v:shape>
      </w:pict>
    </w:r>
    <w:r>
      <w:rPr/>
      <w:pict>
        <v:shape style="position:absolute;margin-left:449.012482pt;margin-top:42.365021pt;width:78.2pt;height:12.6pt;mso-position-horizontal-relative:page;mso-position-vertical-relative:page;z-index:-772576" type="#_x0000_t202" filled="false" stroked="false">
          <v:textbox inset="0,0,0,0">
            <w:txbxContent>
              <w:p>
                <w:pPr>
                  <w:pStyle w:val="BodyText"/>
                  <w:spacing w:line="231" w:lineRule="exact"/>
                  <w:ind w:left="20" w:right="0"/>
                  <w:jc w:val="left"/>
                  <w:rPr>
                    <w:rFonts w:ascii="新宋体" w:hAnsi="新宋体" w:cs="新宋体" w:eastAsia="新宋体" w:hint="default"/>
                  </w:rPr>
                </w:pPr>
                <w:r>
                  <w:rPr>
                    <w:rFonts w:ascii="新宋体" w:hAnsi="新宋体" w:cs="新宋体" w:eastAsia="新宋体" w:hint="default"/>
                  </w:rPr>
                  <w:t>2011</w:t>
                </w:r>
                <w:r>
                  <w:rPr>
                    <w:rFonts w:ascii="新宋体" w:hAnsi="新宋体" w:cs="新宋体" w:eastAsia="新宋体" w:hint="default"/>
                    <w:spacing w:val="-54"/>
                  </w:rPr>
                  <w:t> </w:t>
                </w:r>
                <w:r>
                  <w:rPr>
                    <w:rFonts w:ascii="新宋体" w:hAnsi="新宋体" w:cs="新宋体" w:eastAsia="新宋体" w:hint="default"/>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9999pt;margin-top:42.480011pt;width:25.679993pt;height:16.440002pt;mso-position-horizontal-relative:page;mso-position-vertical-relative:page;z-index:-772552" type="#_x0000_t75" stroked="false">
          <v:imagedata r:id="rId1" o:title=""/>
        </v:shape>
      </w:pict>
    </w:r>
    <w:r>
      <w:rPr/>
      <w:pict>
        <v:shape style="position:absolute;margin-left:81.440002pt;margin-top:48.964981pt;width:170.3pt;height:12.6pt;mso-position-horizontal-relative:page;mso-position-vertical-relative:page;z-index:-772528" type="#_x0000_t202" filled="false" stroked="false">
          <v:textbox inset="0,0,0,0">
            <w:txbxContent>
              <w:p>
                <w:pPr>
                  <w:pStyle w:val="BodyText"/>
                  <w:spacing w:line="231" w:lineRule="exact"/>
                  <w:ind w:left="20" w:right="0"/>
                  <w:jc w:val="left"/>
                  <w:rPr>
                    <w:rFonts w:ascii="新宋体" w:hAnsi="新宋体" w:cs="新宋体" w:eastAsia="新宋体" w:hint="default"/>
                  </w:rPr>
                </w:pPr>
                <w:r>
                  <w:rPr>
                    <w:rFonts w:ascii="新宋体" w:hAnsi="新宋体" w:cs="新宋体" w:eastAsia="新宋体" w:hint="default"/>
                    <w:spacing w:val="-2"/>
                  </w:rPr>
                  <w:t>北京中长石基信息技术股份有限公司</w:t>
                </w:r>
              </w:p>
            </w:txbxContent>
          </v:textbox>
          <w10:wrap type="none"/>
        </v:shape>
      </w:pict>
    </w:r>
    <w:r>
      <w:rPr/>
      <w:pict>
        <v:shape style="position:absolute;margin-left:449.012482pt;margin-top:48.964981pt;width:78.2pt;height:12.6pt;mso-position-horizontal-relative:page;mso-position-vertical-relative:page;z-index:-772504" type="#_x0000_t202" filled="false" stroked="false">
          <v:textbox inset="0,0,0,0">
            <w:txbxContent>
              <w:p>
                <w:pPr>
                  <w:pStyle w:val="BodyText"/>
                  <w:spacing w:line="231" w:lineRule="exact"/>
                  <w:ind w:left="20" w:right="0"/>
                  <w:jc w:val="left"/>
                  <w:rPr>
                    <w:rFonts w:ascii="新宋体" w:hAnsi="新宋体" w:cs="新宋体" w:eastAsia="新宋体" w:hint="default"/>
                  </w:rPr>
                </w:pPr>
                <w:r>
                  <w:rPr>
                    <w:rFonts w:ascii="新宋体" w:hAnsi="新宋体" w:cs="新宋体" w:eastAsia="新宋体" w:hint="default"/>
                  </w:rPr>
                  <w:t>2011</w:t>
                </w:r>
                <w:r>
                  <w:rPr>
                    <w:rFonts w:ascii="新宋体" w:hAnsi="新宋体" w:cs="新宋体" w:eastAsia="新宋体" w:hint="default"/>
                    <w:spacing w:val="-54"/>
                  </w:rPr>
                  <w:t> </w:t>
                </w:r>
                <w:r>
                  <w:rPr>
                    <w:rFonts w:ascii="新宋体" w:hAnsi="新宋体" w:cs="新宋体" w:eastAsia="新宋体" w:hint="default"/>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52"/>
    </w:pPr>
    <w:rPr>
      <w:rFonts w:ascii="黑体" w:hAnsi="黑体" w:eastAsia="黑体"/>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spacing w:before="14"/>
      <w:ind w:left="1416"/>
      <w:outlineLvl w:val="1"/>
    </w:pPr>
    <w:rPr>
      <w:rFonts w:ascii="宋体" w:hAnsi="宋体" w:eastAsia="宋体"/>
      <w:b/>
      <w:bCs/>
      <w:sz w:val="28"/>
      <w:szCs w:val="28"/>
    </w:rPr>
  </w:style>
  <w:style w:styleId="Heading2" w:type="paragraph">
    <w:name w:val="Heading 2"/>
    <w:basedOn w:val="Normal"/>
    <w:uiPriority w:val="1"/>
    <w:qFormat/>
    <w:pPr>
      <w:ind w:left="5032" w:hanging="502"/>
      <w:outlineLvl w:val="2"/>
    </w:pPr>
    <w:rPr>
      <w:rFonts w:ascii="黑体" w:hAnsi="黑体" w:eastAsia="黑体"/>
      <w:sz w:val="24"/>
      <w:szCs w:val="24"/>
    </w:rPr>
  </w:style>
  <w:style w:styleId="Heading3" w:type="paragraph">
    <w:name w:val="Heading 3"/>
    <w:basedOn w:val="Normal"/>
    <w:uiPriority w:val="1"/>
    <w:qFormat/>
    <w:pPr>
      <w:spacing w:before="60"/>
      <w:ind w:left="152"/>
      <w:outlineLvl w:val="3"/>
    </w:pPr>
    <w:rPr>
      <w:rFonts w:ascii="宋体" w:hAnsi="宋体" w:eastAsia="宋体"/>
      <w:sz w:val="23"/>
      <w:szCs w:val="23"/>
    </w:rPr>
  </w:style>
  <w:style w:styleId="Heading4" w:type="paragraph">
    <w:name w:val="Heading 4"/>
    <w:basedOn w:val="Normal"/>
    <w:uiPriority w:val="1"/>
    <w:qFormat/>
    <w:pPr>
      <w:ind w:left="565"/>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mailto:luofang@shijinet.com.cn" TargetMode="External"/><Relationship Id="rId10" Type="http://schemas.openxmlformats.org/officeDocument/2006/relationships/hyperlink" Target="mailto:willa.wang@shijinet.com.cn" TargetMode="External"/><Relationship Id="rId11" Type="http://schemas.openxmlformats.org/officeDocument/2006/relationships/hyperlink" Target="http://www.shijinet.com.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2.xml"/><Relationship Id="rId24" Type="http://schemas.openxmlformats.org/officeDocument/2006/relationships/footer" Target="footer11.xml"/><Relationship Id="rId25" Type="http://schemas.openxmlformats.org/officeDocument/2006/relationships/header" Target="header3.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4.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header" Target="header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header" Target="header6.xml"/><Relationship Id="rId35" Type="http://schemas.openxmlformats.org/officeDocument/2006/relationships/footer" Target="footer18.xml"/><Relationship Id="rId36" Type="http://schemas.openxmlformats.org/officeDocument/2006/relationships/header" Target="header7.xml"/><Relationship Id="rId37" Type="http://schemas.openxmlformats.org/officeDocument/2006/relationships/footer" Target="footer19.xml"/><Relationship Id="rId38" Type="http://schemas.openxmlformats.org/officeDocument/2006/relationships/header" Target="header8.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footer" Target="footer22.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footer" Target="footer25.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footer" Target="footer31.xml"/><Relationship Id="rId51" Type="http://schemas.openxmlformats.org/officeDocument/2006/relationships/footer" Target="footer32.xml"/><Relationship Id="rId52" Type="http://schemas.openxmlformats.org/officeDocument/2006/relationships/footer" Target="footer33.xml"/><Relationship Id="rId53" Type="http://schemas.openxmlformats.org/officeDocument/2006/relationships/footer" Target="footer34.xml"/><Relationship Id="rId54" Type="http://schemas.openxmlformats.org/officeDocument/2006/relationships/footer" Target="footer35.xml"/><Relationship Id="rId55" Type="http://schemas.openxmlformats.org/officeDocument/2006/relationships/footer" Target="footer3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5.jpeg"/></Relationships>

</file>

<file path=word/_rels/header8.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Anthea</dc:creator>
  <cp:keywords>2008 年报</cp:keywords>
  <dc:title>石基信息2008年年度报告</dc:title>
  <dcterms:created xsi:type="dcterms:W3CDTF">2020-05-03T13:43:03Z</dcterms:created>
  <dcterms:modified xsi:type="dcterms:W3CDTF">2020-05-03T13:43:03Z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2012-03-16T00:00:00Z</vt:filetime>
  </property>
  <property fmtid="{D5CDD505-2E9C-101B-9397-08002B2CF9AE}" pid="3" name="Creator">
    <vt:lpwstr>Acrobat PDFMaker 9.1 Word 版</vt:lpwstr>
  </property>
  <property fmtid="{D5CDD505-2E9C-101B-9397-08002B2CF9AE}" pid="4" name="LastSaved">
    <vt:filetime>2020-05-03T00:00:00Z</vt:filetime>
  </property>
</Properties>
</file>