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Default Extension="jpeg" ContentType="image/jpeg"/>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063" w:right="3040"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北京中长石基信息技术股份有限公司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061" w:right="30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063" w:right="30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3"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公司负责人李仲初先生、主管会计工作负责人赖德源及会计机构负责人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w:t>
      </w:r>
      <w:r>
        <w:rPr>
          <w:rFonts w:ascii="宋体" w:hAnsi="宋体" w:cs="宋体" w:eastAsia="宋体" w:hint="default"/>
          <w:b/>
          <w:bCs/>
          <w:w w:val="99"/>
          <w:sz w:val="28"/>
          <w:szCs w:val="28"/>
        </w:rPr>
        <w:t> </w:t>
      </w:r>
      <w:r>
        <w:rPr>
          <w:rFonts w:ascii="宋体" w:hAnsi="宋体" w:cs="宋体" w:eastAsia="宋体" w:hint="default"/>
          <w:b/>
          <w:bCs/>
          <w:sz w:val="28"/>
          <w:szCs w:val="28"/>
        </w:rPr>
        <w:t>计主管人员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李天达声明：保证年度报告中财务报告的真实、准确、完整。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本年度报告所涉及的未来计划等前瞻性陈述，不构成对投资者的实在承诺。</w:t>
      </w:r>
      <w:r>
        <w:rPr>
          <w:rFonts w:ascii="宋体" w:hAnsi="宋体" w:cs="宋体" w:eastAsia="宋体" w:hint="default"/>
          <w:b/>
          <w:bCs/>
          <w:spacing w:val="34"/>
          <w:w w:val="95"/>
          <w:sz w:val="28"/>
          <w:szCs w:val="28"/>
        </w:rPr>
        <w:t> </w:t>
      </w:r>
      <w:r>
        <w:rPr>
          <w:rFonts w:ascii="宋体" w:hAnsi="宋体" w:cs="宋体" w:eastAsia="宋体" w:hint="default"/>
          <w:b/>
          <w:bCs/>
          <w:spacing w:val="34"/>
          <w:w w:val="95"/>
          <w:sz w:val="28"/>
          <w:szCs w:val="28"/>
        </w:rPr>
      </w:r>
      <w:r>
        <w:rPr>
          <w:rFonts w:ascii="宋体" w:hAnsi="宋体" w:cs="宋体" w:eastAsia="宋体" w:hint="default"/>
          <w:b/>
          <w:bCs/>
          <w:spacing w:val="3"/>
          <w:sz w:val="28"/>
          <w:szCs w:val="28"/>
        </w:rPr>
        <w:t>公司不存在对生产经营状况、财务状况和持续盈利能力有严重不利影响的</w:t>
      </w:r>
      <w:r>
        <w:rPr>
          <w:rFonts w:ascii="宋体" w:hAnsi="宋体" w:cs="宋体" w:eastAsia="宋体" w:hint="default"/>
          <w:spacing w:val="3"/>
          <w:sz w:val="28"/>
          <w:szCs w:val="28"/>
        </w:rPr>
      </w:r>
    </w:p>
    <w:p>
      <w:pPr>
        <w:spacing w:line="410"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有关风险因素，存在因行业新技术发展导致的技术风险及公司传统业务依赖酒</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店行业发展的市场风险，敬请广大投资者注意投资风险。</w:t>
      </w:r>
      <w:r>
        <w:rPr>
          <w:rFonts w:ascii="宋体" w:hAnsi="宋体" w:cs="宋体" w:eastAsia="宋体" w:hint="default"/>
          <w:sz w:val="28"/>
          <w:szCs w:val="28"/>
        </w:rPr>
      </w:r>
    </w:p>
    <w:p>
      <w:pPr>
        <w:spacing w:before="15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公司经本次董事会审议通过的利润分配方案为：以</w:t>
      </w:r>
      <w:r>
        <w:rPr>
          <w:rFonts w:ascii="宋体" w:hAnsi="宋体" w:cs="宋体" w:eastAsia="宋体" w:hint="default"/>
          <w:b/>
          <w:bCs/>
          <w:spacing w:val="-81"/>
          <w:sz w:val="28"/>
          <w:szCs w:val="28"/>
        </w:rPr>
        <w:t> </w:t>
      </w:r>
      <w:r>
        <w:rPr>
          <w:rFonts w:ascii="Times New Roman" w:hAnsi="Times New Roman" w:cs="Times New Roman" w:eastAsia="Times New Roman" w:hint="default"/>
          <w:b/>
          <w:bCs/>
          <w:sz w:val="28"/>
          <w:szCs w:val="28"/>
        </w:rPr>
        <w:t>355,596,251</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1.2 </w:t>
      </w:r>
      <w:r>
        <w:rPr>
          <w:rFonts w:ascii="宋体" w:hAnsi="宋体" w:cs="宋体" w:eastAsia="宋体" w:hint="default"/>
          <w:b/>
          <w:bCs/>
          <w:sz w:val="28"/>
          <w:szCs w:val="28"/>
        </w:rPr>
        <w:t>元（含税），送红股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5"/>
          <w:sz w:val="28"/>
          <w:szCs w:val="28"/>
        </w:rPr>
        <w:t> </w:t>
      </w:r>
      <w:r>
        <w:rPr>
          <w:rFonts w:ascii="宋体" w:hAnsi="宋体" w:cs="宋体" w:eastAsia="宋体" w:hint="default"/>
          <w:b/>
          <w:bCs/>
          <w:sz w:val="28"/>
          <w:szCs w:val="28"/>
        </w:rPr>
        <w:t>股（含税），以资</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本公积金向全体股东每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063" w:right="303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before="316"/>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171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063" w:right="303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公司、石基信息、本公司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北京石基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上海石基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北海石基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石基（香港）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石基（香港）有限公司；原焦点信息技术（香港）有限公司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石基昆仑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中电器件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正品贵德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思迅软件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石基信息</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002153</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石基信息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Beijing Shiji Information Technology</w:t>
            </w:r>
            <w:r>
              <w:rPr>
                <w:rFonts w:ascii="Times New Roman"/>
                <w:spacing w:val="-25"/>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李仲初</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100036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层，北京市东城区东水井胡同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100036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www.shijinet.com.cn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IR@shijinet.com.cn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赵文瑜</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北京市海淀区复兴路甲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010-68249356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010-68183778-670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010-68183776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010-68183776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luofang@shijinet.com.cn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any.zhao@shijinet.com.cn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left="154"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7"/>
        <w:gridCol w:w="5882"/>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63434298-5</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深圳市福田区益田路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号太平金融大厦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杨春盛、李之洋</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571"/>
        <w:gridCol w:w="2214"/>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号凯恒 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林郁松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571"/>
        <w:gridCol w:w="2214"/>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中航证券有限公司</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北京市朝阳区安立路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号润枫</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德尚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石玉晨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63"/>
        <w:gridCol w:w="1430"/>
        <w:gridCol w:w="1417"/>
        <w:gridCol w:w="1702"/>
        <w:gridCol w:w="1346"/>
      </w:tblGrid>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1,986,663,614.65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2,186,072,061.03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1,094,586,280.70</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360,995,723.54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382,047,507.19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359,633,268.51</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 利润（元）</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345,007,761.73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361,862,019.87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280,830,087.53</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338,309,932.37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484,459,916.95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393,188,250.93</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24.87%</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87"/>
        <w:gridCol w:w="1418"/>
        <w:gridCol w:w="1417"/>
        <w:gridCol w:w="1702"/>
        <w:gridCol w:w="1346"/>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5,276,802,862.32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2,473,696,974.13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113.32%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2,384,650,176.99</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4,626,952,638.57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1,884,284,374.95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145.55%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1,608,547,373.38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1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413,389,543.95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492,540,606.61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454,560,361.13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626,173,102.96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55,084,023.77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118,318,199.94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62,087,290.68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125,506,209.15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50,045,755.04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114,975,236.85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60,176,447.57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119,810,322.27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-7,139,252.53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46,666,377.32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105,654,636.94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193,128,170.64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514"/>
        <w:gridCol w:w="1287"/>
        <w:gridCol w:w="1277"/>
        <w:gridCol w:w="1276"/>
        <w:gridCol w:w="1204"/>
      </w:tblGrid>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pacing w:val="-1"/>
                <w:sz w:val="18"/>
                <w:szCs w:val="18"/>
              </w:rPr>
              <w:t>非流动资产处置损益（包括已计提资产减值准备的冲销部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1,112,543.16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241,373.44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7,835.08</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40,855.79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645,675.56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358,935.47</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9"/>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家统一标准定额或定量享受的政府补助除外）</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1,342,900.00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3,563,000.00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225,000.00</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7,393,567.05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1,207,547.16</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得投资时应享有被投资单位可辨认净资产公允价值产生</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54,192,754.41</w:t>
            </w:r>
          </w:p>
        </w:tc>
        <w:tc>
          <w:tcPr>
            <w:tcW w:w="12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37"/>
        <w:gridCol w:w="1276"/>
        <w:gridCol w:w="1277"/>
        <w:gridCol w:w="1276"/>
        <w:gridCol w:w="1204"/>
      </w:tblGrid>
      <w:tr>
        <w:trPr>
          <w:trHeight w:val="36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的收益</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14,750,342.47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11,599,166.89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25,706,020.30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1338"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交易性金融资产、交易性金融负债产生的公允价值变动损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益，以及处置交易性金融资产、交易性金融负债和可供出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售金融资产取得的投资收益</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17,871.91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1,838,789.95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229,495.86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50,246.29</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2,496,991.60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3,141,472.69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2,527,559.91</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600,477.96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363,190.70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417,597.82</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15,987,961.81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20,185,487.32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78,803,180.98</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6591"/>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52,579,759.66</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1"/>
                <w:w w:val="99"/>
                <w:sz w:val="18"/>
                <w:szCs w:val="18"/>
              </w:rPr>
              <w:t>增值税退税收入系公司根据国务院</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国发</w:t>
            </w:r>
            <w:r>
              <w:rPr>
                <w:rFonts w:ascii="Times New Roman" w:hAnsi="Times New Roman" w:cs="Times New Roman" w:eastAsia="Times New Roman" w:hint="default"/>
                <w:spacing w:val="-1"/>
                <w:w w:val="99"/>
                <w:sz w:val="18"/>
                <w:szCs w:val="18"/>
              </w:rPr>
              <w:t>[2000]18</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60"/>
                <w:w w:val="99"/>
                <w:sz w:val="18"/>
                <w:szCs w:val="18"/>
              </w:rPr>
              <w:t>号《</w:t>
            </w:r>
            <w:r>
              <w:rPr>
                <w:rFonts w:ascii="Times New Roman" w:hAnsi="Times New Roman" w:cs="Times New Roman" w:eastAsia="Times New Roman" w:hint="default"/>
                <w:spacing w:val="-60"/>
                <w:w w:val="99"/>
                <w:sz w:val="18"/>
                <w:szCs w:val="18"/>
              </w:rPr>
              <w:t>"</w:t>
            </w:r>
            <w:r>
              <w:rPr>
                <w:rFonts w:ascii="Times New Roman" w:hAnsi="Times New Roman" w:cs="Times New Roman" w:eastAsia="Times New Roman" w:hint="default"/>
                <w:spacing w:val="27"/>
                <w:w w:val="99"/>
                <w:sz w:val="18"/>
                <w:szCs w:val="18"/>
              </w:rPr>
              <w:t> </w:t>
            </w:r>
            <w:r>
              <w:rPr>
                <w:rFonts w:ascii="宋体" w:hAnsi="宋体" w:cs="宋体" w:eastAsia="宋体" w:hint="default"/>
                <w:sz w:val="18"/>
                <w:szCs w:val="18"/>
              </w:rPr>
              <w:t>鼓励软件产业和集成电路产业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《关于印发进一步鼓励软件产业和集成电路产 业发展若干政策的通知》的规定，报告期内应收到的自行开发软件销售增值税退税 收入，由于该收入预计可以持续获得，故将其不作为非经常性损益。</w:t>
            </w:r>
          </w:p>
        </w:tc>
      </w:tr>
    </w:tbl>
    <w:p>
      <w:pPr>
        <w:spacing w:after="0" w:line="30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4"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8"/>
        <w:rPr>
          <w:rFonts w:ascii="宋体" w:hAnsi="宋体" w:cs="宋体" w:eastAsia="宋体" w:hint="default"/>
          <w:b/>
          <w:bCs/>
          <w:sz w:val="24"/>
          <w:szCs w:val="24"/>
        </w:rPr>
      </w:pPr>
    </w:p>
    <w:p>
      <w:pPr>
        <w:spacing w:line="290" w:lineRule="auto" w:before="0"/>
        <w:ind w:left="57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、公司从事的主要业务</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报告期内，公司主要从事酒店、餐饮及零售等旅游消费行业信息管理系统软件的开发与销售、系统集</w:t>
      </w:r>
    </w:p>
    <w:p>
      <w:pPr>
        <w:pStyle w:val="BodyText"/>
        <w:spacing w:line="259" w:lineRule="auto" w:before="0"/>
        <w:ind w:right="1130"/>
        <w:jc w:val="both"/>
      </w:pPr>
      <w:r>
        <w:rPr/>
        <w:t>成、技术支持与服务业务，在中国五星级酒店业信息管理系统市场占有</w:t>
      </w:r>
      <w:r>
        <w:rPr>
          <w:rFonts w:ascii="Times New Roman" w:hAnsi="Times New Roman" w:cs="Times New Roman" w:eastAsia="Times New Roman" w:hint="default"/>
        </w:rPr>
        <w:t>90%</w:t>
      </w:r>
      <w:r>
        <w:rPr/>
        <w:t>以上的份额，独占业内鳌头，</w:t>
      </w:r>
      <w:r>
        <w:rPr>
          <w:spacing w:val="-97"/>
        </w:rPr>
        <w:t> </w:t>
      </w:r>
      <w:r>
        <w:rPr>
          <w:spacing w:val="-97"/>
        </w:rPr>
      </w:r>
      <w:r>
        <w:rPr>
          <w:spacing w:val="3"/>
        </w:rPr>
        <w:t>是目前国内最主要的酒店信息管理系统全面解决方案提供商之一。公司主要产品为具有自主知识产权的</w:t>
      </w:r>
      <w:r>
        <w:rPr>
          <w:spacing w:val="-79"/>
        </w:rPr>
        <w:t> </w:t>
      </w:r>
      <w:r>
        <w:rPr>
          <w:spacing w:val="-79"/>
        </w:rPr>
      </w:r>
      <w:r>
        <w:rPr>
          <w:rFonts w:ascii="Times New Roman" w:hAnsi="Times New Roman" w:cs="Times New Roman" w:eastAsia="Times New Roman" w:hint="default"/>
          <w:spacing w:val="-1"/>
        </w:rPr>
        <w:t>“</w:t>
      </w:r>
      <w:r>
        <w:rPr>
          <w:spacing w:val="-1"/>
        </w:rPr>
        <w:t>石基数字饭（酒）店信息管理系统平台（</w:t>
      </w:r>
      <w:r>
        <w:rPr>
          <w:rFonts w:ascii="Times New Roman" w:hAnsi="Times New Roman" w:cs="Times New Roman" w:eastAsia="Times New Roman" w:hint="default"/>
          <w:spacing w:val="-1"/>
        </w:rPr>
        <w:t>IPHotel</w:t>
      </w:r>
      <w:r>
        <w:rPr>
          <w:spacing w:val="-1"/>
        </w:rPr>
        <w:t>）</w:t>
      </w:r>
      <w:r>
        <w:rPr>
          <w:rFonts w:ascii="Times New Roman" w:hAnsi="Times New Roman" w:cs="Times New Roman" w:eastAsia="Times New Roman" w:hint="default"/>
          <w:spacing w:val="-1"/>
        </w:rPr>
        <w:t>”</w:t>
      </w:r>
      <w:r>
        <w:rPr>
          <w:spacing w:val="-1"/>
        </w:rPr>
        <w:t>，其中含有支持多物业、多语言、多货币处理的、全</w:t>
      </w:r>
      <w:r>
        <w:rPr>
          <w:spacing w:val="-83"/>
        </w:rPr>
        <w:t> </w:t>
      </w:r>
      <w:r>
        <w:rPr>
          <w:spacing w:val="-83"/>
        </w:rPr>
      </w:r>
      <w:r>
        <w:rPr/>
        <w:t>球领先的</w:t>
      </w:r>
      <w:r>
        <w:rPr>
          <w:rFonts w:ascii="Times New Roman" w:hAnsi="Times New Roman" w:cs="Times New Roman" w:eastAsia="Times New Roman" w:hint="default"/>
        </w:rPr>
        <w:t>Micros-Fidelio </w:t>
      </w:r>
      <w:r>
        <w:rPr>
          <w:rFonts w:ascii="Times New Roman" w:hAnsi="Times New Roman" w:cs="Times New Roman" w:eastAsia="Times New Roman" w:hint="default"/>
          <w:spacing w:val="2"/>
        </w:rPr>
        <w:t>Opera</w:t>
      </w:r>
      <w:r>
        <w:rPr>
          <w:spacing w:val="2"/>
        </w:rPr>
        <w:t>酒店前台管理系统和</w:t>
      </w:r>
      <w:r>
        <w:rPr>
          <w:rFonts w:ascii="Times New Roman" w:hAnsi="Times New Roman" w:cs="Times New Roman" w:eastAsia="Times New Roman" w:hint="default"/>
          <w:spacing w:val="2"/>
        </w:rPr>
        <w:t>Sunsystem</w:t>
      </w:r>
      <w:r>
        <w:rPr>
          <w:spacing w:val="2"/>
        </w:rPr>
        <w:t>酒店财务管理系统相关技术的技术许可，与</w:t>
      </w:r>
      <w:r>
        <w:rPr>
          <w:spacing w:val="-87"/>
        </w:rPr>
        <w:t> </w:t>
      </w:r>
      <w:r>
        <w:rPr>
          <w:spacing w:val="-87"/>
        </w:rPr>
      </w:r>
      <w:r>
        <w:rPr>
          <w:rFonts w:ascii="Times New Roman" w:hAnsi="Times New Roman" w:cs="Times New Roman" w:eastAsia="Times New Roman" w:hint="default"/>
        </w:rPr>
        <w:t>Micros-Fidelio</w:t>
      </w:r>
      <w:r>
        <w:rPr/>
        <w:t>共享版权的</w:t>
      </w:r>
      <w:r>
        <w:rPr>
          <w:rFonts w:ascii="Times New Roman" w:hAnsi="Times New Roman" w:cs="Times New Roman" w:eastAsia="Times New Roman" w:hint="default"/>
        </w:rPr>
        <w:t>Sinfonia</w:t>
      </w:r>
      <w:r>
        <w:rPr/>
        <w:t>，同时兼顾本地和国际需求的</w:t>
      </w:r>
      <w:r>
        <w:rPr>
          <w:rFonts w:ascii="Times New Roman" w:hAnsi="Times New Roman" w:cs="Times New Roman" w:eastAsia="Times New Roman" w:hint="default"/>
        </w:rPr>
        <w:t>Infrasys</w:t>
      </w:r>
      <w:r>
        <w:rPr>
          <w:rFonts w:ascii="Times New Roman" w:hAnsi="Times New Roman" w:cs="Times New Roman" w:eastAsia="Times New Roman" w:hint="default"/>
          <w:spacing w:val="32"/>
        </w:rPr>
        <w:t> </w:t>
      </w:r>
      <w:r>
        <w:rPr/>
        <w:t>及</w:t>
      </w:r>
      <w:r>
        <w:rPr>
          <w:rFonts w:ascii="Times New Roman" w:hAnsi="Times New Roman" w:cs="Times New Roman" w:eastAsia="Times New Roman" w:hint="default"/>
        </w:rPr>
        <w:t>MICROS</w:t>
      </w:r>
      <w:r>
        <w:rPr/>
        <w:t>餐饮管理系统，专门针 对中国酒店业开发的石基酒店财务管理系统、采购</w:t>
      </w:r>
      <w:r>
        <w:rPr>
          <w:rFonts w:ascii="Times New Roman" w:hAnsi="Times New Roman" w:cs="Times New Roman" w:eastAsia="Times New Roman" w:hint="default"/>
        </w:rPr>
        <w:t>/</w:t>
      </w:r>
      <w:r>
        <w:rPr/>
        <w:t>仓库</w:t>
      </w:r>
      <w:r>
        <w:rPr>
          <w:rFonts w:ascii="Times New Roman" w:hAnsi="Times New Roman" w:cs="Times New Roman" w:eastAsia="Times New Roman" w:hint="default"/>
        </w:rPr>
        <w:t>/</w:t>
      </w:r>
      <w:r>
        <w:rPr/>
        <w:t>成本控制系统、人力资源系统、独立运营的石基</w:t>
      </w:r>
      <w:r>
        <w:rPr>
          <w:spacing w:val="-41"/>
        </w:rPr>
        <w:t> </w:t>
      </w:r>
      <w:r>
        <w:rPr>
          <w:spacing w:val="-41"/>
        </w:rPr>
      </w:r>
      <w:r>
        <w:rPr/>
        <w:t>在线酒店预订交易处理平台</w:t>
      </w:r>
      <w:r>
        <w:rPr>
          <w:rFonts w:ascii="Times New Roman" w:hAnsi="Times New Roman" w:cs="Times New Roman" w:eastAsia="Times New Roman" w:hint="default"/>
        </w:rPr>
        <w:t>CHINAONLINE</w:t>
      </w:r>
      <w:r>
        <w:rPr/>
        <w:t>（畅联）等。公司的全资子公司杭州西软和万达控股有限公司</w:t>
      </w:r>
    </w:p>
    <w:p>
      <w:pPr>
        <w:pStyle w:val="BodyText"/>
        <w:spacing w:line="261" w:lineRule="auto" w:before="2"/>
        <w:ind w:right="1024"/>
        <w:jc w:val="left"/>
      </w:pPr>
      <w:r>
        <w:rPr/>
        <w:t>（以下简称</w:t>
      </w:r>
      <w:r>
        <w:rPr>
          <w:rFonts w:ascii="Times New Roman" w:hAnsi="Times New Roman" w:cs="Times New Roman" w:eastAsia="Times New Roman" w:hint="default"/>
        </w:rPr>
        <w:t>“</w:t>
      </w:r>
      <w:r>
        <w:rPr/>
        <w:t>万达控股</w:t>
      </w:r>
      <w:r>
        <w:rPr>
          <w:rFonts w:ascii="Times New Roman" w:hAnsi="Times New Roman" w:cs="Times New Roman" w:eastAsia="Times New Roman" w:hint="default"/>
        </w:rPr>
        <w:t>”</w:t>
      </w:r>
      <w:r>
        <w:rPr/>
        <w:t>）分别拥有满足本土酒店需求的以</w:t>
      </w:r>
      <w:r>
        <w:rPr>
          <w:rFonts w:ascii="Times New Roman" w:hAnsi="Times New Roman" w:cs="Times New Roman" w:eastAsia="Times New Roman" w:hint="default"/>
        </w:rPr>
        <w:t>“</w:t>
      </w:r>
      <w:r>
        <w:rPr/>
        <w:t>西软</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千里马</w:t>
      </w:r>
      <w:r>
        <w:rPr>
          <w:rFonts w:ascii="Times New Roman" w:hAnsi="Times New Roman" w:cs="Times New Roman" w:eastAsia="Times New Roman" w:hint="default"/>
        </w:rPr>
        <w:t>”</w:t>
      </w:r>
      <w:r>
        <w:rPr/>
        <w:t>为品牌的全套酒店信息管理系</w:t>
      </w:r>
      <w:r>
        <w:rPr>
          <w:spacing w:val="-64"/>
        </w:rPr>
        <w:t> </w:t>
      </w:r>
      <w:r>
        <w:rPr>
          <w:spacing w:val="-64"/>
        </w:rPr>
      </w:r>
      <w:r>
        <w:rPr>
          <w:spacing w:val="-3"/>
        </w:rPr>
        <w:t>统。公司的控股子公司正品贵德拥有以</w:t>
      </w:r>
      <w:r>
        <w:rPr>
          <w:rFonts w:ascii="Times New Roman" w:hAnsi="Times New Roman" w:cs="Times New Roman" w:eastAsia="Times New Roman" w:hint="default"/>
          <w:spacing w:val="-3"/>
        </w:rPr>
        <w:t>“</w:t>
      </w:r>
      <w:r>
        <w:rPr>
          <w:spacing w:val="-3"/>
        </w:rPr>
        <w:t>正品</w:t>
      </w:r>
      <w:r>
        <w:rPr>
          <w:rFonts w:ascii="Times New Roman" w:hAnsi="Times New Roman" w:cs="Times New Roman" w:eastAsia="Times New Roman" w:hint="default"/>
          <w:spacing w:val="-3"/>
        </w:rPr>
        <w:t>”</w:t>
      </w:r>
      <w:r>
        <w:rPr>
          <w:spacing w:val="-3"/>
        </w:rPr>
        <w:t>为品牌的面向连锁餐饮、大型中餐餐饮、西餐咖啡厅、酒店、</w:t>
      </w:r>
      <w:r>
        <w:rPr>
          <w:spacing w:val="-68"/>
        </w:rPr>
        <w:t> </w:t>
      </w:r>
      <w:r>
        <w:rPr>
          <w:spacing w:val="-68"/>
        </w:rPr>
      </w:r>
      <w:r>
        <w:rPr>
          <w:spacing w:val="-2"/>
        </w:rPr>
        <w:t>会所等众多业态的信息管理软件系列产品。此外公司还有专门从事酒店中央预订系统</w:t>
      </w:r>
      <w:r>
        <w:rPr>
          <w:rFonts w:ascii="Times New Roman" w:hAnsi="Times New Roman" w:cs="Times New Roman" w:eastAsia="Times New Roman" w:hint="default"/>
          <w:spacing w:val="-2"/>
        </w:rPr>
        <w:t>/</w:t>
      </w:r>
      <w:r>
        <w:rPr>
          <w:spacing w:val="-2"/>
        </w:rPr>
        <w:t>会员管理系统研发的</w:t>
      </w:r>
      <w:r>
        <w:rPr>
          <w:spacing w:val="-91"/>
        </w:rPr>
        <w:t> </w:t>
      </w:r>
      <w:r>
        <w:rPr/>
        <w:t>控股子公司石基昆仑，专业从事支付产品开发与销售的全资子公司南京银石计算机系统有限公司（以下简</w:t>
      </w:r>
      <w:r>
        <w:rPr/>
        <w:t> 称</w:t>
      </w:r>
      <w:r>
        <w:rPr>
          <w:rFonts w:ascii="Times New Roman" w:hAnsi="Times New Roman" w:cs="Times New Roman" w:eastAsia="Times New Roman" w:hint="default"/>
        </w:rPr>
        <w:t>“</w:t>
      </w:r>
      <w:r>
        <w:rPr/>
        <w:t>南京银石</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w:t>
      </w:r>
      <w:r>
        <w:rPr/>
        <w:t>年公司通过全资收购北京长京益康信息科技有限公司（以下简称</w:t>
      </w:r>
      <w:r>
        <w:rPr>
          <w:rFonts w:ascii="Times New Roman" w:hAnsi="Times New Roman" w:cs="Times New Roman" w:eastAsia="Times New Roman" w:hint="default"/>
        </w:rPr>
        <w:t>“</w:t>
      </w:r>
      <w:r>
        <w:rPr/>
        <w:t>长益科技</w:t>
      </w:r>
      <w:r>
        <w:rPr>
          <w:rFonts w:ascii="Times New Roman" w:hAnsi="Times New Roman" w:cs="Times New Roman" w:eastAsia="Times New Roman" w:hint="default"/>
        </w:rPr>
        <w:t>”</w:t>
      </w:r>
      <w:r>
        <w:rPr/>
        <w:t>）和控</w:t>
      </w:r>
      <w:r>
        <w:rPr>
          <w:spacing w:val="-86"/>
        </w:rPr>
        <w:t> </w:t>
      </w:r>
      <w:r>
        <w:rPr/>
        <w:t>股</w:t>
      </w:r>
      <w:r>
        <w:rPr>
          <w:rFonts w:ascii="Times New Roman" w:hAnsi="Times New Roman" w:cs="Times New Roman" w:eastAsia="Times New Roman" w:hint="default"/>
        </w:rPr>
        <w:t>eFuture Information Technology</w:t>
      </w:r>
      <w:r>
        <w:rPr>
          <w:rFonts w:ascii="Times New Roman" w:hAnsi="Times New Roman" w:cs="Times New Roman" w:eastAsia="Times New Roman" w:hint="default"/>
          <w:spacing w:val="23"/>
        </w:rPr>
        <w:t> </w:t>
      </w:r>
      <w:r>
        <w:rPr>
          <w:rFonts w:ascii="Times New Roman" w:hAnsi="Times New Roman" w:cs="Times New Roman" w:eastAsia="Times New Roman" w:hint="default"/>
        </w:rPr>
        <w:t>Inc.</w:t>
      </w:r>
      <w:r>
        <w:rPr/>
        <w:t>（以下简称</w:t>
      </w:r>
      <w:r>
        <w:rPr>
          <w:rFonts w:ascii="Times New Roman" w:hAnsi="Times New Roman" w:cs="Times New Roman" w:eastAsia="Times New Roman" w:hint="default"/>
        </w:rPr>
        <w:t>“</w:t>
      </w:r>
      <w:r>
        <w:rPr/>
        <w:t>富基</w:t>
      </w:r>
      <w:r>
        <w:rPr>
          <w:rFonts w:ascii="Times New Roman" w:hAnsi="Times New Roman" w:cs="Times New Roman" w:eastAsia="Times New Roman" w:hint="default"/>
        </w:rPr>
        <w:t>”</w:t>
      </w:r>
      <w:r>
        <w:rPr/>
        <w:t>），加上此前投资或控股的子公司科传计算机科技 控股有限公司（以下简称</w:t>
      </w:r>
      <w:r>
        <w:rPr>
          <w:rFonts w:ascii="Times New Roman" w:hAnsi="Times New Roman" w:cs="Times New Roman" w:eastAsia="Times New Roman" w:hint="default"/>
        </w:rPr>
        <w:t>“</w:t>
      </w:r>
      <w:r>
        <w:rPr/>
        <w:t>科传控股</w:t>
      </w:r>
      <w:r>
        <w:rPr>
          <w:rFonts w:ascii="Times New Roman" w:hAnsi="Times New Roman" w:cs="Times New Roman" w:eastAsia="Times New Roman" w:hint="default"/>
        </w:rPr>
        <w:t>”</w:t>
      </w:r>
      <w:r>
        <w:rPr/>
        <w:t>）和思迅软件，可为整个中国零售业提供从低端到高端，从个体便利 店到大型连锁的覆盖所有零售业态的信息系统解决方案。所有这些先进的技术和产品有机地整合在一起构 成一个完整的系统，具有强大而不可拆分的系统性技术优势。</w:t>
      </w:r>
    </w:p>
    <w:p>
      <w:pPr>
        <w:pStyle w:val="BodyText"/>
        <w:spacing w:line="259" w:lineRule="auto" w:before="56"/>
        <w:ind w:right="1130" w:firstLine="422"/>
        <w:jc w:val="both"/>
      </w:pPr>
      <w:r>
        <w:rPr>
          <w:spacing w:val="-1"/>
        </w:rPr>
        <w:t>除了计算机服务和软件业务以外，公司通过</w:t>
      </w:r>
      <w:r>
        <w:rPr>
          <w:rFonts w:ascii="Times New Roman" w:hAnsi="Times New Roman" w:cs="Times New Roman" w:eastAsia="Times New Roman" w:hint="default"/>
          <w:spacing w:val="-1"/>
        </w:rPr>
        <w:t>2013</w:t>
      </w:r>
      <w:r>
        <w:rPr>
          <w:spacing w:val="-1"/>
        </w:rPr>
        <w:t>年和</w:t>
      </w:r>
      <w:r>
        <w:rPr>
          <w:rFonts w:ascii="Times New Roman" w:hAnsi="Times New Roman" w:cs="Times New Roman" w:eastAsia="Times New Roman" w:hint="default"/>
          <w:spacing w:val="-1"/>
        </w:rPr>
        <w:t>2014</w:t>
      </w:r>
      <w:r>
        <w:rPr>
          <w:spacing w:val="-1"/>
        </w:rPr>
        <w:t>年分步收购中电器件，主营业务增加了硬件</w:t>
      </w:r>
      <w:r>
        <w:rPr/>
        <w:t> </w:t>
      </w:r>
      <w:r>
        <w:rPr>
          <w:spacing w:val="-1"/>
        </w:rPr>
        <w:t>销售业务，包括服务器、收银机，打印机等全系列商用硬件的集中采购与销售；</w:t>
      </w:r>
      <w:r>
        <w:rPr>
          <w:rFonts w:ascii="Times New Roman" w:hAnsi="Times New Roman" w:cs="Times New Roman" w:eastAsia="Times New Roman" w:hint="default"/>
          <w:spacing w:val="-1"/>
        </w:rPr>
        <w:t>2015</w:t>
      </w:r>
      <w:r>
        <w:rPr>
          <w:spacing w:val="-1"/>
        </w:rPr>
        <w:t>年，公司完成收购浩</w:t>
      </w:r>
      <w:r>
        <w:rPr>
          <w:spacing w:val="-79"/>
        </w:rPr>
        <w:t> </w:t>
      </w:r>
      <w:r>
        <w:rPr>
          <w:spacing w:val="-79"/>
        </w:rPr>
      </w:r>
      <w:r>
        <w:rPr/>
        <w:t>华管理顾问（亚太）有限公司（简称</w:t>
      </w:r>
      <w:r>
        <w:rPr>
          <w:rFonts w:ascii="Times New Roman" w:hAnsi="Times New Roman" w:cs="Times New Roman" w:eastAsia="Times New Roman" w:hint="default"/>
        </w:rPr>
        <w:t>“HCSAP”</w:t>
      </w:r>
      <w:r>
        <w:rPr/>
        <w:t>）</w:t>
      </w:r>
      <w:r>
        <w:rPr>
          <w:rFonts w:ascii="Times New Roman" w:hAnsi="Times New Roman" w:cs="Times New Roman" w:eastAsia="Times New Roman" w:hint="default"/>
        </w:rPr>
        <w:t>75%</w:t>
      </w:r>
      <w:r>
        <w:rPr/>
        <w:t>股权，主营业务增加了酒店顾问咨询服务。</w:t>
      </w:r>
    </w:p>
    <w:p>
      <w:pPr>
        <w:pStyle w:val="Heading4"/>
        <w:spacing w:line="240" w:lineRule="auto" w:before="42"/>
        <w:ind w:left="576" w:right="0"/>
        <w:jc w:val="left"/>
        <w:rPr>
          <w:b w:val="0"/>
          <w:bCs w:val="0"/>
        </w:rPr>
      </w:pPr>
      <w:r>
        <w:rPr>
          <w:rFonts w:ascii="Times New Roman" w:hAnsi="Times New Roman" w:cs="Times New Roman" w:eastAsia="Times New Roman" w:hint="default"/>
        </w:rPr>
        <w:t>2</w:t>
      </w:r>
      <w:r>
        <w:rPr/>
        <w:t>、公司的经营方式与盈利模式</w:t>
      </w:r>
      <w:r>
        <w:rPr>
          <w:b w:val="0"/>
          <w:bCs w:val="0"/>
        </w:rPr>
      </w:r>
    </w:p>
    <w:p>
      <w:pPr>
        <w:pStyle w:val="BodyText"/>
        <w:spacing w:line="290" w:lineRule="auto" w:before="62"/>
        <w:ind w:left="576" w:right="0"/>
        <w:jc w:val="left"/>
      </w:pPr>
      <w:r>
        <w:rPr/>
        <w:t>（</w:t>
      </w:r>
      <w:r>
        <w:rPr>
          <w:rFonts w:ascii="Times New Roman" w:hAnsi="Times New Roman" w:cs="Times New Roman" w:eastAsia="Times New Roman" w:hint="default"/>
        </w:rPr>
        <w:t>1</w:t>
      </w:r>
      <w:r>
        <w:rPr/>
        <w:t>）计算机服务和软件业务 </w:t>
      </w:r>
      <w:r>
        <w:rPr>
          <w:spacing w:val="-1"/>
        </w:rPr>
        <w:t>公司是目前国内最主要的酒店信息管理系统全面解决方案提供商之一，在餐饮信息管理系统、零售信</w:t>
      </w:r>
    </w:p>
    <w:p>
      <w:pPr>
        <w:pStyle w:val="BodyText"/>
        <w:spacing w:line="273" w:lineRule="auto" w:before="0"/>
        <w:ind w:right="1109"/>
        <w:jc w:val="both"/>
      </w:pPr>
      <w:r>
        <w:rPr>
          <w:spacing w:val="-1"/>
        </w:rPr>
        <w:t>息管理系统、支付系统方面居于市场领先地位。公司传统的计算机服务和软件业务按其具体内容、工作重</w:t>
      </w:r>
      <w:r>
        <w:rPr>
          <w:spacing w:val="-83"/>
        </w:rPr>
        <w:t> </w:t>
      </w:r>
      <w:r>
        <w:rPr>
          <w:spacing w:val="-83"/>
        </w:rPr>
      </w:r>
      <w:r>
        <w:rPr/>
        <w:t>点、项目实施阶段等方面的不同，可以划分为软件开发与销售、系统集成、技术支持与服务等三类业务， </w:t>
      </w:r>
      <w:r>
        <w:rPr>
          <w:spacing w:val="-1"/>
        </w:rPr>
        <w:t>公司主要以向酒店用户、餐饮企业用户、零售行业及休闲娱乐行业用户提供信息化全面解决方案的方式同</w:t>
      </w:r>
      <w:r>
        <w:rPr>
          <w:spacing w:val="-81"/>
        </w:rPr>
        <w:t> </w:t>
      </w:r>
      <w:r>
        <w:rPr>
          <w:spacing w:val="-81"/>
        </w:rPr>
      </w:r>
      <w:r>
        <w:rPr/>
        <w:t>时提供上述全部三类业务，并且三类业务相互交织、密不可分。</w:t>
      </w:r>
    </w:p>
    <w:p>
      <w:pPr>
        <w:pStyle w:val="BodyText"/>
        <w:spacing w:line="261" w:lineRule="auto" w:before="46"/>
        <w:ind w:right="1129" w:firstLine="422"/>
        <w:jc w:val="both"/>
      </w:pPr>
      <w:r>
        <w:rPr>
          <w:spacing w:val="-4"/>
          <w:w w:val="100"/>
        </w:rPr>
        <w:t>公司计算机服务和软件业务的盈利模式可以概括为：以</w:t>
      </w:r>
      <w:r>
        <w:rPr>
          <w:rFonts w:ascii="Times New Roman" w:hAnsi="Times New Roman" w:cs="Times New Roman" w:eastAsia="Times New Roman" w:hint="default"/>
          <w:spacing w:val="-4"/>
          <w:w w:val="100"/>
        </w:rPr>
        <w:t>“</w:t>
      </w:r>
      <w:r>
        <w:rPr>
          <w:spacing w:val="-4"/>
          <w:w w:val="100"/>
        </w:rPr>
        <w:t>信息管理系统工程项目</w:t>
      </w:r>
      <w:r>
        <w:rPr>
          <w:rFonts w:ascii="Times New Roman" w:hAnsi="Times New Roman" w:cs="Times New Roman" w:eastAsia="Times New Roman" w:hint="default"/>
          <w:spacing w:val="-4"/>
          <w:w w:val="100"/>
        </w:rPr>
        <w:t>”</w:t>
      </w:r>
      <w:r>
        <w:rPr>
          <w:spacing w:val="-4"/>
          <w:w w:val="100"/>
        </w:rPr>
        <w:t>合同、</w:t>
      </w:r>
      <w:r>
        <w:rPr>
          <w:rFonts w:ascii="Times New Roman" w:hAnsi="Times New Roman" w:cs="Times New Roman" w:eastAsia="Times New Roman" w:hint="default"/>
          <w:spacing w:val="-4"/>
          <w:w w:val="100"/>
        </w:rPr>
        <w:t>“</w:t>
      </w:r>
      <w:r>
        <w:rPr>
          <w:spacing w:val="-4"/>
          <w:w w:val="100"/>
        </w:rPr>
        <w:t>软件销售合同</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 </w:t>
      </w:r>
      <w:r>
        <w:rPr>
          <w:spacing w:val="-1"/>
        </w:rPr>
        <w:t>等方式，向酒店、餐饮、零售等不同行业类型的用户提供信息管理系统全面解决方案。公司通过构建硬件</w:t>
      </w:r>
      <w:r>
        <w:rPr>
          <w:spacing w:val="-86"/>
        </w:rPr>
        <w:t> </w:t>
      </w:r>
      <w:r>
        <w:rPr>
          <w:spacing w:val="-86"/>
        </w:rPr>
      </w:r>
      <w:r>
        <w:rPr/>
        <w:t>和软件应用平台，向用户收取</w:t>
      </w:r>
      <w:r>
        <w:rPr>
          <w:rFonts w:ascii="Times New Roman" w:hAnsi="Times New Roman" w:cs="Times New Roman" w:eastAsia="Times New Roman" w:hint="default"/>
        </w:rPr>
        <w:t>“</w:t>
      </w:r>
      <w:r>
        <w:rPr/>
        <w:t>信息管理系统工程项目</w:t>
      </w:r>
      <w:r>
        <w:rPr>
          <w:rFonts w:ascii="Times New Roman" w:hAnsi="Times New Roman" w:cs="Times New Roman" w:eastAsia="Times New Roman" w:hint="default"/>
        </w:rPr>
        <w:t>”</w:t>
      </w:r>
      <w:r>
        <w:rPr/>
        <w:t>合同款、</w:t>
      </w:r>
      <w:r>
        <w:rPr>
          <w:rFonts w:ascii="Times New Roman" w:hAnsi="Times New Roman" w:cs="Times New Roman" w:eastAsia="Times New Roman" w:hint="default"/>
        </w:rPr>
        <w:t>“</w:t>
      </w:r>
      <w:r>
        <w:rPr/>
        <w:t>软件销售</w:t>
      </w:r>
      <w:r>
        <w:rPr>
          <w:rFonts w:ascii="Times New Roman" w:hAnsi="Times New Roman" w:cs="Times New Roman" w:eastAsia="Times New Roman" w:hint="default"/>
        </w:rPr>
        <w:t>”</w:t>
      </w:r>
      <w:r>
        <w:rPr/>
        <w:t>合同款，实现收入与盈利；在</w:t>
      </w:r>
      <w:r>
        <w:rPr>
          <w:spacing w:val="-86"/>
        </w:rPr>
        <w:t> </w:t>
      </w:r>
      <w:r>
        <w:rPr>
          <w:spacing w:val="-86"/>
        </w:rPr>
      </w:r>
      <w:r>
        <w:rPr/>
        <w:t>为客户提供信息管理系统全面解决方案之后，以</w:t>
      </w:r>
      <w:r>
        <w:rPr>
          <w:rFonts w:ascii="Times New Roman" w:hAnsi="Times New Roman" w:cs="Times New Roman" w:eastAsia="Times New Roman" w:hint="default"/>
        </w:rPr>
        <w:t>“</w:t>
      </w:r>
      <w:r>
        <w:rPr/>
        <w:t>技术支持服务合同</w:t>
      </w:r>
      <w:r>
        <w:rPr>
          <w:rFonts w:ascii="Times New Roman" w:hAnsi="Times New Roman" w:cs="Times New Roman" w:eastAsia="Times New Roman" w:hint="default"/>
        </w:rPr>
        <w:t>”</w:t>
      </w:r>
      <w:r>
        <w:rPr/>
        <w:t>的方式长期为客户提供产品升级、软 硬件维护等服务，通过向客户收取</w:t>
      </w:r>
      <w:r>
        <w:rPr>
          <w:rFonts w:ascii="Times New Roman" w:hAnsi="Times New Roman" w:cs="Times New Roman" w:eastAsia="Times New Roman" w:hint="default"/>
        </w:rPr>
        <w:t>“</w:t>
      </w:r>
      <w:r>
        <w:rPr/>
        <w:t>技术支持与服务</w:t>
      </w:r>
      <w:r>
        <w:rPr>
          <w:rFonts w:ascii="Times New Roman" w:hAnsi="Times New Roman" w:cs="Times New Roman" w:eastAsia="Times New Roman" w:hint="default"/>
        </w:rPr>
        <w:t>”</w:t>
      </w:r>
      <w:r>
        <w:rPr/>
        <w:t>合同款的方式，实现收入与盈利。</w:t>
      </w:r>
    </w:p>
    <w:p>
      <w:pPr>
        <w:pStyle w:val="BodyText"/>
        <w:spacing w:line="290" w:lineRule="auto" w:before="40"/>
        <w:ind w:left="576" w:right="0"/>
        <w:jc w:val="left"/>
      </w:pPr>
      <w:r>
        <w:rPr/>
        <w:t>（</w:t>
      </w:r>
      <w:r>
        <w:rPr>
          <w:rFonts w:ascii="Times New Roman" w:hAnsi="Times New Roman" w:cs="Times New Roman" w:eastAsia="Times New Roman" w:hint="default"/>
        </w:rPr>
        <w:t>2</w:t>
      </w:r>
      <w:r>
        <w:rPr/>
        <w:t>）商品批发与贸易业务 </w:t>
      </w:r>
      <w:r>
        <w:rPr>
          <w:spacing w:val="-1"/>
        </w:rPr>
        <w:t>公司的商品批发销售业务主要集中在中电器件，整个经营流程涉及采购、仓储、销售等环节，具体经</w:t>
      </w:r>
    </w:p>
    <w:p>
      <w:pPr>
        <w:pStyle w:val="BodyText"/>
        <w:spacing w:line="269" w:lineRule="exact" w:before="0"/>
        <w:ind w:right="0"/>
        <w:jc w:val="both"/>
      </w:pPr>
      <w:r>
        <w:rPr/>
        <w:t>营方式及盈利模式如下：</w:t>
      </w:r>
    </w:p>
    <w:p>
      <w:pPr>
        <w:pStyle w:val="BodyText"/>
        <w:spacing w:line="240" w:lineRule="auto" w:before="76"/>
        <w:ind w:left="576" w:right="0"/>
        <w:jc w:val="left"/>
      </w:pPr>
      <w:r>
        <w:rPr>
          <w:rFonts w:ascii="Times New Roman" w:hAnsi="Times New Roman" w:cs="Times New Roman" w:eastAsia="Times New Roman" w:hint="default"/>
        </w:rPr>
        <w:t>1</w:t>
      </w:r>
      <w:r>
        <w:rPr/>
        <w:t>）采购模式</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4" w:firstLine="422"/>
        <w:jc w:val="left"/>
      </w:pPr>
      <w:r>
        <w:rPr>
          <w:spacing w:val="3"/>
        </w:rPr>
        <w:t>中电器件根据石基旗下软件对硬件的需求把握选择品牌与性能最优的型号与生产厂商签署代理框架</w:t>
      </w:r>
      <w:r>
        <w:rPr/>
        <w:t> </w:t>
      </w:r>
      <w:r>
        <w:rPr>
          <w:spacing w:val="-3"/>
        </w:rPr>
        <w:t>协议，在代理期限内，中电器件定期根据下游客户订货数量并结合销售预测、销售目标向供应商进行采购。</w:t>
      </w:r>
    </w:p>
    <w:p>
      <w:pPr>
        <w:pStyle w:val="BodyText"/>
        <w:spacing w:line="295" w:lineRule="auto" w:before="47"/>
        <w:ind w:left="576" w:right="1118"/>
        <w:jc w:val="left"/>
      </w:pPr>
      <w:r>
        <w:rPr>
          <w:rFonts w:ascii="Times New Roman" w:hAnsi="Times New Roman" w:cs="Times New Roman" w:eastAsia="Times New Roman" w:hint="default"/>
        </w:rPr>
        <w:t>2</w:t>
      </w:r>
      <w:r>
        <w:rPr/>
        <w:t>）仓储模式 为提高物流效率，中电器件在北京、上海、广州等地设立了仓库，由专人负责进行管理。 </w:t>
      </w:r>
      <w:r>
        <w:rPr>
          <w:rFonts w:ascii="Times New Roman" w:hAnsi="Times New Roman" w:cs="Times New Roman" w:eastAsia="Times New Roman" w:hint="default"/>
        </w:rPr>
        <w:t>3</w:t>
      </w:r>
      <w:r>
        <w:rPr/>
        <w:t>）销售模式 </w:t>
      </w:r>
      <w:r>
        <w:rPr>
          <w:spacing w:val="-1"/>
        </w:rPr>
        <w:t>中电器件的主要销售模式为通过自身业务部门进行直销，以及通过自有网络及经销商进行分销。中电</w:t>
      </w:r>
    </w:p>
    <w:p>
      <w:pPr>
        <w:pStyle w:val="BodyText"/>
        <w:spacing w:line="273" w:lineRule="auto" w:before="0"/>
        <w:ind w:left="154" w:right="1110"/>
        <w:jc w:val="both"/>
      </w:pPr>
      <w:r>
        <w:rPr/>
        <w:t>器件在国内八大区域建立了销售及服务平台，拥有数千家经销商。中电器件在上海、广州、深圳、成都、 </w:t>
      </w:r>
      <w:r>
        <w:rPr>
          <w:spacing w:val="-1"/>
        </w:rPr>
        <w:t>武汉、西安、沈阳、南京设立了分公司或办事处作为销售服务平台，主要负责所在区域内开发新客户、维</w:t>
      </w:r>
      <w:r>
        <w:rPr>
          <w:spacing w:val="-83"/>
        </w:rPr>
        <w:t> </w:t>
      </w:r>
      <w:r>
        <w:rPr>
          <w:spacing w:val="-83"/>
        </w:rPr>
      </w:r>
      <w:r>
        <w:rPr/>
        <w:t>护客户关系、库房管理、收发货等工作。</w:t>
      </w:r>
    </w:p>
    <w:p>
      <w:pPr>
        <w:pStyle w:val="BodyText"/>
        <w:spacing w:line="266" w:lineRule="auto" w:before="47"/>
        <w:ind w:right="1131" w:firstLine="422"/>
        <w:jc w:val="both"/>
      </w:pPr>
      <w:r>
        <w:rPr>
          <w:spacing w:val="-2"/>
        </w:rPr>
        <w:t>除销售服务平台外，中电器件亦拥有完善的销售服务网络，与近</w:t>
      </w:r>
      <w:r>
        <w:rPr>
          <w:rFonts w:ascii="Times New Roman" w:hAnsi="Times New Roman" w:cs="Times New Roman" w:eastAsia="Times New Roman" w:hint="default"/>
          <w:spacing w:val="-2"/>
        </w:rPr>
        <w:t>3,000</w:t>
      </w:r>
      <w:r>
        <w:rPr>
          <w:spacing w:val="-2"/>
        </w:rPr>
        <w:t>家经销商建立了业务关系。中电</w:t>
      </w:r>
      <w:r>
        <w:rPr/>
        <w:t> </w:t>
      </w:r>
      <w:r>
        <w:rPr>
          <w:spacing w:val="-1"/>
        </w:rPr>
        <w:t>器件建立了经销商管理制度及经销商数据库，由总部专门部门负责对经销商进行管理，各分公司或办事处</w:t>
      </w:r>
      <w:r>
        <w:rPr>
          <w:spacing w:val="-81"/>
        </w:rPr>
        <w:t> </w:t>
      </w:r>
      <w:r>
        <w:rPr>
          <w:spacing w:val="-81"/>
        </w:rPr>
      </w:r>
      <w:r>
        <w:rPr/>
        <w:t>负责与经销商的日常沟通，增强了公司销售网络的效率与稳定性。</w:t>
      </w:r>
    </w:p>
    <w:p>
      <w:pPr>
        <w:spacing w:line="290" w:lineRule="auto" w:before="53"/>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、公司所属行业发展情况及公司行业地位</w:t>
      </w:r>
      <w:r>
        <w:rPr>
          <w:rFonts w:ascii="宋体" w:hAnsi="宋体" w:cs="宋体" w:eastAsia="宋体" w:hint="default"/>
          <w:b/>
          <w:bCs/>
          <w:w w:val="99"/>
          <w:sz w:val="21"/>
          <w:szCs w:val="21"/>
        </w:rPr>
        <w:t> </w:t>
      </w:r>
      <w:r>
        <w:rPr>
          <w:rFonts w:ascii="宋体" w:hAnsi="宋体" w:cs="宋体" w:eastAsia="宋体" w:hint="default"/>
          <w:spacing w:val="-2"/>
          <w:sz w:val="21"/>
          <w:szCs w:val="21"/>
        </w:rPr>
        <w:t>请见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第四节管理层讨论与分析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九、公司未来发展的展望</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之</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、行业发展趋势和竞争格局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相关内</w:t>
      </w:r>
    </w:p>
    <w:p>
      <w:pPr>
        <w:pStyle w:val="BodyText"/>
        <w:spacing w:line="248" w:lineRule="exact" w:before="0"/>
        <w:ind w:right="0"/>
        <w:jc w:val="both"/>
      </w:pPr>
      <w:r>
        <w:rPr/>
        <w:t>容。</w:t>
      </w:r>
    </w:p>
    <w:p>
      <w:pPr>
        <w:spacing w:line="240" w:lineRule="auto" w:before="0"/>
        <w:rPr>
          <w:rFonts w:ascii="宋体" w:hAnsi="宋体" w:cs="宋体" w:eastAsia="宋体" w:hint="default"/>
          <w:sz w:val="24"/>
          <w:szCs w:val="24"/>
        </w:rPr>
      </w:pPr>
    </w:p>
    <w:p>
      <w:pPr>
        <w:pStyle w:val="Heading2"/>
        <w:spacing w:line="240" w:lineRule="auto"/>
        <w:ind w:left="154"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2"/>
        <w:gridCol w:w="7867"/>
      </w:tblGrid>
      <w:tr>
        <w:trPr>
          <w:trHeight w:val="187"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报告期比期初增长</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189.81%</w:t>
            </w:r>
            <w:r>
              <w:rPr>
                <w:rFonts w:ascii="宋体" w:hAnsi="宋体" w:cs="宋体" w:eastAsia="宋体" w:hint="default"/>
                <w:spacing w:val="-3"/>
                <w:sz w:val="18"/>
                <w:szCs w:val="18"/>
              </w:rPr>
              <w:t>，主要系子公司石基（香港）有限公司本期对外投资企业增加所致。包括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Galasys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PLC20%</w:t>
            </w:r>
            <w:r>
              <w:rPr>
                <w:rFonts w:ascii="宋体" w:hAnsi="宋体" w:cs="宋体" w:eastAsia="宋体" w:hint="default"/>
                <w:sz w:val="18"/>
                <w:szCs w:val="18"/>
              </w:rPr>
              <w:t>股权、投资科传控股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股权、以及增资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Snap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Shot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Gmbh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26.33%</w:t>
            </w:r>
            <w:r>
              <w:rPr>
                <w:rFonts w:ascii="宋体" w:hAnsi="宋体" w:cs="宋体" w:eastAsia="宋体" w:hint="default"/>
                <w:sz w:val="18"/>
                <w:szCs w:val="18"/>
              </w:rPr>
              <w:t>股权</w:t>
            </w:r>
          </w:p>
        </w:tc>
      </w:tr>
      <w:tr>
        <w:trPr>
          <w:trHeight w:val="39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867" w:type="dxa"/>
            <w:vMerge/>
            <w:tcBorders>
              <w:left w:val="single" w:sz="9" w:space="0" w:color="D2D2D2"/>
              <w:right w:val="single" w:sz="4" w:space="0" w:color="000000"/>
            </w:tcBorders>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7" w:type="dxa"/>
            <w:vMerge/>
            <w:tcBorders>
              <w:left w:val="single" w:sz="9" w:space="0" w:color="D2D2D2"/>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8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8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8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190.86%</w:t>
            </w:r>
            <w:r>
              <w:rPr>
                <w:rFonts w:ascii="宋体" w:hAnsi="宋体" w:cs="宋体" w:eastAsia="宋体" w:hint="default"/>
                <w:sz w:val="18"/>
                <w:szCs w:val="18"/>
              </w:rPr>
              <w:t>，主要系本期非公开发行股份募集资金到账所致</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33.43%</w:t>
            </w:r>
            <w:r>
              <w:rPr>
                <w:rFonts w:ascii="宋体" w:hAnsi="宋体" w:cs="宋体" w:eastAsia="宋体" w:hint="default"/>
                <w:sz w:val="18"/>
                <w:szCs w:val="18"/>
              </w:rPr>
              <w:t>，主要系本期预付北京泰能软件有限公司畅联项目合作款所致</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1459.50%</w:t>
            </w:r>
            <w:r>
              <w:rPr>
                <w:rFonts w:ascii="宋体" w:hAnsi="宋体" w:cs="宋体" w:eastAsia="宋体" w:hint="default"/>
                <w:sz w:val="18"/>
                <w:szCs w:val="18"/>
              </w:rPr>
              <w:t>，主要系本期在美国纳斯达克市场投资富基公司股权所致</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49.95%</w:t>
            </w:r>
            <w:r>
              <w:rPr>
                <w:rFonts w:ascii="宋体" w:hAnsi="宋体" w:cs="宋体" w:eastAsia="宋体" w:hint="default"/>
                <w:sz w:val="18"/>
                <w:szCs w:val="18"/>
              </w:rPr>
              <w:t>，主要系子公司石基（香港）有限公司本期收购子公司所致</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8"/>
        <w:gridCol w:w="568"/>
        <w:gridCol w:w="1560"/>
        <w:gridCol w:w="708"/>
        <w:gridCol w:w="992"/>
        <w:gridCol w:w="993"/>
        <w:gridCol w:w="566"/>
        <w:gridCol w:w="992"/>
        <w:gridCol w:w="922"/>
      </w:tblGrid>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98" w:right="0"/>
              <w:jc w:val="left"/>
              <w:rPr>
                <w:rFonts w:ascii="宋体" w:hAnsi="宋体" w:cs="宋体" w:eastAsia="宋体" w:hint="default"/>
                <w:sz w:val="18"/>
                <w:szCs w:val="18"/>
              </w:rPr>
            </w:pPr>
            <w:r>
              <w:rPr>
                <w:rFonts w:ascii="宋体" w:hAnsi="宋体" w:cs="宋体" w:eastAsia="宋体" w:hint="default"/>
                <w:sz w:val="18"/>
                <w:szCs w:val="18"/>
              </w:rPr>
              <w:t>资产的具体内容</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7"/>
              <w:jc w:val="left"/>
              <w:rPr>
                <w:rFonts w:ascii="宋体" w:hAnsi="宋体" w:cs="宋体" w:eastAsia="宋体" w:hint="default"/>
                <w:sz w:val="18"/>
                <w:szCs w:val="18"/>
              </w:rPr>
            </w:pPr>
            <w:r>
              <w:rPr>
                <w:rFonts w:ascii="宋体" w:hAnsi="宋体" w:cs="宋体" w:eastAsia="宋体" w:hint="default"/>
                <w:sz w:val="18"/>
                <w:szCs w:val="18"/>
              </w:rPr>
              <w:t>形成 原因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40"/>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收益 状况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5"/>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550,176,604.41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9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良好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0" w:right="0"/>
              <w:jc w:val="left"/>
              <w:rPr>
                <w:rFonts w:ascii="Times New Roman" w:hAnsi="Times New Roman" w:cs="Times New Roman" w:eastAsia="Times New Roman" w:hint="default"/>
                <w:sz w:val="18"/>
                <w:szCs w:val="18"/>
              </w:rPr>
            </w:pPr>
            <w:r>
              <w:rPr>
                <w:rFonts w:ascii="Times New Roman"/>
                <w:sz w:val="18"/>
              </w:rPr>
              <w:t>11.79%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730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4"/>
          <w:szCs w:val="24"/>
        </w:rPr>
      </w:pPr>
    </w:p>
    <w:p>
      <w:pPr>
        <w:pStyle w:val="BodyText"/>
        <w:spacing w:line="266" w:lineRule="auto" w:before="0"/>
        <w:ind w:right="1131" w:firstLine="420"/>
        <w:jc w:val="both"/>
      </w:pPr>
      <w:r>
        <w:rPr>
          <w:spacing w:val="-1"/>
        </w:rPr>
        <w:t>经过多年的发展，公司已确立并于近几年持续强化了公司在国内市场显著的技术优势、市场优势、客</w:t>
      </w:r>
      <w:r>
        <w:rPr/>
        <w:t> </w:t>
      </w:r>
      <w:r>
        <w:rPr>
          <w:spacing w:val="-1"/>
        </w:rPr>
        <w:t>户优势、品牌优势与人才优势，</w:t>
      </w:r>
      <w:r>
        <w:rPr>
          <w:rFonts w:ascii="Times New Roman" w:hAnsi="Times New Roman" w:cs="Times New Roman" w:eastAsia="Times New Roman" w:hint="default"/>
          <w:spacing w:val="-1"/>
        </w:rPr>
        <w:t>2015</w:t>
      </w:r>
      <w:r>
        <w:rPr>
          <w:spacing w:val="-1"/>
        </w:rPr>
        <w:t>年公司通过资本运作基本确立了在中国零售信息管理系统行业的领导</w:t>
      </w:r>
      <w:r>
        <w:rPr>
          <w:spacing w:val="-81"/>
        </w:rPr>
        <w:t> </w:t>
      </w:r>
      <w:r>
        <w:rPr>
          <w:spacing w:val="-81"/>
        </w:rPr>
      </w:r>
      <w:r>
        <w:rPr/>
        <w:t>地位。</w:t>
      </w:r>
    </w:p>
    <w:p>
      <w:pPr>
        <w:pStyle w:val="BodyText"/>
        <w:spacing w:line="290" w:lineRule="auto" w:before="53"/>
        <w:ind w:left="573" w:right="1513" w:firstLine="2"/>
        <w:jc w:val="left"/>
      </w:pPr>
      <w:r>
        <w:rPr>
          <w:rFonts w:ascii="Times New Roman" w:hAnsi="Times New Roman" w:cs="Times New Roman" w:eastAsia="Times New Roman" w:hint="default"/>
          <w:b/>
          <w:bCs/>
        </w:rPr>
        <w:t>1</w:t>
      </w:r>
      <w:r>
        <w:rPr>
          <w:rFonts w:ascii="宋体" w:hAnsi="宋体" w:cs="宋体" w:eastAsia="宋体" w:hint="default"/>
          <w:b/>
          <w:bCs/>
        </w:rPr>
        <w:t>、技术优势</w:t>
      </w:r>
      <w:r>
        <w:rPr>
          <w:rFonts w:ascii="宋体" w:hAnsi="宋体" w:cs="宋体" w:eastAsia="宋体" w:hint="default"/>
          <w:b/>
          <w:bCs/>
          <w:w w:val="99"/>
        </w:rPr>
        <w:t> </w:t>
      </w:r>
      <w:r>
        <w:rPr/>
        <w:t>公司是目前国内最主要的酒店信息管理系统解决方案提供商之一，公司全面整合了前台管理系统</w:t>
      </w:r>
    </w:p>
    <w:p>
      <w:pPr>
        <w:pStyle w:val="BodyText"/>
        <w:spacing w:line="264" w:lineRule="auto" w:before="0"/>
        <w:ind w:right="0"/>
        <w:jc w:val="left"/>
      </w:pPr>
      <w:r>
        <w:rPr>
          <w:spacing w:val="-3"/>
        </w:rPr>
        <w:t>（</w:t>
      </w:r>
      <w:r>
        <w:rPr>
          <w:rFonts w:ascii="Times New Roman" w:hAnsi="Times New Roman" w:cs="Times New Roman" w:eastAsia="Times New Roman" w:hint="default"/>
          <w:spacing w:val="-3"/>
        </w:rPr>
        <w:t>PMS</w:t>
      </w:r>
      <w:r>
        <w:rPr>
          <w:spacing w:val="-3"/>
        </w:rPr>
        <w:t>）、酒店餐饮信息系统（</w:t>
      </w:r>
      <w:r>
        <w:rPr>
          <w:rFonts w:ascii="Times New Roman" w:hAnsi="Times New Roman" w:cs="Times New Roman" w:eastAsia="Times New Roman" w:hint="default"/>
          <w:spacing w:val="-3"/>
        </w:rPr>
        <w:t>POS</w:t>
      </w:r>
      <w:r>
        <w:rPr>
          <w:spacing w:val="-3"/>
        </w:rPr>
        <w:t>）、酒店后台管理系统（</w:t>
      </w:r>
      <w:r>
        <w:rPr>
          <w:rFonts w:ascii="Times New Roman" w:hAnsi="Times New Roman" w:cs="Times New Roman" w:eastAsia="Times New Roman" w:hint="default"/>
          <w:spacing w:val="-3"/>
        </w:rPr>
        <w:t>BO</w:t>
      </w:r>
      <w:r>
        <w:rPr>
          <w:spacing w:val="-3"/>
        </w:rPr>
        <w:t>）以及其他管理系统（</w:t>
      </w:r>
      <w:r>
        <w:rPr>
          <w:rFonts w:ascii="Times New Roman" w:hAnsi="Times New Roman" w:cs="Times New Roman" w:eastAsia="Times New Roman" w:hint="default"/>
          <w:spacing w:val="-3"/>
        </w:rPr>
        <w:t>CRS</w:t>
      </w:r>
      <w:r>
        <w:rPr>
          <w:spacing w:val="-3"/>
        </w:rPr>
        <w:t>、</w:t>
      </w:r>
      <w:r>
        <w:rPr>
          <w:rFonts w:ascii="Times New Roman" w:hAnsi="Times New Roman" w:cs="Times New Roman" w:eastAsia="Times New Roman" w:hint="default"/>
          <w:spacing w:val="-3"/>
        </w:rPr>
        <w:t>LPS</w:t>
      </w:r>
      <w:r>
        <w:rPr>
          <w:spacing w:val="-3"/>
        </w:rPr>
        <w:t>、</w:t>
      </w:r>
      <w:r>
        <w:rPr>
          <w:rFonts w:ascii="Times New Roman" w:hAnsi="Times New Roman" w:cs="Times New Roman" w:eastAsia="Times New Roman" w:hint="default"/>
          <w:spacing w:val="-3"/>
        </w:rPr>
        <w:t>CRM</w:t>
      </w:r>
      <w:r>
        <w:rPr>
          <w:spacing w:val="-3"/>
        </w:rPr>
        <w:t>、</w:t>
      </w:r>
      <w:r>
        <w:rPr>
          <w:spacing w:val="-99"/>
        </w:rPr>
        <w:t> </w:t>
      </w:r>
      <w:r>
        <w:rPr>
          <w:rFonts w:ascii="Times New Roman" w:hAnsi="Times New Roman" w:cs="Times New Roman" w:eastAsia="Times New Roman" w:hint="default"/>
          <w:spacing w:val="-4"/>
        </w:rPr>
        <w:t>PGS</w:t>
      </w:r>
      <w:r>
        <w:rPr>
          <w:spacing w:val="-4"/>
        </w:rPr>
        <w:t>等），使公司的各类产品融合成为一个功能完整覆盖、技术全面领先的石基数字饭店整体解决方案（</w:t>
      </w:r>
      <w:r>
        <w:rPr>
          <w:rFonts w:ascii="Times New Roman" w:hAnsi="Times New Roman" w:cs="Times New Roman" w:eastAsia="Times New Roman" w:hint="default"/>
          <w:spacing w:val="-4"/>
        </w:rPr>
        <w:t>IP</w:t>
      </w:r>
      <w:r>
        <w:rPr>
          <w:rFonts w:ascii="Times New Roman" w:hAnsi="Times New Roman" w:cs="Times New Roman" w:eastAsia="Times New Roman" w:hint="default"/>
          <w:spacing w:val="-36"/>
        </w:rPr>
        <w:t> </w:t>
      </w:r>
      <w:r>
        <w:rPr>
          <w:rFonts w:ascii="Times New Roman" w:hAnsi="Times New Roman" w:cs="Times New Roman" w:eastAsia="Times New Roman" w:hint="default"/>
        </w:rPr>
        <w:t>Hotel</w:t>
      </w:r>
      <w:r>
        <w:rPr/>
        <w:t>），能够为从高星级到较低星级直至经济型连锁酒店提供全套完整的解决方案。公司通过自主开发、 独家技术许可、引进源码等多种手段，拥有了构建酒店信息管理系统所需要的全套技术，在此基础上开发 了拥有十多项与酒店信息管理系统相关的具有自主知识产权的产品。公司主要产品的技术，居于国内领先 水平，部分产品技术达到国际领先水平。公司已确立了在国内酒店市场较为显著的技术优势。</w:t>
      </w:r>
    </w:p>
    <w:p>
      <w:pPr>
        <w:pStyle w:val="BodyText"/>
        <w:spacing w:line="290" w:lineRule="auto" w:before="55"/>
        <w:ind w:left="573" w:right="1118" w:firstLine="2"/>
        <w:jc w:val="left"/>
      </w:pPr>
      <w:r>
        <w:rPr>
          <w:rFonts w:ascii="Times New Roman" w:hAnsi="Times New Roman" w:cs="Times New Roman" w:eastAsia="Times New Roman" w:hint="default"/>
          <w:b/>
          <w:bCs/>
        </w:rPr>
        <w:t>2</w:t>
      </w:r>
      <w:r>
        <w:rPr>
          <w:rFonts w:ascii="宋体" w:hAnsi="宋体" w:cs="宋体" w:eastAsia="宋体" w:hint="default"/>
          <w:b/>
          <w:bCs/>
        </w:rPr>
        <w:t>、市场优势</w:t>
      </w:r>
      <w:r>
        <w:rPr>
          <w:rFonts w:ascii="宋体" w:hAnsi="宋体" w:cs="宋体" w:eastAsia="宋体" w:hint="default"/>
          <w:b/>
          <w:bCs/>
          <w:w w:val="99"/>
        </w:rPr>
        <w:t> </w:t>
      </w:r>
      <w:r>
        <w:rPr>
          <w:spacing w:val="-1"/>
        </w:rPr>
        <w:t>公司目前在高星级酒店市场占有显著的竞争优势，五星级酒店市场占有率居于领先地位。公司已拥有</w:t>
      </w:r>
    </w:p>
    <w:p>
      <w:pPr>
        <w:pStyle w:val="BodyText"/>
        <w:spacing w:line="266" w:lineRule="auto" w:before="0"/>
        <w:ind w:right="1131"/>
        <w:jc w:val="both"/>
      </w:pPr>
      <w:r>
        <w:rPr/>
        <w:t>约</w:t>
      </w:r>
      <w:r>
        <w:rPr>
          <w:rFonts w:ascii="Times New Roman" w:hAnsi="Times New Roman" w:cs="Times New Roman" w:eastAsia="Times New Roman" w:hint="default"/>
        </w:rPr>
        <w:t>8,000</w:t>
      </w:r>
      <w:r>
        <w:rPr/>
        <w:t>家从高星级到较低星级的星级酒店完整的客户群体，酒店客户总量超过</w:t>
      </w:r>
      <w:r>
        <w:rPr>
          <w:rFonts w:ascii="Times New Roman" w:hAnsi="Times New Roman" w:cs="Times New Roman" w:eastAsia="Times New Roman" w:hint="default"/>
        </w:rPr>
        <w:t>1</w:t>
      </w:r>
      <w:r>
        <w:rPr/>
        <w:t>万家，市场占有率遥遥领 </w:t>
      </w:r>
      <w:r>
        <w:rPr>
          <w:spacing w:val="-1"/>
        </w:rPr>
        <w:t>先于其他竞争对手。在餐饮信息化行业高度分散的局势下，公司通过有效整合旗下四大品牌，中高端、连</w:t>
      </w:r>
      <w:r>
        <w:rPr>
          <w:spacing w:val="-85"/>
        </w:rPr>
        <w:t> </w:t>
      </w:r>
      <w:r>
        <w:rPr>
          <w:spacing w:val="-85"/>
        </w:rPr>
      </w:r>
      <w:r>
        <w:rPr/>
        <w:t>锁餐饮用户数量已超过</w:t>
      </w:r>
      <w:r>
        <w:rPr>
          <w:rFonts w:ascii="Times New Roman" w:hAnsi="Times New Roman" w:cs="Times New Roman" w:eastAsia="Times New Roman" w:hint="default"/>
        </w:rPr>
        <w:t>10,000</w:t>
      </w:r>
      <w:r>
        <w:rPr/>
        <w:t>家，大众餐饮店用户约</w:t>
      </w:r>
      <w:r>
        <w:rPr>
          <w:rFonts w:ascii="Times New Roman" w:hAnsi="Times New Roman" w:cs="Times New Roman" w:eastAsia="Times New Roman" w:hint="default"/>
        </w:rPr>
        <w:t>10</w:t>
      </w:r>
      <w:r>
        <w:rPr/>
        <w:t>万家，无论在中高端及连锁餐饮市场还是在整个餐 </w:t>
      </w:r>
      <w:r>
        <w:rPr>
          <w:spacing w:val="-1"/>
        </w:rPr>
        <w:t>饮信息化市场的占有率均处于相对领先水平。在零售信息系统行业，通过投资或控股的科传控股、长益科</w:t>
      </w:r>
      <w:r>
        <w:rPr>
          <w:spacing w:val="-83"/>
        </w:rPr>
        <w:t> </w:t>
      </w:r>
      <w:r>
        <w:rPr>
          <w:spacing w:val="-83"/>
        </w:rPr>
      </w:r>
      <w:r>
        <w:rPr/>
        <w:t>技、富基、思迅软件，零售客户总数在</w:t>
      </w:r>
      <w:r>
        <w:rPr>
          <w:rFonts w:ascii="Times New Roman" w:hAnsi="Times New Roman" w:cs="Times New Roman" w:eastAsia="Times New Roman" w:hint="default"/>
        </w:rPr>
        <w:t>20</w:t>
      </w:r>
      <w:r>
        <w:rPr/>
        <w:t>万家以上，占中国规模化零售业客户群的</w:t>
      </w:r>
      <w:r>
        <w:rPr>
          <w:rFonts w:ascii="Times New Roman" w:hAnsi="Times New Roman" w:cs="Times New Roman" w:eastAsia="Times New Roman" w:hint="default"/>
        </w:rPr>
        <w:t>6</w:t>
      </w:r>
      <w:r>
        <w:rPr/>
        <w:t>至</w:t>
      </w:r>
      <w:r>
        <w:rPr>
          <w:rFonts w:ascii="Times New Roman" w:hAnsi="Times New Roman" w:cs="Times New Roman" w:eastAsia="Times New Roman" w:hint="default"/>
        </w:rPr>
        <w:t>7</w:t>
      </w:r>
      <w:r>
        <w:rPr/>
        <w:t>成。</w:t>
      </w:r>
    </w:p>
    <w:p>
      <w:pPr>
        <w:pStyle w:val="BodyText"/>
        <w:spacing w:line="290" w:lineRule="auto" w:before="36"/>
        <w:ind w:left="573" w:right="1118" w:firstLine="2"/>
        <w:jc w:val="left"/>
      </w:pPr>
      <w:r>
        <w:rPr>
          <w:rFonts w:ascii="Times New Roman" w:hAnsi="Times New Roman" w:cs="Times New Roman" w:eastAsia="Times New Roman" w:hint="default"/>
          <w:b/>
          <w:bCs/>
        </w:rPr>
        <w:t>3</w:t>
      </w:r>
      <w:r>
        <w:rPr>
          <w:rFonts w:ascii="宋体" w:hAnsi="宋体" w:cs="宋体" w:eastAsia="宋体" w:hint="default"/>
          <w:b/>
          <w:bCs/>
        </w:rPr>
        <w:t>、客户优势</w:t>
      </w:r>
      <w:r>
        <w:rPr>
          <w:rFonts w:ascii="宋体" w:hAnsi="宋体" w:cs="宋体" w:eastAsia="宋体" w:hint="default"/>
          <w:b/>
          <w:bCs/>
          <w:w w:val="99"/>
        </w:rPr>
        <w:t> </w:t>
      </w:r>
      <w:r>
        <w:rPr>
          <w:spacing w:val="-1"/>
        </w:rPr>
        <w:t>公司在高星级酒店，尤其是五星级酒店的信息管理系统市场占有较大的份额，这些客户经营稳健、管</w:t>
      </w:r>
    </w:p>
    <w:p>
      <w:pPr>
        <w:pStyle w:val="BodyText"/>
        <w:spacing w:line="273" w:lineRule="auto" w:before="0"/>
        <w:ind w:right="1024"/>
        <w:jc w:val="left"/>
      </w:pPr>
      <w:r>
        <w:rPr/>
        <w:t>理规范、信誉卓著，对技术与服务的需求往往反映了国内酒店信息行业的未来发展趋势。本公司与他们的 </w:t>
      </w:r>
      <w:r>
        <w:rPr>
          <w:spacing w:val="-3"/>
        </w:rPr>
        <w:t>合作一方面有力推动本公司技术水平的不断提高、服务手段的不断改进；另一方面从经营管理、财务控制、</w:t>
      </w:r>
      <w:r>
        <w:rPr>
          <w:spacing w:val="-90"/>
        </w:rPr>
        <w:t> </w:t>
      </w:r>
      <w:r>
        <w:rPr>
          <w:spacing w:val="-90"/>
        </w:rPr>
      </w:r>
      <w:r>
        <w:rPr/>
        <w:t>现金流入等方面保障了本公司的长远稳定发展。</w:t>
      </w:r>
    </w:p>
    <w:p>
      <w:pPr>
        <w:pStyle w:val="BodyText"/>
        <w:spacing w:line="290" w:lineRule="auto" w:before="47"/>
        <w:ind w:left="574" w:right="1118" w:firstLine="2"/>
        <w:jc w:val="left"/>
      </w:pPr>
      <w:r>
        <w:rPr>
          <w:rFonts w:ascii="Times New Roman" w:hAnsi="Times New Roman" w:cs="Times New Roman" w:eastAsia="Times New Roman" w:hint="default"/>
          <w:b/>
          <w:bCs/>
        </w:rPr>
        <w:t>4</w:t>
      </w:r>
      <w:r>
        <w:rPr>
          <w:rFonts w:ascii="宋体" w:hAnsi="宋体" w:cs="宋体" w:eastAsia="宋体" w:hint="default"/>
          <w:b/>
          <w:bCs/>
        </w:rPr>
        <w:t>、品牌优势</w:t>
      </w:r>
      <w:r>
        <w:rPr>
          <w:rFonts w:ascii="宋体" w:hAnsi="宋体" w:cs="宋体" w:eastAsia="宋体" w:hint="default"/>
          <w:b/>
          <w:bCs/>
          <w:w w:val="99"/>
        </w:rPr>
        <w:t> </w:t>
      </w:r>
      <w:r>
        <w:rPr>
          <w:spacing w:val="-1"/>
        </w:rPr>
        <w:t>客户使用石基信息品牌的酒店信息管理系统，可以节省人力成本，增加收益，提升管理水平，加入主</w:t>
      </w:r>
    </w:p>
    <w:p>
      <w:pPr>
        <w:pStyle w:val="BodyText"/>
        <w:spacing w:line="273" w:lineRule="auto" w:before="0"/>
        <w:ind w:left="154" w:right="0"/>
        <w:jc w:val="left"/>
      </w:pPr>
      <w:r>
        <w:rPr>
          <w:spacing w:val="-1"/>
        </w:rPr>
        <w:t>流酒店交流圈。尽管公司的很多品牌产品要比竞争对手产品价格高出数倍以上，但只要酒店配套投入资源</w:t>
      </w:r>
      <w:r>
        <w:rPr>
          <w:spacing w:val="-81"/>
        </w:rPr>
        <w:t> </w:t>
      </w:r>
      <w:r>
        <w:rPr>
          <w:spacing w:val="-81"/>
        </w:rPr>
      </w:r>
      <w:r>
        <w:rPr>
          <w:spacing w:val="-1"/>
        </w:rPr>
        <w:t>使系统能真正有效运转起来，就可以很快收回投资回报。主要原因是石基酒店信息管理系统是完全与国际</w:t>
      </w:r>
      <w:r>
        <w:rPr>
          <w:spacing w:val="-81"/>
        </w:rPr>
        <w:t> </w:t>
      </w:r>
      <w:r>
        <w:rPr>
          <w:spacing w:val="-81"/>
        </w:rPr>
      </w:r>
      <w:r>
        <w:rPr>
          <w:spacing w:val="-1"/>
        </w:rPr>
        <w:t>接轨的，全中国绝大多数好的酒店都在使用它，所以石基信息的品牌就成为了中国高星级酒店信息系统的</w:t>
      </w:r>
      <w:r>
        <w:rPr>
          <w:spacing w:val="-81"/>
        </w:rPr>
        <w:t> </w:t>
      </w:r>
      <w:r>
        <w:rPr>
          <w:spacing w:val="-81"/>
        </w:rPr>
      </w:r>
      <w:r>
        <w:rPr>
          <w:spacing w:val="-1"/>
        </w:rPr>
        <w:t>事实标准，而酒店信息管理系统是一套功能复杂的软件，要完全掌握和使用好这套系统，需要经过较长时</w:t>
      </w:r>
      <w:r>
        <w:rPr>
          <w:spacing w:val="-83"/>
        </w:rPr>
        <w:t> </w:t>
      </w:r>
      <w:r>
        <w:rPr>
          <w:spacing w:val="-83"/>
        </w:rPr>
      </w:r>
      <w:r>
        <w:rPr>
          <w:spacing w:val="-1"/>
        </w:rPr>
        <w:t>间的培训和经验积累，因而，整个酒店行业的人力资源就与石基信息酒店信息系统紧密关联。具有领先优</w:t>
      </w:r>
      <w:r>
        <w:rPr>
          <w:spacing w:val="-83"/>
        </w:rPr>
        <w:t> </w:t>
      </w:r>
      <w:r>
        <w:rPr>
          <w:spacing w:val="-83"/>
        </w:rPr>
      </w:r>
      <w:r>
        <w:rPr/>
        <w:t>势的市场占有率，意味着中国酒店业几乎所有最优秀的人才都在使用石基酒店信息管理系统作为工作语 </w:t>
      </w:r>
      <w:r>
        <w:rPr>
          <w:spacing w:val="-1"/>
        </w:rPr>
        <w:t>言，由于酒店业是人才流动非常高的行业，如果一个酒店不使用石基酒店信息系统，这些优秀的人才即使</w:t>
      </w:r>
      <w:r>
        <w:rPr>
          <w:spacing w:val="-83"/>
        </w:rPr>
        <w:t> </w:t>
      </w:r>
      <w:r>
        <w:rPr>
          <w:spacing w:val="-83"/>
        </w:rPr>
      </w:r>
      <w:r>
        <w:rPr/>
        <w:t>加入该酒店其工作效率肯定要大打折扣。这就是标准化给行业带来的价值。</w:t>
      </w:r>
    </w:p>
    <w:p>
      <w:pPr>
        <w:pStyle w:val="BodyText"/>
        <w:spacing w:line="290" w:lineRule="auto" w:before="47"/>
        <w:ind w:left="499" w:right="0" w:firstLine="76"/>
        <w:jc w:val="left"/>
      </w:pPr>
      <w:r>
        <w:rPr>
          <w:rFonts w:ascii="Times New Roman" w:hAnsi="Times New Roman" w:cs="Times New Roman" w:eastAsia="Times New Roman" w:hint="default"/>
          <w:b/>
          <w:bCs/>
        </w:rPr>
        <w:t>5</w:t>
      </w:r>
      <w:r>
        <w:rPr>
          <w:rFonts w:ascii="宋体" w:hAnsi="宋体" w:cs="宋体" w:eastAsia="宋体" w:hint="default"/>
          <w:b/>
          <w:bCs/>
        </w:rPr>
        <w:t>、人才优势</w:t>
      </w:r>
      <w:r>
        <w:rPr>
          <w:rFonts w:ascii="宋体" w:hAnsi="宋体" w:cs="宋体" w:eastAsia="宋体" w:hint="default"/>
          <w:b/>
          <w:bCs/>
          <w:w w:val="99"/>
        </w:rPr>
        <w:t> </w:t>
      </w:r>
      <w:r>
        <w:rPr/>
        <w:t>公司已建立起一支技术精湛、经验丰富、结构合理、团结合作的国际化管理团队。他们或具有多年国</w:t>
      </w:r>
    </w:p>
    <w:p>
      <w:pPr>
        <w:pStyle w:val="BodyText"/>
        <w:spacing w:line="273" w:lineRule="auto" w:before="0"/>
        <w:ind w:right="1130"/>
        <w:jc w:val="both"/>
      </w:pPr>
      <w:r>
        <w:rPr>
          <w:spacing w:val="-1"/>
        </w:rPr>
        <w:t>际酒店管理的经验，或具有十数年的酒店信息管理系统开发设计经验，对国内外酒店信息管理系统行业的</w:t>
      </w:r>
      <w:r>
        <w:rPr>
          <w:spacing w:val="-80"/>
        </w:rPr>
        <w:t> </w:t>
      </w:r>
      <w:r>
        <w:rPr>
          <w:spacing w:val="-80"/>
        </w:rPr>
      </w:r>
      <w:r>
        <w:rPr>
          <w:spacing w:val="-1"/>
        </w:rPr>
        <w:t>技术及业务发展历程、未来趋势具有深刻理解，本公司的产品开发、市场销售业务骨干大多具有多年国际</w:t>
      </w:r>
      <w:r>
        <w:rPr>
          <w:spacing w:val="-83"/>
        </w:rPr>
        <w:t> </w:t>
      </w:r>
      <w:r>
        <w:rPr>
          <w:spacing w:val="-83"/>
        </w:rPr>
      </w:r>
      <w:r>
        <w:rPr>
          <w:spacing w:val="-1"/>
        </w:rPr>
        <w:t>酒店从业经验，既精通信息技术，同时又理解酒店及消费者需求；工程实施、技术服务人员也大都具有多</w:t>
      </w:r>
      <w:r>
        <w:rPr>
          <w:spacing w:val="-86"/>
        </w:rPr>
        <w:t> </w:t>
      </w:r>
      <w:r>
        <w:rPr>
          <w:spacing w:val="-86"/>
        </w:rPr>
      </w:r>
      <w:r>
        <w:rPr>
          <w:spacing w:val="-1"/>
        </w:rPr>
        <w:t>年从业经验，并经公司严格的内部培训。专业的国际化管理团队和专业、敬业的优秀员工队伍是本公司的</w:t>
      </w:r>
      <w:r>
        <w:rPr>
          <w:spacing w:val="-83"/>
        </w:rPr>
        <w:t> </w:t>
      </w:r>
      <w:r>
        <w:rPr>
          <w:spacing w:val="-83"/>
        </w:rPr>
      </w:r>
      <w:r>
        <w:rPr/>
        <w:t>核心竞争优势。</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第四节 管理层讨论与分析" w:id="22"/>
      <w:bookmarkEnd w:id="22"/>
      <w:r>
        <w:rPr>
          <w:b w:val="0"/>
          <w:bCs w:val="0"/>
        </w:rPr>
      </w:r>
      <w:bookmarkStart w:name="_bookmark2"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68" w:lineRule="auto" w:before="0"/>
        <w:ind w:right="1109" w:firstLine="422"/>
        <w:jc w:val="both"/>
      </w:pPr>
      <w:r>
        <w:rPr>
          <w:rFonts w:ascii="Times New Roman" w:hAnsi="Times New Roman" w:cs="Times New Roman" w:eastAsia="Times New Roman" w:hint="default"/>
          <w:spacing w:val="-1"/>
        </w:rPr>
        <w:t>2015</w:t>
      </w:r>
      <w:r>
        <w:rPr>
          <w:spacing w:val="-1"/>
        </w:rPr>
        <w:t>年，在中国经济结构深度调整和增速放缓对旅游消费行业产生较大冲击的情况下，一方面，公司</w:t>
      </w:r>
      <w:r>
        <w:rPr/>
        <w:t> 依靠在酒店、餐饮业整体信息系统解决方案上的行业优势地位，公司整体业务基本保持稳定；另一方面， </w:t>
      </w:r>
      <w:r>
        <w:rPr>
          <w:spacing w:val="-1"/>
        </w:rPr>
        <w:t>公司通过投资与收购，加速布局整个消费行业信息化，在巩固酒店信息管理系统领域优势地位的同时，正</w:t>
      </w:r>
      <w:r>
        <w:rPr>
          <w:spacing w:val="-83"/>
        </w:rPr>
        <w:t> </w:t>
      </w:r>
      <w:r>
        <w:rPr>
          <w:spacing w:val="-83"/>
        </w:rPr>
      </w:r>
      <w:r>
        <w:rPr>
          <w:spacing w:val="-1"/>
        </w:rPr>
        <w:t>在探索酒店数据平台的建设，同时业务领域从酒店、餐饮行业快速拓展至零售行业，成为整个消费信息系</w:t>
      </w:r>
      <w:r>
        <w:rPr>
          <w:spacing w:val="-83"/>
        </w:rPr>
        <w:t> </w:t>
      </w:r>
      <w:r>
        <w:rPr>
          <w:spacing w:val="-83"/>
        </w:rPr>
      </w:r>
      <w:r>
        <w:rPr/>
        <w:t>统领导厂商，为加快从软件供应商向服务平台运营商的战略转型奠定了基础。</w:t>
      </w:r>
    </w:p>
    <w:p>
      <w:pPr>
        <w:pStyle w:val="BodyText"/>
        <w:spacing w:line="261" w:lineRule="auto" w:before="50"/>
        <w:ind w:right="1019" w:firstLine="422"/>
        <w:jc w:val="left"/>
      </w:pPr>
      <w:r>
        <w:rPr>
          <w:rFonts w:ascii="Times New Roman" w:hAnsi="Times New Roman" w:cs="Times New Roman" w:eastAsia="Times New Roman" w:hint="default"/>
          <w:spacing w:val="-3"/>
        </w:rPr>
        <w:t>2015</w:t>
      </w:r>
      <w:r>
        <w:rPr>
          <w:spacing w:val="-3"/>
        </w:rPr>
        <w:t>年，公司通过对万达控股有限公司（全资持有广州万迅电脑软件有限公司）</w:t>
      </w:r>
      <w:r>
        <w:rPr>
          <w:rFonts w:ascii="Times New Roman" w:hAnsi="Times New Roman" w:cs="Times New Roman" w:eastAsia="Times New Roman" w:hint="default"/>
          <w:spacing w:val="-3"/>
        </w:rPr>
        <w:t>100%</w:t>
      </w:r>
      <w:r>
        <w:rPr>
          <w:spacing w:val="-3"/>
        </w:rPr>
        <w:t>股权的收购和与</w:t>
      </w:r>
      <w:r>
        <w:rPr/>
        <w:t> 北京泰能软件有限公司的合作，使酒店前台管理系统（</w:t>
      </w:r>
      <w:r>
        <w:rPr>
          <w:rFonts w:ascii="Times New Roman" w:hAnsi="Times New Roman" w:cs="Times New Roman" w:eastAsia="Times New Roman" w:hint="default"/>
        </w:rPr>
        <w:t>PMS</w:t>
      </w:r>
      <w:r>
        <w:rPr/>
        <w:t>）客户总数过万家，有助于扩大公司与阿里旅 行的合作规模；公司完成向淘宝（中国）软件有限公司非公开发行股份的全部实施工作，淘宝（中国）软 </w:t>
      </w:r>
      <w:r>
        <w:rPr>
          <w:spacing w:val="41"/>
        </w:rPr>
        <w:t>件有限公司成为公司股东；自</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w:t>
      </w:r>
      <w:r>
        <w:rPr>
          <w:spacing w:val="-60"/>
        </w:rPr>
        <w:t> </w:t>
      </w:r>
      <w:r>
        <w:rPr/>
        <w:t>起</w:t>
      </w:r>
      <w:r>
        <w:rPr>
          <w:spacing w:val="-61"/>
        </w:rPr>
        <w:t> </w:t>
      </w:r>
      <w:r>
        <w:rPr/>
        <w:t>，</w:t>
      </w:r>
      <w:r>
        <w:rPr>
          <w:spacing w:val="-60"/>
        </w:rPr>
        <w:t> </w:t>
      </w:r>
      <w:r>
        <w:rPr/>
        <w:t>公</w:t>
      </w:r>
      <w:r>
        <w:rPr>
          <w:spacing w:val="-60"/>
        </w:rPr>
        <w:t> </w:t>
      </w:r>
      <w:r>
        <w:rPr/>
        <w:t>司</w:t>
      </w:r>
      <w:r>
        <w:rPr>
          <w:spacing w:val="-60"/>
        </w:rPr>
        <w:t> </w:t>
      </w:r>
      <w:r>
        <w:rPr/>
        <w:t>成</w:t>
      </w:r>
      <w:r>
        <w:rPr>
          <w:spacing w:val="-60"/>
        </w:rPr>
        <w:t> </w:t>
      </w:r>
      <w:r>
        <w:rPr/>
        <w:t>为</w:t>
      </w:r>
      <w:r>
        <w:rPr>
          <w:spacing w:val="-58"/>
        </w:rPr>
        <w:t> </w:t>
      </w:r>
      <w:r>
        <w:rPr>
          <w:rFonts w:ascii="Times New Roman" w:hAnsi="Times New Roman" w:cs="Times New Roman" w:eastAsia="Times New Roman" w:hint="default"/>
        </w:rPr>
        <w:t>ORACLE</w:t>
      </w:r>
      <w:r>
        <w:rPr>
          <w:rFonts w:ascii="Times New Roman" w:hAnsi="Times New Roman" w:cs="Times New Roman" w:eastAsia="Times New Roman" w:hint="default"/>
          <w:spacing w:val="-7"/>
        </w:rPr>
        <w:t> </w:t>
      </w:r>
      <w:r>
        <w:rPr>
          <w:spacing w:val="39"/>
        </w:rPr>
        <w:t>铂金合作伙伴，公</w:t>
      </w:r>
      <w:r>
        <w:rPr>
          <w:spacing w:val="-59"/>
        </w:rPr>
        <w:t> </w:t>
      </w:r>
      <w:r>
        <w:rPr/>
        <w:t>司</w:t>
      </w:r>
      <w:r>
        <w:rPr/>
        <w:t> 与</w:t>
      </w:r>
      <w:r>
        <w:rPr>
          <w:spacing w:val="-53"/>
        </w:rPr>
        <w:t> </w:t>
      </w:r>
      <w:r>
        <w:rPr>
          <w:rFonts w:ascii="Times New Roman" w:hAnsi="Times New Roman" w:cs="Times New Roman" w:eastAsia="Times New Roman" w:hint="default"/>
        </w:rPr>
        <w:t>ORACLE/MICROS </w:t>
      </w:r>
      <w:r>
        <w:rPr>
          <w:spacing w:val="-5"/>
        </w:rPr>
        <w:t>的合作将在新的格局下延续，公司与</w:t>
      </w:r>
      <w:r>
        <w:rPr>
          <w:spacing w:val="-52"/>
        </w:rPr>
        <w:t> </w:t>
      </w:r>
      <w:r>
        <w:rPr>
          <w:rFonts w:ascii="Times New Roman" w:hAnsi="Times New Roman" w:cs="Times New Roman" w:eastAsia="Times New Roman" w:hint="default"/>
        </w:rPr>
        <w:t>ORACLE </w:t>
      </w:r>
      <w:r>
        <w:rPr>
          <w:spacing w:val="-4"/>
        </w:rPr>
        <w:t>公司的合作将更加宽广；</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t> 公司通过控股富基和全资收购长益科技，加上</w:t>
      </w:r>
      <w:r>
        <w:rPr>
          <w:rFonts w:ascii="Times New Roman" w:hAnsi="Times New Roman" w:cs="Times New Roman" w:eastAsia="Times New Roman" w:hint="default"/>
        </w:rPr>
        <w:t>2013</w:t>
      </w:r>
      <w:r>
        <w:rPr/>
        <w:t>年控股的思迅软件和</w:t>
      </w:r>
      <w:r>
        <w:rPr>
          <w:rFonts w:ascii="Times New Roman" w:hAnsi="Times New Roman" w:cs="Times New Roman" w:eastAsia="Times New Roman" w:hint="default"/>
        </w:rPr>
        <w:t>2014</w:t>
      </w:r>
      <w:r>
        <w:rPr/>
        <w:t>年投资的科传控股，基本确立 了公司在中国零售业信息系统市场的领导地位；</w:t>
      </w:r>
      <w:r>
        <w:rPr>
          <w:rFonts w:ascii="Times New Roman" w:hAnsi="Times New Roman" w:cs="Times New Roman" w:eastAsia="Times New Roman" w:hint="default"/>
        </w:rPr>
        <w:t>2015</w:t>
      </w:r>
      <w:r>
        <w:rPr/>
        <w:t>年公司参股</w:t>
      </w:r>
      <w:r>
        <w:rPr>
          <w:rFonts w:ascii="Times New Roman" w:hAnsi="Times New Roman" w:cs="Times New Roman" w:eastAsia="Times New Roman" w:hint="default"/>
        </w:rPr>
        <w:t>GALASYS</w:t>
      </w:r>
      <w:r>
        <w:rPr>
          <w:rFonts w:ascii="Times New Roman" w:hAnsi="Times New Roman" w:cs="Times New Roman" w:eastAsia="Times New Roman" w:hint="default"/>
          <w:spacing w:val="34"/>
        </w:rPr>
        <w:t> </w:t>
      </w:r>
      <w:r>
        <w:rPr>
          <w:rFonts w:ascii="Times New Roman" w:hAnsi="Times New Roman" w:cs="Times New Roman" w:eastAsia="Times New Roman" w:hint="default"/>
        </w:rPr>
        <w:t>PLC</w:t>
      </w:r>
      <w:r>
        <w:rPr/>
        <w:t>公司，希望将已经建立的</w:t>
      </w:r>
      <w:r>
        <w:rPr>
          <w:spacing w:val="-101"/>
        </w:rPr>
        <w:t> </w:t>
      </w:r>
      <w:r>
        <w:rPr>
          <w:spacing w:val="-101"/>
        </w:rPr>
      </w:r>
      <w:r>
        <w:rPr/>
        <w:t>在酒店信息系统行业的相对优势延伸到主题公园及景区领域，共同构建综合旅游景区管理系统；并通过继</w:t>
      </w:r>
      <w:r>
        <w:rPr/>
        <w:t> 续投资</w:t>
      </w:r>
      <w:r>
        <w:rPr>
          <w:rFonts w:ascii="Times New Roman" w:hAnsi="Times New Roman" w:cs="Times New Roman" w:eastAsia="Times New Roman" w:hint="default"/>
        </w:rPr>
        <w:t>SNAPSHOT</w:t>
      </w:r>
      <w:r>
        <w:rPr/>
        <w:t>和控股浩华管理顾问（亚太）有限公司，从多角度探索数据模型和数据平台的建立。</w:t>
      </w:r>
    </w:p>
    <w:p>
      <w:pPr>
        <w:pStyle w:val="BodyText"/>
        <w:spacing w:line="259" w:lineRule="auto" w:before="38"/>
        <w:ind w:left="154" w:right="1090" w:firstLine="422"/>
        <w:jc w:val="both"/>
      </w:pPr>
      <w:r>
        <w:rPr/>
        <w:t>报告期内，公司实现营业收入</w:t>
      </w:r>
      <w:r>
        <w:rPr>
          <w:rFonts w:ascii="Times New Roman" w:hAnsi="Times New Roman" w:cs="Times New Roman" w:eastAsia="Times New Roman" w:hint="default"/>
        </w:rPr>
        <w:t>198,666.36</w:t>
      </w:r>
      <w:r>
        <w:rPr/>
        <w:t>万元，比去年同期下降</w:t>
      </w:r>
      <w:r>
        <w:rPr>
          <w:rFonts w:ascii="Times New Roman" w:hAnsi="Times New Roman" w:cs="Times New Roman" w:eastAsia="Times New Roman" w:hint="default"/>
        </w:rPr>
        <w:t>9.12%</w:t>
      </w:r>
      <w:r>
        <w:rPr/>
        <w:t>；实现利润总额</w:t>
      </w:r>
      <w:r>
        <w:rPr>
          <w:rFonts w:ascii="Times New Roman" w:hAnsi="Times New Roman" w:cs="Times New Roman" w:eastAsia="Times New Roman" w:hint="default"/>
        </w:rPr>
        <w:t>40,480.23</w:t>
      </w:r>
      <w:r>
        <w:rPr/>
        <w:t>万元， 比去年同期下降</w:t>
      </w:r>
      <w:r>
        <w:rPr>
          <w:rFonts w:ascii="Times New Roman" w:hAnsi="Times New Roman" w:cs="Times New Roman" w:eastAsia="Times New Roman" w:hint="default"/>
        </w:rPr>
        <w:t>8.89%</w:t>
      </w:r>
      <w:r>
        <w:rPr/>
        <w:t>；实现归属于上市公司股东净利润</w:t>
      </w:r>
      <w:r>
        <w:rPr>
          <w:rFonts w:ascii="Times New Roman" w:hAnsi="Times New Roman" w:cs="Times New Roman" w:eastAsia="Times New Roman" w:hint="default"/>
        </w:rPr>
        <w:t>36,099.57</w:t>
      </w:r>
      <w:r>
        <w:rPr/>
        <w:t>万元，比去年同期下降</w:t>
      </w:r>
      <w:r>
        <w:rPr>
          <w:rFonts w:ascii="Times New Roman" w:hAnsi="Times New Roman" w:cs="Times New Roman" w:eastAsia="Times New Roman" w:hint="default"/>
        </w:rPr>
        <w:t>5.51%</w:t>
      </w:r>
      <w:r>
        <w:rPr/>
        <w:t>。</w:t>
      </w:r>
    </w:p>
    <w:p>
      <w:pPr>
        <w:pStyle w:val="BodyText"/>
        <w:spacing w:line="240" w:lineRule="auto" w:before="43"/>
        <w:ind w:left="576" w:right="0"/>
        <w:jc w:val="left"/>
      </w:pPr>
      <w:r>
        <w:rPr/>
        <w:t>报告期内，公司各项主要业务经营情况如下：</w:t>
      </w:r>
    </w:p>
    <w:p>
      <w:pPr>
        <w:pStyle w:val="BodyText"/>
        <w:spacing w:line="290" w:lineRule="auto" w:before="76"/>
        <w:ind w:left="576" w:right="0"/>
        <w:jc w:val="left"/>
      </w:pPr>
      <w:r>
        <w:rPr>
          <w:rFonts w:ascii="Times New Roman" w:hAnsi="Times New Roman" w:cs="Times New Roman" w:eastAsia="Times New Roman" w:hint="default"/>
          <w:b/>
          <w:bCs/>
        </w:rPr>
        <w:t>1</w:t>
      </w:r>
      <w:r>
        <w:rPr>
          <w:rFonts w:ascii="宋体" w:hAnsi="宋体" w:cs="宋体" w:eastAsia="宋体" w:hint="default"/>
          <w:b/>
          <w:bCs/>
        </w:rPr>
        <w:t>、酒店信息系统业务</w:t>
      </w:r>
      <w:r>
        <w:rPr>
          <w:rFonts w:ascii="宋体" w:hAnsi="宋体" w:cs="宋体" w:eastAsia="宋体" w:hint="default"/>
          <w:b/>
          <w:bCs/>
          <w:w w:val="99"/>
        </w:rPr>
        <w:t> </w:t>
      </w:r>
      <w:r>
        <w:rPr>
          <w:spacing w:val="-1"/>
        </w:rPr>
        <w:t>报告期内，公司主要由母公司、全资子公司北京石基、上海石基、北海石基开展完全国际化经营与管</w:t>
      </w:r>
    </w:p>
    <w:p>
      <w:pPr>
        <w:pStyle w:val="BodyText"/>
        <w:spacing w:line="273" w:lineRule="auto" w:before="0"/>
        <w:ind w:left="154" w:right="1131"/>
        <w:jc w:val="both"/>
      </w:pPr>
      <w:r>
        <w:rPr>
          <w:spacing w:val="-1"/>
        </w:rPr>
        <w:t>理的高星级酒店的信息系统业务，全资子公司杭州西软科技有限公司和万达控股有限公司开展本地中高档</w:t>
      </w:r>
      <w:r>
        <w:rPr>
          <w:spacing w:val="-81"/>
        </w:rPr>
        <w:t> </w:t>
      </w:r>
      <w:r>
        <w:rPr>
          <w:spacing w:val="-81"/>
        </w:rPr>
      </w:r>
      <w:r>
        <w:rPr>
          <w:spacing w:val="-1"/>
        </w:rPr>
        <w:t>星级酒店信息系统业务，控股子公司北京石基昆仑软件有限公司则专注于酒店会员管理系统、客户关系管</w:t>
      </w:r>
      <w:r>
        <w:rPr>
          <w:spacing w:val="-81"/>
        </w:rPr>
        <w:t> </w:t>
      </w:r>
      <w:r>
        <w:rPr>
          <w:spacing w:val="-81"/>
        </w:rPr>
      </w:r>
      <w:r>
        <w:rPr/>
        <w:t>理系统与中央预订系统业务。</w:t>
      </w:r>
    </w:p>
    <w:p>
      <w:pPr>
        <w:pStyle w:val="BodyText"/>
        <w:spacing w:line="259" w:lineRule="auto" w:before="47"/>
        <w:ind w:left="154" w:right="1130" w:firstLine="422"/>
        <w:jc w:val="both"/>
      </w:pPr>
      <w:r>
        <w:rPr>
          <w:spacing w:val="-1"/>
        </w:rPr>
        <w:t>报告期内，完成新建国际高星级酒店信息系统项目</w:t>
      </w:r>
      <w:r>
        <w:rPr>
          <w:rFonts w:ascii="Times New Roman" w:hAnsi="Times New Roman" w:cs="Times New Roman" w:eastAsia="Times New Roman" w:hint="default"/>
          <w:spacing w:val="-1"/>
        </w:rPr>
        <w:t>168</w:t>
      </w:r>
      <w:r>
        <w:rPr>
          <w:spacing w:val="-1"/>
        </w:rPr>
        <w:t>个，新签技术支持与服务用户</w:t>
      </w:r>
      <w:r>
        <w:rPr>
          <w:rFonts w:ascii="Times New Roman" w:hAnsi="Times New Roman" w:cs="Times New Roman" w:eastAsia="Times New Roman" w:hint="default"/>
          <w:spacing w:val="-1"/>
        </w:rPr>
        <w:t>176</w:t>
      </w:r>
      <w:r>
        <w:rPr>
          <w:spacing w:val="-1"/>
        </w:rPr>
        <w:t>个，签订技术</w:t>
      </w:r>
      <w:r>
        <w:rPr/>
        <w:t> 支持与服务合同的用户数达到</w:t>
      </w:r>
      <w:r>
        <w:rPr>
          <w:rFonts w:ascii="Times New Roman" w:hAnsi="Times New Roman" w:cs="Times New Roman" w:eastAsia="Times New Roman" w:hint="default"/>
        </w:rPr>
        <w:t>1328</w:t>
      </w:r>
      <w:r>
        <w:rPr/>
        <w:t>家。</w:t>
      </w:r>
    </w:p>
    <w:p>
      <w:pPr>
        <w:pStyle w:val="BodyText"/>
        <w:spacing w:line="259" w:lineRule="auto" w:before="41"/>
        <w:ind w:right="0" w:firstLine="422"/>
        <w:jc w:val="left"/>
      </w:pPr>
      <w:r>
        <w:rPr/>
        <w:t>报告期内，全资子公司杭州西软新增酒店客户</w:t>
      </w:r>
      <w:r>
        <w:rPr>
          <w:rFonts w:ascii="Times New Roman" w:hAnsi="Times New Roman" w:cs="Times New Roman" w:eastAsia="Times New Roman" w:hint="default"/>
        </w:rPr>
        <w:t>468</w:t>
      </w:r>
      <w:r>
        <w:rPr/>
        <w:t>家，报告期末合计用户数量达到</w:t>
      </w:r>
      <w:r>
        <w:rPr>
          <w:rFonts w:ascii="Times New Roman" w:hAnsi="Times New Roman" w:cs="Times New Roman" w:eastAsia="Times New Roman" w:hint="default"/>
        </w:rPr>
        <w:t>5742</w:t>
      </w:r>
      <w:r>
        <w:rPr/>
        <w:t>家，继续保持 </w:t>
      </w:r>
      <w:r>
        <w:rPr>
          <w:spacing w:val="-3"/>
        </w:rPr>
        <w:t>市场领先地位；特别是云平台架构的云</w:t>
      </w:r>
      <w:r>
        <w:rPr>
          <w:rFonts w:ascii="Times New Roman" w:hAnsi="Times New Roman" w:cs="Times New Roman" w:eastAsia="Times New Roman" w:hint="default"/>
          <w:spacing w:val="-3"/>
        </w:rPr>
        <w:t>PMS</w:t>
      </w:r>
      <w:r>
        <w:rPr>
          <w:spacing w:val="-3"/>
        </w:rPr>
        <w:t>等系列产品客户、移动产品销售有显著的增加，有</w:t>
      </w:r>
      <w:r>
        <w:rPr>
          <w:rFonts w:ascii="Times New Roman" w:hAnsi="Times New Roman" w:cs="Times New Roman" w:eastAsia="Times New Roman" w:hint="default"/>
          <w:spacing w:val="-3"/>
        </w:rPr>
        <w:t>10</w:t>
      </w:r>
      <w:r>
        <w:rPr>
          <w:spacing w:val="-3"/>
        </w:rPr>
        <w:t>多个集团，</w:t>
      </w:r>
      <w:r>
        <w:rPr>
          <w:spacing w:val="-88"/>
        </w:rPr>
        <w:t> </w:t>
      </w:r>
      <w:r>
        <w:rPr>
          <w:spacing w:val="-88"/>
        </w:rPr>
      </w:r>
      <w:r>
        <w:rPr/>
        <w:t>近</w:t>
      </w:r>
      <w:r>
        <w:rPr>
          <w:rFonts w:ascii="Times New Roman" w:hAnsi="Times New Roman" w:cs="Times New Roman" w:eastAsia="Times New Roman" w:hint="default"/>
        </w:rPr>
        <w:t>300</w:t>
      </w:r>
      <w:r>
        <w:rPr/>
        <w:t>家左右的酒店用户群体。</w:t>
      </w:r>
    </w:p>
    <w:p>
      <w:pPr>
        <w:pStyle w:val="BodyText"/>
        <w:spacing w:line="256" w:lineRule="auto" w:before="41"/>
        <w:ind w:left="154" w:right="1132" w:firstLine="42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月，公司完成收购万达控股有限公司</w:t>
      </w:r>
      <w:r>
        <w:rPr>
          <w:rFonts w:ascii="Times New Roman" w:hAnsi="Times New Roman" w:cs="Times New Roman" w:eastAsia="Times New Roman" w:hint="default"/>
        </w:rPr>
        <w:t>100%</w:t>
      </w:r>
      <w:r>
        <w:rPr/>
        <w:t>股权，其主要业务由下属全资子公司广州万迅电脑 软件有限公司（以下简称</w:t>
      </w:r>
      <w:r>
        <w:rPr>
          <w:rFonts w:ascii="Times New Roman" w:hAnsi="Times New Roman" w:cs="Times New Roman" w:eastAsia="Times New Roman" w:hint="default"/>
        </w:rPr>
        <w:t>“</w:t>
      </w:r>
      <w:r>
        <w:rPr/>
        <w:t>广州万迅</w:t>
      </w:r>
      <w:r>
        <w:rPr>
          <w:rFonts w:ascii="Times New Roman" w:hAnsi="Times New Roman" w:cs="Times New Roman" w:eastAsia="Times New Roman" w:hint="default"/>
        </w:rPr>
        <w:t>”</w:t>
      </w:r>
      <w:r>
        <w:rPr/>
        <w:t>）开展。广州万迅是国内较为知名的酒店管理软件供应商，一直专注 为酒店、餐饮、娱乐行业提供全方位的信息管理解决方案，其自主研发的</w:t>
      </w:r>
      <w:r>
        <w:rPr>
          <w:rFonts w:ascii="Times New Roman" w:hAnsi="Times New Roman" w:cs="Times New Roman" w:eastAsia="Times New Roman" w:hint="default"/>
        </w:rPr>
        <w:t>“</w:t>
      </w:r>
      <w:r>
        <w:rPr/>
        <w:t>千里马酒店管理软件</w:t>
      </w:r>
      <w:r>
        <w:rPr>
          <w:rFonts w:ascii="Times New Roman" w:hAnsi="Times New Roman" w:cs="Times New Roman" w:eastAsia="Times New Roman" w:hint="default"/>
        </w:rPr>
        <w:t>”</w:t>
      </w:r>
      <w:r>
        <w:rPr/>
        <w:t>为国内著 名的三大酒店管理软件品牌之一。</w:t>
      </w:r>
      <w:r>
        <w:rPr>
          <w:rFonts w:ascii="Times New Roman" w:hAnsi="Times New Roman" w:cs="Times New Roman" w:eastAsia="Times New Roman" w:hint="default"/>
        </w:rPr>
        <w:t>2015</w:t>
      </w:r>
      <w:r>
        <w:rPr/>
        <w:t>年度广州万迅新增客户</w:t>
      </w:r>
      <w:r>
        <w:rPr>
          <w:rFonts w:ascii="Times New Roman" w:hAnsi="Times New Roman" w:cs="Times New Roman" w:eastAsia="Times New Roman" w:hint="default"/>
        </w:rPr>
        <w:t>341</w:t>
      </w:r>
      <w:r>
        <w:rPr/>
        <w:t>家，</w:t>
      </w:r>
      <w:r>
        <w:rPr>
          <w:rFonts w:ascii="Times New Roman" w:hAnsi="Times New Roman" w:cs="Times New Roman" w:eastAsia="Times New Roman" w:hint="default"/>
        </w:rPr>
        <w:t>2015</w:t>
      </w:r>
      <w:r>
        <w:rPr/>
        <w:t>年底酒店客户总数为</w:t>
      </w:r>
      <w:r>
        <w:rPr>
          <w:rFonts w:ascii="Times New Roman" w:hAnsi="Times New Roman" w:cs="Times New Roman" w:eastAsia="Times New Roman" w:hint="default"/>
        </w:rPr>
        <w:t>3432</w:t>
      </w:r>
      <w:r>
        <w:rPr/>
        <w:t>家。</w:t>
      </w:r>
    </w:p>
    <w:p>
      <w:pPr>
        <w:pStyle w:val="BodyText"/>
        <w:spacing w:line="261" w:lineRule="auto" w:before="43"/>
        <w:ind w:right="1131" w:firstLine="422"/>
        <w:jc w:val="both"/>
      </w:pPr>
      <w:r>
        <w:rPr>
          <w:spacing w:val="-1"/>
        </w:rPr>
        <w:t>报告期内，北京石基昆仑软件有限公司新增酒店用户</w:t>
      </w:r>
      <w:r>
        <w:rPr>
          <w:rFonts w:ascii="Times New Roman" w:hAnsi="Times New Roman" w:cs="Times New Roman" w:eastAsia="Times New Roman" w:hint="default"/>
          <w:spacing w:val="-1"/>
        </w:rPr>
        <w:t>133</w:t>
      </w:r>
      <w:r>
        <w:rPr>
          <w:spacing w:val="-1"/>
        </w:rPr>
        <w:t>家，报告期末酒店用户总数达到</w:t>
      </w:r>
      <w:r>
        <w:rPr>
          <w:rFonts w:ascii="Times New Roman" w:hAnsi="Times New Roman" w:cs="Times New Roman" w:eastAsia="Times New Roman" w:hint="default"/>
          <w:spacing w:val="-1"/>
        </w:rPr>
        <w:t>931</w:t>
      </w:r>
      <w:r>
        <w:rPr>
          <w:spacing w:val="-1"/>
        </w:rPr>
        <w:t>家，其中</w:t>
      </w:r>
      <w:r>
        <w:rPr/>
        <w:t> </w:t>
      </w:r>
      <w:r>
        <w:rPr>
          <w:spacing w:val="-1"/>
        </w:rPr>
        <w:t>包括海外高端酒店用户</w:t>
      </w:r>
      <w:r>
        <w:rPr>
          <w:rFonts w:ascii="Times New Roman" w:hAnsi="Times New Roman" w:cs="Times New Roman" w:eastAsia="Times New Roman" w:hint="default"/>
          <w:spacing w:val="-1"/>
        </w:rPr>
        <w:t>20</w:t>
      </w:r>
      <w:r>
        <w:rPr>
          <w:spacing w:val="-1"/>
        </w:rPr>
        <w:t>余家。</w:t>
      </w:r>
      <w:r>
        <w:rPr>
          <w:rFonts w:ascii="Times New Roman" w:hAnsi="Times New Roman" w:cs="Times New Roman" w:eastAsia="Times New Roman" w:hint="default"/>
          <w:spacing w:val="-1"/>
        </w:rPr>
        <w:t>2015</w:t>
      </w:r>
      <w:r>
        <w:rPr>
          <w:spacing w:val="-1"/>
        </w:rPr>
        <w:t>年，石基昆仑创新业务涉及酒店数据信息互联互通、提升酒店前台办</w:t>
      </w:r>
      <w:r>
        <w:rPr>
          <w:spacing w:val="-83"/>
        </w:rPr>
        <w:t> </w:t>
      </w:r>
      <w:r>
        <w:rPr>
          <w:spacing w:val="-83"/>
        </w:rPr>
      </w:r>
      <w:r>
        <w:rPr>
          <w:spacing w:val="-1"/>
        </w:rPr>
        <w:t>理入住效率、智能预选房、智能扣餐、智能办理入住等酒店服务新需求，技术研发方面石基昆仑着手酒店</w:t>
      </w:r>
      <w:r>
        <w:rPr>
          <w:spacing w:val="-86"/>
        </w:rPr>
        <w:t> </w:t>
      </w:r>
      <w:r>
        <w:rPr>
          <w:spacing w:val="-86"/>
        </w:rPr>
      </w:r>
      <w:r>
        <w:rPr/>
        <w:t>全方位入住系统</w:t>
      </w:r>
      <w:r>
        <w:rPr>
          <w:rFonts w:ascii="Times New Roman" w:hAnsi="Times New Roman" w:cs="Times New Roman" w:eastAsia="Times New Roman" w:hint="default"/>
        </w:rPr>
        <w:t>Check</w:t>
      </w:r>
      <w:r>
        <w:rPr>
          <w:rFonts w:ascii="Times New Roman" w:hAnsi="Times New Roman" w:cs="Times New Roman" w:eastAsia="Times New Roman" w:hint="default"/>
          <w:spacing w:val="47"/>
        </w:rPr>
        <w:t> </w:t>
      </w:r>
      <w:r>
        <w:rPr>
          <w:rFonts w:ascii="Times New Roman" w:hAnsi="Times New Roman" w:cs="Times New Roman" w:eastAsia="Times New Roman" w:hint="default"/>
        </w:rPr>
        <w:t>in@Anywhere</w:t>
      </w:r>
      <w:r>
        <w:rPr/>
        <w:t>的研发，开拓以</w:t>
      </w:r>
      <w:r>
        <w:rPr>
          <w:rFonts w:ascii="Times New Roman" w:hAnsi="Times New Roman" w:cs="Times New Roman" w:eastAsia="Times New Roman" w:hint="default"/>
        </w:rPr>
        <w:t>Web/WAP/APP/Wechat/MSM/Kiosk</w:t>
      </w:r>
      <w:r>
        <w:rPr/>
        <w:t>为载体的</w:t>
      </w:r>
      <w:r>
        <w:rPr>
          <w:rFonts w:ascii="Times New Roman" w:hAnsi="Times New Roman" w:cs="Times New Roman" w:eastAsia="Times New Roman" w:hint="default"/>
        </w:rPr>
        <w:t>Check</w:t>
      </w:r>
      <w:r>
        <w:rPr>
          <w:rFonts w:ascii="Times New Roman" w:hAnsi="Times New Roman" w:cs="Times New Roman" w:eastAsia="Times New Roman" w:hint="default"/>
          <w:spacing w:val="48"/>
        </w:rPr>
        <w:t> </w:t>
      </w:r>
      <w:r>
        <w:rPr>
          <w:rFonts w:ascii="Times New Roman" w:hAnsi="Times New Roman" w:cs="Times New Roman" w:eastAsia="Times New Roman" w:hint="default"/>
        </w:rPr>
        <w:t>in</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和预选房业务方式，同时也着手酒店收益管理系统</w:t>
      </w:r>
      <w:r>
        <w:rPr>
          <w:rFonts w:ascii="Times New Roman" w:hAnsi="Times New Roman" w:cs="Times New Roman" w:eastAsia="Times New Roman" w:hint="default"/>
        </w:rPr>
        <w:t>KBI</w:t>
      </w:r>
      <w:r>
        <w:rPr/>
        <w:t>、发票接口系统</w:t>
      </w:r>
      <w:r>
        <w:rPr>
          <w:rFonts w:ascii="Times New Roman" w:hAnsi="Times New Roman" w:cs="Times New Roman" w:eastAsia="Times New Roman" w:hint="default"/>
        </w:rPr>
        <w:t>KRI</w:t>
      </w:r>
      <w:r>
        <w:rPr/>
        <w:t>的研发。</w:t>
      </w:r>
    </w:p>
    <w:p>
      <w:pPr>
        <w:spacing w:after="0" w:line="261"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576" w:right="0"/>
        <w:jc w:val="left"/>
        <w:rPr>
          <w:b w:val="0"/>
          <w:bCs w:val="0"/>
        </w:rPr>
      </w:pPr>
      <w:r>
        <w:rPr>
          <w:rFonts w:ascii="Times New Roman" w:hAnsi="Times New Roman" w:cs="Times New Roman" w:eastAsia="Times New Roman" w:hint="default"/>
        </w:rPr>
        <w:t>2</w:t>
      </w:r>
      <w:r>
        <w:rPr/>
        <w:t>、餐饮及零售信息系统（</w:t>
      </w:r>
      <w:r>
        <w:rPr>
          <w:rFonts w:ascii="Times New Roman" w:hAnsi="Times New Roman" w:cs="Times New Roman" w:eastAsia="Times New Roman" w:hint="default"/>
        </w:rPr>
        <w:t>POS</w:t>
      </w:r>
      <w:r>
        <w:rPr/>
        <w:t>）业务</w:t>
      </w:r>
      <w:r>
        <w:rPr>
          <w:b w:val="0"/>
          <w:bCs w:val="0"/>
        </w:rPr>
      </w:r>
    </w:p>
    <w:p>
      <w:pPr>
        <w:pStyle w:val="BodyText"/>
        <w:spacing w:line="266" w:lineRule="auto" w:before="59"/>
        <w:ind w:right="1131" w:firstLine="422"/>
        <w:jc w:val="both"/>
      </w:pPr>
      <w:r>
        <w:rPr/>
        <w:t>报告期内，公司主要由全资子公司</w:t>
      </w:r>
      <w:r>
        <w:rPr>
          <w:rFonts w:ascii="Times New Roman" w:hAnsi="Times New Roman" w:cs="Times New Roman" w:eastAsia="Times New Roman" w:hint="default"/>
        </w:rPr>
        <w:t>Infrasys International</w:t>
      </w:r>
      <w:r>
        <w:rPr>
          <w:rFonts w:ascii="Times New Roman" w:hAnsi="Times New Roman" w:cs="Times New Roman" w:eastAsia="Times New Roman" w:hint="default"/>
          <w:spacing w:val="29"/>
        </w:rPr>
        <w:t> </w:t>
      </w:r>
      <w:r>
        <w:rPr>
          <w:rFonts w:ascii="Times New Roman" w:hAnsi="Times New Roman" w:cs="Times New Roman" w:eastAsia="Times New Roman" w:hint="default"/>
        </w:rPr>
        <w:t>Ltd.</w:t>
      </w:r>
      <w:r>
        <w:rPr/>
        <w:t>、控股子公司上海正品贵德软件有限公司 </w:t>
      </w:r>
      <w:r>
        <w:rPr>
          <w:spacing w:val="-1"/>
        </w:rPr>
        <w:t>开展中高端、连锁餐饮行业的信息系统业务，控股子公司思迅软件开展低端餐饮及零售行业的信息系统业</w:t>
      </w:r>
      <w:r>
        <w:rPr>
          <w:spacing w:val="-81"/>
        </w:rPr>
        <w:t> </w:t>
      </w:r>
      <w:r>
        <w:rPr>
          <w:spacing w:val="-81"/>
        </w:rPr>
      </w:r>
      <w:r>
        <w:rPr/>
        <w:t>务。</w:t>
      </w:r>
    </w:p>
    <w:p>
      <w:pPr>
        <w:pStyle w:val="BodyText"/>
        <w:spacing w:line="261" w:lineRule="auto" w:before="54"/>
        <w:ind w:right="1128" w:firstLine="422"/>
        <w:jc w:val="both"/>
      </w:pPr>
      <w:r>
        <w:rPr/>
        <w:t>截至本报告期末，</w:t>
      </w:r>
      <w:r>
        <w:rPr>
          <w:rFonts w:ascii="Times New Roman" w:hAnsi="Times New Roman" w:cs="Times New Roman" w:eastAsia="Times New Roman" w:hint="default"/>
        </w:rPr>
        <w:t>Infrasys International</w:t>
      </w:r>
      <w:r>
        <w:rPr>
          <w:rFonts w:ascii="Times New Roman" w:hAnsi="Times New Roman" w:cs="Times New Roman" w:eastAsia="Times New Roman" w:hint="default"/>
          <w:spacing w:val="26"/>
        </w:rPr>
        <w:t> </w:t>
      </w:r>
      <w:r>
        <w:rPr>
          <w:rFonts w:ascii="Times New Roman" w:hAnsi="Times New Roman" w:cs="Times New Roman" w:eastAsia="Times New Roman" w:hint="default"/>
        </w:rPr>
        <w:t>Ltd.</w:t>
      </w:r>
      <w:r>
        <w:rPr/>
        <w:t>公司累计高星级酒店餐饮用户超过千家，社会餐厅用户总 数超过</w:t>
      </w:r>
      <w:r>
        <w:rPr>
          <w:rFonts w:ascii="Times New Roman" w:hAnsi="Times New Roman" w:cs="Times New Roman" w:eastAsia="Times New Roman" w:hint="default"/>
        </w:rPr>
        <w:t>4000</w:t>
      </w:r>
      <w:r>
        <w:rPr/>
        <w:t>家；</w:t>
      </w:r>
      <w:r>
        <w:rPr>
          <w:rFonts w:ascii="Times New Roman" w:hAnsi="Times New Roman" w:cs="Times New Roman" w:eastAsia="Times New Roman" w:hint="default"/>
        </w:rPr>
        <w:t>2015</w:t>
      </w:r>
      <w:r>
        <w:rPr/>
        <w:t>年，随着国家互联网</w:t>
      </w:r>
      <w:r>
        <w:rPr>
          <w:rFonts w:ascii="Times New Roman" w:hAnsi="Times New Roman" w:cs="Times New Roman" w:eastAsia="Times New Roman" w:hint="default"/>
        </w:rPr>
        <w:t>+</w:t>
      </w:r>
      <w:r>
        <w:rPr/>
        <w:t>战略的推广，</w:t>
      </w:r>
      <w:r>
        <w:rPr>
          <w:rFonts w:ascii="Times New Roman" w:hAnsi="Times New Roman" w:cs="Times New Roman" w:eastAsia="Times New Roman" w:hint="default"/>
        </w:rPr>
        <w:t>Infrasys</w:t>
      </w:r>
      <w:r>
        <w:rPr/>
        <w:t>大力推进与腾讯、阿里巴巴等</w:t>
      </w:r>
      <w:r>
        <w:rPr>
          <w:rFonts w:ascii="Times New Roman" w:hAnsi="Times New Roman" w:cs="Times New Roman" w:eastAsia="Times New Roman" w:hint="default"/>
        </w:rPr>
        <w:t>“O2O”</w:t>
      </w:r>
      <w:r>
        <w:rPr/>
        <w:t>平台</w:t>
      </w:r>
      <w:r>
        <w:rPr>
          <w:spacing w:val="-59"/>
        </w:rPr>
        <w:t> </w:t>
      </w:r>
      <w:r>
        <w:rPr/>
        <w:t>的合作拓展，完成了上千家餐厅和酒店的支付对接；云平台</w:t>
      </w:r>
      <w:r>
        <w:rPr>
          <w:rFonts w:ascii="Times New Roman" w:hAnsi="Times New Roman" w:cs="Times New Roman" w:eastAsia="Times New Roman" w:hint="default"/>
        </w:rPr>
        <w:t>POS</w:t>
      </w:r>
      <w:r>
        <w:rPr/>
        <w:t>系统</w:t>
      </w:r>
      <w:r>
        <w:rPr>
          <w:rFonts w:ascii="Times New Roman" w:hAnsi="Times New Roman" w:cs="Times New Roman" w:eastAsia="Times New Roman" w:hint="default"/>
        </w:rPr>
        <w:t>“Hero”</w:t>
      </w:r>
      <w:r>
        <w:rPr/>
        <w:t>已成功在大陆、香港、新加坡</w:t>
      </w:r>
      <w:r>
        <w:rPr>
          <w:spacing w:val="-70"/>
        </w:rPr>
        <w:t> </w:t>
      </w:r>
      <w:r>
        <w:rPr>
          <w:spacing w:val="-70"/>
        </w:rPr>
      </w:r>
      <w:r>
        <w:rPr>
          <w:spacing w:val="-1"/>
        </w:rPr>
        <w:t>和马来西亚上线了百余家餐厅，完成了从快餐、西餐、中餐等多类型餐厅的平稳上线，并成功在外婆家和</w:t>
      </w:r>
      <w:r>
        <w:rPr>
          <w:spacing w:val="-86"/>
        </w:rPr>
        <w:t> </w:t>
      </w:r>
      <w:r>
        <w:rPr>
          <w:spacing w:val="-86"/>
        </w:rPr>
      </w:r>
      <w:r>
        <w:rPr>
          <w:spacing w:val="-1"/>
        </w:rPr>
        <w:t>唐宫集团的连锁餐厅上线；新一代</w:t>
      </w:r>
      <w:r>
        <w:rPr>
          <w:rFonts w:ascii="Times New Roman" w:hAnsi="Times New Roman" w:cs="Times New Roman" w:eastAsia="Times New Roman" w:hint="default"/>
          <w:spacing w:val="-1"/>
        </w:rPr>
        <w:t>“Xpos</w:t>
      </w:r>
      <w:r>
        <w:rPr>
          <w:spacing w:val="-1"/>
        </w:rPr>
        <w:t>快速支付平台</w:t>
      </w:r>
      <w:r>
        <w:rPr>
          <w:rFonts w:ascii="Times New Roman" w:hAnsi="Times New Roman" w:cs="Times New Roman" w:eastAsia="Times New Roman" w:hint="default"/>
          <w:spacing w:val="-1"/>
        </w:rPr>
        <w:t>”</w:t>
      </w:r>
      <w:r>
        <w:rPr>
          <w:spacing w:val="-1"/>
        </w:rPr>
        <w:t>产品在众多餐厅及酒店市场快速部署，实现了在顾</w:t>
      </w:r>
      <w:r>
        <w:rPr>
          <w:spacing w:val="-80"/>
        </w:rPr>
        <w:t> </w:t>
      </w:r>
      <w:r>
        <w:rPr>
          <w:spacing w:val="-80"/>
        </w:rPr>
      </w:r>
      <w:r>
        <w:rPr>
          <w:spacing w:val="-1"/>
        </w:rPr>
        <w:t>客面前打印账单、刷银行卡支付、微信扫码支付、支付宝扫码支付、收银系统自动结账等功能，有效减少</w:t>
      </w:r>
      <w:r>
        <w:rPr>
          <w:spacing w:val="-83"/>
        </w:rPr>
        <w:t> </w:t>
      </w:r>
      <w:r>
        <w:rPr>
          <w:spacing w:val="-83"/>
        </w:rPr>
      </w:r>
      <w:r>
        <w:rPr/>
        <w:t>顾客结账的时间，提高了顾客的满意度，提升了服务效率，降低了酒店的人工及运营成本。</w:t>
      </w:r>
    </w:p>
    <w:p>
      <w:pPr>
        <w:pStyle w:val="BodyText"/>
        <w:spacing w:line="261" w:lineRule="auto" w:before="56"/>
        <w:ind w:right="1129" w:firstLine="422"/>
        <w:jc w:val="both"/>
      </w:pPr>
      <w:r>
        <w:rPr/>
        <w:t>报告期内，上海正品贵德软件有限公司新增客户</w:t>
      </w:r>
      <w:r>
        <w:rPr>
          <w:rFonts w:ascii="Times New Roman" w:hAnsi="Times New Roman" w:cs="Times New Roman" w:eastAsia="Times New Roman" w:hint="default"/>
        </w:rPr>
        <w:t>975</w:t>
      </w:r>
      <w:r>
        <w:rPr/>
        <w:t>家，客户总数约</w:t>
      </w:r>
      <w:r>
        <w:rPr>
          <w:rFonts w:ascii="Times New Roman" w:hAnsi="Times New Roman" w:cs="Times New Roman" w:eastAsia="Times New Roman" w:hint="default"/>
        </w:rPr>
        <w:t>9000</w:t>
      </w:r>
      <w:r>
        <w:rPr/>
        <w:t>家。餐饮业的后端供应链、 </w:t>
      </w:r>
      <w:r>
        <w:rPr>
          <w:spacing w:val="-1"/>
        </w:rPr>
        <w:t>动态成本、物流配送、出品标准化、供应商管控、食材追溯、连锁管控等等一直是中国餐饮行业最薄弱的</w:t>
      </w:r>
      <w:r>
        <w:rPr>
          <w:spacing w:val="-83"/>
        </w:rPr>
        <w:t> </w:t>
      </w:r>
      <w:r>
        <w:rPr>
          <w:spacing w:val="-83"/>
        </w:rPr>
      </w:r>
      <w:r>
        <w:rPr>
          <w:spacing w:val="-2"/>
        </w:rPr>
        <w:t>环节，正品贵德长期专注于该领域产品研发，契合《新食品安全法》的正品</w:t>
      </w:r>
      <w:r>
        <w:rPr>
          <w:rFonts w:ascii="Times New Roman" w:hAnsi="Times New Roman" w:cs="Times New Roman" w:eastAsia="Times New Roman" w:hint="default"/>
          <w:spacing w:val="-2"/>
        </w:rPr>
        <w:t>G9</w:t>
      </w:r>
      <w:r>
        <w:rPr>
          <w:spacing w:val="-2"/>
        </w:rPr>
        <w:t>餐饮供应链产品获得餐饮行</w:t>
      </w:r>
      <w:r>
        <w:rPr>
          <w:spacing w:val="-79"/>
        </w:rPr>
        <w:t> </w:t>
      </w:r>
      <w:r>
        <w:rPr>
          <w:spacing w:val="-1"/>
        </w:rPr>
        <w:t>业好评，新增连锁供应链餐饮企业超过</w:t>
      </w:r>
      <w:r>
        <w:rPr>
          <w:rFonts w:ascii="Times New Roman" w:hAnsi="Times New Roman" w:cs="Times New Roman" w:eastAsia="Times New Roman" w:hint="default"/>
          <w:spacing w:val="-1"/>
        </w:rPr>
        <w:t>50</w:t>
      </w:r>
      <w:r>
        <w:rPr>
          <w:spacing w:val="-1"/>
        </w:rPr>
        <w:t>家；正品贵德以连锁餐饮为</w:t>
      </w:r>
      <w:r>
        <w:rPr>
          <w:rFonts w:ascii="Times New Roman" w:hAnsi="Times New Roman" w:cs="Times New Roman" w:eastAsia="Times New Roman" w:hint="default"/>
          <w:spacing w:val="-1"/>
        </w:rPr>
        <w:t>O2O</w:t>
      </w:r>
      <w:r>
        <w:rPr>
          <w:spacing w:val="-1"/>
        </w:rPr>
        <w:t>应用主体，推出解决方案，联通</w:t>
      </w:r>
      <w:r>
        <w:rPr>
          <w:spacing w:val="-71"/>
        </w:rPr>
        <w:t> </w:t>
      </w:r>
      <w:r>
        <w:rPr>
          <w:spacing w:val="-71"/>
        </w:rPr>
      </w:r>
      <w:r>
        <w:rPr>
          <w:spacing w:val="-1"/>
        </w:rPr>
        <w:t>客户线上线下，推进了连锁化餐饮</w:t>
      </w:r>
      <w:r>
        <w:rPr>
          <w:rFonts w:ascii="Times New Roman" w:hAnsi="Times New Roman" w:cs="Times New Roman" w:eastAsia="Times New Roman" w:hint="default"/>
          <w:spacing w:val="-1"/>
        </w:rPr>
        <w:t>O2O</w:t>
      </w:r>
      <w:r>
        <w:rPr>
          <w:spacing w:val="-1"/>
        </w:rPr>
        <w:t>应用，目前已上线微信支付、支付宝支付的连锁餐饮门店超过</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17"/>
        </w:rPr>
        <w:t> </w:t>
      </w:r>
      <w:r>
        <w:rPr/>
        <w:t>家。</w:t>
      </w:r>
    </w:p>
    <w:p>
      <w:pPr>
        <w:pStyle w:val="BodyText"/>
        <w:spacing w:line="264" w:lineRule="auto" w:before="56"/>
        <w:ind w:right="0" w:firstLine="422"/>
        <w:jc w:val="left"/>
      </w:pPr>
      <w:r>
        <w:rPr/>
        <w:t>报告期内，思迅软件新增用户数达</w:t>
      </w:r>
      <w:r>
        <w:rPr>
          <w:rFonts w:ascii="Times New Roman" w:hAnsi="Times New Roman" w:cs="Times New Roman" w:eastAsia="Times New Roman" w:hint="default"/>
        </w:rPr>
        <w:t>77,000</w:t>
      </w:r>
      <w:r>
        <w:rPr/>
        <w:t>家，报告期末客户总数近</w:t>
      </w:r>
      <w:r>
        <w:rPr>
          <w:rFonts w:ascii="Times New Roman" w:hAnsi="Times New Roman" w:cs="Times New Roman" w:eastAsia="Times New Roman" w:hint="default"/>
        </w:rPr>
        <w:t>40</w:t>
      </w:r>
      <w:r>
        <w:rPr/>
        <w:t>万家，代理商总数</w:t>
      </w:r>
      <w:r>
        <w:rPr>
          <w:rFonts w:ascii="Times New Roman" w:hAnsi="Times New Roman" w:cs="Times New Roman" w:eastAsia="Times New Roman" w:hint="default"/>
        </w:rPr>
        <w:t>1216</w:t>
      </w:r>
      <w:r>
        <w:rPr/>
        <w:t>家，渠道 </w:t>
      </w:r>
      <w:r>
        <w:rPr>
          <w:spacing w:val="-1"/>
        </w:rPr>
        <w:t>覆盖全国</w:t>
      </w:r>
      <w:r>
        <w:rPr>
          <w:rFonts w:ascii="Times New Roman" w:hAnsi="Times New Roman" w:cs="Times New Roman" w:eastAsia="Times New Roman" w:hint="default"/>
          <w:spacing w:val="-1"/>
        </w:rPr>
        <w:t>306</w:t>
      </w:r>
      <w:r>
        <w:rPr>
          <w:spacing w:val="-1"/>
        </w:rPr>
        <w:t>个城市。</w:t>
      </w:r>
      <w:r>
        <w:rPr>
          <w:rFonts w:ascii="Times New Roman" w:hAnsi="Times New Roman" w:cs="Times New Roman" w:eastAsia="Times New Roman" w:hint="default"/>
          <w:spacing w:val="-1"/>
        </w:rPr>
        <w:t>2015</w:t>
      </w:r>
      <w:r>
        <w:rPr>
          <w:spacing w:val="-1"/>
        </w:rPr>
        <w:t>年，思迅软件在国内中小客户市场中保持了竞争优势，整体业务趋向稳定增长，</w:t>
      </w:r>
      <w:r>
        <w:rPr>
          <w:spacing w:val="-81"/>
        </w:rPr>
        <w:t> </w:t>
      </w:r>
      <w:r>
        <w:rPr>
          <w:spacing w:val="-81"/>
        </w:rPr>
      </w:r>
      <w:r>
        <w:rPr/>
        <w:t>除餐饮业务受到大环境因素影响增幅较小外，其他各主要业务线均有不同程度增长，其中超市便利店和专</w:t>
      </w:r>
      <w:r>
        <w:rPr/>
        <w:t> 卖店业务增长较大。</w:t>
      </w:r>
    </w:p>
    <w:p>
      <w:pPr>
        <w:pStyle w:val="BodyText"/>
        <w:spacing w:line="290" w:lineRule="auto" w:before="57"/>
        <w:ind w:left="576" w:right="1118"/>
        <w:jc w:val="left"/>
      </w:pPr>
      <w:r>
        <w:rPr>
          <w:rFonts w:ascii="Times New Roman" w:hAnsi="Times New Roman" w:cs="Times New Roman" w:eastAsia="Times New Roman" w:hint="default"/>
        </w:rPr>
        <w:t>3</w:t>
      </w:r>
      <w:r>
        <w:rPr/>
        <w:t>、</w:t>
      </w:r>
      <w:r>
        <w:rPr>
          <w:rFonts w:ascii="宋体" w:hAnsi="宋体" w:cs="宋体" w:eastAsia="宋体" w:hint="default"/>
          <w:b/>
          <w:bCs/>
        </w:rPr>
        <w:t>畅联业务</w:t>
      </w:r>
      <w:r>
        <w:rPr>
          <w:rFonts w:ascii="宋体" w:hAnsi="宋体" w:cs="宋体" w:eastAsia="宋体" w:hint="default"/>
          <w:b/>
          <w:bCs/>
          <w:w w:val="99"/>
        </w:rPr>
        <w:t> </w:t>
      </w:r>
      <w:r>
        <w:rPr>
          <w:spacing w:val="-1"/>
        </w:rPr>
        <w:t>报告期内，</w:t>
      </w:r>
      <w:r>
        <w:rPr>
          <w:rFonts w:ascii="Times New Roman" w:hAnsi="Times New Roman" w:cs="Times New Roman" w:eastAsia="Times New Roman" w:hint="default"/>
          <w:spacing w:val="-1"/>
        </w:rPr>
        <w:t>CHINAonline</w:t>
      </w:r>
      <w:r>
        <w:rPr>
          <w:spacing w:val="-1"/>
        </w:rPr>
        <w:t>（畅联）进一步推进直连在集团</w:t>
      </w:r>
      <w:r>
        <w:rPr>
          <w:rFonts w:ascii="Times New Roman" w:hAnsi="Times New Roman" w:cs="Times New Roman" w:eastAsia="Times New Roman" w:hint="default"/>
          <w:spacing w:val="-1"/>
        </w:rPr>
        <w:t>/</w:t>
      </w:r>
      <w:r>
        <w:rPr>
          <w:spacing w:val="-1"/>
        </w:rPr>
        <w:t>酒店与多种类型渠道合作中的应用，技术功</w:t>
      </w:r>
    </w:p>
    <w:p>
      <w:pPr>
        <w:pStyle w:val="BodyText"/>
        <w:spacing w:line="263" w:lineRule="exact" w:before="0"/>
        <w:ind w:right="0"/>
        <w:jc w:val="both"/>
      </w:pPr>
      <w:r>
        <w:rPr/>
        <w:t>能升级换代，业务拓展范围扩大</w:t>
      </w:r>
      <w:r>
        <w:rPr>
          <w:rFonts w:ascii="Times New Roman" w:hAnsi="Times New Roman" w:cs="Times New Roman" w:eastAsia="Times New Roman" w:hint="default"/>
        </w:rPr>
        <w:t>,2015</w:t>
      </w:r>
      <w:r>
        <w:rPr/>
        <w:t>年畅联共新增</w:t>
      </w:r>
      <w:r>
        <w:rPr>
          <w:rFonts w:ascii="Times New Roman" w:hAnsi="Times New Roman" w:cs="Times New Roman" w:eastAsia="Times New Roman" w:hint="default"/>
        </w:rPr>
        <w:t>50</w:t>
      </w:r>
      <w:r>
        <w:rPr/>
        <w:t>多个直连项目。（</w:t>
      </w:r>
      <w:r>
        <w:rPr>
          <w:rFonts w:ascii="Times New Roman" w:hAnsi="Times New Roman" w:cs="Times New Roman" w:eastAsia="Times New Roman" w:hint="default"/>
        </w:rPr>
        <w:t>1</w:t>
      </w:r>
      <w:r>
        <w:rPr/>
        <w:t>）酒店分销渠道对接方面，在扩</w:t>
      </w:r>
    </w:p>
    <w:p>
      <w:pPr>
        <w:pStyle w:val="BodyText"/>
        <w:spacing w:line="256" w:lineRule="auto" w:before="21"/>
        <w:ind w:right="1109"/>
        <w:jc w:val="both"/>
      </w:pPr>
      <w:r>
        <w:rPr/>
        <w:t>大原有客户合作的广度和深度的基础上，同时增了两家新的知名海外渠道</w:t>
      </w:r>
      <w:r>
        <w:rPr>
          <w:rFonts w:ascii="Times New Roman" w:hAnsi="Times New Roman" w:cs="Times New Roman" w:eastAsia="Times New Roman" w:hint="default"/>
        </w:rPr>
        <w:t>Ottila</w:t>
      </w:r>
      <w:r>
        <w:rPr/>
        <w:t>和</w:t>
      </w:r>
      <w:r>
        <w:rPr>
          <w:rFonts w:ascii="Times New Roman" w:hAnsi="Times New Roman" w:cs="Times New Roman" w:eastAsia="Times New Roman" w:hint="default"/>
        </w:rPr>
        <w:t>MTS Citybreaks</w:t>
      </w:r>
      <w:r>
        <w:rPr/>
        <w:t>。（</w:t>
      </w:r>
      <w:r>
        <w:rPr>
          <w:rFonts w:ascii="Times New Roman" w:hAnsi="Times New Roman" w:cs="Times New Roman" w:eastAsia="Times New Roman" w:hint="default"/>
        </w:rPr>
        <w:t>2</w:t>
      </w:r>
      <w:r>
        <w:rPr/>
        <w:t>）</w:t>
      </w:r>
      <w:r>
        <w:rPr>
          <w:spacing w:val="-65"/>
        </w:rPr>
        <w:t> </w:t>
      </w:r>
      <w:r>
        <w:rPr/>
        <w:t>酒店客户方面，新增</w:t>
      </w:r>
      <w:r>
        <w:rPr>
          <w:rFonts w:ascii="Times New Roman" w:hAnsi="Times New Roman" w:cs="Times New Roman" w:eastAsia="Times New Roman" w:hint="default"/>
        </w:rPr>
        <w:t>15</w:t>
      </w:r>
      <w:r>
        <w:rPr/>
        <w:t>个国内集团，包括首旅、锦江国际、南航、御庭、雅阁、乌镇、华侨城（温州）、 尚客优、瑞达、今典、弘峰、恒大、海外海、古北水镇、富驿集团，以及</w:t>
      </w:r>
      <w:r>
        <w:rPr>
          <w:rFonts w:ascii="Times New Roman" w:hAnsi="Times New Roman" w:cs="Times New Roman" w:eastAsia="Times New Roman" w:hint="default"/>
        </w:rPr>
        <w:t>3</w:t>
      </w:r>
      <w:r>
        <w:rPr/>
        <w:t>家知名国际集团</w:t>
      </w:r>
      <w:r>
        <w:rPr>
          <w:rFonts w:ascii="Times New Roman" w:hAnsi="Times New Roman" w:cs="Times New Roman" w:eastAsia="Times New Roman" w:hint="default"/>
        </w:rPr>
        <w:t>——</w:t>
      </w:r>
      <w:r>
        <w:rPr/>
        <w:t>喜达屋、</w:t>
      </w:r>
      <w:r>
        <w:rPr>
          <w:spacing w:val="-26"/>
        </w:rPr>
        <w:t> </w:t>
      </w:r>
      <w:r>
        <w:rPr>
          <w:spacing w:val="-26"/>
        </w:rPr>
      </w:r>
      <w:r>
        <w:rPr>
          <w:spacing w:val="-1"/>
        </w:rPr>
        <w:t>最佳西方和帝盛集团。另外，在</w:t>
      </w:r>
      <w:r>
        <w:rPr>
          <w:rFonts w:ascii="Times New Roman" w:hAnsi="Times New Roman" w:cs="Times New Roman" w:eastAsia="Times New Roman" w:hint="default"/>
          <w:spacing w:val="-1"/>
        </w:rPr>
        <w:t>2015</w:t>
      </w:r>
      <w:r>
        <w:rPr>
          <w:spacing w:val="-1"/>
        </w:rPr>
        <w:t>年，畅联和世界著名主题公园及文化企业迪士尼公司就上海迪士尼主</w:t>
      </w:r>
      <w:r>
        <w:rPr>
          <w:spacing w:val="-83"/>
        </w:rPr>
        <w:t> </w:t>
      </w:r>
      <w:r>
        <w:rPr>
          <w:spacing w:val="-83"/>
        </w:rPr>
      </w:r>
      <w:r>
        <w:rPr/>
        <w:t>题公园达成合作，全面负责上海迪士尼度假酒店与其授权分销商的线上交易直连技术。</w:t>
      </w:r>
    </w:p>
    <w:p>
      <w:pPr>
        <w:pStyle w:val="BodyText"/>
        <w:spacing w:line="268" w:lineRule="auto" w:before="61"/>
        <w:ind w:right="0" w:firstLine="422"/>
        <w:jc w:val="left"/>
      </w:pPr>
      <w:r>
        <w:rPr/>
        <w:t>通过与阿里巴巴的战略合作，畅联业务继续深化与阿里旅行的合作，一方面，在技术上，通过将服务 器迁移至阿里云，大幅度提升了服务器的稳定性和兼容性，为畅联直连业务的全面增长提供了良好的技术 </w:t>
      </w:r>
      <w:r>
        <w:rPr>
          <w:spacing w:val="-2"/>
        </w:rPr>
        <w:t>保障；另一方面，畅联与阿里旅行共同成功开发并推出创新型的</w:t>
      </w:r>
      <w:r>
        <w:rPr>
          <w:rFonts w:ascii="Times New Roman" w:hAnsi="Times New Roman" w:cs="Times New Roman" w:eastAsia="Times New Roman" w:hint="default"/>
          <w:spacing w:val="-2"/>
        </w:rPr>
        <w:t>“</w:t>
      </w:r>
      <w:r>
        <w:rPr>
          <w:spacing w:val="-2"/>
        </w:rPr>
        <w:t>信用住</w:t>
      </w:r>
      <w:r>
        <w:rPr>
          <w:rFonts w:ascii="Times New Roman" w:hAnsi="Times New Roman" w:cs="Times New Roman" w:eastAsia="Times New Roman" w:hint="default"/>
          <w:spacing w:val="-2"/>
        </w:rPr>
        <w:t>”</w:t>
      </w:r>
      <w:r>
        <w:rPr>
          <w:spacing w:val="-2"/>
        </w:rPr>
        <w:t>产品，通过直连实现的</w:t>
      </w:r>
      <w:r>
        <w:rPr>
          <w:rFonts w:ascii="Times New Roman" w:hAnsi="Times New Roman" w:cs="Times New Roman" w:eastAsia="Times New Roman" w:hint="default"/>
          <w:spacing w:val="-2"/>
        </w:rPr>
        <w:t>“</w:t>
      </w:r>
      <w:r>
        <w:rPr>
          <w:spacing w:val="-2"/>
        </w:rPr>
        <w:t>信用住</w:t>
      </w:r>
      <w:r>
        <w:rPr>
          <w:rFonts w:ascii="Times New Roman" w:hAnsi="Times New Roman" w:cs="Times New Roman" w:eastAsia="Times New Roman" w:hint="default"/>
          <w:spacing w:val="-2"/>
        </w:rPr>
        <w:t>”</w:t>
      </w:r>
      <w:r>
        <w:rPr>
          <w:spacing w:val="-2"/>
        </w:rPr>
        <w:t>，</w:t>
      </w:r>
      <w:r>
        <w:rPr>
          <w:spacing w:val="-91"/>
        </w:rPr>
        <w:t> </w:t>
      </w:r>
      <w:r>
        <w:rPr/>
        <w:t>一方面提升消费入住的体验，同时也帮助酒店优化了运营流程和降低了结算成本。截止本报告期末，完成</w:t>
      </w:r>
      <w:r>
        <w:rPr/>
        <w:t> 与阿里直连酒店超过</w:t>
      </w:r>
      <w:r>
        <w:rPr>
          <w:rFonts w:ascii="Times New Roman" w:hAnsi="Times New Roman" w:cs="Times New Roman" w:eastAsia="Times New Roman" w:hint="default"/>
        </w:rPr>
        <w:t>5000</w:t>
      </w:r>
      <w:r>
        <w:rPr/>
        <w:t>家，完成信用住产品上线共</w:t>
      </w:r>
      <w:r>
        <w:rPr>
          <w:rFonts w:ascii="Times New Roman" w:hAnsi="Times New Roman" w:cs="Times New Roman" w:eastAsia="Times New Roman" w:hint="default"/>
        </w:rPr>
        <w:t>4500</w:t>
      </w:r>
      <w:r>
        <w:rPr/>
        <w:t>余家。</w:t>
      </w:r>
    </w:p>
    <w:p>
      <w:pPr>
        <w:pStyle w:val="BodyText"/>
        <w:spacing w:line="290" w:lineRule="auto" w:before="34"/>
        <w:ind w:left="576" w:right="1118"/>
        <w:jc w:val="left"/>
      </w:pPr>
      <w:r>
        <w:rPr>
          <w:rFonts w:ascii="Times New Roman" w:hAnsi="Times New Roman" w:cs="Times New Roman" w:eastAsia="Times New Roman" w:hint="default"/>
          <w:b/>
          <w:bCs/>
        </w:rPr>
        <w:t>4</w:t>
      </w:r>
      <w:r>
        <w:rPr>
          <w:rFonts w:ascii="宋体" w:hAnsi="宋体" w:cs="宋体" w:eastAsia="宋体" w:hint="default"/>
          <w:b/>
          <w:bCs/>
        </w:rPr>
        <w:t>、支付业务</w:t>
      </w:r>
      <w:r>
        <w:rPr>
          <w:rFonts w:ascii="宋体" w:hAnsi="宋体" w:cs="宋体" w:eastAsia="宋体" w:hint="default"/>
          <w:b/>
          <w:bCs/>
          <w:w w:val="99"/>
        </w:rPr>
        <w:t> </w:t>
      </w:r>
      <w:r>
        <w:rPr>
          <w:spacing w:val="-1"/>
        </w:rPr>
        <w:t>南京银石专门从事支付领域的软件产品开发和技术服务工作，目前支付产品和解决方案适用范围涵盖</w:t>
      </w:r>
    </w:p>
    <w:p>
      <w:pPr>
        <w:pStyle w:val="BodyText"/>
        <w:spacing w:line="273" w:lineRule="auto" w:before="0"/>
        <w:ind w:left="154" w:right="1132"/>
        <w:jc w:val="both"/>
      </w:pPr>
      <w:r>
        <w:rPr>
          <w:spacing w:val="-1"/>
        </w:rPr>
        <w:t>了酒店、餐饮、百货零售、旅游景区等行业。银石产品还包括预付费卡后台主机系统以及支付转接平台和</w:t>
      </w:r>
      <w:r>
        <w:rPr>
          <w:spacing w:val="-86"/>
        </w:rPr>
        <w:t> </w:t>
      </w:r>
      <w:r>
        <w:rPr>
          <w:spacing w:val="-86"/>
        </w:rPr>
      </w:r>
      <w:r>
        <w:rPr>
          <w:spacing w:val="-1"/>
        </w:rPr>
        <w:t>增值业务系统，目前都得到广泛的应用。近几年银石产品在医院、景区等行业，特别是自助终端机上的应</w:t>
      </w:r>
      <w:r>
        <w:rPr>
          <w:spacing w:val="-85"/>
        </w:rPr>
        <w:t> </w:t>
      </w:r>
      <w:r>
        <w:rPr>
          <w:spacing w:val="-85"/>
        </w:rPr>
      </w:r>
      <w:r>
        <w:rPr/>
        <w:t>用有了较快的发展。</w:t>
      </w:r>
    </w:p>
    <w:p>
      <w:pPr>
        <w:pStyle w:val="BodyText"/>
        <w:spacing w:line="261" w:lineRule="auto" w:before="46"/>
        <w:ind w:left="154" w:right="1131" w:firstLine="422"/>
        <w:jc w:val="both"/>
      </w:pPr>
      <w:r>
        <w:rPr>
          <w:spacing w:val="-1"/>
        </w:rPr>
        <w:t>报告期内，南京银石共新签</w:t>
      </w:r>
      <w:r>
        <w:rPr>
          <w:rFonts w:ascii="Times New Roman" w:hAnsi="Times New Roman" w:cs="Times New Roman" w:eastAsia="Times New Roman" w:hint="default"/>
          <w:spacing w:val="-1"/>
        </w:rPr>
        <w:t>754</w:t>
      </w:r>
      <w:r>
        <w:rPr>
          <w:spacing w:val="-1"/>
        </w:rPr>
        <w:t>个项目，新立项软件产品类项目</w:t>
      </w:r>
      <w:r>
        <w:rPr>
          <w:rFonts w:ascii="Times New Roman" w:hAnsi="Times New Roman" w:cs="Times New Roman" w:eastAsia="Times New Roman" w:hint="default"/>
          <w:spacing w:val="-1"/>
        </w:rPr>
        <w:t>408</w:t>
      </w:r>
      <w:r>
        <w:rPr>
          <w:spacing w:val="-1"/>
        </w:rPr>
        <w:t>个，软件开发类项目</w:t>
      </w:r>
      <w:r>
        <w:rPr>
          <w:rFonts w:ascii="Times New Roman" w:hAnsi="Times New Roman" w:cs="Times New Roman" w:eastAsia="Times New Roman" w:hint="default"/>
          <w:spacing w:val="-1"/>
        </w:rPr>
        <w:t>24</w:t>
      </w:r>
      <w:r>
        <w:rPr>
          <w:spacing w:val="-1"/>
        </w:rPr>
        <w:t>个，硬件设</w:t>
      </w:r>
      <w:r>
        <w:rPr/>
        <w:t> 备采购类项目</w:t>
      </w:r>
      <w:r>
        <w:rPr>
          <w:rFonts w:ascii="Times New Roman" w:hAnsi="Times New Roman" w:cs="Times New Roman" w:eastAsia="Times New Roman" w:hint="default"/>
        </w:rPr>
        <w:t>57</w:t>
      </w:r>
      <w:r>
        <w:rPr/>
        <w:t>个，系统维护升级类项目</w:t>
      </w:r>
      <w:r>
        <w:rPr>
          <w:rFonts w:ascii="Times New Roman" w:hAnsi="Times New Roman" w:cs="Times New Roman" w:eastAsia="Times New Roman" w:hint="default"/>
        </w:rPr>
        <w:t>265</w:t>
      </w:r>
      <w:r>
        <w:rPr/>
        <w:t>个。随着支付宝微信等新型支付方式的发展，银石公司凭借</w:t>
      </w:r>
      <w:r>
        <w:rPr>
          <w:spacing w:val="-31"/>
        </w:rPr>
        <w:t> </w:t>
      </w:r>
      <w:r>
        <w:rPr>
          <w:spacing w:val="-31"/>
        </w:rPr>
      </w:r>
      <w:r>
        <w:rPr>
          <w:spacing w:val="-1"/>
        </w:rPr>
        <w:t>自身的技术力量和行业经验，依托石基庞大的客户资源，推出了全渠道支付解决方案，现已开发完成了石</w:t>
      </w:r>
      <w:r>
        <w:rPr>
          <w:spacing w:val="-83"/>
        </w:rPr>
        <w:t> </w:t>
      </w:r>
      <w:r>
        <w:rPr>
          <w:spacing w:val="-83"/>
        </w:rPr>
      </w:r>
      <w:r>
        <w:rPr>
          <w:spacing w:val="-1"/>
        </w:rPr>
        <w:t>基支付平台一期项目，为商户提供集银行卡、预付卡、支付宝、微信等支付方式于一体的全方位、一体化</w:t>
      </w:r>
    </w:p>
    <w:p>
      <w:pPr>
        <w:spacing w:after="0" w:line="261"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BodyText"/>
        <w:spacing w:line="307" w:lineRule="auto" w:before="35"/>
        <w:ind w:left="576" w:right="0" w:hanging="423"/>
        <w:jc w:val="left"/>
        <w:rPr>
          <w:rFonts w:ascii="Times New Roman" w:hAnsi="Times New Roman" w:cs="Times New Roman" w:eastAsia="Times New Roman" w:hint="default"/>
        </w:rPr>
      </w:pPr>
      <w:r>
        <w:rPr/>
        <w:t>的支付解决方案，满足商户更安全、更方便，更准确的支付受理需求。 </w:t>
      </w:r>
      <w:r>
        <w:rPr>
          <w:spacing w:val="-5"/>
        </w:rPr>
        <w:t>报告期内，酒店银行卡收单一体化（</w:t>
      </w:r>
      <w:r>
        <w:rPr>
          <w:rFonts w:ascii="Times New Roman" w:hAnsi="Times New Roman" w:cs="Times New Roman" w:eastAsia="Times New Roman" w:hint="default"/>
          <w:spacing w:val="-5"/>
        </w:rPr>
        <w:t>PGS</w:t>
      </w:r>
      <w:r>
        <w:rPr>
          <w:spacing w:val="-5"/>
        </w:rPr>
        <w:t>）业务新开通酒店</w:t>
      </w:r>
      <w:r>
        <w:rPr>
          <w:rFonts w:ascii="Times New Roman" w:hAnsi="Times New Roman" w:cs="Times New Roman" w:eastAsia="Times New Roman" w:hint="default"/>
          <w:spacing w:val="-5"/>
        </w:rPr>
        <w:t>123</w:t>
      </w:r>
      <w:r>
        <w:rPr>
          <w:spacing w:val="-5"/>
        </w:rPr>
        <w:t>家，酒店用户合计</w:t>
      </w:r>
      <w:r>
        <w:rPr>
          <w:rFonts w:ascii="Times New Roman" w:hAnsi="Times New Roman" w:cs="Times New Roman" w:eastAsia="Times New Roman" w:hint="default"/>
          <w:spacing w:val="-5"/>
        </w:rPr>
        <w:t>966</w:t>
      </w:r>
      <w:r>
        <w:rPr>
          <w:spacing w:val="-5"/>
        </w:rPr>
        <w:t>家，其中开通</w:t>
      </w:r>
      <w:r>
        <w:rPr>
          <w:rFonts w:ascii="Times New Roman" w:hAnsi="Times New Roman" w:cs="Times New Roman" w:eastAsia="Times New Roman" w:hint="default"/>
          <w:spacing w:val="-5"/>
        </w:rPr>
        <w:t>DCC</w:t>
      </w:r>
    </w:p>
    <w:p>
      <w:pPr>
        <w:pStyle w:val="BodyText"/>
        <w:spacing w:line="248" w:lineRule="exact" w:before="0"/>
        <w:ind w:left="576" w:right="0" w:hanging="423"/>
        <w:jc w:val="left"/>
      </w:pPr>
      <w:r>
        <w:rPr/>
        <w:t>交易的酒店商户</w:t>
      </w:r>
      <w:r>
        <w:rPr>
          <w:rFonts w:ascii="Times New Roman" w:hAnsi="Times New Roman" w:cs="Times New Roman" w:eastAsia="Times New Roman" w:hint="default"/>
        </w:rPr>
        <w:t>83</w:t>
      </w:r>
      <w:r>
        <w:rPr/>
        <w:t>家。</w:t>
      </w:r>
    </w:p>
    <w:p>
      <w:pPr>
        <w:pStyle w:val="BodyText"/>
        <w:spacing w:line="290" w:lineRule="auto" w:before="62"/>
        <w:ind w:left="576" w:right="1118"/>
        <w:jc w:val="left"/>
      </w:pPr>
      <w:r>
        <w:rPr>
          <w:rFonts w:ascii="Times New Roman" w:hAnsi="Times New Roman" w:cs="Times New Roman" w:eastAsia="Times New Roman" w:hint="default"/>
          <w:b/>
          <w:bCs/>
        </w:rPr>
        <w:t>5</w:t>
      </w:r>
      <w:r>
        <w:rPr>
          <w:rFonts w:ascii="宋体" w:hAnsi="宋体" w:cs="宋体" w:eastAsia="宋体" w:hint="default"/>
          <w:b/>
          <w:bCs/>
        </w:rPr>
        <w:t>、中电业务</w:t>
      </w:r>
      <w:r>
        <w:rPr>
          <w:rFonts w:ascii="宋体" w:hAnsi="宋体" w:cs="宋体" w:eastAsia="宋体" w:hint="default"/>
          <w:b/>
          <w:bCs/>
          <w:w w:val="99"/>
        </w:rPr>
        <w:t> </w:t>
      </w:r>
      <w:r>
        <w:rPr>
          <w:spacing w:val="-1"/>
        </w:rPr>
        <w:t>中电器件的主营业务为硬件销售与服务，包括服务器、收银机，打印机等全系列商用硬件的集中采购</w:t>
      </w:r>
    </w:p>
    <w:p>
      <w:pPr>
        <w:pStyle w:val="BodyText"/>
        <w:spacing w:line="266" w:lineRule="auto" w:before="0"/>
        <w:ind w:right="1109"/>
        <w:jc w:val="both"/>
      </w:pPr>
      <w:r>
        <w:rPr>
          <w:spacing w:val="-1"/>
        </w:rPr>
        <w:t>与销售，是国内领先的分销综合服务商。中电器件在上海、广州、深圳、成都、武汉、西安、沈阳、南京</w:t>
      </w:r>
      <w:r>
        <w:rPr>
          <w:spacing w:val="-86"/>
        </w:rPr>
        <w:t> </w:t>
      </w:r>
      <w:r>
        <w:rPr>
          <w:spacing w:val="-86"/>
        </w:rPr>
      </w:r>
      <w:r>
        <w:rPr>
          <w:spacing w:val="-1"/>
        </w:rPr>
        <w:t>八大区域设立了分公司或办事处作为销售和服务平台，同时拥有近</w:t>
      </w:r>
      <w:r>
        <w:rPr>
          <w:rFonts w:ascii="Times New Roman" w:hAnsi="Times New Roman" w:cs="Times New Roman" w:eastAsia="Times New Roman" w:hint="default"/>
          <w:spacing w:val="-1"/>
        </w:rPr>
        <w:t>3000</w:t>
      </w:r>
      <w:r>
        <w:rPr>
          <w:spacing w:val="-1"/>
        </w:rPr>
        <w:t>家经销商。</w:t>
      </w:r>
      <w:r>
        <w:rPr>
          <w:rFonts w:ascii="Times New Roman" w:hAnsi="Times New Roman" w:cs="Times New Roman" w:eastAsia="Times New Roman" w:hint="default"/>
          <w:spacing w:val="-1"/>
        </w:rPr>
        <w:t>2015</w:t>
      </w:r>
      <w:r>
        <w:rPr>
          <w:spacing w:val="-1"/>
        </w:rPr>
        <w:t>年随着公司对中电</w:t>
      </w:r>
      <w:r>
        <w:rPr>
          <w:spacing w:val="-79"/>
        </w:rPr>
        <w:t> </w:t>
      </w:r>
      <w:r>
        <w:rPr>
          <w:spacing w:val="-79"/>
        </w:rPr>
      </w:r>
      <w:r>
        <w:rPr>
          <w:spacing w:val="-1"/>
        </w:rPr>
        <w:t>业务的整合逐步深入，中电器件在关闭与石基信息战略无关的医疗及元器件业务的同时加大了与母公司软</w:t>
      </w:r>
      <w:r>
        <w:rPr>
          <w:spacing w:val="-81"/>
        </w:rPr>
        <w:t> </w:t>
      </w:r>
      <w:r>
        <w:rPr>
          <w:spacing w:val="-81"/>
        </w:rPr>
      </w:r>
      <w:r>
        <w:rPr/>
        <w:t>件业务协同的</w:t>
      </w:r>
      <w:r>
        <w:rPr>
          <w:rFonts w:ascii="Times New Roman" w:hAnsi="Times New Roman" w:cs="Times New Roman" w:eastAsia="Times New Roman" w:hint="default"/>
        </w:rPr>
        <w:t>POS</w:t>
      </w:r>
      <w:r>
        <w:rPr/>
        <w:t>机及微型打印机等业务。</w:t>
      </w:r>
      <w:r>
        <w:rPr>
          <w:rFonts w:ascii="Times New Roman" w:hAnsi="Times New Roman" w:cs="Times New Roman" w:eastAsia="Times New Roman" w:hint="default"/>
        </w:rPr>
        <w:t>2015</w:t>
      </w:r>
      <w:r>
        <w:rPr/>
        <w:t>年销售收入比</w:t>
      </w:r>
      <w:r>
        <w:rPr>
          <w:rFonts w:ascii="Times New Roman" w:hAnsi="Times New Roman" w:cs="Times New Roman" w:eastAsia="Times New Roman" w:hint="default"/>
        </w:rPr>
        <w:t>2014</w:t>
      </w:r>
      <w:r>
        <w:rPr/>
        <w:t>年略有下降，但基本稳定。中电器件下</w:t>
      </w:r>
      <w:r>
        <w:rPr>
          <w:spacing w:val="-99"/>
        </w:rPr>
        <w:t> </w:t>
      </w:r>
      <w:r>
        <w:rPr>
          <w:spacing w:val="-99"/>
        </w:rPr>
      </w:r>
      <w:r>
        <w:rPr/>
        <w:t>属的北京中长商通科技有限公司（主做</w:t>
      </w:r>
      <w:r>
        <w:rPr>
          <w:rFonts w:ascii="Times New Roman" w:hAnsi="Times New Roman" w:cs="Times New Roman" w:eastAsia="Times New Roman" w:hint="default"/>
        </w:rPr>
        <w:t>POS</w:t>
      </w:r>
      <w:r>
        <w:rPr/>
        <w:t>机业务）在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月底成为</w:t>
      </w:r>
      <w:r>
        <w:rPr>
          <w:rFonts w:ascii="Times New Roman" w:hAnsi="Times New Roman" w:cs="Times New Roman" w:eastAsia="Times New Roman" w:hint="default"/>
        </w:rPr>
        <w:t>EPSON</w:t>
      </w:r>
      <w:r>
        <w:rPr/>
        <w:t>微型打印机中国总代理。</w:t>
      </w:r>
    </w:p>
    <w:p>
      <w:pPr>
        <w:pStyle w:val="Heading4"/>
        <w:spacing w:line="240" w:lineRule="auto" w:before="35"/>
        <w:ind w:left="512" w:right="0"/>
        <w:jc w:val="left"/>
        <w:rPr>
          <w:b w:val="0"/>
          <w:bCs w:val="0"/>
        </w:rPr>
      </w:pPr>
      <w:r>
        <w:rPr>
          <w:rFonts w:ascii="Times New Roman" w:hAnsi="Times New Roman" w:cs="Times New Roman" w:eastAsia="Times New Roman" w:hint="default"/>
        </w:rPr>
        <w:t>6</w:t>
      </w:r>
      <w:r>
        <w:rPr/>
        <w:t>、酒店咨询服务业务</w:t>
      </w:r>
      <w:r>
        <w:rPr>
          <w:b w:val="0"/>
          <w:bCs w:val="0"/>
        </w:rPr>
      </w:r>
    </w:p>
    <w:p>
      <w:pPr>
        <w:pStyle w:val="BodyText"/>
        <w:spacing w:line="240" w:lineRule="auto" w:before="61"/>
        <w:ind w:left="576" w:right="0"/>
        <w:jc w:val="left"/>
      </w:pP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11</w:t>
      </w:r>
      <w:r>
        <w:rPr>
          <w:spacing w:val="-8"/>
        </w:rPr>
        <w:t>月，公司全资子公司石基（香港）有限公司完成收购浩华管理顾问（亚太）有限公司（</w:t>
      </w:r>
      <w:r>
        <w:rPr>
          <w:rFonts w:ascii="Times New Roman" w:hAnsi="Times New Roman" w:cs="Times New Roman" w:eastAsia="Times New Roman" w:hint="default"/>
          <w:spacing w:val="-8"/>
        </w:rPr>
        <w:t>HCSAP</w:t>
      </w:r>
      <w:r>
        <w:rPr>
          <w:spacing w:val="-8"/>
        </w:rPr>
        <w:t>）</w:t>
      </w:r>
    </w:p>
    <w:p>
      <w:pPr>
        <w:pStyle w:val="BodyText"/>
        <w:spacing w:line="261" w:lineRule="auto" w:before="21"/>
        <w:ind w:left="154" w:right="1128"/>
        <w:jc w:val="both"/>
      </w:pPr>
      <w:r>
        <w:rPr>
          <w:rFonts w:ascii="Times New Roman" w:hAnsi="Times New Roman" w:cs="Times New Roman" w:eastAsia="Times New Roman" w:hint="default"/>
        </w:rPr>
        <w:t>75%</w:t>
      </w:r>
      <w:r>
        <w:rPr/>
        <w:t>股权的工商变更登记手续。</w:t>
      </w:r>
      <w:r>
        <w:rPr>
          <w:rFonts w:ascii="Times New Roman" w:hAnsi="Times New Roman" w:cs="Times New Roman" w:eastAsia="Times New Roman" w:hint="default"/>
        </w:rPr>
        <w:t>HCSAP1987</w:t>
      </w:r>
      <w:r>
        <w:rPr/>
        <w:t>年成立于香港，目前在亚太地区的</w:t>
      </w:r>
      <w:r>
        <w:rPr>
          <w:rFonts w:ascii="Times New Roman" w:hAnsi="Times New Roman" w:cs="Times New Roman" w:eastAsia="Times New Roman" w:hint="default"/>
        </w:rPr>
        <w:t>6</w:t>
      </w:r>
      <w:r>
        <w:rPr/>
        <w:t>个主要城市设立办事处，</w:t>
      </w:r>
      <w:r>
        <w:rPr>
          <w:spacing w:val="-46"/>
        </w:rPr>
        <w:t> </w:t>
      </w:r>
      <w:r>
        <w:rPr>
          <w:spacing w:val="-46"/>
        </w:rPr>
      </w:r>
      <w:r>
        <w:rPr>
          <w:spacing w:val="-1"/>
        </w:rPr>
        <w:t>致力于为酒店及旅游业提供专业顾问服务，能够为酒店提供整体咨询解决方案，其方案涵盖酒店从初始规</w:t>
      </w:r>
      <w:r>
        <w:rPr>
          <w:spacing w:val="-81"/>
        </w:rPr>
        <w:t> </w:t>
      </w:r>
      <w:r>
        <w:rPr>
          <w:spacing w:val="-81"/>
        </w:rPr>
      </w:r>
      <w:r>
        <w:rPr>
          <w:spacing w:val="-2"/>
        </w:rPr>
        <w:t>划到开发，资产管理，操作建议以及酒店事务、财务重组等各个方面，覆盖酒店完整的生命周期。</w:t>
      </w:r>
      <w:r>
        <w:rPr>
          <w:rFonts w:ascii="Times New Roman" w:hAnsi="Times New Roman" w:cs="Times New Roman" w:eastAsia="Times New Roman" w:hint="default"/>
          <w:spacing w:val="-2"/>
        </w:rPr>
        <w:t>HCSAP</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1"/>
        </w:rPr>
        <w:t>至今已为亚太区</w:t>
      </w:r>
      <w:r>
        <w:rPr>
          <w:rFonts w:ascii="Times New Roman" w:hAnsi="Times New Roman" w:cs="Times New Roman" w:eastAsia="Times New Roman" w:hint="default"/>
          <w:spacing w:val="-1"/>
        </w:rPr>
        <w:t>1000</w:t>
      </w:r>
      <w:r>
        <w:rPr>
          <w:spacing w:val="-1"/>
        </w:rPr>
        <w:t>多个酒店和旅游业项目提供开发到运营各阶段的顾问服务，客户范围从个体私营企业</w:t>
      </w:r>
      <w:r>
        <w:rPr>
          <w:spacing w:val="-80"/>
        </w:rPr>
        <w:t> </w:t>
      </w:r>
      <w:r>
        <w:rPr>
          <w:spacing w:val="-80"/>
        </w:rPr>
      </w:r>
      <w:r>
        <w:rPr/>
        <w:t>到全球知名的酒店管理公司，以及开发商、银行、投资机构及工业企业。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HCSAP</w:t>
      </w:r>
      <w:r>
        <w:rPr/>
        <w:t>实施了近</w:t>
      </w:r>
      <w:r>
        <w:rPr>
          <w:rFonts w:ascii="Times New Roman" w:hAnsi="Times New Roman" w:cs="Times New Roman" w:eastAsia="Times New Roman" w:hint="default"/>
        </w:rPr>
        <w:t>100</w:t>
      </w:r>
      <w:r>
        <w:rPr/>
        <w:t>个</w:t>
      </w:r>
      <w:r>
        <w:rPr>
          <w:spacing w:val="-72"/>
        </w:rPr>
        <w:t> </w:t>
      </w:r>
      <w:r>
        <w:rPr/>
        <w:t>项目。</w:t>
      </w:r>
    </w:p>
    <w:p>
      <w:pPr>
        <w:spacing w:line="240" w:lineRule="auto" w:before="6"/>
        <w:rPr>
          <w:rFonts w:ascii="宋体" w:hAnsi="宋体" w:cs="宋体" w:eastAsia="宋体" w:hint="default"/>
          <w:sz w:val="22"/>
          <w:szCs w:val="22"/>
        </w:rPr>
      </w:pPr>
    </w:p>
    <w:p>
      <w:pPr>
        <w:pStyle w:val="Heading2"/>
        <w:spacing w:line="240" w:lineRule="auto"/>
        <w:ind w:left="154"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left="153"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1563"/>
        <w:gridCol w:w="1413"/>
        <w:gridCol w:w="1423"/>
        <w:gridCol w:w="1551"/>
        <w:gridCol w:w="923"/>
      </w:tblGrid>
      <w:tr>
        <w:trPr>
          <w:trHeight w:val="206" w:hRule="exact"/>
        </w:trPr>
        <w:tc>
          <w:tcPr>
            <w:tcW w:w="2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694" w:type="dxa"/>
            <w:vMerge w:val="restart"/>
            <w:tcBorders>
              <w:top w:val="nil" w:sz="6" w:space="0" w:color="auto"/>
              <w:left w:val="single" w:sz="4" w:space="0" w:color="000000"/>
              <w:right w:val="single" w:sz="4" w:space="0" w:color="000000"/>
            </w:tcBorders>
            <w:shd w:val="clear" w:color="auto" w:fill="D2D2D2"/>
          </w:tcPr>
          <w:p>
            <w:pPr/>
          </w:p>
        </w:tc>
        <w:tc>
          <w:tcPr>
            <w:tcW w:w="2976" w:type="dxa"/>
            <w:gridSpan w:val="2"/>
            <w:vMerge/>
            <w:tcBorders>
              <w:left w:val="single" w:sz="4" w:space="0" w:color="000000"/>
              <w:bottom w:val="single" w:sz="4" w:space="0" w:color="000000"/>
              <w:right w:val="single" w:sz="4" w:space="0" w:color="000000"/>
            </w:tcBorders>
            <w:shd w:val="clear" w:color="auto" w:fill="D2D2D2"/>
          </w:tcPr>
          <w:p>
            <w:pPr/>
          </w:p>
        </w:tc>
        <w:tc>
          <w:tcPr>
            <w:tcW w:w="2974" w:type="dxa"/>
            <w:gridSpan w:val="2"/>
            <w:vMerge/>
            <w:tcBorders>
              <w:left w:val="single" w:sz="4" w:space="0" w:color="000000"/>
              <w:bottom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2694" w:type="dxa"/>
            <w:vMerge/>
            <w:tcBorders>
              <w:left w:val="single" w:sz="4" w:space="0" w:color="000000"/>
              <w:bottom w:val="nil" w:sz="6" w:space="0" w:color="auto"/>
              <w:right w:val="single" w:sz="4" w:space="0" w:color="000000"/>
            </w:tcBorders>
            <w:shd w:val="clear" w:color="auto" w:fill="D2D2D2"/>
          </w:tcPr>
          <w:p>
            <w:pPr/>
          </w:p>
        </w:tc>
        <w:tc>
          <w:tcPr>
            <w:tcW w:w="1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4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92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3" w:type="dxa"/>
            <w:vMerge/>
            <w:tcBorders>
              <w:left w:val="single" w:sz="4" w:space="0" w:color="000000"/>
              <w:bottom w:val="single" w:sz="4" w:space="0" w:color="000000"/>
              <w:right w:val="single" w:sz="4" w:space="0" w:color="000000"/>
            </w:tcBorders>
            <w:shd w:val="clear" w:color="auto" w:fill="D2D2D2"/>
          </w:tcPr>
          <w:p>
            <w:pPr/>
          </w:p>
        </w:tc>
        <w:tc>
          <w:tcPr>
            <w:tcW w:w="1413" w:type="dxa"/>
            <w:vMerge/>
            <w:tcBorders>
              <w:left w:val="single" w:sz="4" w:space="0" w:color="000000"/>
              <w:bottom w:val="single" w:sz="4" w:space="0" w:color="000000"/>
              <w:right w:val="single" w:sz="4" w:space="0" w:color="000000"/>
            </w:tcBorders>
            <w:shd w:val="clear" w:color="auto" w:fill="D2D2D2"/>
          </w:tcPr>
          <w:p>
            <w:pPr/>
          </w:p>
        </w:tc>
        <w:tc>
          <w:tcPr>
            <w:tcW w:w="1423" w:type="dxa"/>
            <w:vMerge/>
            <w:tcBorders>
              <w:left w:val="single" w:sz="4" w:space="0" w:color="000000"/>
              <w:bottom w:val="single" w:sz="4" w:space="0" w:color="000000"/>
              <w:right w:val="single" w:sz="4" w:space="0" w:color="000000"/>
            </w:tcBorders>
            <w:shd w:val="clear" w:color="auto" w:fill="D2D2D2"/>
          </w:tcPr>
          <w:p>
            <w:pPr/>
          </w:p>
        </w:tc>
        <w:tc>
          <w:tcPr>
            <w:tcW w:w="1551" w:type="dxa"/>
            <w:vMerge/>
            <w:tcBorders>
              <w:left w:val="single" w:sz="4" w:space="0" w:color="000000"/>
              <w:bottom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1,986,663,614.65</w:t>
            </w:r>
          </w:p>
        </w:tc>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2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2,186,072,061.03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992,851,121.84</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49.98%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974,326,131.20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44.57%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993,812,492.81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1,211,745,929.83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55.43%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酒店信息管理系统业务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672,816,494.72</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33.87%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676,178,125.14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30.93%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餐饮信息管理系统业务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121,779,221.92</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109,458,504.22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5.01%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11.26%</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2"/>
                <w:sz w:val="18"/>
              </w:rPr>
              <w:t>118,311,921.64</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125,206,438.19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5.73%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1559"/>
        <w:gridCol w:w="1417"/>
        <w:gridCol w:w="1419"/>
        <w:gridCol w:w="1559"/>
        <w:gridCol w:w="919"/>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78,141,324.34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61,743,306.48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电子元器件销售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95,772,222.85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121,368,461.15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打印机、耗材及配件销售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744,529,680.53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846,168,516.14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53,509,014.75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83,003,861.88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中电器件其他销售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88,516,441.60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143,792,810.04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13,287,292.30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19,152,037.79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1,813,706,332.24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2,013,982,453.19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92.13%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中国大陆地区以外的国家和地区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172,957,282.41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172,089,607.84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1418"/>
        <w:gridCol w:w="708"/>
        <w:gridCol w:w="1277"/>
        <w:gridCol w:w="1276"/>
        <w:gridCol w:w="1207"/>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5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992,851,121.84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268,659,710.62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993,812,492.81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917,385,305.29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酒店信息管理系统业务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672,816,494.72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191,241,734.85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餐饮信息管理系统业务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121,779,221.92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35,474,317.80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118,311,921.64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34,311,776.71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78,141,324.34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7,003,956.76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电子元器件销售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95,772,222.85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89,919,510.00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打印机、耗材及配件销售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744,529,680.53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675,954,615.69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53,509,014.75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53,104,981.35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中电器件其他销售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88,516,441.60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85,864,096.76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13,287,292.30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13,170,025.99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1,813,706,332.24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1,071,374,756.19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中国大陆地区以外的国家和 地区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172,957,282.41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114,670,259.72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shape style="position:absolute;margin-left:356.559998pt;margin-top:677.859985pt;width:82.5pt;height:15.6pt;mso-position-horizontal-relative:page;mso-position-vertical-relative:page;z-index:-944656"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83.480011pt;margin-top:677.859985pt;width:38.85pt;height:15.6pt;mso-position-horizontal-relative:page;mso-position-vertical-relative:page;z-index:-944632"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pStyle w:val="Heading4"/>
        <w:spacing w:line="240" w:lineRule="auto" w:before="35"/>
        <w:ind w:left="153"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2411"/>
        <w:gridCol w:w="708"/>
        <w:gridCol w:w="1700"/>
        <w:gridCol w:w="1560"/>
        <w:gridCol w:w="1202"/>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8"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8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708"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vMerge/>
            <w:tcBorders>
              <w:left w:val="single" w:sz="4" w:space="0" w:color="000000"/>
              <w:right w:val="single" w:sz="9" w:space="0" w:color="D2D2D2"/>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维护及安装收入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350,217,927.89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291,997,651.97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19.94%</w:t>
            </w:r>
          </w:p>
        </w:tc>
      </w:tr>
      <w:tr>
        <w:trPr>
          <w:trHeight w:val="402" w:hRule="exact"/>
        </w:trPr>
        <w:tc>
          <w:tcPr>
            <w:tcW w:w="1985" w:type="dxa"/>
            <w:vMerge/>
            <w:tcBorders>
              <w:left w:val="single" w:sz="4" w:space="0" w:color="000000"/>
              <w:right w:val="single" w:sz="9" w:space="0" w:color="D2D2D2"/>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1,802,159.22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1,739,757.17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w:t>
            </w:r>
          </w:p>
        </w:tc>
      </w:tr>
      <w:tr>
        <w:trPr>
          <w:trHeight w:val="402" w:hRule="exact"/>
        </w:trPr>
        <w:tc>
          <w:tcPr>
            <w:tcW w:w="1985" w:type="dxa"/>
            <w:vMerge/>
            <w:tcBorders>
              <w:left w:val="single" w:sz="4" w:space="0" w:color="000000"/>
              <w:bottom w:val="single" w:sz="4" w:space="0" w:color="000000"/>
              <w:right w:val="single" w:sz="9" w:space="0" w:color="D2D2D2"/>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软件、硬件、技术开发收入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640,831,034.73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680,588,722.06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-5.84%</w:t>
            </w:r>
          </w:p>
        </w:tc>
      </w:tr>
      <w:tr>
        <w:trPr>
          <w:trHeight w:val="402" w:hRule="exact"/>
        </w:trPr>
        <w:tc>
          <w:tcPr>
            <w:tcW w:w="1985"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vMerge/>
            <w:tcBorders>
              <w:left w:val="single" w:sz="4" w:space="0" w:color="000000"/>
              <w:right w:val="single" w:sz="9" w:space="0" w:color="D2D2D2"/>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商品批发收入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982,327,359.73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1,194,333,649.21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-17.75%</w:t>
            </w:r>
          </w:p>
        </w:tc>
      </w:tr>
      <w:tr>
        <w:trPr>
          <w:trHeight w:val="403" w:hRule="exact"/>
        </w:trPr>
        <w:tc>
          <w:tcPr>
            <w:tcW w:w="1985" w:type="dxa"/>
            <w:vMerge/>
            <w:tcBorders>
              <w:left w:val="single" w:sz="4" w:space="0" w:color="000000"/>
              <w:bottom w:val="single" w:sz="4" w:space="0" w:color="000000"/>
              <w:right w:val="single" w:sz="9" w:space="0" w:color="D2D2D2"/>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11,485,133.08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17,412,280.62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商品批发与贸易行业中的其他业务收入比上年同期下降</w:t>
      </w:r>
      <w:r>
        <w:rPr>
          <w:rFonts w:ascii="Times New Roman" w:hAnsi="Times New Roman" w:cs="Times New Roman" w:eastAsia="Times New Roman" w:hint="default"/>
          <w:spacing w:val="-1"/>
          <w:sz w:val="18"/>
          <w:szCs w:val="18"/>
        </w:rPr>
        <w:t>34.04%</w:t>
      </w:r>
      <w:r>
        <w:rPr>
          <w:rFonts w:ascii="宋体" w:hAnsi="宋体" w:cs="宋体" w:eastAsia="宋体" w:hint="default"/>
          <w:spacing w:val="-1"/>
          <w:sz w:val="18"/>
          <w:szCs w:val="18"/>
        </w:rPr>
        <w:t>，主要系下属子公司中电器件公司根据公司的经营战略决策，</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调整了部分代理服务业务，影响了其他业务收入约</w:t>
      </w:r>
      <w:r>
        <w:rPr>
          <w:rFonts w:ascii="Times New Roman" w:hAnsi="Times New Roman" w:cs="Times New Roman" w:eastAsia="Times New Roman" w:hint="default"/>
          <w:sz w:val="18"/>
          <w:szCs w:val="18"/>
        </w:rPr>
        <w:t>640.10</w:t>
      </w:r>
      <w:r>
        <w:rPr>
          <w:rFonts w:ascii="宋体" w:hAnsi="宋体" w:cs="宋体" w:eastAsia="宋体" w:hint="default"/>
          <w:sz w:val="18"/>
          <w:szCs w:val="18"/>
        </w:rPr>
        <w:t>万元。</w:t>
      </w:r>
    </w:p>
    <w:p>
      <w:pPr>
        <w:spacing w:line="240" w:lineRule="auto" w:before="9"/>
        <w:rPr>
          <w:rFonts w:ascii="宋体" w:hAnsi="宋体" w:cs="宋体" w:eastAsia="宋体" w:hint="default"/>
          <w:sz w:val="20"/>
          <w:szCs w:val="20"/>
        </w:rPr>
      </w:pPr>
    </w:p>
    <w:p>
      <w:pPr>
        <w:pStyle w:val="Heading4"/>
        <w:spacing w:line="240" w:lineRule="auto"/>
        <w:ind w:left="15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0"/>
        <w:gridCol w:w="1504"/>
        <w:gridCol w:w="740"/>
        <w:gridCol w:w="852"/>
        <w:gridCol w:w="1385"/>
        <w:gridCol w:w="1450"/>
        <w:gridCol w:w="1247"/>
        <w:gridCol w:w="845"/>
      </w:tblGrid>
      <w:tr>
        <w:trPr>
          <w:trHeight w:val="654" w:hRule="exact"/>
        </w:trPr>
        <w:tc>
          <w:tcPr>
            <w:tcW w:w="130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504" w:type="dxa"/>
            <w:tcBorders>
              <w:top w:val="single" w:sz="4" w:space="0" w:color="000000"/>
              <w:left w:val="single" w:sz="4" w:space="0" w:color="000000"/>
              <w:bottom w:val="single" w:sz="4" w:space="0" w:color="000000"/>
              <w:right w:val="single" w:sz="4" w:space="0" w:color="000000"/>
            </w:tcBorders>
            <w:shd w:val="clear" w:color="auto" w:fill="EDEBE0"/>
          </w:tcPr>
          <w:p>
            <w:pPr/>
          </w:p>
        </w:tc>
        <w:tc>
          <w:tcPr>
            <w:tcW w:w="74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385"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316" w:lineRule="auto" w:before="21"/>
              <w:ind w:left="72" w:right="55" w:hanging="15"/>
              <w:jc w:val="left"/>
              <w:rPr>
                <w:rFonts w:ascii="宋体" w:hAnsi="宋体" w:cs="宋体" w:eastAsia="宋体" w:hint="default"/>
                <w:sz w:val="18"/>
                <w:szCs w:val="18"/>
              </w:rPr>
            </w:pPr>
            <w:r>
              <w:rPr>
                <w:rFonts w:ascii="宋体" w:hAnsi="宋体" w:cs="宋体" w:eastAsia="宋体" w:hint="default"/>
                <w:sz w:val="18"/>
                <w:szCs w:val="18"/>
              </w:rPr>
              <w:t>本年比上年订单 增减幅度（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300" w:lineRule="auto" w:before="21"/>
              <w:ind w:left="450" w:right="14" w:hanging="436"/>
              <w:jc w:val="left"/>
              <w:rPr>
                <w:rFonts w:ascii="宋体" w:hAnsi="宋体" w:cs="宋体" w:eastAsia="宋体" w:hint="default"/>
                <w:sz w:val="18"/>
                <w:szCs w:val="18"/>
              </w:rPr>
            </w:pPr>
            <w:r>
              <w:rPr>
                <w:rFonts w:ascii="宋体" w:hAnsi="宋体" w:cs="宋体" w:eastAsia="宋体" w:hint="default"/>
                <w:sz w:val="18"/>
                <w:szCs w:val="18"/>
              </w:rPr>
              <w:t>增减幅度超过</w:t>
            </w:r>
            <w:r>
              <w:rPr>
                <w:rFonts w:ascii="Times New Roman" w:hAnsi="Times New Roman" w:cs="Times New Roman" w:eastAsia="Times New Roman" w:hint="default"/>
                <w:sz w:val="18"/>
                <w:szCs w:val="18"/>
              </w:rPr>
              <w:t>30% </w:t>
            </w:r>
            <w:r>
              <w:rPr>
                <w:rFonts w:ascii="宋体" w:hAnsi="宋体" w:cs="宋体" w:eastAsia="宋体" w:hint="default"/>
                <w:sz w:val="18"/>
                <w:szCs w:val="18"/>
              </w:rPr>
              <w:t>的原因</w:t>
            </w:r>
          </w:p>
        </w:tc>
        <w:tc>
          <w:tcPr>
            <w:tcW w:w="1247"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316" w:lineRule="auto" w:before="21"/>
              <w:ind w:left="183" w:right="77" w:hanging="106"/>
              <w:jc w:val="left"/>
              <w:rPr>
                <w:rFonts w:ascii="宋体" w:hAnsi="宋体" w:cs="宋体" w:eastAsia="宋体" w:hint="default"/>
                <w:sz w:val="18"/>
                <w:szCs w:val="18"/>
              </w:rPr>
            </w:pPr>
            <w:r>
              <w:rPr>
                <w:rFonts w:ascii="宋体" w:hAnsi="宋体" w:cs="宋体" w:eastAsia="宋体" w:hint="default"/>
                <w:sz w:val="18"/>
                <w:szCs w:val="18"/>
              </w:rPr>
              <w:t>本期订单完成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45"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316" w:lineRule="auto" w:before="21"/>
              <w:ind w:left="237" w:right="55" w:hanging="180"/>
              <w:jc w:val="left"/>
              <w:rPr>
                <w:rFonts w:ascii="宋体" w:hAnsi="宋体" w:cs="宋体" w:eastAsia="宋体" w:hint="default"/>
                <w:sz w:val="18"/>
                <w:szCs w:val="18"/>
              </w:rPr>
            </w:pPr>
            <w:r>
              <w:rPr>
                <w:rFonts w:ascii="宋体" w:hAnsi="宋体" w:cs="宋体" w:eastAsia="宋体" w:hint="default"/>
                <w:sz w:val="18"/>
                <w:szCs w:val="18"/>
              </w:rPr>
              <w:t>跨期执行 情况</w:t>
            </w:r>
          </w:p>
        </w:tc>
      </w:tr>
      <w:tr>
        <w:trPr>
          <w:trHeight w:val="342" w:hRule="exact"/>
        </w:trPr>
        <w:tc>
          <w:tcPr>
            <w:tcW w:w="1300" w:type="dxa"/>
            <w:vMerge w:val="restart"/>
            <w:tcBorders>
              <w:top w:val="single" w:sz="4" w:space="0" w:color="000000"/>
              <w:left w:val="single" w:sz="4" w:space="0" w:color="000000"/>
              <w:right w:val="single" w:sz="4" w:space="0" w:color="000000"/>
            </w:tcBorders>
          </w:tcPr>
          <w:p>
            <w:pPr>
              <w:pStyle w:val="TableParagraph"/>
              <w:spacing w:line="316" w:lineRule="auto" w:before="35"/>
              <w:ind w:left="554" w:right="15" w:hanging="541"/>
              <w:jc w:val="left"/>
              <w:rPr>
                <w:rFonts w:ascii="宋体" w:hAnsi="宋体" w:cs="宋体" w:eastAsia="宋体" w:hint="default"/>
                <w:sz w:val="18"/>
                <w:szCs w:val="18"/>
              </w:rPr>
            </w:pPr>
            <w:r>
              <w:rPr>
                <w:rFonts w:ascii="宋体" w:hAnsi="宋体" w:cs="宋体" w:eastAsia="宋体" w:hint="default"/>
                <w:sz w:val="18"/>
                <w:szCs w:val="18"/>
              </w:rPr>
              <w:t>酒店信息系统业 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1,736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8.99%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85.15%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281</w:t>
            </w:r>
          </w:p>
        </w:tc>
      </w:tr>
      <w:tr>
        <w:trPr>
          <w:trHeight w:val="342" w:hRule="exact"/>
        </w:trPr>
        <w:tc>
          <w:tcPr>
            <w:tcW w:w="1300" w:type="dxa"/>
            <w:vMerge/>
            <w:tcBorders>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4,643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3,961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60.03%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1,857</w:t>
            </w:r>
          </w:p>
        </w:tc>
      </w:tr>
      <w:tr>
        <w:trPr>
          <w:trHeight w:val="342" w:hRule="exact"/>
        </w:trPr>
        <w:tc>
          <w:tcPr>
            <w:tcW w:w="1300" w:type="dxa"/>
            <w:vMerge w:val="restart"/>
            <w:tcBorders>
              <w:top w:val="single" w:sz="4" w:space="0" w:color="000000"/>
              <w:left w:val="single" w:sz="4" w:space="0" w:color="000000"/>
              <w:right w:val="single" w:sz="4" w:space="0" w:color="000000"/>
            </w:tcBorders>
          </w:tcPr>
          <w:p>
            <w:pPr>
              <w:pStyle w:val="TableParagraph"/>
              <w:spacing w:line="316" w:lineRule="auto" w:before="35"/>
              <w:ind w:left="554" w:right="15" w:hanging="541"/>
              <w:jc w:val="left"/>
              <w:rPr>
                <w:rFonts w:ascii="宋体" w:hAnsi="宋体" w:cs="宋体" w:eastAsia="宋体" w:hint="default"/>
                <w:sz w:val="18"/>
                <w:szCs w:val="18"/>
              </w:rPr>
            </w:pPr>
            <w:r>
              <w:rPr>
                <w:rFonts w:ascii="宋体" w:hAnsi="宋体" w:cs="宋体" w:eastAsia="宋体" w:hint="default"/>
                <w:sz w:val="18"/>
                <w:szCs w:val="18"/>
              </w:rPr>
              <w:t>餐饮信息系统业 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3,825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-9.44%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92.38%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264</w:t>
            </w:r>
          </w:p>
        </w:tc>
      </w:tr>
      <w:tr>
        <w:trPr>
          <w:trHeight w:val="342" w:hRule="exact"/>
        </w:trPr>
        <w:tc>
          <w:tcPr>
            <w:tcW w:w="1300" w:type="dxa"/>
            <w:vMerge/>
            <w:tcBorders>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855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5.61%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94.91%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46</w:t>
            </w:r>
          </w:p>
        </w:tc>
      </w:tr>
      <w:tr>
        <w:trPr>
          <w:trHeight w:val="654" w:hRule="exact"/>
        </w:trPr>
        <w:tc>
          <w:tcPr>
            <w:tcW w:w="130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67" w:right="24" w:hanging="540"/>
              <w:jc w:val="left"/>
              <w:rPr>
                <w:rFonts w:ascii="宋体" w:hAnsi="宋体" w:cs="宋体" w:eastAsia="宋体" w:hint="default"/>
                <w:sz w:val="18"/>
                <w:szCs w:val="18"/>
              </w:rPr>
            </w:pPr>
            <w:r>
              <w:rPr>
                <w:rFonts w:ascii="宋体" w:hAnsi="宋体" w:cs="宋体" w:eastAsia="宋体" w:hint="default"/>
                <w:sz w:val="18"/>
                <w:szCs w:val="18"/>
              </w:rPr>
              <w:t>新签合同及订单、 分店</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521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92.43%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37</w:t>
            </w:r>
          </w:p>
        </w:tc>
      </w:tr>
      <w:tr>
        <w:trPr>
          <w:trHeight w:val="342" w:hRule="exact"/>
        </w:trPr>
        <w:tc>
          <w:tcPr>
            <w:tcW w:w="1300" w:type="dxa"/>
            <w:vMerge/>
            <w:tcBorders>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27.23%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81.55%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w:t>
            </w:r>
          </w:p>
        </w:tc>
      </w:tr>
      <w:tr>
        <w:trPr>
          <w:trHeight w:val="1278" w:hRule="exact"/>
        </w:trPr>
        <w:tc>
          <w:tcPr>
            <w:tcW w:w="13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316" w:lineRule="auto"/>
              <w:ind w:left="374" w:right="15" w:hanging="360"/>
              <w:jc w:val="left"/>
              <w:rPr>
                <w:rFonts w:ascii="宋体" w:hAnsi="宋体" w:cs="宋体" w:eastAsia="宋体" w:hint="default"/>
                <w:sz w:val="18"/>
                <w:szCs w:val="18"/>
              </w:rPr>
            </w:pPr>
            <w:r>
              <w:rPr>
                <w:rFonts w:ascii="宋体" w:hAnsi="宋体" w:cs="宋体" w:eastAsia="宋体" w:hint="default"/>
                <w:sz w:val="18"/>
                <w:szCs w:val="18"/>
              </w:rPr>
              <w:t>商业流通管理系 统业务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567" w:right="24" w:hanging="540"/>
              <w:jc w:val="left"/>
              <w:rPr>
                <w:rFonts w:ascii="宋体" w:hAnsi="宋体" w:cs="宋体" w:eastAsia="宋体" w:hint="default"/>
                <w:sz w:val="18"/>
                <w:szCs w:val="18"/>
              </w:rPr>
            </w:pPr>
            <w:r>
              <w:rPr>
                <w:rFonts w:ascii="宋体" w:hAnsi="宋体" w:cs="宋体" w:eastAsia="宋体" w:hint="default"/>
                <w:sz w:val="18"/>
                <w:szCs w:val="18"/>
              </w:rPr>
              <w:t>新签合同及订单、 分店</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3,172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2,303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37.73%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z w:val="18"/>
                <w:szCs w:val="18"/>
              </w:rPr>
              <w:t>本年大力进行新 产品开发及渠道 </w:t>
            </w:r>
            <w:r>
              <w:rPr>
                <w:rFonts w:ascii="宋体" w:hAnsi="宋体" w:cs="宋体" w:eastAsia="宋体" w:hint="default"/>
                <w:spacing w:val="-2"/>
                <w:sz w:val="18"/>
                <w:szCs w:val="18"/>
              </w:rPr>
              <w:t>拓展取得效果，合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同订单大幅增加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92.97%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223</w:t>
            </w:r>
          </w:p>
        </w:tc>
      </w:tr>
      <w:tr>
        <w:trPr>
          <w:trHeight w:val="342" w:hRule="exact"/>
        </w:trPr>
        <w:tc>
          <w:tcPr>
            <w:tcW w:w="1300" w:type="dxa"/>
            <w:vMerge/>
            <w:tcBorders>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-20.83%</w:t>
            </w:r>
          </w:p>
        </w:tc>
        <w:tc>
          <w:tcPr>
            <w:tcW w:w="1450" w:type="dxa"/>
            <w:tcBorders>
              <w:top w:val="single" w:sz="4" w:space="0" w:color="000000"/>
              <w:left w:val="single" w:sz="4" w:space="0" w:color="000000"/>
              <w:bottom w:val="single" w:sz="4" w:space="0" w:color="000000"/>
              <w:right w:val="single" w:sz="4" w:space="0" w:color="000000"/>
            </w:tcBorders>
          </w:tcPr>
          <w:p>
            <w:pP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78.95%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12"/>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851"/>
        <w:gridCol w:w="851"/>
        <w:gridCol w:w="1276"/>
        <w:gridCol w:w="1559"/>
        <w:gridCol w:w="992"/>
        <w:gridCol w:w="674"/>
      </w:tblGrid>
      <w:tr>
        <w:trPr>
          <w:trHeight w:val="653" w:hRule="exact"/>
        </w:trPr>
        <w:tc>
          <w:tcPr>
            <w:tcW w:w="170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417" w:type="dxa"/>
            <w:tcBorders>
              <w:top w:val="single" w:sz="4" w:space="0" w:color="000000"/>
              <w:left w:val="single" w:sz="4" w:space="0" w:color="000000"/>
              <w:bottom w:val="single" w:sz="4" w:space="0" w:color="000000"/>
              <w:right w:val="single" w:sz="4" w:space="0" w:color="000000"/>
            </w:tcBorders>
            <w:shd w:val="clear" w:color="auto" w:fill="EDEBE0"/>
          </w:tcPr>
          <w:p>
            <w:pPr/>
          </w:p>
        </w:tc>
        <w:tc>
          <w:tcPr>
            <w:tcW w:w="851"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316" w:lineRule="auto" w:before="20"/>
              <w:ind w:left="4" w:right="91" w:firstLine="8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本年比上年订 </w:t>
            </w:r>
            <w:r>
              <w:rPr>
                <w:rFonts w:ascii="宋体" w:hAnsi="宋体" w:cs="宋体" w:eastAsia="宋体" w:hint="default"/>
                <w:spacing w:val="-10"/>
                <w:sz w:val="18"/>
                <w:szCs w:val="18"/>
              </w:rPr>
              <w:t>单增减幅度（</w:t>
            </w:r>
            <w:r>
              <w:rPr>
                <w:rFonts w:ascii="Times New Roman" w:hAnsi="Times New Roman" w:cs="Times New Roman" w:eastAsia="Times New Roman" w:hint="default"/>
                <w:spacing w:val="-10"/>
                <w:sz w:val="18"/>
                <w:szCs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300" w:lineRule="auto" w:before="20"/>
              <w:ind w:left="503" w:right="68" w:hanging="436"/>
              <w:jc w:val="left"/>
              <w:rPr>
                <w:rFonts w:ascii="宋体" w:hAnsi="宋体" w:cs="宋体" w:eastAsia="宋体" w:hint="default"/>
                <w:sz w:val="18"/>
                <w:szCs w:val="18"/>
              </w:rPr>
            </w:pPr>
            <w:r>
              <w:rPr>
                <w:rFonts w:ascii="宋体" w:hAnsi="宋体" w:cs="宋体" w:eastAsia="宋体" w:hint="default"/>
                <w:sz w:val="18"/>
                <w:szCs w:val="18"/>
              </w:rPr>
              <w:t>增减幅度超过</w:t>
            </w:r>
            <w:r>
              <w:rPr>
                <w:rFonts w:ascii="Times New Roman" w:hAnsi="Times New Roman" w:cs="Times New Roman" w:eastAsia="Times New Roman" w:hint="default"/>
                <w:sz w:val="18"/>
                <w:szCs w:val="18"/>
              </w:rPr>
              <w:t>30% </w:t>
            </w:r>
            <w:r>
              <w:rPr>
                <w:rFonts w:ascii="宋体" w:hAnsi="宋体" w:cs="宋体" w:eastAsia="宋体" w:hint="default"/>
                <w:sz w:val="18"/>
                <w:szCs w:val="18"/>
              </w:rPr>
              <w:t>的原因</w:t>
            </w:r>
          </w:p>
        </w:tc>
        <w:tc>
          <w:tcPr>
            <w:tcW w:w="99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316" w:lineRule="auto" w:before="20"/>
              <w:ind w:left="4" w:right="41" w:firstLine="36"/>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本期订单完 成比例（</w:t>
            </w:r>
            <w:r>
              <w:rPr>
                <w:rFonts w:ascii="Times New Roman" w:hAnsi="Times New Roman" w:cs="Times New Roman" w:eastAsia="Times New Roman" w:hint="default"/>
                <w:sz w:val="18"/>
                <w:szCs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316" w:lineRule="auto" w:before="20"/>
              <w:ind w:left="61" w:right="61"/>
              <w:jc w:val="left"/>
              <w:rPr>
                <w:rFonts w:ascii="宋体" w:hAnsi="宋体" w:cs="宋体" w:eastAsia="宋体" w:hint="default"/>
                <w:sz w:val="18"/>
                <w:szCs w:val="18"/>
              </w:rPr>
            </w:pPr>
            <w:r>
              <w:rPr>
                <w:rFonts w:ascii="宋体" w:hAnsi="宋体" w:cs="宋体" w:eastAsia="宋体" w:hint="default"/>
                <w:sz w:val="18"/>
                <w:szCs w:val="18"/>
              </w:rPr>
              <w:t>跨期执 行情况</w:t>
            </w:r>
          </w:p>
        </w:tc>
      </w:tr>
      <w:tr>
        <w:trPr>
          <w:trHeight w:val="654"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计算机周边产品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7,539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8,592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-12.26%</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5" w:hRule="exact"/>
        </w:trPr>
        <w:tc>
          <w:tcPr>
            <w:tcW w:w="1702"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45,932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43,575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5.41%</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2"/>
        <w:gridCol w:w="1417"/>
        <w:gridCol w:w="851"/>
        <w:gridCol w:w="851"/>
        <w:gridCol w:w="1276"/>
        <w:gridCol w:w="1559"/>
        <w:gridCol w:w="204"/>
        <w:gridCol w:w="789"/>
        <w:gridCol w:w="674"/>
      </w:tblGrid>
      <w:tr>
        <w:trPr>
          <w:trHeight w:val="966"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电子元器件产品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5"/>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z w:val="18"/>
              </w:rPr>
              <w:t>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3" w:hanging="50"/>
              <w:jc w:val="center"/>
              <w:rPr>
                <w:rFonts w:ascii="宋体" w:hAnsi="宋体" w:cs="宋体" w:eastAsia="宋体" w:hint="default"/>
                <w:sz w:val="18"/>
                <w:szCs w:val="18"/>
              </w:rPr>
            </w:pPr>
            <w:r>
              <w:rPr>
                <w:rFonts w:ascii="宋体" w:hAnsi="宋体" w:cs="宋体" w:eastAsia="宋体" w:hint="default"/>
                <w:sz w:val="18"/>
                <w:szCs w:val="18"/>
              </w:rPr>
              <w:t>公司经营业务调整 逐渐取消元器件产 品新订单业务</w:t>
            </w:r>
          </w:p>
        </w:tc>
        <w:tc>
          <w:tcPr>
            <w:tcW w:w="2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115" w:right="0"/>
              <w:jc w:val="left"/>
              <w:rPr>
                <w:rFonts w:ascii="宋体" w:hAnsi="宋体" w:cs="宋体" w:eastAsia="宋体" w:hint="default"/>
                <w:sz w:val="18"/>
                <w:szCs w:val="18"/>
              </w:rPr>
            </w:pPr>
            <w:r>
              <w:rPr>
                <w:rFonts w:ascii="宋体" w:hAnsi="宋体" w:cs="宋体" w:eastAsia="宋体" w:hint="default"/>
                <w:sz w:val="18"/>
                <w:szCs w:val="18"/>
              </w:rPr>
              <w:t>，</w:t>
            </w:r>
          </w:p>
        </w:tc>
        <w:tc>
          <w:tcPr>
            <w:tcW w:w="7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33" w:right="0"/>
              <w:jc w:val="lef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4" w:hRule="exact"/>
        </w:trPr>
        <w:tc>
          <w:tcPr>
            <w:tcW w:w="1702"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205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-7.24%</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78"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医疗器械及国际业务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-41.67%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firstLine="49"/>
              <w:jc w:val="both"/>
              <w:rPr>
                <w:rFonts w:ascii="宋体" w:hAnsi="宋体" w:cs="宋体" w:eastAsia="宋体" w:hint="default"/>
                <w:sz w:val="18"/>
                <w:szCs w:val="18"/>
              </w:rPr>
            </w:pPr>
            <w:r>
              <w:rPr>
                <w:rFonts w:ascii="宋体" w:hAnsi="宋体" w:cs="宋体" w:eastAsia="宋体" w:hint="default"/>
                <w:sz w:val="18"/>
                <w:szCs w:val="18"/>
              </w:rPr>
              <w:t>主要系国际经济形 </w:t>
            </w:r>
            <w:r>
              <w:rPr>
                <w:rFonts w:ascii="宋体" w:hAnsi="宋体" w:cs="宋体" w:eastAsia="宋体" w:hint="default"/>
                <w:spacing w:val="-10"/>
                <w:sz w:val="18"/>
                <w:szCs w:val="18"/>
              </w:rPr>
              <w:t>势不好，代理进出口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业务萎缩，导致业务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订单大幅减少所致</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4" w:hRule="exact"/>
        </w:trPr>
        <w:tc>
          <w:tcPr>
            <w:tcW w:w="1702"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111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-64.54%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同上</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66"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其他销售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新签合同及订单</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5"/>
              <w:jc w:val="right"/>
              <w:rPr>
                <w:rFonts w:ascii="Times New Roman" w:hAnsi="Times New Roman" w:cs="Times New Roman" w:eastAsia="Times New Roman" w:hint="default"/>
                <w:sz w:val="18"/>
                <w:szCs w:val="18"/>
              </w:rPr>
            </w:pPr>
            <w:r>
              <w:rPr>
                <w:rFonts w:ascii="Times New Roman"/>
                <w:sz w:val="18"/>
              </w:rPr>
              <w:t>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right"/>
              <w:rPr>
                <w:rFonts w:ascii="Times New Roman" w:hAnsi="Times New Roman" w:cs="Times New Roman" w:eastAsia="Times New Roman" w:hint="default"/>
                <w:sz w:val="18"/>
                <w:szCs w:val="18"/>
              </w:rPr>
            </w:pPr>
            <w:r>
              <w:rPr>
                <w:rFonts w:ascii="Times New Roman"/>
                <w:sz w:val="18"/>
              </w:rPr>
              <w:t>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right"/>
              <w:rPr>
                <w:rFonts w:ascii="Times New Roman" w:hAnsi="Times New Roman" w:cs="Times New Roman" w:eastAsia="Times New Roman" w:hint="default"/>
                <w:sz w:val="18"/>
                <w:szCs w:val="18"/>
              </w:rPr>
            </w:pPr>
            <w:r>
              <w:rPr>
                <w:rFonts w:ascii="Times New Roman"/>
                <w:sz w:val="18"/>
              </w:rPr>
              <w:t>-37.78%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hanging="1"/>
              <w:jc w:val="center"/>
              <w:rPr>
                <w:rFonts w:ascii="宋体" w:hAnsi="宋体" w:cs="宋体" w:eastAsia="宋体" w:hint="default"/>
                <w:sz w:val="18"/>
                <w:szCs w:val="18"/>
              </w:rPr>
            </w:pPr>
            <w:r>
              <w:rPr>
                <w:rFonts w:ascii="宋体" w:hAnsi="宋体" w:cs="宋体" w:eastAsia="宋体" w:hint="default"/>
                <w:sz w:val="18"/>
                <w:szCs w:val="18"/>
              </w:rPr>
              <w:t>主要系公司停止了 </w:t>
            </w:r>
            <w:r>
              <w:rPr>
                <w:rFonts w:ascii="宋体" w:hAnsi="宋体" w:cs="宋体" w:eastAsia="宋体" w:hint="default"/>
                <w:spacing w:val="-10"/>
                <w:sz w:val="18"/>
                <w:szCs w:val="18"/>
              </w:rPr>
              <w:t>与罗技的业务，影响</w:t>
            </w:r>
            <w:r>
              <w:rPr>
                <w:rFonts w:ascii="宋体" w:hAnsi="宋体" w:cs="宋体" w:eastAsia="宋体" w:hint="default"/>
                <w:sz w:val="18"/>
                <w:szCs w:val="18"/>
              </w:rPr>
              <w:t> 订单减少所致</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32" w:right="0"/>
              <w:jc w:val="lef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4" w:hRule="exact"/>
        </w:trPr>
        <w:tc>
          <w:tcPr>
            <w:tcW w:w="1702"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维护合同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104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-31.13%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同上</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53,933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53,008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bl>
    <w:p>
      <w:pPr>
        <w:spacing w:line="300" w:lineRule="auto" w:before="10"/>
        <w:ind w:left="153" w:right="1128" w:firstLine="0"/>
        <w:jc w:val="both"/>
        <w:rPr>
          <w:rFonts w:ascii="宋体" w:hAnsi="宋体" w:cs="宋体" w:eastAsia="宋体"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1</w:t>
      </w:r>
      <w:r>
        <w:rPr>
          <w:rFonts w:ascii="宋体" w:hAnsi="宋体" w:cs="宋体" w:eastAsia="宋体" w:hint="default"/>
          <w:sz w:val="18"/>
          <w:szCs w:val="18"/>
        </w:rPr>
        <w:t>）酒店信息系统：本年度新签的合同及订单（本处是指新签署的而非确认收入的）包括北京总公司酒店系统集成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合同及订单（不包括星巴克、</w:t>
      </w:r>
      <w:r>
        <w:rPr>
          <w:rFonts w:ascii="Times New Roman" w:hAnsi="Times New Roman" w:cs="Times New Roman" w:eastAsia="Times New Roman" w:hint="default"/>
          <w:sz w:val="18"/>
          <w:szCs w:val="18"/>
        </w:rPr>
        <w:t>COSTA</w:t>
      </w:r>
      <w:r>
        <w:rPr>
          <w:rFonts w:ascii="宋体" w:hAnsi="宋体" w:cs="宋体" w:eastAsia="宋体" w:hint="default"/>
          <w:sz w:val="18"/>
          <w:szCs w:val="18"/>
        </w:rPr>
        <w:t>、汉堡王和所有社会餐饮客户合同，社会餐饮客户是指该客户没有提供客房住宿服务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1"/>
          <w:sz w:val="18"/>
          <w:szCs w:val="18"/>
        </w:rPr>
        <w:t>或没有与酒店管理系统接口的独立餐厅）</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软件子公司酒店系统集成合同及订单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西软酒店系统集成合同及订单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北海维护与</w:t>
      </w:r>
      <w:r>
        <w:rPr>
          <w:rFonts w:ascii="宋体" w:hAnsi="宋体" w:cs="宋体" w:eastAsia="宋体" w:hint="default"/>
          <w:spacing w:val="-62"/>
          <w:sz w:val="18"/>
          <w:szCs w:val="18"/>
        </w:rPr>
        <w:t> </w:t>
      </w:r>
      <w:r>
        <w:rPr>
          <w:rFonts w:ascii="宋体" w:hAnsi="宋体" w:cs="宋体" w:eastAsia="宋体" w:hint="default"/>
          <w:sz w:val="18"/>
          <w:szCs w:val="18"/>
        </w:rPr>
        <w:t>酒店系统集成合同及订单</w:t>
      </w:r>
      <w:r>
        <w:rPr>
          <w:rFonts w:ascii="Times New Roman" w:hAnsi="Times New Roman" w:cs="Times New Roman" w:eastAsia="Times New Roman" w:hint="default"/>
          <w:sz w:val="18"/>
          <w:szCs w:val="18"/>
        </w:rPr>
        <w:t>+</w:t>
      </w:r>
      <w:r>
        <w:rPr>
          <w:rFonts w:ascii="宋体" w:hAnsi="宋体" w:cs="宋体" w:eastAsia="宋体" w:hint="default"/>
          <w:sz w:val="18"/>
          <w:szCs w:val="18"/>
        </w:rPr>
        <w:t>石基昆仑的全部业务；</w:t>
      </w:r>
    </w:p>
    <w:p>
      <w:pPr>
        <w:spacing w:line="300" w:lineRule="auto" w:before="13"/>
        <w:ind w:left="153" w:right="1130" w:firstLine="4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）餐饮信息系统：本年度新签署的合同及订单（本处是指新签署的而非确认收入的）包括</w:t>
      </w:r>
      <w:r>
        <w:rPr>
          <w:rFonts w:ascii="Times New Roman" w:hAnsi="Times New Roman" w:cs="Times New Roman" w:eastAsia="Times New Roman" w:hint="default"/>
          <w:spacing w:val="-2"/>
          <w:sz w:val="18"/>
          <w:szCs w:val="18"/>
        </w:rPr>
        <w:t>MICROS</w:t>
      </w:r>
      <w:r>
        <w:rPr>
          <w:rFonts w:ascii="宋体" w:hAnsi="宋体" w:cs="宋体" w:eastAsia="宋体" w:hint="default"/>
          <w:spacing w:val="-2"/>
          <w:sz w:val="18"/>
          <w:szCs w:val="18"/>
        </w:rPr>
        <w:t>社会餐饮客户合</w:t>
      </w:r>
      <w:r>
        <w:rPr>
          <w:rFonts w:ascii="宋体" w:hAnsi="宋体" w:cs="宋体" w:eastAsia="宋体" w:hint="default"/>
          <w:sz w:val="18"/>
          <w:szCs w:val="18"/>
        </w:rPr>
        <w:t> </w:t>
      </w:r>
      <w:r>
        <w:rPr>
          <w:rFonts w:ascii="宋体" w:hAnsi="宋体" w:cs="宋体" w:eastAsia="宋体" w:hint="default"/>
          <w:spacing w:val="-1"/>
          <w:sz w:val="18"/>
          <w:szCs w:val="18"/>
        </w:rPr>
        <w:t>同及订单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北京现化的社会餐饮合同及订单（不包括软子代签的合同）</w:t>
      </w:r>
      <w:r>
        <w:rPr>
          <w:rFonts w:ascii="Times New Roman" w:hAnsi="Times New Roman" w:cs="Times New Roman" w:eastAsia="Times New Roman" w:hint="default"/>
          <w:spacing w:val="-1"/>
          <w:sz w:val="18"/>
          <w:szCs w:val="18"/>
        </w:rPr>
        <w:t>+Infrasys</w:t>
      </w:r>
      <w:r>
        <w:rPr>
          <w:rFonts w:ascii="宋体" w:hAnsi="宋体" w:cs="宋体" w:eastAsia="宋体" w:hint="default"/>
          <w:spacing w:val="-1"/>
          <w:sz w:val="18"/>
          <w:szCs w:val="18"/>
        </w:rPr>
        <w:t>境外的业务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海外业务最好也分成酒店业和社</w:t>
      </w:r>
      <w:r>
        <w:rPr>
          <w:rFonts w:ascii="宋体" w:hAnsi="宋体" w:cs="宋体" w:eastAsia="宋体" w:hint="default"/>
          <w:spacing w:val="-59"/>
          <w:sz w:val="18"/>
          <w:szCs w:val="18"/>
        </w:rPr>
        <w:t> </w:t>
      </w:r>
      <w:r>
        <w:rPr>
          <w:rFonts w:ascii="宋体" w:hAnsi="宋体" w:cs="宋体" w:eastAsia="宋体" w:hint="default"/>
          <w:sz w:val="18"/>
          <w:szCs w:val="18"/>
        </w:rPr>
        <w:t>会餐饮业</w:t>
      </w:r>
      <w:r>
        <w:rPr>
          <w:rFonts w:ascii="Times New Roman" w:hAnsi="Times New Roman" w:cs="Times New Roman" w:eastAsia="Times New Roman" w:hint="default"/>
          <w:sz w:val="18"/>
          <w:szCs w:val="18"/>
        </w:rPr>
        <w:t>)+</w:t>
      </w:r>
      <w:r>
        <w:rPr>
          <w:rFonts w:ascii="宋体" w:hAnsi="宋体" w:cs="宋体" w:eastAsia="宋体" w:hint="default"/>
          <w:sz w:val="18"/>
          <w:szCs w:val="18"/>
        </w:rPr>
        <w:t>上海正品的餐饮合同及订单；</w:t>
      </w:r>
    </w:p>
    <w:p>
      <w:pPr>
        <w:spacing w:line="300" w:lineRule="auto" w:before="13"/>
        <w:ind w:left="153" w:right="1133" w:firstLine="48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）支付系统业务：本年度新签署的合同及订单（本处是指新签署的而非确认收入的）包括南京银石合同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北海</w:t>
      </w:r>
      <w:r>
        <w:rPr>
          <w:rFonts w:ascii="Times New Roman" w:hAnsi="Times New Roman" w:cs="Times New Roman" w:eastAsia="Times New Roman" w:hint="default"/>
          <w:spacing w:val="-1"/>
          <w:sz w:val="18"/>
          <w:szCs w:val="18"/>
        </w:rPr>
        <w:t>PGS</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合同。</w:t>
      </w:r>
    </w:p>
    <w:p>
      <w:pPr>
        <w:spacing w:before="31"/>
        <w:ind w:left="6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）商业流通管理系统业务：本年度新签署的合同及订单（本处是指新签署的而非确认收入的）包括思迅软件合同。</w:t>
      </w:r>
    </w:p>
    <w:p>
      <w:pPr>
        <w:pStyle w:val="BodyText"/>
        <w:spacing w:line="240" w:lineRule="auto" w:before="37"/>
        <w:ind w:left="636" w:right="0"/>
        <w:jc w:val="left"/>
      </w:pPr>
      <w:r>
        <w:rPr/>
        <w:t>大额订单情况</w:t>
      </w:r>
    </w:p>
    <w:p>
      <w:pPr>
        <w:spacing w:line="240" w:lineRule="auto" w:before="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928"/>
        <w:gridCol w:w="1020"/>
        <w:gridCol w:w="1020"/>
        <w:gridCol w:w="1680"/>
        <w:gridCol w:w="1680"/>
        <w:gridCol w:w="1020"/>
        <w:gridCol w:w="1020"/>
      </w:tblGrid>
      <w:tr>
        <w:trPr>
          <w:trHeight w:val="965" w:hRule="exact"/>
        </w:trPr>
        <w:tc>
          <w:tcPr>
            <w:tcW w:w="192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02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
              <w:ind w:right="0"/>
              <w:jc w:val="left"/>
              <w:rPr>
                <w:rFonts w:ascii="宋体" w:hAnsi="宋体" w:cs="宋体" w:eastAsia="宋体" w:hint="default"/>
                <w:sz w:val="13"/>
                <w:szCs w:val="13"/>
              </w:rPr>
            </w:pPr>
          </w:p>
          <w:p>
            <w:pPr>
              <w:pStyle w:val="TableParagraph"/>
              <w:spacing w:line="300" w:lineRule="auto"/>
              <w:ind w:left="144" w:right="54" w:hanging="9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年大额 订单数量</w:t>
            </w:r>
          </w:p>
        </w:tc>
        <w:tc>
          <w:tcPr>
            <w:tcW w:w="102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
              <w:ind w:right="0"/>
              <w:jc w:val="left"/>
              <w:rPr>
                <w:rFonts w:ascii="宋体" w:hAnsi="宋体" w:cs="宋体" w:eastAsia="宋体" w:hint="default"/>
                <w:sz w:val="13"/>
                <w:szCs w:val="13"/>
              </w:rPr>
            </w:pPr>
          </w:p>
          <w:p>
            <w:pPr>
              <w:pStyle w:val="TableParagraph"/>
              <w:spacing w:line="300" w:lineRule="auto"/>
              <w:ind w:left="144" w:right="54" w:hanging="9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年大额 订单数量</w:t>
            </w:r>
          </w:p>
        </w:tc>
        <w:tc>
          <w:tcPr>
            <w:tcW w:w="16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年大额订单总额</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6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年大额订单总额</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2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316" w:lineRule="auto" w:before="20"/>
              <w:ind w:left="53" w:right="54"/>
              <w:jc w:val="center"/>
              <w:rPr>
                <w:rFonts w:ascii="宋体" w:hAnsi="宋体" w:cs="宋体" w:eastAsia="宋体" w:hint="default"/>
                <w:sz w:val="18"/>
                <w:szCs w:val="18"/>
              </w:rPr>
            </w:pPr>
            <w:r>
              <w:rPr>
                <w:rFonts w:ascii="宋体" w:hAnsi="宋体" w:cs="宋体" w:eastAsia="宋体" w:hint="default"/>
                <w:sz w:val="18"/>
                <w:szCs w:val="18"/>
              </w:rPr>
              <w:t>大额订单总 额增长比例</w:t>
            </w:r>
          </w:p>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2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316" w:lineRule="auto" w:before="20"/>
              <w:ind w:left="53" w:right="54"/>
              <w:jc w:val="both"/>
              <w:rPr>
                <w:rFonts w:ascii="宋体" w:hAnsi="宋体" w:cs="宋体" w:eastAsia="宋体" w:hint="default"/>
                <w:sz w:val="18"/>
                <w:szCs w:val="18"/>
              </w:rPr>
            </w:pPr>
            <w:r>
              <w:rPr>
                <w:rFonts w:ascii="宋体" w:hAnsi="宋体" w:cs="宋体" w:eastAsia="宋体" w:hint="default"/>
                <w:sz w:val="18"/>
                <w:szCs w:val="18"/>
              </w:rPr>
              <w:t>大额订单占 全部订单旳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酒店信息系统业务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123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154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288,738,832.52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339,212,762.11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-14.88%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37.44%</w:t>
            </w:r>
          </w:p>
        </w:tc>
      </w:tr>
      <w:tr>
        <w:trPr>
          <w:trHeight w:val="34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餐饮信息系统业务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110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135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27,909,434.07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33,555,709.39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-16.83%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18.09%</w:t>
            </w:r>
          </w:p>
        </w:tc>
      </w:tr>
      <w:tr>
        <w:trPr>
          <w:trHeight w:val="34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66,721,374.08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29,622,699.50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125.24%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60.62%</w:t>
            </w:r>
          </w:p>
        </w:tc>
      </w:tr>
      <w:tr>
        <w:trPr>
          <w:trHeight w:val="34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商业流通管理系统业务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82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16,189,500.00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10,414,335.00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55.45%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20.72%</w:t>
            </w:r>
          </w:p>
        </w:tc>
      </w:tr>
      <w:tr>
        <w:trPr>
          <w:trHeight w:val="343"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332</w:t>
            </w:r>
          </w:p>
        </w:tc>
        <w:tc>
          <w:tcPr>
            <w:tcW w:w="10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383,369,640.67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402,391,171.00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bl>
    <w:p>
      <w:pPr>
        <w:spacing w:line="300" w:lineRule="auto"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1</w:t>
      </w:r>
      <w:r>
        <w:rPr>
          <w:rFonts w:ascii="宋体" w:hAnsi="宋体" w:cs="宋体" w:eastAsia="宋体" w:hint="default"/>
          <w:sz w:val="18"/>
          <w:szCs w:val="18"/>
        </w:rPr>
        <w:t>）支付系统业务大额订单增长</w:t>
      </w:r>
      <w:r>
        <w:rPr>
          <w:rFonts w:ascii="Times New Roman" w:hAnsi="Times New Roman" w:cs="Times New Roman" w:eastAsia="Times New Roman" w:hint="default"/>
          <w:sz w:val="18"/>
          <w:szCs w:val="18"/>
        </w:rPr>
        <w:t>125.24%</w:t>
      </w:r>
      <w:r>
        <w:rPr>
          <w:rFonts w:ascii="宋体" w:hAnsi="宋体" w:cs="宋体" w:eastAsia="宋体" w:hint="default"/>
          <w:sz w:val="18"/>
          <w:szCs w:val="18"/>
        </w:rPr>
        <w:t>，主要系公司本年与工总行和建总行分别签署了大额合同，总额</w:t>
      </w:r>
      <w:r>
        <w:rPr>
          <w:rFonts w:ascii="Times New Roman" w:hAnsi="Times New Roman" w:cs="Times New Roman" w:eastAsia="Times New Roman" w:hint="default"/>
          <w:sz w:val="18"/>
          <w:szCs w:val="18"/>
        </w:rPr>
        <w:t>3500</w:t>
      </w:r>
      <w:r>
        <w:rPr>
          <w:rFonts w:ascii="宋体" w:hAnsi="宋体" w:cs="宋体" w:eastAsia="宋体" w:hint="default"/>
          <w:sz w:val="18"/>
          <w:szCs w:val="18"/>
        </w:rPr>
        <w:t>万，</w:t>
      </w:r>
      <w:r>
        <w:rPr>
          <w:rFonts w:ascii="宋体" w:hAnsi="宋体" w:cs="宋体" w:eastAsia="宋体" w:hint="default"/>
          <w:spacing w:val="-15"/>
          <w:sz w:val="18"/>
          <w:szCs w:val="18"/>
        </w:rPr>
        <w:t> </w:t>
      </w:r>
      <w:r>
        <w:rPr>
          <w:rFonts w:ascii="宋体" w:hAnsi="宋体" w:cs="宋体" w:eastAsia="宋体" w:hint="default"/>
          <w:sz w:val="18"/>
          <w:szCs w:val="18"/>
        </w:rPr>
        <w:t>及业务正常增长共同所致。</w:t>
      </w:r>
    </w:p>
    <w:p>
      <w:pPr>
        <w:spacing w:line="300" w:lineRule="auto" w:before="31"/>
        <w:ind w:left="153" w:right="1118" w:firstLine="4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）商业流通管理系统业务大额订单增长</w:t>
      </w:r>
      <w:r>
        <w:rPr>
          <w:rFonts w:ascii="Times New Roman" w:hAnsi="Times New Roman" w:cs="Times New Roman" w:eastAsia="Times New Roman" w:hint="default"/>
          <w:spacing w:val="-2"/>
          <w:sz w:val="18"/>
          <w:szCs w:val="18"/>
        </w:rPr>
        <w:t>55.45%</w:t>
      </w:r>
      <w:r>
        <w:rPr>
          <w:rFonts w:ascii="宋体" w:hAnsi="宋体" w:cs="宋体" w:eastAsia="宋体" w:hint="default"/>
          <w:spacing w:val="-2"/>
          <w:sz w:val="18"/>
          <w:szCs w:val="18"/>
        </w:rPr>
        <w:t>，主要系本年大力进行新产品开发及渠道拓展取得效果，合同订单大</w:t>
      </w:r>
      <w:r>
        <w:rPr>
          <w:rFonts w:ascii="宋体" w:hAnsi="宋体" w:cs="宋体" w:eastAsia="宋体" w:hint="default"/>
          <w:sz w:val="18"/>
          <w:szCs w:val="18"/>
        </w:rPr>
        <w:t> 幅增加所致。</w:t>
      </w:r>
    </w:p>
    <w:p>
      <w:pPr>
        <w:pStyle w:val="BodyText"/>
        <w:spacing w:line="240" w:lineRule="auto" w:before="6"/>
        <w:ind w:left="636" w:right="0"/>
        <w:jc w:val="left"/>
      </w:pPr>
      <w:r>
        <w:rPr/>
        <w:pict>
          <v:shape style="position:absolute;margin-left:456.059998pt;margin-top:33.983673pt;width:67.95pt;height:15.6pt;mso-position-horizontal-relative:page;mso-position-vertical-relative:paragraph;z-index:-944608"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大额订单情况（大于</w:t>
      </w:r>
      <w:r>
        <w:rPr>
          <w:rFonts w:ascii="Times New Roman" w:hAnsi="Times New Roman" w:cs="Times New Roman" w:eastAsia="Times New Roman" w:hint="default"/>
        </w:rPr>
        <w:t>10</w:t>
      </w:r>
      <w:r>
        <w:rPr/>
        <w:t>万元订单）</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128"/>
        <w:gridCol w:w="1134"/>
        <w:gridCol w:w="1275"/>
        <w:gridCol w:w="1134"/>
        <w:gridCol w:w="1282"/>
        <w:gridCol w:w="1134"/>
        <w:gridCol w:w="88"/>
        <w:gridCol w:w="1182"/>
      </w:tblGrid>
      <w:tr>
        <w:trPr>
          <w:trHeight w:val="342" w:hRule="exact"/>
        </w:trPr>
        <w:tc>
          <w:tcPr>
            <w:tcW w:w="2128" w:type="dxa"/>
            <w:vMerge w:val="restart"/>
            <w:tcBorders>
              <w:top w:val="single" w:sz="4" w:space="0" w:color="000000"/>
              <w:left w:val="single" w:sz="4" w:space="0" w:color="000000"/>
              <w:right w:val="single" w:sz="4" w:space="0" w:color="000000"/>
            </w:tcBorders>
            <w:shd w:val="clear" w:color="auto" w:fill="E4E4E4"/>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2416" w:type="dxa"/>
            <w:gridSpan w:val="2"/>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134" w:type="dxa"/>
            <w:vMerge w:val="restart"/>
            <w:tcBorders>
              <w:top w:val="single" w:sz="4" w:space="0" w:color="000000"/>
              <w:left w:val="single" w:sz="4" w:space="0" w:color="000000"/>
              <w:right w:val="single" w:sz="4" w:space="0" w:color="000000"/>
            </w:tcBorders>
            <w:shd w:val="clear" w:color="auto" w:fill="E4E4E4"/>
          </w:tcPr>
          <w:p>
            <w:pPr>
              <w:pStyle w:val="TableParagraph"/>
              <w:spacing w:line="316" w:lineRule="auto" w:before="35"/>
              <w:ind w:left="6" w:right="21" w:firstLine="16"/>
              <w:jc w:val="left"/>
              <w:rPr>
                <w:rFonts w:ascii="Times New Roman" w:hAnsi="Times New Roman" w:cs="Times New Roman" w:eastAsia="Times New Roman" w:hint="default"/>
                <w:sz w:val="18"/>
                <w:szCs w:val="18"/>
              </w:rPr>
            </w:pPr>
            <w:r>
              <w:rPr>
                <w:rFonts w:ascii="宋体" w:hAnsi="宋体" w:cs="宋体" w:eastAsia="宋体" w:hint="default"/>
                <w:sz w:val="18"/>
                <w:szCs w:val="18"/>
              </w:rPr>
              <w:t>大额订单总额 </w:t>
            </w:r>
            <w:r>
              <w:rPr>
                <w:rFonts w:ascii="宋体" w:hAnsi="宋体" w:cs="宋体" w:eastAsia="宋体" w:hint="default"/>
                <w:spacing w:val="-5"/>
                <w:sz w:val="18"/>
                <w:szCs w:val="18"/>
              </w:rPr>
              <w:t>增长比例（</w:t>
            </w:r>
            <w:r>
              <w:rPr>
                <w:rFonts w:ascii="Times New Roman" w:hAnsi="Times New Roman" w:cs="Times New Roman" w:eastAsia="Times New Roman" w:hint="default"/>
                <w:spacing w:val="-5"/>
                <w:sz w:val="18"/>
                <w:szCs w:val="18"/>
              </w:rPr>
              <w:t>%</w:t>
            </w:r>
          </w:p>
        </w:tc>
        <w:tc>
          <w:tcPr>
            <w:tcW w:w="88" w:type="dxa"/>
            <w:vMerge w:val="restart"/>
            <w:tcBorders>
              <w:top w:val="single" w:sz="4" w:space="0" w:color="000000"/>
              <w:left w:val="single" w:sz="4" w:space="0" w:color="000000"/>
              <w:right w:val="nil" w:sz="6" w:space="0" w:color="auto"/>
            </w:tcBorders>
            <w:shd w:val="clear" w:color="auto" w:fill="E4E4E4"/>
          </w:tcPr>
          <w:p>
            <w:pPr/>
          </w:p>
        </w:tc>
        <w:tc>
          <w:tcPr>
            <w:tcW w:w="1182" w:type="dxa"/>
            <w:vMerge w:val="restart"/>
            <w:tcBorders>
              <w:top w:val="single" w:sz="4" w:space="0" w:color="000000"/>
              <w:left w:val="nil" w:sz="6" w:space="0" w:color="auto"/>
              <w:right w:val="single" w:sz="4" w:space="0" w:color="000000"/>
            </w:tcBorders>
            <w:shd w:val="clear" w:color="auto" w:fill="E4E4E4"/>
          </w:tcPr>
          <w:p>
            <w:pPr>
              <w:pStyle w:val="TableParagraph"/>
              <w:spacing w:line="316" w:lineRule="auto" w:before="35"/>
              <w:ind w:left="7" w:right="89"/>
              <w:jc w:val="left"/>
              <w:rPr>
                <w:rFonts w:ascii="宋体" w:hAnsi="宋体" w:cs="宋体" w:eastAsia="宋体" w:hint="default"/>
                <w:sz w:val="18"/>
                <w:szCs w:val="18"/>
              </w:rPr>
            </w:pPr>
            <w:r>
              <w:rPr>
                <w:rFonts w:ascii="宋体" w:hAnsi="宋体" w:cs="宋体" w:eastAsia="宋体" w:hint="default"/>
                <w:sz w:val="18"/>
                <w:szCs w:val="18"/>
              </w:rPr>
              <w:t>大额订单占全 部订单旳比例</w:t>
            </w:r>
          </w:p>
        </w:tc>
      </w:tr>
      <w:tr>
        <w:trPr>
          <w:trHeight w:val="341" w:hRule="exact"/>
        </w:trPr>
        <w:tc>
          <w:tcPr>
            <w:tcW w:w="2128" w:type="dxa"/>
            <w:vMerge/>
            <w:tcBorders>
              <w:left w:val="single" w:sz="4" w:space="0" w:color="000000"/>
              <w:bottom w:val="single" w:sz="4" w:space="0" w:color="000000"/>
              <w:right w:val="single" w:sz="4" w:space="0" w:color="000000"/>
            </w:tcBorders>
            <w:shd w:val="clear" w:color="auto" w:fill="E4E4E4"/>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大额订单数量</w:t>
            </w:r>
          </w:p>
        </w:tc>
        <w:tc>
          <w:tcPr>
            <w:tcW w:w="127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大额订单总额</w:t>
            </w:r>
          </w:p>
        </w:tc>
        <w:tc>
          <w:tcPr>
            <w:tcW w:w="1134"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0"/>
              <w:ind w:left="21" w:right="0"/>
              <w:jc w:val="left"/>
              <w:rPr>
                <w:rFonts w:ascii="宋体" w:hAnsi="宋体" w:cs="宋体" w:eastAsia="宋体" w:hint="default"/>
                <w:sz w:val="18"/>
                <w:szCs w:val="18"/>
              </w:rPr>
            </w:pPr>
            <w:r>
              <w:rPr>
                <w:rFonts w:ascii="宋体" w:hAnsi="宋体" w:cs="宋体" w:eastAsia="宋体" w:hint="default"/>
                <w:sz w:val="18"/>
                <w:szCs w:val="18"/>
              </w:rPr>
              <w:t>大额订单数量</w:t>
            </w:r>
          </w:p>
        </w:tc>
        <w:tc>
          <w:tcPr>
            <w:tcW w:w="128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z w:val="18"/>
                <w:szCs w:val="18"/>
              </w:rPr>
              <w:t>大额订单总额</w:t>
            </w:r>
          </w:p>
        </w:tc>
        <w:tc>
          <w:tcPr>
            <w:tcW w:w="1134" w:type="dxa"/>
            <w:vMerge/>
            <w:tcBorders>
              <w:left w:val="single" w:sz="4" w:space="0" w:color="000000"/>
              <w:bottom w:val="single" w:sz="4" w:space="0" w:color="000000"/>
              <w:right w:val="single" w:sz="4" w:space="0" w:color="000000"/>
            </w:tcBorders>
            <w:shd w:val="clear" w:color="auto" w:fill="E4E4E4"/>
          </w:tcPr>
          <w:p>
            <w:pPr/>
          </w:p>
        </w:tc>
        <w:tc>
          <w:tcPr>
            <w:tcW w:w="88" w:type="dxa"/>
            <w:vMerge/>
            <w:tcBorders>
              <w:left w:val="single" w:sz="4" w:space="0" w:color="000000"/>
              <w:bottom w:val="single" w:sz="4" w:space="0" w:color="000000"/>
              <w:right w:val="nil" w:sz="6" w:space="0" w:color="auto"/>
            </w:tcBorders>
            <w:shd w:val="clear" w:color="auto" w:fill="E4E4E4"/>
          </w:tcPr>
          <w:p>
            <w:pPr/>
          </w:p>
        </w:tc>
        <w:tc>
          <w:tcPr>
            <w:tcW w:w="1182" w:type="dxa"/>
            <w:vMerge/>
            <w:tcBorders>
              <w:left w:val="nil" w:sz="6" w:space="0" w:color="auto"/>
              <w:bottom w:val="single" w:sz="4" w:space="0" w:color="000000"/>
              <w:right w:val="single" w:sz="4" w:space="0" w:color="000000"/>
            </w:tcBorders>
            <w:shd w:val="clear" w:color="auto" w:fill="E4E4E4"/>
          </w:tcPr>
          <w:p>
            <w:pPr/>
          </w:p>
        </w:tc>
      </w:tr>
    </w:tbl>
    <w:p>
      <w:pPr>
        <w:spacing w:after="0"/>
        <w:sectPr>
          <w:pgSz w:w="11910" w:h="16840"/>
          <w:pgMar w:header="747" w:footer="979" w:top="1060" w:bottom="1160" w:left="980" w:right="0"/>
        </w:sectPr>
      </w:pPr>
    </w:p>
    <w:p>
      <w:pPr>
        <w:spacing w:line="240" w:lineRule="auto" w:before="1"/>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8"/>
        <w:gridCol w:w="1134"/>
        <w:gridCol w:w="1275"/>
        <w:gridCol w:w="1134"/>
        <w:gridCol w:w="1282"/>
        <w:gridCol w:w="1134"/>
        <w:gridCol w:w="1270"/>
      </w:tblGrid>
      <w:tr>
        <w:trPr>
          <w:trHeight w:val="342" w:hRule="exact"/>
        </w:trPr>
        <w:tc>
          <w:tcPr>
            <w:tcW w:w="2128"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282"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1"/>
              <w:ind w:left="36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single" w:sz="4" w:space="0" w:color="000000"/>
              <w:left w:val="single" w:sz="4" w:space="0" w:color="000000"/>
              <w:bottom w:val="single" w:sz="4" w:space="0" w:color="000000"/>
              <w:right w:val="single" w:sz="4" w:space="0" w:color="000000"/>
            </w:tcBorders>
            <w:shd w:val="clear" w:color="auto" w:fill="E4E4E4"/>
          </w:tcPr>
          <w:p>
            <w:pPr/>
          </w:p>
        </w:tc>
        <w:tc>
          <w:tcPr>
            <w:tcW w:w="1270" w:type="dxa"/>
            <w:tcBorders>
              <w:top w:val="single" w:sz="8" w:space="0" w:color="E4E4E4"/>
              <w:left w:val="single" w:sz="4" w:space="0" w:color="000000"/>
              <w:bottom w:val="single" w:sz="8" w:space="0" w:color="000000"/>
              <w:right w:val="single" w:sz="4" w:space="0" w:color="000000"/>
            </w:tcBorders>
          </w:tcPr>
          <w:p>
            <w:pPr>
              <w:pStyle w:val="TableParagraph"/>
              <w:spacing w:line="240" w:lineRule="auto" w:before="16"/>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计算机周边产品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481,147,748.63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2,222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465,489,211.40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3.36%</w:t>
            </w:r>
          </w:p>
        </w:tc>
        <w:tc>
          <w:tcPr>
            <w:tcW w:w="12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80.83%</w:t>
            </w:r>
          </w:p>
        </w:tc>
      </w:tr>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电子元器件产品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48,603,600.00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326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72,870,000.00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-33.30%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62.77%</w:t>
            </w:r>
          </w:p>
        </w:tc>
      </w:tr>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医疗器械及国际业务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40,170,714.75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258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176,096,547.35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-77.19%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90.27%</w:t>
            </w:r>
          </w:p>
        </w:tc>
      </w:tr>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82,266,215.31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41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163,066,763.61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-49.55%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84.06%</w:t>
            </w:r>
          </w:p>
        </w:tc>
      </w:tr>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2,487</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2,847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877,522,522.36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1</w:t>
      </w:r>
      <w:r>
        <w:rPr>
          <w:rFonts w:ascii="宋体" w:hAnsi="宋体" w:cs="宋体" w:eastAsia="宋体" w:hint="default"/>
          <w:sz w:val="18"/>
          <w:szCs w:val="18"/>
        </w:rPr>
        <w:t>）电子元器件产品大额订单总额下降</w:t>
      </w:r>
      <w:r>
        <w:rPr>
          <w:rFonts w:ascii="Times New Roman" w:hAnsi="Times New Roman" w:cs="Times New Roman" w:eastAsia="Times New Roman" w:hint="default"/>
          <w:sz w:val="18"/>
          <w:szCs w:val="18"/>
        </w:rPr>
        <w:t>33.3%</w:t>
      </w:r>
      <w:r>
        <w:rPr>
          <w:rFonts w:ascii="宋体" w:hAnsi="宋体" w:cs="宋体" w:eastAsia="宋体" w:hint="default"/>
          <w:sz w:val="18"/>
          <w:szCs w:val="18"/>
        </w:rPr>
        <w:t>，主要系公司经营业务调整，逐渐取消元器件产品新订单业务所致。</w:t>
      </w:r>
    </w:p>
    <w:p>
      <w:pPr>
        <w:spacing w:line="300" w:lineRule="auto" w:before="63"/>
        <w:ind w:left="153" w:right="1118" w:firstLine="4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）医疗器械及国际业务大额订单下降</w:t>
      </w:r>
      <w:r>
        <w:rPr>
          <w:rFonts w:ascii="Times New Roman" w:hAnsi="Times New Roman" w:cs="Times New Roman" w:eastAsia="Times New Roman" w:hint="default"/>
          <w:spacing w:val="-2"/>
          <w:sz w:val="18"/>
          <w:szCs w:val="18"/>
        </w:rPr>
        <w:t>77.19%</w:t>
      </w:r>
      <w:r>
        <w:rPr>
          <w:rFonts w:ascii="宋体" w:hAnsi="宋体" w:cs="宋体" w:eastAsia="宋体" w:hint="default"/>
          <w:spacing w:val="-2"/>
          <w:sz w:val="18"/>
          <w:szCs w:val="18"/>
        </w:rPr>
        <w:t>，主要系国际经济形势不好，代理进出口业务萎缩，导致业务订单大幅</w:t>
      </w:r>
      <w:r>
        <w:rPr>
          <w:rFonts w:ascii="宋体" w:hAnsi="宋体" w:cs="宋体" w:eastAsia="宋体" w:hint="default"/>
          <w:sz w:val="18"/>
          <w:szCs w:val="18"/>
        </w:rPr>
        <w:t> 减少所致。</w:t>
      </w:r>
    </w:p>
    <w:p>
      <w:pPr>
        <w:spacing w:before="31"/>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）其他销售的大额订单总额下降</w:t>
      </w:r>
      <w:r>
        <w:rPr>
          <w:rFonts w:ascii="Times New Roman" w:hAnsi="Times New Roman" w:cs="Times New Roman" w:eastAsia="Times New Roman" w:hint="default"/>
          <w:sz w:val="18"/>
          <w:szCs w:val="18"/>
        </w:rPr>
        <w:t>49.55%</w:t>
      </w:r>
      <w:r>
        <w:rPr>
          <w:rFonts w:ascii="宋体" w:hAnsi="宋体" w:cs="宋体" w:eastAsia="宋体" w:hint="default"/>
          <w:sz w:val="18"/>
          <w:szCs w:val="18"/>
        </w:rPr>
        <w:t>，主要系公司停止了与罗技的业务，影响大额订单减少所致。</w:t>
      </w:r>
    </w:p>
    <w:p>
      <w:pPr>
        <w:spacing w:line="240" w:lineRule="auto" w:before="0"/>
        <w:rPr>
          <w:rFonts w:ascii="宋体" w:hAnsi="宋体" w:cs="宋体" w:eastAsia="宋体" w:hint="default"/>
          <w:sz w:val="18"/>
          <w:szCs w:val="18"/>
        </w:rPr>
      </w:pPr>
    </w:p>
    <w:p>
      <w:pPr>
        <w:spacing w:before="139"/>
        <w:ind w:left="15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）酒店信息系统业务的大额订单是指</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万元以上合同；</w:t>
      </w:r>
    </w:p>
    <w:p>
      <w:pPr>
        <w:spacing w:before="63"/>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）餐饮信息系统业务的大额订单是指</w:t>
      </w:r>
      <w:r>
        <w:rPr>
          <w:rFonts w:ascii="Times New Roman" w:hAnsi="Times New Roman" w:cs="Times New Roman" w:eastAsia="Times New Roman" w:hint="default"/>
          <w:sz w:val="18"/>
          <w:szCs w:val="18"/>
        </w:rPr>
        <w:t>10</w:t>
      </w:r>
      <w:r>
        <w:rPr>
          <w:rFonts w:ascii="宋体" w:hAnsi="宋体" w:cs="宋体" w:eastAsia="宋体" w:hint="default"/>
          <w:sz w:val="18"/>
          <w:szCs w:val="18"/>
        </w:rPr>
        <w:t>万元以上合同；</w:t>
      </w:r>
    </w:p>
    <w:p>
      <w:pPr>
        <w:spacing w:before="63"/>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）支付系统业务的大额订单是指</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万元以上的合同；</w:t>
      </w:r>
    </w:p>
    <w:p>
      <w:pPr>
        <w:spacing w:before="63"/>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）商业流通管理系统业务的大额订单是指</w:t>
      </w:r>
      <w:r>
        <w:rPr>
          <w:rFonts w:ascii="Times New Roman" w:hAnsi="Times New Roman" w:cs="Times New Roman" w:eastAsia="Times New Roman" w:hint="default"/>
          <w:sz w:val="18"/>
          <w:szCs w:val="18"/>
        </w:rPr>
        <w:t>10</w:t>
      </w:r>
      <w:r>
        <w:rPr>
          <w:rFonts w:ascii="宋体" w:hAnsi="宋体" w:cs="宋体" w:eastAsia="宋体" w:hint="default"/>
          <w:sz w:val="18"/>
          <w:szCs w:val="18"/>
        </w:rPr>
        <w:t>万元以上的合同。</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1277"/>
        <w:gridCol w:w="1275"/>
        <w:gridCol w:w="1418"/>
        <w:gridCol w:w="1418"/>
        <w:gridCol w:w="1417"/>
        <w:gridCol w:w="782"/>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168,910,671.73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207,415,788.86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服务成本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99,121,114.39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70,448,902.16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627,924.50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588,285.36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商品批发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904,843,203.80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1,100,663,425.17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12,542,101.49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8,807,432.89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42.40%</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709"/>
        <w:gridCol w:w="1275"/>
        <w:gridCol w:w="1418"/>
        <w:gridCol w:w="1418"/>
        <w:gridCol w:w="1417"/>
        <w:gridCol w:w="782"/>
      </w:tblGrid>
      <w:tr>
        <w:trPr>
          <w:trHeight w:val="402" w:hRule="exact"/>
        </w:trPr>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酒店信息管理系统业务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191,241,734.85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205,298,759.55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餐饮信息管理系统业务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35,474,317.80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34,454,755.08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支付系统业务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34,311,776.71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34,031,658.04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商业流通系统业务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7,003,956.76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4,079,518.35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71.69%</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电子元器件销售</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89,919,510.00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111,821,131.80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-19.59%</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打印机、耗材及配件销售</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675,954,615.69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773,717,790.50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-12.64%</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53,104,981.35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80,429,963.95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-33.97%</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中电器件其他销售</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85,864,096.76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134,694,538.92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3"/>
        <w:gridCol w:w="709"/>
        <w:gridCol w:w="1275"/>
        <w:gridCol w:w="1418"/>
        <w:gridCol w:w="1418"/>
        <w:gridCol w:w="1417"/>
        <w:gridCol w:w="782"/>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13,170,025.99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1.11%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9,395,718.25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0" w:right="0"/>
              <w:jc w:val="left"/>
              <w:rPr>
                <w:rFonts w:ascii="Times New Roman" w:hAnsi="Times New Roman" w:cs="Times New Roman" w:eastAsia="Times New Roman" w:hint="default"/>
                <w:sz w:val="18"/>
                <w:szCs w:val="18"/>
              </w:rPr>
            </w:pPr>
            <w:r>
              <w:rPr>
                <w:rFonts w:ascii="Times New Roman"/>
                <w:sz w:val="18"/>
              </w:rPr>
              <w:t>0.68%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40.17%</w:t>
            </w:r>
          </w:p>
        </w:tc>
      </w:tr>
    </w:tbl>
    <w:p>
      <w:pPr>
        <w:spacing w:before="49"/>
        <w:ind w:left="514" w:right="0" w:firstLine="0"/>
        <w:jc w:val="left"/>
        <w:rPr>
          <w:rFonts w:ascii="宋体" w:hAnsi="宋体" w:cs="宋体" w:eastAsia="宋体" w:hint="default"/>
          <w:sz w:val="18"/>
          <w:szCs w:val="18"/>
        </w:rPr>
      </w:pPr>
      <w:r>
        <w:rPr>
          <w:rFonts w:ascii="宋体" w:hAnsi="宋体" w:cs="宋体" w:eastAsia="宋体" w:hint="default"/>
          <w:sz w:val="18"/>
          <w:szCs w:val="18"/>
        </w:rPr>
        <w:t>占公司营业收入或营业利润</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以上的行业、产品重大变动原因解释：</w:t>
      </w:r>
    </w:p>
    <w:p>
      <w:pPr>
        <w:spacing w:line="302" w:lineRule="auto" w:before="102"/>
        <w:ind w:left="153" w:right="128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、医疗器械销售：收入本期比上年同期下降</w:t>
      </w:r>
      <w:r>
        <w:rPr>
          <w:rFonts w:ascii="Times New Roman" w:hAnsi="Times New Roman" w:cs="Times New Roman" w:eastAsia="Times New Roman" w:hint="default"/>
          <w:sz w:val="18"/>
          <w:szCs w:val="18"/>
        </w:rPr>
        <w:t>35.53%</w:t>
      </w:r>
      <w:r>
        <w:rPr>
          <w:rFonts w:ascii="宋体" w:hAnsi="宋体" w:cs="宋体" w:eastAsia="宋体" w:hint="default"/>
          <w:sz w:val="18"/>
          <w:szCs w:val="18"/>
        </w:rPr>
        <w:t>，主要系根据公司的经营战略决策，调整了部分经营产品项目： 由于取消了罗技产品线，影响营业收入约</w:t>
      </w:r>
      <w:r>
        <w:rPr>
          <w:rFonts w:ascii="Times New Roman" w:hAnsi="Times New Roman" w:cs="Times New Roman" w:eastAsia="Times New Roman" w:hint="default"/>
          <w:sz w:val="18"/>
          <w:szCs w:val="18"/>
        </w:rPr>
        <w:t>5,884.00</w:t>
      </w:r>
      <w:r>
        <w:rPr>
          <w:rFonts w:ascii="宋体" w:hAnsi="宋体" w:cs="宋体" w:eastAsia="宋体" w:hint="default"/>
          <w:sz w:val="18"/>
          <w:szCs w:val="18"/>
        </w:rPr>
        <w:t>万元；由于医疗设备项目的清理，影响营业收入约</w:t>
      </w:r>
      <w:r>
        <w:rPr>
          <w:rFonts w:ascii="Times New Roman" w:hAnsi="Times New Roman" w:cs="Times New Roman" w:eastAsia="Times New Roman" w:hint="default"/>
          <w:sz w:val="18"/>
          <w:szCs w:val="18"/>
        </w:rPr>
        <w:t>792.00</w:t>
      </w:r>
      <w:r>
        <w:rPr>
          <w:rFonts w:ascii="宋体" w:hAnsi="宋体" w:cs="宋体" w:eastAsia="宋体" w:hint="default"/>
          <w:sz w:val="18"/>
          <w:szCs w:val="18"/>
        </w:rPr>
        <w:t>万元。</w:t>
      </w:r>
    </w:p>
    <w:p>
      <w:pPr>
        <w:spacing w:line="302" w:lineRule="auto" w:before="50"/>
        <w:ind w:left="153" w:right="128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、中电器件其他销售：收入本期比上年同期下降</w:t>
      </w:r>
      <w:r>
        <w:rPr>
          <w:rFonts w:ascii="Times New Roman" w:hAnsi="Times New Roman" w:cs="Times New Roman" w:eastAsia="Times New Roman" w:hint="default"/>
          <w:sz w:val="18"/>
          <w:szCs w:val="18"/>
        </w:rPr>
        <w:t>38.44%</w:t>
      </w:r>
      <w:r>
        <w:rPr>
          <w:rFonts w:ascii="宋体" w:hAnsi="宋体" w:cs="宋体" w:eastAsia="宋体" w:hint="default"/>
          <w:sz w:val="18"/>
          <w:szCs w:val="18"/>
        </w:rPr>
        <w:t>，主要系由于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年人民币汇率的贬值，减少了进口代理销 售业务，影响营业收入约</w:t>
      </w:r>
      <w:r>
        <w:rPr>
          <w:rFonts w:ascii="Times New Roman" w:hAnsi="Times New Roman" w:cs="Times New Roman" w:eastAsia="Times New Roman" w:hint="default"/>
          <w:sz w:val="18"/>
          <w:szCs w:val="18"/>
        </w:rPr>
        <w:t>6331.00</w:t>
      </w:r>
      <w:r>
        <w:rPr>
          <w:rFonts w:ascii="宋体" w:hAnsi="宋体" w:cs="宋体" w:eastAsia="宋体" w:hint="default"/>
          <w:sz w:val="18"/>
          <w:szCs w:val="18"/>
        </w:rPr>
        <w:t>万元。</w:t>
      </w:r>
    </w:p>
    <w:p>
      <w:pPr>
        <w:spacing w:line="302" w:lineRule="auto" w:before="50"/>
        <w:ind w:left="154" w:right="128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、其他业务收入：本期比上年同期下降</w:t>
      </w:r>
      <w:r>
        <w:rPr>
          <w:rFonts w:ascii="Times New Roman" w:hAnsi="Times New Roman" w:cs="Times New Roman" w:eastAsia="Times New Roman" w:hint="default"/>
          <w:sz w:val="18"/>
          <w:szCs w:val="18"/>
        </w:rPr>
        <w:t>30.62%</w:t>
      </w:r>
      <w:r>
        <w:rPr>
          <w:rFonts w:ascii="宋体" w:hAnsi="宋体" w:cs="宋体" w:eastAsia="宋体" w:hint="default"/>
          <w:sz w:val="18"/>
          <w:szCs w:val="18"/>
        </w:rPr>
        <w:t>，主要系根据公司的经营战略决策，调整了部分代理服务业务，影响 了其他业务收入约</w:t>
      </w:r>
      <w:r>
        <w:rPr>
          <w:rFonts w:ascii="Times New Roman" w:hAnsi="Times New Roman" w:cs="Times New Roman" w:eastAsia="Times New Roman" w:hint="default"/>
          <w:sz w:val="18"/>
          <w:szCs w:val="18"/>
        </w:rPr>
        <w:t>640.10</w:t>
      </w:r>
      <w:r>
        <w:rPr>
          <w:rFonts w:ascii="宋体" w:hAnsi="宋体" w:cs="宋体" w:eastAsia="宋体" w:hint="default"/>
          <w:sz w:val="18"/>
          <w:szCs w:val="18"/>
        </w:rPr>
        <w:t>万元。</w:t>
      </w:r>
    </w:p>
    <w:p>
      <w:pPr>
        <w:spacing w:before="50"/>
        <w:ind w:left="514" w:right="0" w:firstLine="0"/>
        <w:jc w:val="left"/>
        <w:rPr>
          <w:rFonts w:ascii="宋体" w:hAnsi="宋体" w:cs="宋体" w:eastAsia="宋体" w:hint="default"/>
          <w:sz w:val="18"/>
          <w:szCs w:val="18"/>
        </w:rPr>
      </w:pPr>
      <w:r>
        <w:rPr>
          <w:rFonts w:ascii="宋体" w:hAnsi="宋体" w:cs="宋体" w:eastAsia="宋体" w:hint="default"/>
          <w:sz w:val="18"/>
          <w:szCs w:val="18"/>
        </w:rPr>
        <w:t>营业成本构成重大变动原因解释：</w:t>
      </w:r>
    </w:p>
    <w:p>
      <w:pPr>
        <w:spacing w:line="302" w:lineRule="auto" w:before="115"/>
        <w:ind w:left="154" w:right="128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、商业批发与贸易行业中的其他业务成本本期比上年同期增长</w:t>
      </w:r>
      <w:r>
        <w:rPr>
          <w:rFonts w:ascii="Times New Roman" w:hAnsi="Times New Roman" w:cs="Times New Roman" w:eastAsia="Times New Roman" w:hint="default"/>
          <w:sz w:val="18"/>
          <w:szCs w:val="18"/>
        </w:rPr>
        <w:t>42.40%</w:t>
      </w:r>
      <w:r>
        <w:rPr>
          <w:rFonts w:ascii="宋体" w:hAnsi="宋体" w:cs="宋体" w:eastAsia="宋体" w:hint="default"/>
          <w:sz w:val="18"/>
          <w:szCs w:val="18"/>
        </w:rPr>
        <w:t>，主要系本报告期房屋出租面积增大，投资性 房地产折旧增加所致；</w:t>
      </w:r>
    </w:p>
    <w:p>
      <w:pPr>
        <w:spacing w:line="300" w:lineRule="auto" w:before="69"/>
        <w:ind w:left="153" w:right="1153"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、商业流通管理系统业务：成本本期比上年同期增长</w:t>
      </w:r>
      <w:r>
        <w:rPr>
          <w:rFonts w:ascii="Times New Roman" w:hAnsi="Times New Roman" w:cs="Times New Roman" w:eastAsia="Times New Roman" w:hint="default"/>
          <w:sz w:val="18"/>
          <w:szCs w:val="18"/>
        </w:rPr>
        <w:t>71.69%</w:t>
      </w:r>
      <w:r>
        <w:rPr>
          <w:rFonts w:ascii="宋体" w:hAnsi="宋体" w:cs="宋体" w:eastAsia="宋体" w:hint="default"/>
          <w:sz w:val="18"/>
          <w:szCs w:val="18"/>
        </w:rPr>
        <w:t>，主要系</w:t>
      </w:r>
      <w:r>
        <w:rPr>
          <w:rFonts w:ascii="Times New Roman" w:hAnsi="Times New Roman" w:cs="Times New Roman" w:eastAsia="Times New Roman" w:hint="default"/>
          <w:sz w:val="18"/>
          <w:szCs w:val="18"/>
        </w:rPr>
        <w:t>2015</w:t>
      </w:r>
      <w:r>
        <w:rPr>
          <w:rFonts w:ascii="宋体" w:hAnsi="宋体" w:cs="宋体" w:eastAsia="宋体" w:hint="default"/>
          <w:sz w:val="18"/>
          <w:szCs w:val="18"/>
        </w:rPr>
        <w:t>年，思迅软件的硬件销售从原来的销售软 件时的附加业务中独立出来，成立了硬件销售事业部。对传统盘点机、点菜器性能做了改进，出货量较前年度增加了</w:t>
      </w:r>
      <w:r>
        <w:rPr>
          <w:rFonts w:ascii="Times New Roman" w:hAnsi="Times New Roman" w:cs="Times New Roman" w:eastAsia="Times New Roman" w:hint="default"/>
          <w:sz w:val="18"/>
          <w:szCs w:val="18"/>
        </w:rPr>
        <w:t>139%</w:t>
      </w:r>
    </w:p>
    <w:p>
      <w:pPr>
        <w:spacing w:line="302" w:lineRule="auto" w:before="13"/>
        <w:ind w:left="153" w:right="1153" w:firstLine="0"/>
        <w:jc w:val="left"/>
        <w:rPr>
          <w:rFonts w:ascii="宋体" w:hAnsi="宋体" w:cs="宋体" w:eastAsia="宋体" w:hint="default"/>
          <w:sz w:val="18"/>
          <w:szCs w:val="18"/>
        </w:rPr>
      </w:pPr>
      <w:r>
        <w:rPr>
          <w:rFonts w:ascii="宋体" w:hAnsi="宋体" w:cs="宋体" w:eastAsia="宋体" w:hint="default"/>
          <w:sz w:val="18"/>
          <w:szCs w:val="18"/>
        </w:rPr>
        <w:t>，同时新增了新的硬件产品</w:t>
      </w:r>
      <w:r>
        <w:rPr>
          <w:rFonts w:ascii="Times New Roman" w:hAnsi="Times New Roman" w:cs="Times New Roman" w:eastAsia="Times New Roman" w:hint="default"/>
          <w:sz w:val="18"/>
          <w:szCs w:val="18"/>
        </w:rPr>
        <w:t>-</w:t>
      </w:r>
      <w:r>
        <w:rPr>
          <w:rFonts w:ascii="宋体" w:hAnsi="宋体" w:cs="宋体" w:eastAsia="宋体" w:hint="default"/>
          <w:sz w:val="18"/>
          <w:szCs w:val="18"/>
        </w:rPr>
        <w:t>推出了</w:t>
      </w:r>
      <w:r>
        <w:rPr>
          <w:rFonts w:ascii="Times New Roman" w:hAnsi="Times New Roman" w:cs="Times New Roman" w:eastAsia="Times New Roman" w:hint="default"/>
          <w:sz w:val="18"/>
          <w:szCs w:val="18"/>
        </w:rPr>
        <w:t>“</w:t>
      </w:r>
      <w:r>
        <w:rPr>
          <w:rFonts w:ascii="宋体" w:hAnsi="宋体" w:cs="宋体" w:eastAsia="宋体" w:hint="default"/>
          <w:sz w:val="18"/>
          <w:szCs w:val="18"/>
        </w:rPr>
        <w:t>思迅天宝</w:t>
      </w:r>
      <w:r>
        <w:rPr>
          <w:rFonts w:ascii="Times New Roman" w:hAnsi="Times New Roman" w:cs="Times New Roman" w:eastAsia="Times New Roman" w:hint="default"/>
          <w:sz w:val="18"/>
          <w:szCs w:val="18"/>
        </w:rPr>
        <w:t>T1</w:t>
      </w:r>
      <w:r>
        <w:rPr>
          <w:rFonts w:ascii="宋体" w:hAnsi="宋体" w:cs="宋体" w:eastAsia="宋体" w:hint="default"/>
          <w:sz w:val="18"/>
          <w:szCs w:val="18"/>
        </w:rPr>
        <w:t>一体收银机</w:t>
      </w:r>
      <w:r>
        <w:rPr>
          <w:rFonts w:ascii="Times New Roman" w:hAnsi="Times New Roman" w:cs="Times New Roman" w:eastAsia="Times New Roman" w:hint="default"/>
          <w:sz w:val="18"/>
          <w:szCs w:val="18"/>
        </w:rPr>
        <w:t>”</w:t>
      </w:r>
      <w:r>
        <w:rPr>
          <w:rFonts w:ascii="宋体" w:hAnsi="宋体" w:cs="宋体" w:eastAsia="宋体" w:hint="default"/>
          <w:sz w:val="18"/>
          <w:szCs w:val="18"/>
        </w:rPr>
        <w:t>，可以搭载思迅丰富的应用软件，打造软件硬件一体化的解决 方案。</w:t>
      </w:r>
      <w:r>
        <w:rPr>
          <w:rFonts w:ascii="宋体" w:hAnsi="宋体" w:cs="宋体" w:eastAsia="宋体" w:hint="default"/>
          <w:spacing w:val="-47"/>
          <w:sz w:val="18"/>
          <w:szCs w:val="18"/>
        </w:rPr>
        <w:t> </w:t>
      </w:r>
      <w:r>
        <w:rPr>
          <w:rFonts w:ascii="宋体" w:hAnsi="宋体" w:cs="宋体" w:eastAsia="宋体" w:hint="default"/>
          <w:sz w:val="18"/>
          <w:szCs w:val="18"/>
        </w:rPr>
        <w:t>该款收银机广泛适用于超市、便利店、购物中心、专卖店及餐饮店等。</w:t>
      </w:r>
    </w:p>
    <w:p>
      <w:pPr>
        <w:spacing w:line="302" w:lineRule="auto" w:before="68"/>
        <w:ind w:left="153" w:right="128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、医疗器械销售：成本本期比上年同期下降</w:t>
      </w:r>
      <w:r>
        <w:rPr>
          <w:rFonts w:ascii="Times New Roman" w:hAnsi="Times New Roman" w:cs="Times New Roman" w:eastAsia="Times New Roman" w:hint="default"/>
          <w:sz w:val="18"/>
          <w:szCs w:val="18"/>
        </w:rPr>
        <w:t>33.97%</w:t>
      </w:r>
      <w:r>
        <w:rPr>
          <w:rFonts w:ascii="宋体" w:hAnsi="宋体" w:cs="宋体" w:eastAsia="宋体" w:hint="default"/>
          <w:sz w:val="18"/>
          <w:szCs w:val="18"/>
        </w:rPr>
        <w:t>，主要系根据公司的经营战略决策，调整了部分经营产品项目： 由于取消了罗技产品线，影响收入与成本均大幅下降。</w:t>
      </w:r>
    </w:p>
    <w:p>
      <w:pPr>
        <w:spacing w:line="302" w:lineRule="auto" w:before="68"/>
        <w:ind w:left="153" w:right="128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、中电器件其他销售：成本本期比上年同期下降</w:t>
      </w:r>
      <w:r>
        <w:rPr>
          <w:rFonts w:ascii="Times New Roman" w:hAnsi="Times New Roman" w:cs="Times New Roman" w:eastAsia="Times New Roman" w:hint="default"/>
          <w:sz w:val="18"/>
          <w:szCs w:val="18"/>
        </w:rPr>
        <w:t>36.25%</w:t>
      </w:r>
      <w:r>
        <w:rPr>
          <w:rFonts w:ascii="宋体" w:hAnsi="宋体" w:cs="宋体" w:eastAsia="宋体" w:hint="default"/>
          <w:sz w:val="18"/>
          <w:szCs w:val="18"/>
        </w:rPr>
        <w:t>，主要系由于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年人民币汇率的贬值，减少了进口代理销 售业务，影响收入与成本均大幅下降；</w:t>
      </w:r>
    </w:p>
    <w:p>
      <w:pPr>
        <w:spacing w:before="7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、其他业务成本：本期比上年同期增长</w:t>
      </w:r>
      <w:r>
        <w:rPr>
          <w:rFonts w:ascii="Times New Roman" w:hAnsi="Times New Roman" w:cs="Times New Roman" w:eastAsia="Times New Roman" w:hint="default"/>
          <w:sz w:val="18"/>
          <w:szCs w:val="18"/>
        </w:rPr>
        <w:t>40.17%</w:t>
      </w:r>
      <w:r>
        <w:rPr>
          <w:rFonts w:ascii="宋体" w:hAnsi="宋体" w:cs="宋体" w:eastAsia="宋体" w:hint="default"/>
          <w:sz w:val="18"/>
          <w:szCs w:val="18"/>
        </w:rPr>
        <w:t>，主要系本报告期房屋出租面积增大，投资性房地产折旧增加所致；</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1"/>
        <w:ind w:left="633" w:right="0" w:firstLine="0"/>
        <w:jc w:val="left"/>
        <w:rPr>
          <w:rFonts w:ascii="宋体" w:hAnsi="宋体" w:cs="宋体" w:eastAsia="宋体" w:hint="default"/>
          <w:sz w:val="18"/>
          <w:szCs w:val="18"/>
        </w:rPr>
      </w:pPr>
      <w:r>
        <w:rPr>
          <w:rFonts w:ascii="宋体" w:hAnsi="宋体" w:cs="宋体" w:eastAsia="宋体" w:hint="default"/>
          <w:sz w:val="18"/>
          <w:szCs w:val="18"/>
        </w:rPr>
        <w:t>本公司本年度合并范围比上年度增加</w:t>
      </w:r>
      <w:r>
        <w:rPr>
          <w:rFonts w:ascii="Times New Roman" w:hAnsi="Times New Roman" w:cs="Times New Roman" w:eastAsia="Times New Roman" w:hint="default"/>
          <w:sz w:val="18"/>
          <w:szCs w:val="18"/>
        </w:rPr>
        <w:t>6</w:t>
      </w:r>
      <w:r>
        <w:rPr>
          <w:rFonts w:ascii="宋体" w:hAnsi="宋体" w:cs="宋体" w:eastAsia="宋体" w:hint="default"/>
          <w:sz w:val="18"/>
          <w:szCs w:val="18"/>
        </w:rPr>
        <w:t>户，减少</w:t>
      </w:r>
      <w:r>
        <w:rPr>
          <w:rFonts w:ascii="Times New Roman" w:hAnsi="Times New Roman" w:cs="Times New Roman" w:eastAsia="Times New Roman" w:hint="default"/>
          <w:sz w:val="18"/>
          <w:szCs w:val="18"/>
        </w:rPr>
        <w:t>1</w:t>
      </w:r>
      <w:r>
        <w:rPr>
          <w:rFonts w:ascii="宋体" w:hAnsi="宋体" w:cs="宋体" w:eastAsia="宋体" w:hint="default"/>
          <w:sz w:val="18"/>
          <w:szCs w:val="18"/>
        </w:rPr>
        <w:t>户，详见第五节重要事项，八、</w:t>
      </w:r>
      <w:r>
        <w:rPr>
          <w:rFonts w:ascii="Times New Roman" w:hAnsi="Times New Roman" w:cs="Times New Roman" w:eastAsia="Times New Roman" w:hint="default"/>
          <w:sz w:val="18"/>
          <w:szCs w:val="18"/>
        </w:rPr>
        <w:t>“</w:t>
      </w:r>
      <w:r>
        <w:rPr>
          <w:rFonts w:ascii="宋体" w:hAnsi="宋体" w:cs="宋体" w:eastAsia="宋体" w:hint="default"/>
          <w:sz w:val="18"/>
          <w:szCs w:val="18"/>
        </w:rPr>
        <w:t>合并范围的变更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136,817,312.97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45,975,066.66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r>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北京健铭伟业科技有限公司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36,910,714.54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21,378,176.66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台山核电合营有限公司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18,605,131.18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青岛海信智能商用系统有限公司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13,948,223.93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136,817,312.97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734,924,912.17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4039"/>
        <w:gridCol w:w="2268"/>
        <w:gridCol w:w="2338"/>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40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爱普生</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有限公司上海分公司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447,650,139.82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40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富士施乐实业发展（中国）有限公司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166,835,275.65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40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爱普生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54,780,267.64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40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ORACLE CORPORATION SINGAPORE PTE</w:t>
            </w:r>
            <w:r>
              <w:rPr>
                <w:rFonts w:ascii="Times New Roman"/>
                <w:spacing w:val="-25"/>
                <w:sz w:val="18"/>
              </w:rPr>
              <w:t> </w:t>
            </w:r>
            <w:r>
              <w:rPr>
                <w:rFonts w:ascii="Times New Roman"/>
                <w:spacing w:val="-6"/>
                <w:sz w:val="18"/>
              </w:rPr>
              <w:t>LTD</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33,402,343.06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40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JOY CHINA (HONGKONG)</w:t>
            </w:r>
            <w:r>
              <w:rPr>
                <w:rFonts w:ascii="Times New Roman"/>
                <w:spacing w:val="-23"/>
                <w:sz w:val="18"/>
              </w:rPr>
              <w:t> </w:t>
            </w:r>
            <w:r>
              <w:rPr>
                <w:rFonts w:ascii="Times New Roman"/>
                <w:sz w:val="18"/>
              </w:rPr>
              <w:t>LIMITED</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32,256,886.00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734,924,912.17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121,545,703.17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6" w:right="0"/>
              <w:jc w:val="left"/>
              <w:rPr>
                <w:rFonts w:ascii="Times New Roman" w:hAnsi="Times New Roman" w:cs="Times New Roman" w:eastAsia="Times New Roman" w:hint="default"/>
                <w:sz w:val="18"/>
                <w:szCs w:val="18"/>
              </w:rPr>
            </w:pPr>
            <w:r>
              <w:rPr>
                <w:rFonts w:ascii="Times New Roman"/>
                <w:sz w:val="18"/>
              </w:rPr>
              <w:t>119,093,129.54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334,960,981.44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293,223,121.83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-11,541,209.75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-3,483,790.02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231.28%</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主要系本期货币资金增加较多，存款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利息收入增加所致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31,942,083.14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49,159,622.98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主要系本期使用以前年度可抵扣亏 损较多及利润下降所致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）公司研发支出主要用于自有软件产品的更新和新产品的研发；</w:t>
      </w:r>
    </w:p>
    <w:p>
      <w:pPr>
        <w:spacing w:line="640" w:lineRule="auto" w:before="63"/>
        <w:ind w:left="154" w:right="85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年无资本化项目。 公司研发投入情况</w:t>
      </w:r>
    </w:p>
    <w:p>
      <w:pPr>
        <w:spacing w:after="0" w:line="6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33"/>
        <w:gridCol w:w="2280"/>
        <w:gridCol w:w="1986"/>
        <w:gridCol w:w="1770"/>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96,183,190.68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95,198,471.96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06"/>
        <w:gridCol w:w="2138"/>
        <w:gridCol w:w="1984"/>
        <w:gridCol w:w="1630"/>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2,384,682,182.30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2,604,798,473.13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2,046,372,249.93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2,120,338,556.18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338,309,932.37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484,459,916.95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4,392,973,649.43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813,333,525.88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440.12%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5,809,654,537.51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649,707,237.59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794.20%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-1,416,680,888.08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163,626,288.29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-965.80%</w:t>
            </w:r>
            <w:r>
              <w:rPr>
                <w:rFonts w:ascii="Times New Roman"/>
                <w:sz w:val="18"/>
              </w:rPr>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2,400,683,478.48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13,552,074.81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17,614.51%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48,417,315.93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369,648,509.63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2,352,266,162.55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-356,096,434.82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760.57%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1,275,086,482.65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291,994,141.21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336.68%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3" w:right="0" w:firstLine="36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）经营活动产生的现金流量净额本期比上年同期下降</w:t>
      </w:r>
      <w:r>
        <w:rPr>
          <w:rFonts w:ascii="Times New Roman" w:hAnsi="Times New Roman" w:cs="Times New Roman" w:eastAsia="Times New Roman" w:hint="default"/>
          <w:spacing w:val="-1"/>
          <w:sz w:val="18"/>
          <w:szCs w:val="18"/>
        </w:rPr>
        <w:t>30.17%</w:t>
      </w:r>
      <w:r>
        <w:rPr>
          <w:rFonts w:ascii="宋体" w:hAnsi="宋体" w:cs="宋体" w:eastAsia="宋体" w:hint="default"/>
          <w:spacing w:val="-1"/>
          <w:sz w:val="18"/>
          <w:szCs w:val="18"/>
        </w:rPr>
        <w:t>，主要系下属子公司中电器件公司</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年开始调整业务</w:t>
      </w:r>
      <w:r>
        <w:rPr>
          <w:rFonts w:ascii="宋体" w:hAnsi="宋体" w:cs="宋体" w:eastAsia="宋体" w:hint="default"/>
          <w:sz w:val="18"/>
          <w:szCs w:val="18"/>
        </w:rPr>
        <w:t> 结构，影响现金流入流出变动较大所致。</w:t>
      </w:r>
    </w:p>
    <w:p>
      <w:pPr>
        <w:spacing w:before="31"/>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）投资活动现金流入本期比上年同期增长</w:t>
      </w:r>
      <w:r>
        <w:rPr>
          <w:rFonts w:ascii="Times New Roman" w:hAnsi="Times New Roman" w:cs="Times New Roman" w:eastAsia="Times New Roman" w:hint="default"/>
          <w:sz w:val="18"/>
          <w:szCs w:val="18"/>
        </w:rPr>
        <w:t>440.12%</w:t>
      </w:r>
      <w:r>
        <w:rPr>
          <w:rFonts w:ascii="宋体" w:hAnsi="宋体" w:cs="宋体" w:eastAsia="宋体" w:hint="default"/>
          <w:sz w:val="18"/>
          <w:szCs w:val="18"/>
        </w:rPr>
        <w:t>，主要系本期理财产品购买及赎回较多所致</w:t>
      </w:r>
    </w:p>
    <w:p>
      <w:pPr>
        <w:spacing w:line="300" w:lineRule="auto" w:before="63"/>
        <w:ind w:left="153" w:right="119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）投资活动现金流出本期比上年同期增长</w:t>
      </w:r>
      <w:r>
        <w:rPr>
          <w:rFonts w:ascii="Times New Roman" w:hAnsi="Times New Roman" w:cs="Times New Roman" w:eastAsia="Times New Roman" w:hint="default"/>
          <w:sz w:val="18"/>
          <w:szCs w:val="18"/>
        </w:rPr>
        <w:t>794.20%</w:t>
      </w:r>
      <w:r>
        <w:rPr>
          <w:rFonts w:ascii="宋体" w:hAnsi="宋体" w:cs="宋体" w:eastAsia="宋体" w:hint="default"/>
          <w:sz w:val="18"/>
          <w:szCs w:val="18"/>
        </w:rPr>
        <w:t>，主要系本期理财产品购买及赎回较多及本年收购万达控股、浩 华、</w:t>
      </w:r>
      <w:r>
        <w:rPr>
          <w:rFonts w:ascii="Times New Roman" w:hAnsi="Times New Roman" w:cs="Times New Roman" w:eastAsia="Times New Roman" w:hint="default"/>
          <w:sz w:val="18"/>
          <w:szCs w:val="18"/>
        </w:rPr>
        <w:t>eFuture</w:t>
      </w:r>
      <w:r>
        <w:rPr>
          <w:rFonts w:ascii="宋体" w:hAnsi="宋体" w:cs="宋体" w:eastAsia="宋体" w:hint="default"/>
          <w:sz w:val="18"/>
          <w:szCs w:val="18"/>
        </w:rPr>
        <w:t>等公司共同所致。</w:t>
      </w:r>
    </w:p>
    <w:p>
      <w:pPr>
        <w:spacing w:before="1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）投资活动产生的现金流量净额本期比上年同期下降</w:t>
      </w:r>
      <w:r>
        <w:rPr>
          <w:rFonts w:ascii="Times New Roman" w:hAnsi="Times New Roman" w:cs="Times New Roman" w:eastAsia="Times New Roman" w:hint="default"/>
          <w:sz w:val="18"/>
          <w:szCs w:val="18"/>
        </w:rPr>
        <w:t>965.8%</w:t>
      </w:r>
      <w:r>
        <w:rPr>
          <w:rFonts w:ascii="宋体" w:hAnsi="宋体" w:cs="宋体" w:eastAsia="宋体" w:hint="default"/>
          <w:sz w:val="18"/>
          <w:szCs w:val="18"/>
        </w:rPr>
        <w:t>，主要系本年投资活动支出的现金较多所致。</w:t>
      </w:r>
    </w:p>
    <w:p>
      <w:pPr>
        <w:spacing w:line="300" w:lineRule="auto" w:before="63"/>
        <w:ind w:left="154" w:right="0" w:firstLine="36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）筹资活动现金流入本期比上年同期增长</w:t>
      </w:r>
      <w:r>
        <w:rPr>
          <w:rFonts w:ascii="Times New Roman" w:hAnsi="Times New Roman" w:cs="Times New Roman" w:eastAsia="Times New Roman" w:hint="default"/>
          <w:spacing w:val="-1"/>
          <w:sz w:val="18"/>
          <w:szCs w:val="18"/>
        </w:rPr>
        <w:t>17614.51%</w:t>
      </w:r>
      <w:r>
        <w:rPr>
          <w:rFonts w:ascii="宋体" w:hAnsi="宋体" w:cs="宋体" w:eastAsia="宋体" w:hint="default"/>
          <w:spacing w:val="-1"/>
          <w:sz w:val="18"/>
          <w:szCs w:val="18"/>
        </w:rPr>
        <w:t>，主要系本公司向淘宝（中国）软件有限公司非公开发行股份，</w:t>
      </w:r>
      <w:r>
        <w:rPr>
          <w:rFonts w:ascii="宋体" w:hAnsi="宋体" w:cs="宋体" w:eastAsia="宋体" w:hint="default"/>
          <w:sz w:val="18"/>
          <w:szCs w:val="18"/>
        </w:rPr>
        <w:t> 募集资金到位所致。</w:t>
      </w:r>
    </w:p>
    <w:p>
      <w:pPr>
        <w:spacing w:before="31"/>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）筹资活动现金流出本期比上年同期下降</w:t>
      </w:r>
      <w:r>
        <w:rPr>
          <w:rFonts w:ascii="Times New Roman" w:hAnsi="Times New Roman" w:cs="Times New Roman" w:eastAsia="Times New Roman" w:hint="default"/>
          <w:sz w:val="18"/>
          <w:szCs w:val="18"/>
        </w:rPr>
        <w:t>86.90%</w:t>
      </w:r>
      <w:r>
        <w:rPr>
          <w:rFonts w:ascii="宋体" w:hAnsi="宋体" w:cs="宋体" w:eastAsia="宋体" w:hint="default"/>
          <w:sz w:val="18"/>
          <w:szCs w:val="18"/>
        </w:rPr>
        <w:t>，主要系</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年本公司收购中电器件</w:t>
      </w:r>
      <w:r>
        <w:rPr>
          <w:rFonts w:ascii="Times New Roman" w:hAnsi="Times New Roman" w:cs="Times New Roman" w:eastAsia="Times New Roman" w:hint="default"/>
          <w:sz w:val="18"/>
          <w:szCs w:val="18"/>
        </w:rPr>
        <w:t>45%</w:t>
      </w:r>
      <w:r>
        <w:rPr>
          <w:rFonts w:ascii="宋体" w:hAnsi="宋体" w:cs="宋体" w:eastAsia="宋体" w:hint="default"/>
          <w:sz w:val="18"/>
          <w:szCs w:val="18"/>
        </w:rPr>
        <w:t>少数股权的股权转让价款</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3.15</w:t>
      </w:r>
      <w:r>
        <w:rPr>
          <w:rFonts w:ascii="宋体" w:hAnsi="宋体" w:cs="宋体" w:eastAsia="宋体" w:hint="default"/>
          <w:sz w:val="18"/>
          <w:szCs w:val="18"/>
        </w:rPr>
        <w:t>亿元，本年无此项支出所致。</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119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）筹资活动产生的现金流量净额本期比上年同期增长</w:t>
      </w:r>
      <w:r>
        <w:rPr>
          <w:rFonts w:ascii="Times New Roman" w:hAnsi="Times New Roman" w:cs="Times New Roman" w:eastAsia="Times New Roman" w:hint="default"/>
          <w:sz w:val="18"/>
          <w:szCs w:val="18"/>
        </w:rPr>
        <w:t>760.57%</w:t>
      </w:r>
      <w:r>
        <w:rPr>
          <w:rFonts w:ascii="宋体" w:hAnsi="宋体" w:cs="宋体" w:eastAsia="宋体" w:hint="default"/>
          <w:sz w:val="18"/>
          <w:szCs w:val="18"/>
        </w:rPr>
        <w:t>，主要系本公司向淘宝（中国）软件有限公司非公开 发行股份，募集资金到位所致。</w:t>
      </w:r>
    </w:p>
    <w:p>
      <w:pPr>
        <w:spacing w:line="300" w:lineRule="auto" w:before="31"/>
        <w:ind w:left="153" w:right="119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）现金及现金等价物净增加额本期比上年同期增长</w:t>
      </w:r>
      <w:r>
        <w:rPr>
          <w:rFonts w:ascii="Times New Roman" w:hAnsi="Times New Roman" w:cs="Times New Roman" w:eastAsia="Times New Roman" w:hint="default"/>
          <w:sz w:val="18"/>
          <w:szCs w:val="18"/>
        </w:rPr>
        <w:t>336.68%</w:t>
      </w:r>
      <w:r>
        <w:rPr>
          <w:rFonts w:ascii="宋体" w:hAnsi="宋体" w:cs="宋体" w:eastAsia="宋体" w:hint="default"/>
          <w:sz w:val="18"/>
          <w:szCs w:val="18"/>
        </w:rPr>
        <w:t>，主要系本公司向淘宝（中国）软件有限公司非公开发 行股份，募集资金到位所致。</w:t>
      </w:r>
    </w:p>
    <w:p>
      <w:pPr>
        <w:spacing w:before="72"/>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621"/>
        <w:gridCol w:w="1419"/>
        <w:gridCol w:w="1416"/>
        <w:gridCol w:w="1277"/>
        <w:gridCol w:w="1134"/>
        <w:gridCol w:w="1346"/>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30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3039"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34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1"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2,021,649,691.79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695,052,002.46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258,440,366.07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248,177,875.49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244,036,766.12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256,741,887.83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137,202,391.00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123,256,182.03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295,340,518.59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101,908,448.79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344,501,556.14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330,292,546.90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28,511,052.33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6,652,074.81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79"/>
        <w:gridCol w:w="748"/>
        <w:gridCol w:w="964"/>
        <w:gridCol w:w="1456"/>
        <w:gridCol w:w="954"/>
        <w:gridCol w:w="1478"/>
        <w:gridCol w:w="784"/>
        <w:gridCol w:w="1496"/>
      </w:tblGrid>
      <w:tr>
        <w:trPr>
          <w:trHeight w:val="162"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9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4" w:right="2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82" w:right="9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02" w:right="109"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4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06" w:right="25"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64" w:type="dxa"/>
            <w:vMerge/>
            <w:tcBorders>
              <w:left w:val="single" w:sz="4" w:space="0" w:color="000000"/>
              <w:right w:val="single" w:sz="4" w:space="0" w:color="000000"/>
            </w:tcBorders>
            <w:shd w:val="clear" w:color="auto" w:fill="D2D2D2"/>
          </w:tcPr>
          <w:p>
            <w:pPr/>
          </w:p>
        </w:tc>
        <w:tc>
          <w:tcPr>
            <w:tcW w:w="1456" w:type="dxa"/>
            <w:vMerge/>
            <w:tcBorders>
              <w:left w:val="single" w:sz="4" w:space="0" w:color="000000"/>
              <w:right w:val="single" w:sz="4" w:space="0" w:color="000000"/>
            </w:tcBorders>
            <w:shd w:val="clear" w:color="auto" w:fill="D2D2D2"/>
          </w:tcPr>
          <w:p>
            <w:pPr/>
          </w:p>
        </w:tc>
        <w:tc>
          <w:tcPr>
            <w:tcW w:w="954" w:type="dxa"/>
            <w:vMerge/>
            <w:tcBorders>
              <w:left w:val="single" w:sz="4" w:space="0" w:color="000000"/>
              <w:right w:val="single" w:sz="4" w:space="0" w:color="000000"/>
            </w:tcBorders>
            <w:shd w:val="clear" w:color="auto" w:fill="D2D2D2"/>
          </w:tcPr>
          <w:p>
            <w:pPr/>
          </w:p>
        </w:tc>
        <w:tc>
          <w:tcPr>
            <w:tcW w:w="14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784" w:type="dxa"/>
            <w:vMerge/>
            <w:tcBorders>
              <w:left w:val="single" w:sz="4" w:space="0" w:color="000000"/>
              <w:right w:val="single" w:sz="4" w:space="0" w:color="000000"/>
            </w:tcBorders>
            <w:shd w:val="clear" w:color="auto" w:fill="D2D2D2"/>
          </w:tcPr>
          <w:p>
            <w:pPr/>
          </w:p>
        </w:tc>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1"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964" w:type="dxa"/>
            <w:vMerge/>
            <w:tcBorders>
              <w:left w:val="single" w:sz="4" w:space="0" w:color="000000"/>
              <w:bottom w:val="single" w:sz="4" w:space="0" w:color="000000"/>
              <w:right w:val="single" w:sz="4" w:space="0" w:color="000000"/>
            </w:tcBorders>
            <w:shd w:val="clear" w:color="auto" w:fill="D2D2D2"/>
          </w:tcPr>
          <w:p>
            <w:pPr/>
          </w:p>
        </w:tc>
        <w:tc>
          <w:tcPr>
            <w:tcW w:w="1456" w:type="dxa"/>
            <w:vMerge/>
            <w:tcBorders>
              <w:left w:val="single" w:sz="4" w:space="0" w:color="000000"/>
              <w:bottom w:val="single" w:sz="4" w:space="0" w:color="000000"/>
              <w:right w:val="single" w:sz="4" w:space="0" w:color="000000"/>
            </w:tcBorders>
            <w:shd w:val="clear" w:color="auto" w:fill="D2D2D2"/>
          </w:tcPr>
          <w:p>
            <w:pPr/>
          </w:p>
        </w:tc>
        <w:tc>
          <w:tcPr>
            <w:tcW w:w="954" w:type="dxa"/>
            <w:vMerge/>
            <w:tcBorders>
              <w:left w:val="single" w:sz="4" w:space="0" w:color="000000"/>
              <w:bottom w:val="single" w:sz="4" w:space="0" w:color="000000"/>
              <w:right w:val="single" w:sz="4" w:space="0" w:color="000000"/>
            </w:tcBorders>
            <w:shd w:val="clear" w:color="auto" w:fill="D2D2D2"/>
          </w:tcPr>
          <w:p>
            <w:pPr/>
          </w:p>
        </w:tc>
        <w:tc>
          <w:tcPr>
            <w:tcW w:w="14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vMerge/>
            <w:tcBorders>
              <w:left w:val="single" w:sz="4" w:space="0" w:color="000000"/>
              <w:bottom w:val="single" w:sz="4" w:space="0" w:color="000000"/>
              <w:right w:val="single" w:sz="4" w:space="0" w:color="000000"/>
            </w:tcBorders>
            <w:shd w:val="clear" w:color="auto" w:fill="D2D2D2"/>
          </w:tcPr>
          <w:p>
            <w:pPr/>
          </w:p>
        </w:tc>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881"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0.00</w:t>
            </w:r>
          </w:p>
        </w:tc>
        <w:tc>
          <w:tcPr>
            <w:tcW w:w="96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27,953,813.62</w:t>
            </w:r>
          </w:p>
        </w:tc>
        <w:tc>
          <w:tcPr>
            <w:tcW w:w="9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130,684,404.74</w:t>
            </w:r>
          </w:p>
        </w:tc>
        <w:tc>
          <w:tcPr>
            <w:tcW w:w="78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158,638,218.36</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0.00</w:t>
            </w:r>
          </w:p>
        </w:tc>
        <w:tc>
          <w:tcPr>
            <w:tcW w:w="96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27,953,813.62</w:t>
            </w:r>
          </w:p>
        </w:tc>
        <w:tc>
          <w:tcPr>
            <w:tcW w:w="9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130,684,404.74</w:t>
            </w:r>
          </w:p>
        </w:tc>
        <w:tc>
          <w:tcPr>
            <w:tcW w:w="78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158,638,218.36</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0.00</w:t>
            </w:r>
          </w:p>
        </w:tc>
        <w:tc>
          <w:tcPr>
            <w:tcW w:w="96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27,953,813.62</w:t>
            </w:r>
          </w:p>
        </w:tc>
        <w:tc>
          <w:tcPr>
            <w:tcW w:w="9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130,684,404.74</w:t>
            </w:r>
          </w:p>
        </w:tc>
        <w:tc>
          <w:tcPr>
            <w:tcW w:w="78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158,638,218.36</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0.00</w:t>
            </w:r>
          </w:p>
        </w:tc>
        <w:tc>
          <w:tcPr>
            <w:tcW w:w="96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561,424,177.00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212,695,099.71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1805"/>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39" w:right="18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13"/>
          <w:footerReference w:type="default" r:id="rId14"/>
          <w:pgSz w:w="16840" w:h="11910" w:orient="landscape"/>
          <w:pgMar w:header="867" w:footer="979" w:top="1060" w:bottom="1160" w:left="1300" w:right="0"/>
          <w:pgNumType w:start="24"/>
        </w:sectPr>
      </w:pPr>
    </w:p>
    <w:p>
      <w:pPr>
        <w:spacing w:line="316" w:lineRule="auto" w:before="44"/>
        <w:ind w:left="301" w:right="-19" w:hanging="90"/>
        <w:jc w:val="left"/>
        <w:rPr>
          <w:rFonts w:ascii="宋体" w:hAnsi="宋体" w:cs="宋体" w:eastAsia="宋体" w:hint="default"/>
          <w:sz w:val="18"/>
          <w:szCs w:val="18"/>
        </w:rPr>
      </w:pPr>
      <w:r>
        <w:rPr/>
        <w:pict>
          <v:group style="position:absolute;margin-left:70.379997pt;margin-top:-1.088278pt;width:701.25pt;height:393.4pt;mso-position-horizontal-relative:page;mso-position-vertical-relative:paragraph;z-index:-944560" coordorigin="1408,-22" coordsize="14025,7868">
            <v:group style="position:absolute;left:1429;top:-7;width:2;height:705" coordorigin="1429,-7" coordsize="2,705">
              <v:shape style="position:absolute;left:1429;top:-7;width:2;height:705" coordorigin="1429,-7" coordsize="0,705" path="m1429,-7l1429,697e" filled="false" stroked="true" strokeweight="1.140pt" strokecolor="#d2d2d2">
                <v:path arrowok="t"/>
              </v:shape>
            </v:group>
            <v:group style="position:absolute;left:2315;top:-7;width:2;height:705" coordorigin="2315,-7" coordsize="2,705">
              <v:shape style="position:absolute;left:2315;top:-7;width:2;height:705" coordorigin="2315,-7" coordsize="0,705" path="m2315,-7l2315,697e" filled="false" stroked="true" strokeweight="1.140pt" strokecolor="#d2d2d2">
                <v:path arrowok="t"/>
              </v:shape>
            </v:group>
            <v:group style="position:absolute;left:1440;top:-7;width:864;height:352" coordorigin="1440,-7" coordsize="864,352">
              <v:shape style="position:absolute;left:1440;top:-7;width:864;height:352" coordorigin="1440,-7" coordsize="864,352" path="m1440,344l2304,344,2304,-7,1440,-7,1440,344xe" filled="true" fillcolor="#d2d2d2" stroked="false">
                <v:path arrowok="t"/>
                <v:fill type="solid"/>
              </v:shape>
            </v:group>
            <v:group style="position:absolute;left:1440;top:344;width:864;height:353" coordorigin="1440,344" coordsize="864,353">
              <v:shape style="position:absolute;left:1440;top:344;width:864;height:353" coordorigin="1440,344" coordsize="864,353" path="m1440,697l2304,697,2304,344,1440,344,1440,697xe" filled="true" fillcolor="#d2d2d2" stroked="false">
                <v:path arrowok="t"/>
                <v:fill type="solid"/>
              </v:shape>
            </v:group>
            <v:group style="position:absolute;left:2338;top:-7;width:1370;height:156" coordorigin="2338,-7" coordsize="1370,156">
              <v:shape style="position:absolute;left:2338;top:-7;width:1370;height:156" coordorigin="2338,-7" coordsize="1370,156" path="m2338,149l3707,149,3707,-7,2338,-7,2338,149xe" filled="true" fillcolor="#d2d2d2" stroked="false">
                <v:path arrowok="t"/>
                <v:fill type="solid"/>
              </v:shape>
            </v:group>
            <v:group style="position:absolute;left:2349;top:149;width:2;height:393" coordorigin="2349,149" coordsize="2,393">
              <v:shape style="position:absolute;left:2349;top:149;width:2;height:393" coordorigin="2349,149" coordsize="0,393" path="m2349,149l2349,541e" filled="false" stroked="true" strokeweight="1.140pt" strokecolor="#d2d2d2">
                <v:path arrowok="t"/>
              </v:shape>
            </v:group>
            <v:group style="position:absolute;left:3696;top:149;width:2;height:393" coordorigin="3696,149" coordsize="2,393">
              <v:shape style="position:absolute;left:3696;top:149;width:2;height:393" coordorigin="3696,149" coordsize="0,393" path="m3696,149l3696,541e" filled="false" stroked="true" strokeweight="1.140pt" strokecolor="#d2d2d2">
                <v:path arrowok="t"/>
              </v:shape>
            </v:group>
            <v:group style="position:absolute;left:2338;top:541;width:1370;height:156" coordorigin="2338,541" coordsize="1370,156">
              <v:shape style="position:absolute;left:2338;top:541;width:1370;height:156" coordorigin="2338,541" coordsize="1370,156" path="m2338,697l3707,697,3707,541,2338,541,2338,697xe" filled="true" fillcolor="#d2d2d2" stroked="false">
                <v:path arrowok="t"/>
                <v:fill type="solid"/>
              </v:shape>
            </v:group>
            <v:group style="position:absolute;left:2360;top:149;width:1324;height:393" coordorigin="2360,149" coordsize="1324,393">
              <v:shape style="position:absolute;left:2360;top:149;width:1324;height:393" coordorigin="2360,149" coordsize="1324,393" path="m2360,541l3684,541,3684,149,2360,149,2360,541xe" filled="true" fillcolor="#d2d2d2" stroked="false">
                <v:path arrowok="t"/>
                <v:fill type="solid"/>
              </v:shape>
            </v:group>
            <v:group style="position:absolute;left:3729;top:-7;width:2;height:705" coordorigin="3729,-7" coordsize="2,705">
              <v:shape style="position:absolute;left:3729;top:-7;width:2;height:705" coordorigin="3729,-7" coordsize="0,705" path="m3729,-7l3729,697e" filled="false" stroked="true" strokeweight="1.140pt" strokecolor="#d2d2d2">
                <v:path arrowok="t"/>
              </v:shape>
            </v:group>
            <v:group style="position:absolute;left:4265;top:-7;width:2;height:705" coordorigin="4265,-7" coordsize="2,705">
              <v:shape style="position:absolute;left:4265;top:-7;width:2;height:705" coordorigin="4265,-7" coordsize="0,705" path="m4265,-7l4265,697e" filled="false" stroked="true" strokeweight="1.140pt" strokecolor="#d2d2d2">
                <v:path arrowok="t"/>
              </v:shape>
            </v:group>
            <v:group style="position:absolute;left:3741;top:-7;width:513;height:352" coordorigin="3741,-7" coordsize="513,352">
              <v:shape style="position:absolute;left:3741;top:-7;width:513;height:352" coordorigin="3741,-7" coordsize="513,352" path="m3741,344l4253,344,4253,-7,3741,-7,3741,344xe" filled="true" fillcolor="#d2d2d2" stroked="false">
                <v:path arrowok="t"/>
                <v:fill type="solid"/>
              </v:shape>
            </v:group>
            <v:group style="position:absolute;left:3741;top:344;width:513;height:353" coordorigin="3741,344" coordsize="513,353">
              <v:shape style="position:absolute;left:3741;top:344;width:513;height:353" coordorigin="3741,344" coordsize="513,353" path="m3741,697l4253,697,4253,344,3741,344,3741,697xe" filled="true" fillcolor="#d2d2d2" stroked="false">
                <v:path arrowok="t"/>
                <v:fill type="solid"/>
              </v:shape>
            </v:group>
            <v:group style="position:absolute;left:4287;top:-7;width:1265;height:156" coordorigin="4287,-7" coordsize="1265,156">
              <v:shape style="position:absolute;left:4287;top:-7;width:1265;height:156" coordorigin="4287,-7" coordsize="1265,156" path="m4287,149l5552,149,5552,-7,4287,-7,4287,149xe" filled="true" fillcolor="#d2d2d2" stroked="false">
                <v:path arrowok="t"/>
                <v:fill type="solid"/>
              </v:shape>
            </v:group>
            <v:group style="position:absolute;left:4298;top:149;width:2;height:393" coordorigin="4298,149" coordsize="2,393">
              <v:shape style="position:absolute;left:4298;top:149;width:2;height:393" coordorigin="4298,149" coordsize="0,393" path="m4298,149l4298,541e" filled="false" stroked="true" strokeweight="1.140pt" strokecolor="#d2d2d2">
                <v:path arrowok="t"/>
              </v:shape>
            </v:group>
            <v:group style="position:absolute;left:5540;top:149;width:2;height:393" coordorigin="5540,149" coordsize="2,393">
              <v:shape style="position:absolute;left:5540;top:149;width:2;height:393" coordorigin="5540,149" coordsize="0,393" path="m5540,149l5540,541e" filled="false" stroked="true" strokeweight="1.140pt" strokecolor="#d2d2d2">
                <v:path arrowok="t"/>
              </v:shape>
            </v:group>
            <v:group style="position:absolute;left:4287;top:541;width:1265;height:156" coordorigin="4287,541" coordsize="1265,156">
              <v:shape style="position:absolute;left:4287;top:541;width:1265;height:156" coordorigin="4287,541" coordsize="1265,156" path="m4287,697l5552,697,5552,541,4287,541,4287,697xe" filled="true" fillcolor="#d2d2d2" stroked="false">
                <v:path arrowok="t"/>
                <v:fill type="solid"/>
              </v:shape>
            </v:group>
            <v:group style="position:absolute;left:4310;top:149;width:1220;height:393" coordorigin="4310,149" coordsize="1220,393">
              <v:shape style="position:absolute;left:4310;top:149;width:1220;height:393" coordorigin="4310,149" coordsize="1220,393" path="m4310,541l5529,541,5529,149,4310,149,4310,541xe" filled="true" fillcolor="#d2d2d2" stroked="false">
                <v:path arrowok="t"/>
                <v:fill type="solid"/>
              </v:shape>
            </v:group>
            <v:group style="position:absolute;left:5573;top:-7;width:2;height:705" coordorigin="5573,-7" coordsize="2,705">
              <v:shape style="position:absolute;left:5573;top:-7;width:2;height:705" coordorigin="5573,-7" coordsize="0,705" path="m5573,-7l5573,697e" filled="false" stroked="true" strokeweight="1.140pt" strokecolor="#d2d2d2">
                <v:path arrowok="t"/>
              </v:shape>
            </v:group>
            <v:group style="position:absolute;left:6249;top:-7;width:2;height:705" coordorigin="6249,-7" coordsize="2,705">
              <v:shape style="position:absolute;left:6249;top:-7;width:2;height:705" coordorigin="6249,-7" coordsize="0,705" path="m6249,-7l6249,697e" filled="false" stroked="true" strokeweight="1.2pt" strokecolor="#d2d2d2">
                <v:path arrowok="t"/>
              </v:shape>
            </v:group>
            <v:group style="position:absolute;left:5584;top:-7;width:653;height:352" coordorigin="5584,-7" coordsize="653,352">
              <v:shape style="position:absolute;left:5584;top:-7;width:653;height:352" coordorigin="5584,-7" coordsize="653,352" path="m5584,344l6237,344,6237,-7,5584,-7,5584,344xe" filled="true" fillcolor="#d2d2d2" stroked="false">
                <v:path arrowok="t"/>
                <v:fill type="solid"/>
              </v:shape>
            </v:group>
            <v:group style="position:absolute;left:5584;top:344;width:653;height:353" coordorigin="5584,344" coordsize="653,353">
              <v:shape style="position:absolute;left:5584;top:344;width:653;height:353" coordorigin="5584,344" coordsize="653,353" path="m5584,697l6237,697,6237,344,5584,344,5584,697xe" filled="true" fillcolor="#d2d2d2" stroked="false">
                <v:path arrowok="t"/>
                <v:fill type="solid"/>
              </v:shape>
            </v:group>
            <v:group style="position:absolute;left:6282;top:-7;width:2;height:705" coordorigin="6282,-7" coordsize="2,705">
              <v:shape style="position:absolute;left:6282;top:-7;width:2;height:705" coordorigin="6282,-7" coordsize="0,705" path="m6282,-7l6282,697e" filled="false" stroked="true" strokeweight="1.140pt" strokecolor="#d2d2d2">
                <v:path arrowok="t"/>
              </v:shape>
            </v:group>
            <v:group style="position:absolute;left:6672;top:-7;width:2;height:705" coordorigin="6672,-7" coordsize="2,705">
              <v:shape style="position:absolute;left:6672;top:-7;width:2;height:705" coordorigin="6672,-7" coordsize="0,705" path="m6672,-7l6672,697e" filled="false" stroked="true" strokeweight="1.140pt" strokecolor="#d2d2d2">
                <v:path arrowok="t"/>
              </v:shape>
            </v:group>
            <v:group style="position:absolute;left:6293;top:-7;width:368;height:352" coordorigin="6293,-7" coordsize="368,352">
              <v:shape style="position:absolute;left:6293;top:-7;width:368;height:352" coordorigin="6293,-7" coordsize="368,352" path="m6293,344l6660,344,6660,-7,6293,-7,6293,344xe" filled="true" fillcolor="#d2d2d2" stroked="false">
                <v:path arrowok="t"/>
                <v:fill type="solid"/>
              </v:shape>
            </v:group>
            <v:group style="position:absolute;left:6293;top:344;width:368;height:353" coordorigin="6293,344" coordsize="368,353">
              <v:shape style="position:absolute;left:6293;top:344;width:368;height:353" coordorigin="6293,344" coordsize="368,353" path="m6293,697l6660,697,6660,344,6293,344,6293,697xe" filled="true" fillcolor="#d2d2d2" stroked="false">
                <v:path arrowok="t"/>
                <v:fill type="solid"/>
              </v:shape>
            </v:group>
            <v:group style="position:absolute;left:6693;top:-7;width:980;height:156" coordorigin="6693,-7" coordsize="980,156">
              <v:shape style="position:absolute;left:6693;top:-7;width:980;height:156" coordorigin="6693,-7" coordsize="980,156" path="m6693,149l7672,149,7672,-7,6693,-7,6693,149xe" filled="true" fillcolor="#d2d2d2" stroked="false">
                <v:path arrowok="t"/>
                <v:fill type="solid"/>
              </v:shape>
            </v:group>
            <v:group style="position:absolute;left:6705;top:149;width:2;height:393" coordorigin="6705,149" coordsize="2,393">
              <v:shape style="position:absolute;left:6705;top:149;width:2;height:393" coordorigin="6705,149" coordsize="0,393" path="m6705,149l6705,541e" filled="false" stroked="true" strokeweight="1.2pt" strokecolor="#d2d2d2">
                <v:path arrowok="t"/>
              </v:shape>
            </v:group>
            <v:group style="position:absolute;left:7661;top:149;width:2;height:393" coordorigin="7661,149" coordsize="2,393">
              <v:shape style="position:absolute;left:7661;top:149;width:2;height:393" coordorigin="7661,149" coordsize="0,393" path="m7661,149l7661,541e" filled="false" stroked="true" strokeweight="1.140pt" strokecolor="#d2d2d2">
                <v:path arrowok="t"/>
              </v:shape>
            </v:group>
            <v:group style="position:absolute;left:6693;top:541;width:980;height:156" coordorigin="6693,541" coordsize="980,156">
              <v:shape style="position:absolute;left:6693;top:541;width:980;height:156" coordorigin="6693,541" coordsize="980,156" path="m6693,697l7672,697,7672,541,6693,541,6693,697xe" filled="true" fillcolor="#d2d2d2" stroked="false">
                <v:path arrowok="t"/>
                <v:fill type="solid"/>
              </v:shape>
            </v:group>
            <v:group style="position:absolute;left:6717;top:149;width:933;height:393" coordorigin="6717,149" coordsize="933,393">
              <v:shape style="position:absolute;left:6717;top:149;width:933;height:393" coordorigin="6717,149" coordsize="933,393" path="m6717,541l7649,541,7649,149,6717,149,6717,541xe" filled="true" fillcolor="#d2d2d2" stroked="false">
                <v:path arrowok="t"/>
                <v:fill type="solid"/>
              </v:shape>
            </v:group>
            <v:group style="position:absolute;left:7694;top:-7;width:2;height:705" coordorigin="7694,-7" coordsize="2,705">
              <v:shape style="position:absolute;left:7694;top:-7;width:2;height:705" coordorigin="7694,-7" coordsize="0,705" path="m7694,-7l7694,697e" filled="false" stroked="true" strokeweight="1.140pt" strokecolor="#d2d2d2">
                <v:path arrowok="t"/>
              </v:shape>
            </v:group>
            <v:group style="position:absolute;left:8230;top:-7;width:2;height:705" coordorigin="8230,-7" coordsize="2,705">
              <v:shape style="position:absolute;left:8230;top:-7;width:2;height:705" coordorigin="8230,-7" coordsize="0,705" path="m8230,-7l8230,697e" filled="false" stroked="true" strokeweight="1.2pt" strokecolor="#d2d2d2">
                <v:path arrowok="t"/>
              </v:shape>
            </v:group>
            <v:group style="position:absolute;left:7706;top:-7;width:513;height:352" coordorigin="7706,-7" coordsize="513,352">
              <v:shape style="position:absolute;left:7706;top:-7;width:513;height:352" coordorigin="7706,-7" coordsize="513,352" path="m7706,344l8218,344,8218,-7,7706,-7,7706,344xe" filled="true" fillcolor="#d2d2d2" stroked="false">
                <v:path arrowok="t"/>
                <v:fill type="solid"/>
              </v:shape>
            </v:group>
            <v:group style="position:absolute;left:7706;top:344;width:513;height:353" coordorigin="7706,344" coordsize="513,353">
              <v:shape style="position:absolute;left:7706;top:344;width:513;height:353" coordorigin="7706,344" coordsize="513,353" path="m7706,697l8218,697,8218,344,7706,344,7706,697xe" filled="true" fillcolor="#d2d2d2" stroked="false">
                <v:path arrowok="t"/>
                <v:fill type="solid"/>
              </v:shape>
            </v:group>
            <v:group style="position:absolute;left:8263;top:-7;width:2;height:705" coordorigin="8263,-7" coordsize="2,705">
              <v:shape style="position:absolute;left:8263;top:-7;width:2;height:705" coordorigin="8263,-7" coordsize="0,705" path="m8263,-7l8263,697e" filled="false" stroked="true" strokeweight="1.140pt" strokecolor="#d2d2d2">
                <v:path arrowok="t"/>
              </v:shape>
            </v:group>
            <v:group style="position:absolute;left:8796;top:-7;width:2;height:705" coordorigin="8796,-7" coordsize="2,705">
              <v:shape style="position:absolute;left:8796;top:-7;width:2;height:705" coordorigin="8796,-7" coordsize="0,705" path="m8796,-7l8796,697e" filled="false" stroked="true" strokeweight="1.140pt" strokecolor="#d2d2d2">
                <v:path arrowok="t"/>
              </v:shape>
            </v:group>
            <v:group style="position:absolute;left:8274;top:-7;width:511;height:352" coordorigin="8274,-7" coordsize="511,352">
              <v:shape style="position:absolute;left:8274;top:-7;width:511;height:352" coordorigin="8274,-7" coordsize="511,352" path="m8274,344l8785,344,8785,-7,8274,-7,8274,344xe" filled="true" fillcolor="#d2d2d2" stroked="false">
                <v:path arrowok="t"/>
                <v:fill type="solid"/>
              </v:shape>
            </v:group>
            <v:group style="position:absolute;left:8274;top:344;width:511;height:353" coordorigin="8274,344" coordsize="511,353">
              <v:shape style="position:absolute;left:8274;top:344;width:511;height:353" coordorigin="8274,344" coordsize="511,353" path="m8274,697l8785,697,8785,344,8274,344,8274,697xe" filled="true" fillcolor="#d2d2d2" stroked="false">
                <v:path arrowok="t"/>
                <v:fill type="solid"/>
              </v:shape>
            </v:group>
            <v:group style="position:absolute;left:8830;top:-7;width:2;height:705" coordorigin="8830,-7" coordsize="2,705">
              <v:shape style="position:absolute;left:8830;top:-7;width:2;height:705" coordorigin="8830,-7" coordsize="0,705" path="m8830,-7l8830,697e" filled="false" stroked="true" strokeweight="1.140pt" strokecolor="#d2d2d2">
                <v:path arrowok="t"/>
              </v:shape>
            </v:group>
            <v:group style="position:absolute;left:10215;top:-7;width:2;height:705" coordorigin="10215,-7" coordsize="2,705">
              <v:shape style="position:absolute;left:10215;top:-7;width:2;height:705" coordorigin="10215,-7" coordsize="0,705" path="m10215,-7l10215,697e" filled="false" stroked="true" strokeweight="1.140pt" strokecolor="#d2d2d2">
                <v:path arrowok="t"/>
              </v:shape>
            </v:group>
            <v:group style="position:absolute;left:8841;top:-7;width:1362;height:352" coordorigin="8841,-7" coordsize="1362,352">
              <v:shape style="position:absolute;left:8841;top:-7;width:1362;height:352" coordorigin="8841,-7" coordsize="1362,352" path="m8841,344l10203,344,10203,-7,8841,-7,8841,344xe" filled="true" fillcolor="#d2d2d2" stroked="false">
                <v:path arrowok="t"/>
                <v:fill type="solid"/>
              </v:shape>
            </v:group>
            <v:group style="position:absolute;left:8841;top:344;width:1362;height:353" coordorigin="8841,344" coordsize="1362,353">
              <v:shape style="position:absolute;left:8841;top:344;width:1362;height:353" coordorigin="8841,344" coordsize="1362,353" path="m8841,697l10203,697,10203,344,8841,344,8841,697xe" filled="true" fillcolor="#d2d2d2" stroked="false">
                <v:path arrowok="t"/>
                <v:fill type="solid"/>
              </v:shape>
            </v:group>
            <v:group style="position:absolute;left:10247;top:-7;width:2;height:705" coordorigin="10247,-7" coordsize="2,705">
              <v:shape style="position:absolute;left:10247;top:-7;width:2;height:705" coordorigin="10247,-7" coordsize="0,705" path="m10247,-7l10247,697e" filled="false" stroked="true" strokeweight="1.140pt" strokecolor="#d2d2d2">
                <v:path arrowok="t"/>
              </v:shape>
            </v:group>
            <v:group style="position:absolute;left:10780;top:-7;width:2;height:705" coordorigin="10780,-7" coordsize="2,705">
              <v:shape style="position:absolute;left:10780;top:-7;width:2;height:705" coordorigin="10780,-7" coordsize="0,705" path="m10780,-7l10780,697e" filled="false" stroked="true" strokeweight="1.2pt" strokecolor="#d2d2d2">
                <v:path arrowok="t"/>
              </v:shape>
            </v:group>
            <v:group style="position:absolute;left:10258;top:-7;width:510;height:352" coordorigin="10258,-7" coordsize="510,352">
              <v:shape style="position:absolute;left:10258;top:-7;width:510;height:352" coordorigin="10258,-7" coordsize="510,352" path="m10258,344l10768,344,10768,-7,10258,-7,10258,344xe" filled="true" fillcolor="#d2d2d2" stroked="false">
                <v:path arrowok="t"/>
                <v:fill type="solid"/>
              </v:shape>
            </v:group>
            <v:group style="position:absolute;left:10258;top:344;width:510;height:353" coordorigin="10258,344" coordsize="510,353">
              <v:shape style="position:absolute;left:10258;top:344;width:510;height:353" coordorigin="10258,344" coordsize="510,353" path="m10258,697l10768,697,10768,344,10258,344,10258,697xe" filled="true" fillcolor="#d2d2d2" stroked="false">
                <v:path arrowok="t"/>
                <v:fill type="solid"/>
              </v:shape>
            </v:group>
            <v:group style="position:absolute;left:10813;top:-7;width:2;height:705" coordorigin="10813,-7" coordsize="2,705">
              <v:shape style="position:absolute;left:10813;top:-7;width:2;height:705" coordorigin="10813,-7" coordsize="0,705" path="m10813,-7l10813,697e" filled="false" stroked="true" strokeweight="1.140pt" strokecolor="#d2d2d2">
                <v:path arrowok="t"/>
              </v:shape>
            </v:group>
            <v:group style="position:absolute;left:11915;top:-7;width:2;height:705" coordorigin="11915,-7" coordsize="2,705">
              <v:shape style="position:absolute;left:11915;top:-7;width:2;height:705" coordorigin="11915,-7" coordsize="0,705" path="m11915,-7l11915,697e" filled="false" stroked="true" strokeweight="1.140pt" strokecolor="#d2d2d2">
                <v:path arrowok="t"/>
              </v:shape>
            </v:group>
            <v:group style="position:absolute;left:10825;top:-7;width:1079;height:352" coordorigin="10825,-7" coordsize="1079,352">
              <v:shape style="position:absolute;left:10825;top:-7;width:1079;height:352" coordorigin="10825,-7" coordsize="1079,352" path="m10825,344l11904,344,11904,-7,10825,-7,10825,344xe" filled="true" fillcolor="#d2d2d2" stroked="false">
                <v:path arrowok="t"/>
                <v:fill type="solid"/>
              </v:shape>
            </v:group>
            <v:group style="position:absolute;left:10825;top:344;width:1079;height:353" coordorigin="10825,344" coordsize="1079,353">
              <v:shape style="position:absolute;left:10825;top:344;width:1079;height:353" coordorigin="10825,344" coordsize="1079,353" path="m10825,697l11904,697,11904,344,10825,344,10825,697xe" filled="true" fillcolor="#d2d2d2" stroked="false">
                <v:path arrowok="t"/>
                <v:fill type="solid"/>
              </v:shape>
            </v:group>
            <v:group style="position:absolute;left:11949;top:-7;width:2;height:705" coordorigin="11949,-7" coordsize="2,705">
              <v:shape style="position:absolute;left:11949;top:-7;width:2;height:705" coordorigin="11949,-7" coordsize="0,705" path="m11949,-7l11949,697e" filled="false" stroked="true" strokeweight="1.140pt" strokecolor="#d2d2d2">
                <v:path arrowok="t"/>
              </v:shape>
            </v:group>
            <v:group style="position:absolute;left:12481;top:-7;width:2;height:705" coordorigin="12481,-7" coordsize="2,705">
              <v:shape style="position:absolute;left:12481;top:-7;width:2;height:705" coordorigin="12481,-7" coordsize="0,705" path="m12481,-7l12481,697e" filled="false" stroked="true" strokeweight="1.140pt" strokecolor="#d2d2d2">
                <v:path arrowok="t"/>
              </v:shape>
            </v:group>
            <v:group style="position:absolute;left:11960;top:-7;width:510;height:352" coordorigin="11960,-7" coordsize="510,352">
              <v:shape style="position:absolute;left:11960;top:-7;width:510;height:352" coordorigin="11960,-7" coordsize="510,352" path="m11960,344l12470,344,12470,-7,11960,-7,11960,344xe" filled="true" fillcolor="#d2d2d2" stroked="false">
                <v:path arrowok="t"/>
                <v:fill type="solid"/>
              </v:shape>
            </v:group>
            <v:group style="position:absolute;left:11960;top:344;width:510;height:353" coordorigin="11960,344" coordsize="510,353">
              <v:shape style="position:absolute;left:11960;top:344;width:510;height:353" coordorigin="11960,344" coordsize="510,353" path="m11960,697l12470,697,12470,344,11960,344,11960,697xe" filled="true" fillcolor="#d2d2d2" stroked="false">
                <v:path arrowok="t"/>
                <v:fill type="solid"/>
              </v:shape>
            </v:group>
            <v:group style="position:absolute;left:12514;top:-7;width:2;height:705" coordorigin="12514,-7" coordsize="2,705">
              <v:shape style="position:absolute;left:12514;top:-7;width:2;height:705" coordorigin="12514,-7" coordsize="0,705" path="m12514,-7l12514,697e" filled="false" stroked="true" strokeweight="1.2pt" strokecolor="#d2d2d2">
                <v:path arrowok="t"/>
              </v:shape>
            </v:group>
            <v:group style="position:absolute;left:13330;top:-7;width:2;height:705" coordorigin="13330,-7" coordsize="2,705">
              <v:shape style="position:absolute;left:13330;top:-7;width:2;height:705" coordorigin="13330,-7" coordsize="0,705" path="m13330,-7l13330,697e" filled="false" stroked="true" strokeweight="1.2pt" strokecolor="#d2d2d2">
                <v:path arrowok="t"/>
              </v:shape>
            </v:group>
            <v:group style="position:absolute;left:12526;top:-7;width:792;height:352" coordorigin="12526,-7" coordsize="792,352">
              <v:shape style="position:absolute;left:12526;top:-7;width:792;height:352" coordorigin="12526,-7" coordsize="792,352" path="m12526,344l13318,344,13318,-7,12526,-7,12526,344xe" filled="true" fillcolor="#d2d2d2" stroked="false">
                <v:path arrowok="t"/>
                <v:fill type="solid"/>
              </v:shape>
            </v:group>
            <v:group style="position:absolute;left:12526;top:344;width:792;height:353" coordorigin="12526,344" coordsize="792,353">
              <v:shape style="position:absolute;left:12526;top:344;width:792;height:353" coordorigin="12526,344" coordsize="792,353" path="m12526,697l13318,697,13318,344,12526,344,12526,697xe" filled="true" fillcolor="#d2d2d2" stroked="false">
                <v:path arrowok="t"/>
                <v:fill type="solid"/>
              </v:shape>
            </v:group>
            <v:group style="position:absolute;left:13352;top:-7;width:2071;height:156" coordorigin="13352,-7" coordsize="2071,156">
              <v:shape style="position:absolute;left:13352;top:-7;width:2071;height:156" coordorigin="13352,-7" coordsize="2071,156" path="m13352,149l15422,149,15422,-7,13352,-7,13352,149xe" filled="true" fillcolor="#d2d2d2" stroked="false">
                <v:path arrowok="t"/>
                <v:fill type="solid"/>
              </v:shape>
            </v:group>
            <v:group style="position:absolute;left:13363;top:149;width:2;height:393" coordorigin="13363,149" coordsize="2,393">
              <v:shape style="position:absolute;left:13363;top:149;width:2;height:393" coordorigin="13363,149" coordsize="0,393" path="m13363,149l13363,541e" filled="false" stroked="true" strokeweight="1.140pt" strokecolor="#d2d2d2">
                <v:path arrowok="t"/>
              </v:shape>
            </v:group>
            <v:group style="position:absolute;left:15411;top:149;width:2;height:393" coordorigin="15411,149" coordsize="2,393">
              <v:shape style="position:absolute;left:15411;top:149;width:2;height:393" coordorigin="15411,149" coordsize="0,393" path="m15411,149l15411,541e" filled="false" stroked="true" strokeweight="1.140pt" strokecolor="#d2d2d2">
                <v:path arrowok="t"/>
              </v:shape>
            </v:group>
            <v:group style="position:absolute;left:13352;top:541;width:2071;height:156" coordorigin="13352,541" coordsize="2071,156">
              <v:shape style="position:absolute;left:13352;top:541;width:2071;height:156" coordorigin="13352,541" coordsize="2071,156" path="m13352,697l15422,697,15422,541,13352,541,13352,697xe" filled="true" fillcolor="#d2d2d2" stroked="false">
                <v:path arrowok="t"/>
                <v:fill type="solid"/>
              </v:shape>
            </v:group>
            <v:group style="position:absolute;left:13375;top:149;width:2025;height:393" coordorigin="13375,149" coordsize="2025,393">
              <v:shape style="position:absolute;left:13375;top:149;width:2025;height:393" coordorigin="13375,149" coordsize="2025,393" path="m13375,541l15400,541,15400,149,13375,149,13375,541xe" filled="true" fillcolor="#d2d2d2" stroked="false">
                <v:path arrowok="t"/>
                <v:fill type="solid"/>
              </v:shape>
            </v:group>
            <v:group style="position:absolute;left:1417;top:-12;width:910;height:2" coordorigin="1417,-12" coordsize="910,2">
              <v:shape style="position:absolute;left:1417;top:-12;width:910;height:2" coordorigin="1417,-12" coordsize="910,0" path="m1417,-12l2327,-12e" filled="false" stroked="true" strokeweight=".48pt" strokecolor="#000000">
                <v:path arrowok="t"/>
              </v:shape>
            </v:group>
            <v:group style="position:absolute;left:2336;top:-12;width:1371;height:2" coordorigin="2336,-12" coordsize="1371,2">
              <v:shape style="position:absolute;left:2336;top:-12;width:1371;height:2" coordorigin="2336,-12" coordsize="1371,0" path="m2336,-12l3707,-12e" filled="false" stroked="true" strokeweight=".48pt" strokecolor="#000000">
                <v:path arrowok="t"/>
              </v:shape>
            </v:group>
            <v:group style="position:absolute;left:3717;top:-12;width:561;height:2" coordorigin="3717,-12" coordsize="561,2">
              <v:shape style="position:absolute;left:3717;top:-12;width:561;height:2" coordorigin="3717,-12" coordsize="561,0" path="m3717,-12l4277,-12e" filled="false" stroked="true" strokeweight=".48pt" strokecolor="#000000">
                <v:path arrowok="t"/>
              </v:shape>
            </v:group>
            <v:group style="position:absolute;left:4287;top:-12;width:1265;height:2" coordorigin="4287,-12" coordsize="1265,2">
              <v:shape style="position:absolute;left:4287;top:-12;width:1265;height:2" coordorigin="4287,-12" coordsize="1265,0" path="m4287,-12l5552,-12e" filled="false" stroked="true" strokeweight=".48pt" strokecolor="#000000">
                <v:path arrowok="t"/>
              </v:shape>
            </v:group>
            <v:group style="position:absolute;left:5561;top:-12;width:700;height:2" coordorigin="5561,-12" coordsize="700,2">
              <v:shape style="position:absolute;left:5561;top:-12;width:700;height:2" coordorigin="5561,-12" coordsize="700,0" path="m5561,-12l6261,-12e" filled="false" stroked="true" strokeweight=".48pt" strokecolor="#000000">
                <v:path arrowok="t"/>
              </v:shape>
            </v:group>
            <v:group style="position:absolute;left:6270;top:-12;width:413;height:2" coordorigin="6270,-12" coordsize="413,2">
              <v:shape style="position:absolute;left:6270;top:-12;width:413;height:2" coordorigin="6270,-12" coordsize="413,0" path="m6270,-12l6683,-12e" filled="false" stroked="true" strokeweight=".48pt" strokecolor="#000000">
                <v:path arrowok="t"/>
              </v:shape>
            </v:group>
            <v:group style="position:absolute;left:6693;top:-12;width:981;height:2" coordorigin="6693,-12" coordsize="981,2">
              <v:shape style="position:absolute;left:6693;top:-12;width:981;height:2" coordorigin="6693,-12" coordsize="981,0" path="m6693,-12l7673,-12e" filled="false" stroked="true" strokeweight=".48pt" strokecolor="#000000">
                <v:path arrowok="t"/>
              </v:shape>
            </v:group>
            <v:group style="position:absolute;left:7683;top:-12;width:560;height:2" coordorigin="7683,-12" coordsize="560,2">
              <v:shape style="position:absolute;left:7683;top:-12;width:560;height:2" coordorigin="7683,-12" coordsize="560,0" path="m7683,-12l8242,-12e" filled="false" stroked="true" strokeweight=".48pt" strokecolor="#000000">
                <v:path arrowok="t"/>
              </v:shape>
            </v:group>
            <v:group style="position:absolute;left:8252;top:-12;width:556;height:2" coordorigin="8252,-12" coordsize="556,2">
              <v:shape style="position:absolute;left:8252;top:-12;width:556;height:2" coordorigin="8252,-12" coordsize="556,0" path="m8252,-12l8808,-12e" filled="false" stroked="true" strokeweight=".48pt" strokecolor="#000000">
                <v:path arrowok="t"/>
              </v:shape>
            </v:group>
            <v:group style="position:absolute;left:8817;top:-12;width:1409;height:2" coordorigin="8817,-12" coordsize="1409,2">
              <v:shape style="position:absolute;left:8817;top:-12;width:1409;height:2" coordorigin="8817,-12" coordsize="1409,0" path="m8817,-12l10226,-12e" filled="false" stroked="true" strokeweight=".48pt" strokecolor="#000000">
                <v:path arrowok="t"/>
              </v:shape>
            </v:group>
            <v:group style="position:absolute;left:10236;top:-12;width:557;height:2" coordorigin="10236,-12" coordsize="557,2">
              <v:shape style="position:absolute;left:10236;top:-12;width:557;height:2" coordorigin="10236,-12" coordsize="557,0" path="m10236,-12l10792,-12e" filled="false" stroked="true" strokeweight=".48pt" strokecolor="#000000">
                <v:path arrowok="t"/>
              </v:shape>
            </v:group>
            <v:group style="position:absolute;left:10802;top:-12;width:1126;height:2" coordorigin="10802,-12" coordsize="1126,2">
              <v:shape style="position:absolute;left:10802;top:-12;width:1126;height:2" coordorigin="10802,-12" coordsize="1126,0" path="m10802,-12l11928,-12e" filled="false" stroked="true" strokeweight=".48pt" strokecolor="#000000">
                <v:path arrowok="t"/>
              </v:shape>
            </v:group>
            <v:group style="position:absolute;left:11937;top:-12;width:556;height:2" coordorigin="11937,-12" coordsize="556,2">
              <v:shape style="position:absolute;left:11937;top:-12;width:556;height:2" coordorigin="11937,-12" coordsize="556,0" path="m11937,-12l12493,-12e" filled="false" stroked="true" strokeweight=".48pt" strokecolor="#000000">
                <v:path arrowok="t"/>
              </v:shape>
            </v:group>
            <v:group style="position:absolute;left:12502;top:-12;width:840;height:2" coordorigin="12502,-12" coordsize="840,2">
              <v:shape style="position:absolute;left:12502;top:-12;width:840;height:2" coordorigin="12502,-12" coordsize="840,0" path="m12502,-12l13342,-12e" filled="false" stroked="true" strokeweight=".48pt" strokecolor="#000000">
                <v:path arrowok="t"/>
              </v:shape>
            </v:group>
            <v:group style="position:absolute;left:13352;top:-12;width:2071;height:2" coordorigin="13352,-12" coordsize="2071,2">
              <v:shape style="position:absolute;left:13352;top:-12;width:2071;height:2" coordorigin="13352,-12" coordsize="2071,0" path="m13352,-12l15422,-12e" filled="false" stroked="true" strokeweight=".48pt" strokecolor="#000000">
                <v:path arrowok="t"/>
              </v:shape>
            </v:group>
            <v:group style="position:absolute;left:1417;top:702;width:910;height:2" coordorigin="1417,702" coordsize="910,2">
              <v:shape style="position:absolute;left:1417;top:702;width:910;height:2" coordorigin="1417,702" coordsize="910,0" path="m1417,702l2327,702e" filled="false" stroked="true" strokeweight=".48pt" strokecolor="#000000">
                <v:path arrowok="t"/>
              </v:shape>
            </v:group>
            <v:group style="position:absolute;left:2336;top:702;width:1371;height:2" coordorigin="2336,702" coordsize="1371,2">
              <v:shape style="position:absolute;left:2336;top:702;width:1371;height:2" coordorigin="2336,702" coordsize="1371,0" path="m2336,702l3707,702e" filled="false" stroked="true" strokeweight=".48pt" strokecolor="#000000">
                <v:path arrowok="t"/>
              </v:shape>
            </v:group>
            <v:group style="position:absolute;left:3717;top:702;width:561;height:2" coordorigin="3717,702" coordsize="561,2">
              <v:shape style="position:absolute;left:3717;top:702;width:561;height:2" coordorigin="3717,702" coordsize="561,0" path="m3717,702l4277,702e" filled="false" stroked="true" strokeweight=".48pt" strokecolor="#000000">
                <v:path arrowok="t"/>
              </v:shape>
            </v:group>
            <v:group style="position:absolute;left:4287;top:702;width:1265;height:2" coordorigin="4287,702" coordsize="1265,2">
              <v:shape style="position:absolute;left:4287;top:702;width:1265;height:2" coordorigin="4287,702" coordsize="1265,0" path="m4287,702l5552,702e" filled="false" stroked="true" strokeweight=".48pt" strokecolor="#000000">
                <v:path arrowok="t"/>
              </v:shape>
            </v:group>
            <v:group style="position:absolute;left:5561;top:702;width:700;height:2" coordorigin="5561,702" coordsize="700,2">
              <v:shape style="position:absolute;left:5561;top:702;width:700;height:2" coordorigin="5561,702" coordsize="700,0" path="m5561,702l6261,702e" filled="false" stroked="true" strokeweight=".48pt" strokecolor="#000000">
                <v:path arrowok="t"/>
              </v:shape>
            </v:group>
            <v:group style="position:absolute;left:6270;top:702;width:413;height:2" coordorigin="6270,702" coordsize="413,2">
              <v:shape style="position:absolute;left:6270;top:702;width:413;height:2" coordorigin="6270,702" coordsize="413,0" path="m6270,702l6683,702e" filled="false" stroked="true" strokeweight=".48pt" strokecolor="#000000">
                <v:path arrowok="t"/>
              </v:shape>
            </v:group>
            <v:group style="position:absolute;left:6693;top:702;width:981;height:2" coordorigin="6693,702" coordsize="981,2">
              <v:shape style="position:absolute;left:6693;top:702;width:981;height:2" coordorigin="6693,702" coordsize="981,0" path="m6693,702l7673,702e" filled="false" stroked="true" strokeweight=".48pt" strokecolor="#000000">
                <v:path arrowok="t"/>
              </v:shape>
            </v:group>
            <v:group style="position:absolute;left:7683;top:702;width:560;height:2" coordorigin="7683,702" coordsize="560,2">
              <v:shape style="position:absolute;left:7683;top:702;width:560;height:2" coordorigin="7683,702" coordsize="560,0" path="m7683,702l8242,702e" filled="false" stroked="true" strokeweight=".48pt" strokecolor="#000000">
                <v:path arrowok="t"/>
              </v:shape>
            </v:group>
            <v:group style="position:absolute;left:8252;top:702;width:556;height:2" coordorigin="8252,702" coordsize="556,2">
              <v:shape style="position:absolute;left:8252;top:702;width:556;height:2" coordorigin="8252,702" coordsize="556,0" path="m8252,702l8808,702e" filled="false" stroked="true" strokeweight=".48pt" strokecolor="#000000">
                <v:path arrowok="t"/>
              </v:shape>
            </v:group>
            <v:group style="position:absolute;left:8817;top:702;width:1409;height:2" coordorigin="8817,702" coordsize="1409,2">
              <v:shape style="position:absolute;left:8817;top:702;width:1409;height:2" coordorigin="8817,702" coordsize="1409,0" path="m8817,702l10226,702e" filled="false" stroked="true" strokeweight=".48pt" strokecolor="#000000">
                <v:path arrowok="t"/>
              </v:shape>
            </v:group>
            <v:group style="position:absolute;left:10236;top:702;width:557;height:2" coordorigin="10236,702" coordsize="557,2">
              <v:shape style="position:absolute;left:10236;top:702;width:557;height:2" coordorigin="10236,702" coordsize="557,0" path="m10236,702l10792,702e" filled="false" stroked="true" strokeweight=".48pt" strokecolor="#000000">
                <v:path arrowok="t"/>
              </v:shape>
            </v:group>
            <v:group style="position:absolute;left:10802;top:702;width:1126;height:2" coordorigin="10802,702" coordsize="1126,2">
              <v:shape style="position:absolute;left:10802;top:702;width:1126;height:2" coordorigin="10802,702" coordsize="1126,0" path="m10802,702l11928,702e" filled="false" stroked="true" strokeweight=".48pt" strokecolor="#000000">
                <v:path arrowok="t"/>
              </v:shape>
            </v:group>
            <v:group style="position:absolute;left:11937;top:702;width:556;height:2" coordorigin="11937,702" coordsize="556,2">
              <v:shape style="position:absolute;left:11937;top:702;width:556;height:2" coordorigin="11937,702" coordsize="556,0" path="m11937,702l12493,702e" filled="false" stroked="true" strokeweight=".48pt" strokecolor="#000000">
                <v:path arrowok="t"/>
              </v:shape>
            </v:group>
            <v:group style="position:absolute;left:12502;top:702;width:840;height:2" coordorigin="12502,702" coordsize="840,2">
              <v:shape style="position:absolute;left:12502;top:702;width:840;height:2" coordorigin="12502,702" coordsize="840,0" path="m12502,702l13342,702e" filled="false" stroked="true" strokeweight=".48pt" strokecolor="#000000">
                <v:path arrowok="t"/>
              </v:shape>
            </v:group>
            <v:group style="position:absolute;left:13352;top:702;width:2071;height:2" coordorigin="13352,702" coordsize="2071,2">
              <v:shape style="position:absolute;left:13352;top:702;width:2071;height:2" coordorigin="13352,702" coordsize="2071,0" path="m13352,702l15422,702e" filled="false" stroked="true" strokeweight=".48pt" strokecolor="#000000">
                <v:path arrowok="t"/>
              </v:shape>
            </v:group>
            <v:group style="position:absolute;left:1417;top:3288;width:910;height:2" coordorigin="1417,3288" coordsize="910,2">
              <v:shape style="position:absolute;left:1417;top:3288;width:910;height:2" coordorigin="1417,3288" coordsize="910,0" path="m1417,3288l2327,3288e" filled="false" stroked="true" strokeweight=".48pt" strokecolor="#000000">
                <v:path arrowok="t"/>
              </v:shape>
            </v:group>
            <v:group style="position:absolute;left:2336;top:3288;width:1371;height:2" coordorigin="2336,3288" coordsize="1371,2">
              <v:shape style="position:absolute;left:2336;top:3288;width:1371;height:2" coordorigin="2336,3288" coordsize="1371,0" path="m2336,3288l3707,3288e" filled="false" stroked="true" strokeweight=".48pt" strokecolor="#000000">
                <v:path arrowok="t"/>
              </v:shape>
            </v:group>
            <v:group style="position:absolute;left:3717;top:3288;width:561;height:2" coordorigin="3717,3288" coordsize="561,2">
              <v:shape style="position:absolute;left:3717;top:3288;width:561;height:2" coordorigin="3717,3288" coordsize="561,0" path="m3717,3288l4277,3288e" filled="false" stroked="true" strokeweight=".48pt" strokecolor="#000000">
                <v:path arrowok="t"/>
              </v:shape>
            </v:group>
            <v:group style="position:absolute;left:4287;top:3288;width:1265;height:2" coordorigin="4287,3288" coordsize="1265,2">
              <v:shape style="position:absolute;left:4287;top:3288;width:1265;height:2" coordorigin="4287,3288" coordsize="1265,0" path="m4287,3288l5552,3288e" filled="false" stroked="true" strokeweight=".48pt" strokecolor="#000000">
                <v:path arrowok="t"/>
              </v:shape>
            </v:group>
            <v:group style="position:absolute;left:5561;top:3288;width:700;height:2" coordorigin="5561,3288" coordsize="700,2">
              <v:shape style="position:absolute;left:5561;top:3288;width:700;height:2" coordorigin="5561,3288" coordsize="700,0" path="m5561,3288l6261,3288e" filled="false" stroked="true" strokeweight=".48pt" strokecolor="#000000">
                <v:path arrowok="t"/>
              </v:shape>
            </v:group>
            <v:group style="position:absolute;left:6270;top:3288;width:413;height:2" coordorigin="6270,3288" coordsize="413,2">
              <v:shape style="position:absolute;left:6270;top:3288;width:413;height:2" coordorigin="6270,3288" coordsize="413,0" path="m6270,3288l6683,3288e" filled="false" stroked="true" strokeweight=".48pt" strokecolor="#000000">
                <v:path arrowok="t"/>
              </v:shape>
            </v:group>
            <v:group style="position:absolute;left:6693;top:3288;width:981;height:2" coordorigin="6693,3288" coordsize="981,2">
              <v:shape style="position:absolute;left:6693;top:3288;width:981;height:2" coordorigin="6693,3288" coordsize="981,0" path="m6693,3288l7673,3288e" filled="false" stroked="true" strokeweight=".48pt" strokecolor="#000000">
                <v:path arrowok="t"/>
              </v:shape>
            </v:group>
            <v:group style="position:absolute;left:7683;top:3288;width:560;height:2" coordorigin="7683,3288" coordsize="560,2">
              <v:shape style="position:absolute;left:7683;top:3288;width:560;height:2" coordorigin="7683,3288" coordsize="560,0" path="m7683,3288l8242,3288e" filled="false" stroked="true" strokeweight=".48pt" strokecolor="#000000">
                <v:path arrowok="t"/>
              </v:shape>
            </v:group>
            <v:group style="position:absolute;left:8252;top:3288;width:556;height:2" coordorigin="8252,3288" coordsize="556,2">
              <v:shape style="position:absolute;left:8252;top:3288;width:556;height:2" coordorigin="8252,3288" coordsize="556,0" path="m8252,3288l8808,3288e" filled="false" stroked="true" strokeweight=".48pt" strokecolor="#000000">
                <v:path arrowok="t"/>
              </v:shape>
            </v:group>
            <v:group style="position:absolute;left:8817;top:3288;width:1409;height:2" coordorigin="8817,3288" coordsize="1409,2">
              <v:shape style="position:absolute;left:8817;top:3288;width:1409;height:2" coordorigin="8817,3288" coordsize="1409,0" path="m8817,3288l10226,3288e" filled="false" stroked="true" strokeweight=".48pt" strokecolor="#000000">
                <v:path arrowok="t"/>
              </v:shape>
            </v:group>
            <v:group style="position:absolute;left:10236;top:3288;width:557;height:2" coordorigin="10236,3288" coordsize="557,2">
              <v:shape style="position:absolute;left:10236;top:3288;width:557;height:2" coordorigin="10236,3288" coordsize="557,0" path="m10236,3288l10792,3288e" filled="false" stroked="true" strokeweight=".48pt" strokecolor="#000000">
                <v:path arrowok="t"/>
              </v:shape>
            </v:group>
            <v:group style="position:absolute;left:10802;top:3288;width:1126;height:2" coordorigin="10802,3288" coordsize="1126,2">
              <v:shape style="position:absolute;left:10802;top:3288;width:1126;height:2" coordorigin="10802,3288" coordsize="1126,0" path="m10802,3288l11928,3288e" filled="false" stroked="true" strokeweight=".48pt" strokecolor="#000000">
                <v:path arrowok="t"/>
              </v:shape>
            </v:group>
            <v:group style="position:absolute;left:11937;top:3288;width:556;height:2" coordorigin="11937,3288" coordsize="556,2">
              <v:shape style="position:absolute;left:11937;top:3288;width:556;height:2" coordorigin="11937,3288" coordsize="556,0" path="m11937,3288l12493,3288e" filled="false" stroked="true" strokeweight=".48pt" strokecolor="#000000">
                <v:path arrowok="t"/>
              </v:shape>
            </v:group>
            <v:group style="position:absolute;left:12502;top:3288;width:840;height:2" coordorigin="12502,3288" coordsize="840,2">
              <v:shape style="position:absolute;left:12502;top:3288;width:840;height:2" coordorigin="12502,3288" coordsize="840,0" path="m12502,3288l13342,3288e" filled="false" stroked="true" strokeweight=".48pt" strokecolor="#000000">
                <v:path arrowok="t"/>
              </v:shape>
            </v:group>
            <v:group style="position:absolute;left:13352;top:3288;width:2071;height:2" coordorigin="13352,3288" coordsize="2071,2">
              <v:shape style="position:absolute;left:13352;top:3288;width:2071;height:2" coordorigin="13352,3288" coordsize="2071,0" path="m13352,3288l15422,3288e" filled="false" stroked="true" strokeweight=".48pt" strokecolor="#000000">
                <v:path arrowok="t"/>
              </v:shape>
            </v:group>
            <v:group style="position:absolute;left:1417;top:4938;width:910;height:2" coordorigin="1417,4938" coordsize="910,2">
              <v:shape style="position:absolute;left:1417;top:4938;width:910;height:2" coordorigin="1417,4938" coordsize="910,0" path="m1417,4938l2327,4938e" filled="false" stroked="true" strokeweight=".48pt" strokecolor="#000000">
                <v:path arrowok="t"/>
              </v:shape>
            </v:group>
            <v:group style="position:absolute;left:2336;top:4938;width:1371;height:2" coordorigin="2336,4938" coordsize="1371,2">
              <v:shape style="position:absolute;left:2336;top:4938;width:1371;height:2" coordorigin="2336,4938" coordsize="1371,0" path="m2336,4938l3707,4938e" filled="false" stroked="true" strokeweight=".48pt" strokecolor="#000000">
                <v:path arrowok="t"/>
              </v:shape>
            </v:group>
            <v:group style="position:absolute;left:3717;top:4938;width:561;height:2" coordorigin="3717,4938" coordsize="561,2">
              <v:shape style="position:absolute;left:3717;top:4938;width:561;height:2" coordorigin="3717,4938" coordsize="561,0" path="m3717,4938l4277,4938e" filled="false" stroked="true" strokeweight=".48pt" strokecolor="#000000">
                <v:path arrowok="t"/>
              </v:shape>
            </v:group>
            <v:group style="position:absolute;left:4287;top:4938;width:1265;height:2" coordorigin="4287,4938" coordsize="1265,2">
              <v:shape style="position:absolute;left:4287;top:4938;width:1265;height:2" coordorigin="4287,4938" coordsize="1265,0" path="m4287,4938l5552,4938e" filled="false" stroked="true" strokeweight=".48pt" strokecolor="#000000">
                <v:path arrowok="t"/>
              </v:shape>
            </v:group>
            <v:group style="position:absolute;left:5561;top:4938;width:700;height:2" coordorigin="5561,4938" coordsize="700,2">
              <v:shape style="position:absolute;left:5561;top:4938;width:700;height:2" coordorigin="5561,4938" coordsize="700,0" path="m5561,4938l6261,4938e" filled="false" stroked="true" strokeweight=".48pt" strokecolor="#000000">
                <v:path arrowok="t"/>
              </v:shape>
            </v:group>
            <v:group style="position:absolute;left:6270;top:4938;width:413;height:2" coordorigin="6270,4938" coordsize="413,2">
              <v:shape style="position:absolute;left:6270;top:4938;width:413;height:2" coordorigin="6270,4938" coordsize="413,0" path="m6270,4938l6683,4938e" filled="false" stroked="true" strokeweight=".48pt" strokecolor="#000000">
                <v:path arrowok="t"/>
              </v:shape>
            </v:group>
            <v:group style="position:absolute;left:6693;top:4938;width:981;height:2" coordorigin="6693,4938" coordsize="981,2">
              <v:shape style="position:absolute;left:6693;top:4938;width:981;height:2" coordorigin="6693,4938" coordsize="981,0" path="m6693,4938l7673,4938e" filled="false" stroked="true" strokeweight=".48pt" strokecolor="#000000">
                <v:path arrowok="t"/>
              </v:shape>
            </v:group>
            <v:group style="position:absolute;left:7683;top:4938;width:560;height:2" coordorigin="7683,4938" coordsize="560,2">
              <v:shape style="position:absolute;left:7683;top:4938;width:560;height:2" coordorigin="7683,4938" coordsize="560,0" path="m7683,4938l8242,4938e" filled="false" stroked="true" strokeweight=".48pt" strokecolor="#000000">
                <v:path arrowok="t"/>
              </v:shape>
            </v:group>
            <v:group style="position:absolute;left:8252;top:4938;width:556;height:2" coordorigin="8252,4938" coordsize="556,2">
              <v:shape style="position:absolute;left:8252;top:4938;width:556;height:2" coordorigin="8252,4938" coordsize="556,0" path="m8252,4938l8808,4938e" filled="false" stroked="true" strokeweight=".48pt" strokecolor="#000000">
                <v:path arrowok="t"/>
              </v:shape>
            </v:group>
            <v:group style="position:absolute;left:8817;top:4938;width:1409;height:2" coordorigin="8817,4938" coordsize="1409,2">
              <v:shape style="position:absolute;left:8817;top:4938;width:1409;height:2" coordorigin="8817,4938" coordsize="1409,0" path="m8817,4938l10226,4938e" filled="false" stroked="true" strokeweight=".48pt" strokecolor="#000000">
                <v:path arrowok="t"/>
              </v:shape>
            </v:group>
            <v:group style="position:absolute;left:10236;top:4938;width:557;height:2" coordorigin="10236,4938" coordsize="557,2">
              <v:shape style="position:absolute;left:10236;top:4938;width:557;height:2" coordorigin="10236,4938" coordsize="557,0" path="m10236,4938l10792,4938e" filled="false" stroked="true" strokeweight=".48pt" strokecolor="#000000">
                <v:path arrowok="t"/>
              </v:shape>
            </v:group>
            <v:group style="position:absolute;left:10802;top:4938;width:1126;height:2" coordorigin="10802,4938" coordsize="1126,2">
              <v:shape style="position:absolute;left:10802;top:4938;width:1126;height:2" coordorigin="10802,4938" coordsize="1126,0" path="m10802,4938l11928,4938e" filled="false" stroked="true" strokeweight=".48pt" strokecolor="#000000">
                <v:path arrowok="t"/>
              </v:shape>
            </v:group>
            <v:group style="position:absolute;left:11937;top:4938;width:556;height:2" coordorigin="11937,4938" coordsize="556,2">
              <v:shape style="position:absolute;left:11937;top:4938;width:556;height:2" coordorigin="11937,4938" coordsize="556,0" path="m11937,4938l12493,4938e" filled="false" stroked="true" strokeweight=".48pt" strokecolor="#000000">
                <v:path arrowok="t"/>
              </v:shape>
            </v:group>
            <v:group style="position:absolute;left:12502;top:4938;width:840;height:2" coordorigin="12502,4938" coordsize="840,2">
              <v:shape style="position:absolute;left:12502;top:4938;width:840;height:2" coordorigin="12502,4938" coordsize="840,0" path="m12502,4938l13342,4938e" filled="false" stroked="true" strokeweight=".48pt" strokecolor="#000000">
                <v:path arrowok="t"/>
              </v:shape>
            </v:group>
            <v:group style="position:absolute;left:13352;top:4938;width:2071;height:2" coordorigin="13352,4938" coordsize="2071,2">
              <v:shape style="position:absolute;left:13352;top:4938;width:2071;height:2" coordorigin="13352,4938" coordsize="2071,0" path="m13352,4938l15422,4938e" filled="false" stroked="true" strokeweight=".48pt" strokecolor="#000000">
                <v:path arrowok="t"/>
              </v:shape>
            </v:group>
            <v:group style="position:absolute;left:1412;top:-17;width:2;height:7859" coordorigin="1412,-17" coordsize="2,7859">
              <v:shape style="position:absolute;left:1412;top:-17;width:2;height:7859" coordorigin="1412,-17" coordsize="0,7859" path="m1412,-17l1412,7841e" filled="false" stroked="true" strokeweight=".48pt" strokecolor="#000000">
                <v:path arrowok="t"/>
              </v:shape>
            </v:group>
            <v:group style="position:absolute;left:1417;top:7837;width:910;height:2" coordorigin="1417,7837" coordsize="910,2">
              <v:shape style="position:absolute;left:1417;top:7837;width:910;height:2" coordorigin="1417,7837" coordsize="910,0" path="m1417,7837l2327,7837e" filled="false" stroked="true" strokeweight=".48pt" strokecolor="#000000">
                <v:path arrowok="t"/>
              </v:shape>
            </v:group>
            <v:group style="position:absolute;left:2332;top:-17;width:2;height:7859" coordorigin="2332,-17" coordsize="2,7859">
              <v:shape style="position:absolute;left:2332;top:-17;width:2;height:7859" coordorigin="2332,-17" coordsize="0,7859" path="m2332,-17l2332,7841e" filled="false" stroked="true" strokeweight=".48pt" strokecolor="#000000">
                <v:path arrowok="t"/>
              </v:shape>
            </v:group>
            <v:group style="position:absolute;left:2336;top:7837;width:1371;height:2" coordorigin="2336,7837" coordsize="1371,2">
              <v:shape style="position:absolute;left:2336;top:7837;width:1371;height:2" coordorigin="2336,7837" coordsize="1371,0" path="m2336,7837l3707,7837e" filled="false" stroked="true" strokeweight=".48pt" strokecolor="#000000">
                <v:path arrowok="t"/>
              </v:shape>
            </v:group>
            <v:group style="position:absolute;left:3712;top:-17;width:2;height:7859" coordorigin="3712,-17" coordsize="2,7859">
              <v:shape style="position:absolute;left:3712;top:-17;width:2;height:7859" coordorigin="3712,-17" coordsize="0,7859" path="m3712,-17l3712,7841e" filled="false" stroked="true" strokeweight=".48pt" strokecolor="#000000">
                <v:path arrowok="t"/>
              </v:shape>
            </v:group>
            <v:group style="position:absolute;left:3717;top:7837;width:561;height:2" coordorigin="3717,7837" coordsize="561,2">
              <v:shape style="position:absolute;left:3717;top:7837;width:561;height:2" coordorigin="3717,7837" coordsize="561,0" path="m3717,7837l4277,7837e" filled="false" stroked="true" strokeweight=".48pt" strokecolor="#000000">
                <v:path arrowok="t"/>
              </v:shape>
            </v:group>
            <v:group style="position:absolute;left:4282;top:-17;width:2;height:7859" coordorigin="4282,-17" coordsize="2,7859">
              <v:shape style="position:absolute;left:4282;top:-17;width:2;height:7859" coordorigin="4282,-17" coordsize="0,7859" path="m4282,-17l4282,7841e" filled="false" stroked="true" strokeweight=".48pt" strokecolor="#000000">
                <v:path arrowok="t"/>
              </v:shape>
            </v:group>
            <v:group style="position:absolute;left:4287;top:7837;width:1265;height:2" coordorigin="4287,7837" coordsize="1265,2">
              <v:shape style="position:absolute;left:4287;top:7837;width:1265;height:2" coordorigin="4287,7837" coordsize="1265,0" path="m4287,7837l5552,7837e" filled="false" stroked="true" strokeweight=".48pt" strokecolor="#000000">
                <v:path arrowok="t"/>
              </v:shape>
            </v:group>
            <v:group style="position:absolute;left:5556;top:-17;width:2;height:7859" coordorigin="5556,-17" coordsize="2,7859">
              <v:shape style="position:absolute;left:5556;top:-17;width:2;height:7859" coordorigin="5556,-17" coordsize="0,7859" path="m5556,-17l5556,7841e" filled="false" stroked="true" strokeweight=".48pt" strokecolor="#000000">
                <v:path arrowok="t"/>
              </v:shape>
            </v:group>
            <v:group style="position:absolute;left:5561;top:7837;width:700;height:2" coordorigin="5561,7837" coordsize="700,2">
              <v:shape style="position:absolute;left:5561;top:7837;width:700;height:2" coordorigin="5561,7837" coordsize="700,0" path="m5561,7837l6261,7837e" filled="false" stroked="true" strokeweight=".48pt" strokecolor="#000000">
                <v:path arrowok="t"/>
              </v:shape>
            </v:group>
            <v:group style="position:absolute;left:6266;top:-17;width:2;height:7859" coordorigin="6266,-17" coordsize="2,7859">
              <v:shape style="position:absolute;left:6266;top:-17;width:2;height:7859" coordorigin="6266,-17" coordsize="0,7859" path="m6266,-17l6266,7841e" filled="false" stroked="true" strokeweight=".48pt" strokecolor="#000000">
                <v:path arrowok="t"/>
              </v:shape>
            </v:group>
            <v:group style="position:absolute;left:6270;top:7837;width:413;height:2" coordorigin="6270,7837" coordsize="413,2">
              <v:shape style="position:absolute;left:6270;top:7837;width:413;height:2" coordorigin="6270,7837" coordsize="413,0" path="m6270,7837l6683,7837e" filled="false" stroked="true" strokeweight=".48pt" strokecolor="#000000">
                <v:path arrowok="t"/>
              </v:shape>
            </v:group>
            <v:group style="position:absolute;left:6688;top:-17;width:2;height:7859" coordorigin="6688,-17" coordsize="2,7859">
              <v:shape style="position:absolute;left:6688;top:-17;width:2;height:7859" coordorigin="6688,-17" coordsize="0,7859" path="m6688,-17l6688,7841e" filled="false" stroked="true" strokeweight=".48pt" strokecolor="#000000">
                <v:path arrowok="t"/>
              </v:shape>
            </v:group>
            <v:group style="position:absolute;left:6693;top:7837;width:981;height:2" coordorigin="6693,7837" coordsize="981,2">
              <v:shape style="position:absolute;left:6693;top:7837;width:981;height:2" coordorigin="6693,7837" coordsize="981,0" path="m6693,7837l7673,7837e" filled="false" stroked="true" strokeweight=".48pt" strokecolor="#000000">
                <v:path arrowok="t"/>
              </v:shape>
            </v:group>
            <v:group style="position:absolute;left:7678;top:-17;width:2;height:7859" coordorigin="7678,-17" coordsize="2,7859">
              <v:shape style="position:absolute;left:7678;top:-17;width:2;height:7859" coordorigin="7678,-17" coordsize="0,7859" path="m7678,-17l7678,7841e" filled="false" stroked="true" strokeweight=".48pt" strokecolor="#000000">
                <v:path arrowok="t"/>
              </v:shape>
            </v:group>
            <v:group style="position:absolute;left:7683;top:7837;width:560;height:2" coordorigin="7683,7837" coordsize="560,2">
              <v:shape style="position:absolute;left:7683;top:7837;width:560;height:2" coordorigin="7683,7837" coordsize="560,0" path="m7683,7837l8242,7837e" filled="false" stroked="true" strokeweight=".48pt" strokecolor="#000000">
                <v:path arrowok="t"/>
              </v:shape>
            </v:group>
            <v:group style="position:absolute;left:8247;top:-17;width:2;height:7859" coordorigin="8247,-17" coordsize="2,7859">
              <v:shape style="position:absolute;left:8247;top:-17;width:2;height:7859" coordorigin="8247,-17" coordsize="0,7859" path="m8247,-17l8247,7841e" filled="false" stroked="true" strokeweight=".48pt" strokecolor="#000000">
                <v:path arrowok="t"/>
              </v:shape>
            </v:group>
            <v:group style="position:absolute;left:8252;top:7837;width:556;height:2" coordorigin="8252,7837" coordsize="556,2">
              <v:shape style="position:absolute;left:8252;top:7837;width:556;height:2" coordorigin="8252,7837" coordsize="556,0" path="m8252,7837l8808,7837e" filled="false" stroked="true" strokeweight=".48pt" strokecolor="#000000">
                <v:path arrowok="t"/>
              </v:shape>
            </v:group>
            <v:group style="position:absolute;left:8812;top:-17;width:2;height:7859" coordorigin="8812,-17" coordsize="2,7859">
              <v:shape style="position:absolute;left:8812;top:-17;width:2;height:7859" coordorigin="8812,-17" coordsize="0,7859" path="m8812,-17l8812,7841e" filled="false" stroked="true" strokeweight=".48pt" strokecolor="#000000">
                <v:path arrowok="t"/>
              </v:shape>
            </v:group>
            <v:group style="position:absolute;left:8817;top:7837;width:1409;height:2" coordorigin="8817,7837" coordsize="1409,2">
              <v:shape style="position:absolute;left:8817;top:7837;width:1409;height:2" coordorigin="8817,7837" coordsize="1409,0" path="m8817,7837l10226,7837e" filled="false" stroked="true" strokeweight=".48pt" strokecolor="#000000">
                <v:path arrowok="t"/>
              </v:shape>
            </v:group>
            <v:group style="position:absolute;left:10247;top:1799;width:2;height:393" coordorigin="10247,1799" coordsize="2,393">
              <v:shape style="position:absolute;left:10247;top:1799;width:2;height:393" coordorigin="10247,1799" coordsize="0,393" path="m10247,1799l10247,2191e" filled="false" stroked="true" strokeweight="1.140pt" strokecolor="#ffffff">
                <v:path arrowok="t"/>
              </v:shape>
            </v:group>
            <v:group style="position:absolute;left:10258;top:1799;width:510;height:393" coordorigin="10258,1799" coordsize="510,393">
              <v:shape style="position:absolute;left:10258;top:1799;width:510;height:393" coordorigin="10258,1799" coordsize="510,393" path="m10258,2191l10768,2191,10768,1799,10258,1799,10258,2191xe" filled="true" fillcolor="#ffffff" stroked="false">
                <v:path arrowok="t"/>
                <v:fill type="solid"/>
              </v:shape>
            </v:group>
            <v:group style="position:absolute;left:10247;top:3917;width:2;height:393" coordorigin="10247,3917" coordsize="2,393">
              <v:shape style="position:absolute;left:10247;top:3917;width:2;height:393" coordorigin="10247,3917" coordsize="0,393" path="m10247,3917l10247,4309e" filled="false" stroked="true" strokeweight="1.140pt" strokecolor="#ffffff">
                <v:path arrowok="t"/>
              </v:shape>
            </v:group>
            <v:group style="position:absolute;left:10258;top:3917;width:510;height:393" coordorigin="10258,3917" coordsize="510,393">
              <v:shape style="position:absolute;left:10258;top:3917;width:510;height:393" coordorigin="10258,3917" coordsize="510,393" path="m10258,4309l10768,4309,10768,3917,10258,3917,10258,4309xe" filled="true" fillcolor="#ffffff" stroked="false">
                <v:path arrowok="t"/>
                <v:fill type="solid"/>
              </v:shape>
            </v:group>
            <v:group style="position:absolute;left:10247;top:6191;width:2;height:393" coordorigin="10247,6191" coordsize="2,393">
              <v:shape style="position:absolute;left:10247;top:6191;width:2;height:393" coordorigin="10247,6191" coordsize="0,393" path="m10247,6191l10247,6584e" filled="false" stroked="true" strokeweight="1.140pt" strokecolor="#ffffff">
                <v:path arrowok="t"/>
              </v:shape>
            </v:group>
            <v:group style="position:absolute;left:10258;top:6191;width:510;height:393" coordorigin="10258,6191" coordsize="510,393">
              <v:shape style="position:absolute;left:10258;top:6191;width:510;height:393" coordorigin="10258,6191" coordsize="510,393" path="m10258,6584l10768,6584,10768,6191,10258,6191,10258,6584xe" filled="true" fillcolor="#ffffff" stroked="false">
                <v:path arrowok="t"/>
                <v:fill type="solid"/>
              </v:shape>
            </v:group>
            <v:group style="position:absolute;left:10231;top:-17;width:2;height:7859" coordorigin="10231,-17" coordsize="2,7859">
              <v:shape style="position:absolute;left:10231;top:-17;width:2;height:7859" coordorigin="10231,-17" coordsize="0,7859" path="m10231,-17l10231,7841e" filled="false" stroked="true" strokeweight=".48pt" strokecolor="#000000">
                <v:path arrowok="t"/>
              </v:shape>
            </v:group>
            <v:group style="position:absolute;left:10236;top:7837;width:557;height:2" coordorigin="10236,7837" coordsize="557,2">
              <v:shape style="position:absolute;left:10236;top:7837;width:557;height:2" coordorigin="10236,7837" coordsize="557,0" path="m10236,7837l10792,7837e" filled="false" stroked="true" strokeweight=".48pt" strokecolor="#000000">
                <v:path arrowok="t"/>
              </v:shape>
            </v:group>
            <v:group style="position:absolute;left:10797;top:-17;width:2;height:7859" coordorigin="10797,-17" coordsize="2,7859">
              <v:shape style="position:absolute;left:10797;top:-17;width:2;height:7859" coordorigin="10797,-17" coordsize="0,7859" path="m10797,-17l10797,7841e" filled="false" stroked="true" strokeweight=".48pt" strokecolor="#000000">
                <v:path arrowok="t"/>
              </v:shape>
            </v:group>
            <v:group style="position:absolute;left:10802;top:7837;width:1126;height:2" coordorigin="10802,7837" coordsize="1126,2">
              <v:shape style="position:absolute;left:10802;top:7837;width:1126;height:2" coordorigin="10802,7837" coordsize="1126,0" path="m10802,7837l11928,7837e" filled="false" stroked="true" strokeweight=".48pt" strokecolor="#000000">
                <v:path arrowok="t"/>
              </v:shape>
            </v:group>
            <v:group style="position:absolute;left:11932;top:-17;width:2;height:7859" coordorigin="11932,-17" coordsize="2,7859">
              <v:shape style="position:absolute;left:11932;top:-17;width:2;height:7859" coordorigin="11932,-17" coordsize="0,7859" path="m11932,-17l11932,7841e" filled="false" stroked="true" strokeweight=".48pt" strokecolor="#000000">
                <v:path arrowok="t"/>
              </v:shape>
            </v:group>
            <v:group style="position:absolute;left:11937;top:7837;width:556;height:2" coordorigin="11937,7837" coordsize="556,2">
              <v:shape style="position:absolute;left:11937;top:7837;width:556;height:2" coordorigin="11937,7837" coordsize="556,0" path="m11937,7837l12493,7837e" filled="false" stroked="true" strokeweight=".48pt" strokecolor="#000000">
                <v:path arrowok="t"/>
              </v:shape>
            </v:group>
            <v:group style="position:absolute;left:12498;top:-17;width:2;height:7859" coordorigin="12498,-17" coordsize="2,7859">
              <v:shape style="position:absolute;left:12498;top:-17;width:2;height:7859" coordorigin="12498,-17" coordsize="0,7859" path="m12498,-17l12498,7841e" filled="false" stroked="true" strokeweight=".48pt" strokecolor="#000000">
                <v:path arrowok="t"/>
              </v:shape>
            </v:group>
            <v:group style="position:absolute;left:12502;top:7837;width:840;height:2" coordorigin="12502,7837" coordsize="840,2">
              <v:shape style="position:absolute;left:12502;top:7837;width:840;height:2" coordorigin="12502,7837" coordsize="840,0" path="m12502,7837l13342,7837e" filled="false" stroked="true" strokeweight=".48pt" strokecolor="#000000">
                <v:path arrowok="t"/>
              </v:shape>
            </v:group>
            <v:group style="position:absolute;left:13347;top:-17;width:2;height:7859" coordorigin="13347,-17" coordsize="2,7859">
              <v:shape style="position:absolute;left:13347;top:-17;width:2;height:7859" coordorigin="13347,-17" coordsize="0,7859" path="m13347,-17l13347,7841e" filled="false" stroked="true" strokeweight=".48pt" strokecolor="#000000">
                <v:path arrowok="t"/>
              </v:shape>
            </v:group>
            <v:group style="position:absolute;left:13352;top:7837;width:2071;height:2" coordorigin="13352,7837" coordsize="2071,2">
              <v:shape style="position:absolute;left:13352;top:7837;width:2071;height:2" coordorigin="13352,7837" coordsize="2071,0" path="m13352,7837l15422,7837e" filled="false" stroked="true" strokeweight=".48pt" strokecolor="#000000">
                <v:path arrowok="t"/>
              </v:shape>
            </v:group>
            <v:group style="position:absolute;left:15427;top:-17;width:2;height:7859" coordorigin="15427,-17" coordsize="2,7859">
              <v:shape style="position:absolute;left:15427;top:-17;width:2;height:7859" coordorigin="15427,-17" coordsize="0,7859" path="m15427,-17l15427,7841e" filled="false" stroked="true" strokeweight=".48pt" strokecolor="#000000">
                <v:path arrowok="t"/>
              </v:shape>
            </v:group>
            <w10:wrap type="none"/>
          </v:group>
        </w:pict>
      </w:r>
      <w:r>
        <w:rPr>
          <w:rFonts w:ascii="宋体" w:hAnsi="宋体" w:cs="宋体" w:eastAsia="宋体" w:hint="default"/>
          <w:sz w:val="18"/>
          <w:szCs w:val="18"/>
        </w:rPr>
        <w:t>被投资公 司名称</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211" w:right="-19" w:firstLine="0"/>
        <w:jc w:val="left"/>
        <w:rPr>
          <w:rFonts w:ascii="宋体" w:hAnsi="宋体" w:cs="宋体" w:eastAsia="宋体" w:hint="default"/>
          <w:sz w:val="18"/>
          <w:szCs w:val="18"/>
        </w:rPr>
      </w:pPr>
      <w:r>
        <w:rPr>
          <w:rFonts w:ascii="宋体" w:hAnsi="宋体" w:cs="宋体" w:eastAsia="宋体" w:hint="default"/>
          <w:sz w:val="18"/>
          <w:szCs w:val="18"/>
        </w:rPr>
        <w:t>主要业务</w:t>
      </w:r>
    </w:p>
    <w:p>
      <w:pPr>
        <w:spacing w:line="196" w:lineRule="exact" w:before="44"/>
        <w:ind w:left="21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投资</w:t>
      </w:r>
    </w:p>
    <w:p>
      <w:pPr>
        <w:spacing w:line="156" w:lineRule="exact" w:before="0"/>
        <w:ind w:left="954" w:right="-20" w:firstLine="0"/>
        <w:jc w:val="left"/>
        <w:rPr>
          <w:rFonts w:ascii="宋体" w:hAnsi="宋体" w:cs="宋体" w:eastAsia="宋体" w:hint="default"/>
          <w:sz w:val="18"/>
          <w:szCs w:val="18"/>
        </w:rPr>
      </w:pPr>
      <w:r>
        <w:rPr>
          <w:rFonts w:ascii="宋体" w:hAnsi="宋体" w:cs="宋体" w:eastAsia="宋体" w:hint="default"/>
          <w:sz w:val="18"/>
          <w:szCs w:val="18"/>
        </w:rPr>
        <w:t>投资金额</w:t>
      </w:r>
    </w:p>
    <w:p>
      <w:pPr>
        <w:spacing w:line="196" w:lineRule="exact" w:before="0"/>
        <w:ind w:left="211" w:right="-20" w:firstLine="0"/>
        <w:jc w:val="left"/>
        <w:rPr>
          <w:rFonts w:ascii="宋体" w:hAnsi="宋体" w:cs="宋体" w:eastAsia="宋体" w:hint="default"/>
          <w:sz w:val="18"/>
          <w:szCs w:val="18"/>
        </w:rPr>
      </w:pPr>
      <w:r>
        <w:rPr>
          <w:rFonts w:ascii="宋体" w:hAnsi="宋体" w:cs="宋体" w:eastAsia="宋体" w:hint="default"/>
          <w:sz w:val="18"/>
          <w:szCs w:val="18"/>
        </w:rPr>
        <w:t>方式</w:t>
      </w:r>
    </w:p>
    <w:p>
      <w:pPr>
        <w:tabs>
          <w:tab w:pos="868" w:val="left" w:leader="none"/>
        </w:tabs>
        <w:spacing w:line="316" w:lineRule="auto" w:before="44"/>
        <w:ind w:left="392" w:right="0" w:hanging="180"/>
        <w:jc w:val="left"/>
        <w:rPr>
          <w:rFonts w:ascii="宋体" w:hAnsi="宋体" w:cs="宋体" w:eastAsia="宋体" w:hint="default"/>
          <w:sz w:val="18"/>
          <w:szCs w:val="18"/>
        </w:rPr>
      </w:pPr>
      <w:r>
        <w:rPr/>
        <w:br w:type="column"/>
      </w:r>
      <w:r>
        <w:rPr>
          <w:rFonts w:ascii="宋体" w:hAnsi="宋体" w:cs="宋体" w:eastAsia="宋体" w:hint="default"/>
          <w:sz w:val="18"/>
          <w:szCs w:val="18"/>
        </w:rPr>
        <w:t>持股比</w:t>
      </w:r>
      <w:r>
        <w:rPr>
          <w:rFonts w:ascii="宋体" w:hAnsi="宋体" w:cs="宋体" w:eastAsia="宋体" w:hint="default"/>
          <w:spacing w:val="26"/>
          <w:sz w:val="18"/>
          <w:szCs w:val="18"/>
        </w:rPr>
        <w:t> </w:t>
      </w:r>
      <w:r>
        <w:rPr>
          <w:rFonts w:ascii="宋体" w:hAnsi="宋体" w:cs="宋体" w:eastAsia="宋体" w:hint="default"/>
          <w:sz w:val="18"/>
          <w:szCs w:val="18"/>
        </w:rPr>
        <w:t>资金</w:t>
      </w:r>
      <w:r>
        <w:rPr>
          <w:rFonts w:ascii="宋体" w:hAnsi="宋体" w:cs="宋体" w:eastAsia="宋体" w:hint="default"/>
          <w:sz w:val="18"/>
          <w:szCs w:val="18"/>
        </w:rPr>
        <w:t> 例</w:t>
        <w:tab/>
        <w:t>来源</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212" w:right="-20" w:firstLine="0"/>
        <w:jc w:val="left"/>
        <w:rPr>
          <w:rFonts w:ascii="宋体" w:hAnsi="宋体" w:cs="宋体" w:eastAsia="宋体" w:hint="default"/>
          <w:sz w:val="18"/>
          <w:szCs w:val="18"/>
        </w:rPr>
      </w:pPr>
      <w:r>
        <w:rPr>
          <w:rFonts w:ascii="宋体" w:hAnsi="宋体" w:cs="宋体" w:eastAsia="宋体" w:hint="default"/>
          <w:sz w:val="18"/>
          <w:szCs w:val="18"/>
        </w:rPr>
        <w:t>合作方</w:t>
      </w:r>
    </w:p>
    <w:p>
      <w:pPr>
        <w:tabs>
          <w:tab w:pos="779" w:val="left" w:leader="none"/>
        </w:tabs>
        <w:spacing w:before="44"/>
        <w:ind w:left="21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投资</w:t>
        <w:tab/>
        <w:t>产品</w:t>
      </w:r>
    </w:p>
    <w:p>
      <w:pPr>
        <w:tabs>
          <w:tab w:pos="779" w:val="left" w:leader="none"/>
        </w:tabs>
        <w:spacing w:before="76"/>
        <w:ind w:left="211" w:right="-20" w:firstLine="0"/>
        <w:jc w:val="left"/>
        <w:rPr>
          <w:rFonts w:ascii="宋体" w:hAnsi="宋体" w:cs="宋体" w:eastAsia="宋体" w:hint="default"/>
          <w:sz w:val="18"/>
          <w:szCs w:val="18"/>
        </w:rPr>
      </w:pPr>
      <w:r>
        <w:rPr>
          <w:rFonts w:ascii="宋体" w:hAnsi="宋体" w:cs="宋体" w:eastAsia="宋体" w:hint="default"/>
          <w:sz w:val="18"/>
          <w:szCs w:val="18"/>
        </w:rPr>
        <w:t>期限</w:t>
        <w:tab/>
        <w:t>类型</w:t>
      </w:r>
    </w:p>
    <w:p>
      <w:pPr>
        <w:tabs>
          <w:tab w:pos="1583" w:val="left" w:leader="none"/>
        </w:tabs>
        <w:spacing w:line="316" w:lineRule="auto" w:before="44"/>
        <w:ind w:left="232" w:right="0" w:hanging="90"/>
        <w:jc w:val="left"/>
        <w:rPr>
          <w:rFonts w:ascii="宋体" w:hAnsi="宋体" w:cs="宋体" w:eastAsia="宋体" w:hint="default"/>
          <w:sz w:val="18"/>
          <w:szCs w:val="18"/>
        </w:rPr>
      </w:pPr>
      <w:r>
        <w:rPr/>
        <w:br w:type="column"/>
      </w:r>
      <w:r>
        <w:rPr>
          <w:rFonts w:ascii="宋体" w:hAnsi="宋体" w:cs="宋体" w:eastAsia="宋体" w:hint="default"/>
          <w:sz w:val="18"/>
          <w:szCs w:val="18"/>
        </w:rPr>
        <w:t>截至资产负债表</w:t>
      </w:r>
      <w:r>
        <w:rPr>
          <w:rFonts w:ascii="宋体" w:hAnsi="宋体" w:cs="宋体" w:eastAsia="宋体" w:hint="default"/>
          <w:spacing w:val="1"/>
          <w:sz w:val="18"/>
          <w:szCs w:val="18"/>
        </w:rPr>
        <w:t> </w:t>
      </w:r>
      <w:r>
        <w:rPr>
          <w:rFonts w:ascii="宋体" w:hAnsi="宋体" w:cs="宋体" w:eastAsia="宋体" w:hint="default"/>
          <w:sz w:val="18"/>
          <w:szCs w:val="18"/>
        </w:rPr>
        <w:t>预计</w:t>
      </w:r>
      <w:r>
        <w:rPr>
          <w:rFonts w:ascii="宋体" w:hAnsi="宋体" w:cs="宋体" w:eastAsia="宋体" w:hint="default"/>
          <w:sz w:val="18"/>
          <w:szCs w:val="18"/>
        </w:rPr>
        <w:t> 日的进展情况</w:t>
        <w:tab/>
        <w:t>收益</w:t>
      </w:r>
    </w:p>
    <w:p>
      <w:pPr>
        <w:spacing w:line="316" w:lineRule="auto" w:before="44"/>
        <w:ind w:left="540"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本期投资盈 亏</w:t>
      </w:r>
    </w:p>
    <w:p>
      <w:pPr>
        <w:spacing w:line="316" w:lineRule="auto" w:before="44"/>
        <w:ind w:left="18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是否</w:t>
      </w:r>
      <w:r>
        <w:rPr>
          <w:rFonts w:ascii="宋体" w:hAnsi="宋体" w:cs="宋体" w:eastAsia="宋体" w:hint="default"/>
          <w:spacing w:val="78"/>
          <w:sz w:val="18"/>
          <w:szCs w:val="18"/>
        </w:rPr>
        <w:t> </w:t>
      </w:r>
      <w:r>
        <w:rPr>
          <w:rFonts w:ascii="宋体" w:hAnsi="宋体" w:cs="宋体" w:eastAsia="宋体" w:hint="default"/>
          <w:sz w:val="18"/>
          <w:szCs w:val="18"/>
        </w:rPr>
        <w:t>披露日期</w:t>
      </w:r>
      <w:r>
        <w:rPr>
          <w:rFonts w:ascii="宋体" w:hAnsi="宋体" w:cs="宋体" w:eastAsia="宋体" w:hint="default"/>
          <w:sz w:val="18"/>
          <w:szCs w:val="18"/>
        </w:rPr>
        <w:t> 涉诉</w:t>
      </w:r>
      <w:r>
        <w:rPr>
          <w:rFonts w:ascii="宋体" w:hAnsi="宋体" w:cs="宋体" w:eastAsia="宋体" w:hint="default"/>
          <w:spacing w:val="78"/>
          <w:sz w:val="18"/>
          <w:szCs w:val="18"/>
        </w:rPr>
        <w:t> </w:t>
      </w:r>
      <w:r>
        <w:rPr>
          <w:rFonts w:ascii="宋体" w:hAnsi="宋体" w:cs="宋体" w:eastAsia="宋体" w:hint="default"/>
          <w:sz w:val="18"/>
          <w:szCs w:val="18"/>
        </w:rPr>
        <w:t>（如有）</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披露索引（如有）</w:t>
      </w:r>
    </w:p>
    <w:p>
      <w:pPr>
        <w:spacing w:after="0"/>
        <w:jc w:val="left"/>
        <w:rPr>
          <w:rFonts w:ascii="宋体" w:hAnsi="宋体" w:cs="宋体" w:eastAsia="宋体" w:hint="default"/>
          <w:sz w:val="18"/>
          <w:szCs w:val="18"/>
        </w:rPr>
        <w:sectPr>
          <w:type w:val="continuous"/>
          <w:pgSz w:w="16840" w:h="11910" w:orient="landscape"/>
          <w:pgMar w:top="1060" w:bottom="1160" w:left="1300" w:right="0"/>
          <w:cols w:num="10" w:equalWidth="0">
            <w:col w:w="933" w:space="217"/>
            <w:col w:w="933" w:space="222"/>
            <w:col w:w="1675" w:space="149"/>
            <w:col w:w="1229" w:space="43"/>
            <w:col w:w="753" w:space="116"/>
            <w:col w:w="1140" w:space="40"/>
            <w:col w:w="1944" w:space="40"/>
            <w:col w:w="1081" w:space="40"/>
            <w:col w:w="1429" w:space="171"/>
            <w:col w:w="3385"/>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62" w:lineRule="auto" w:before="142"/>
        <w:ind w:left="140" w:right="-21" w:firstLine="0"/>
        <w:jc w:val="left"/>
        <w:rPr>
          <w:rFonts w:ascii="Times New Roman" w:hAnsi="Times New Roman" w:cs="Times New Roman" w:eastAsia="Times New Roman" w:hint="default"/>
          <w:sz w:val="18"/>
          <w:szCs w:val="18"/>
        </w:rPr>
      </w:pPr>
      <w:r>
        <w:rPr>
          <w:rFonts w:ascii="Times New Roman"/>
          <w:sz w:val="18"/>
        </w:rPr>
        <w:t>SnapShot</w:t>
      </w:r>
      <w:r>
        <w:rPr>
          <w:rFonts w:ascii="Times New Roman"/>
          <w:w w:val="99"/>
          <w:sz w:val="18"/>
        </w:rPr>
        <w:t> </w:t>
      </w:r>
      <w:r>
        <w:rPr>
          <w:rFonts w:ascii="Times New Roman"/>
          <w:sz w:val="18"/>
        </w:rPr>
        <w:t>GmbH</w:t>
      </w:r>
    </w:p>
    <w:p>
      <w:pPr>
        <w:spacing w:line="316" w:lineRule="auto" w:before="109"/>
        <w:ind w:left="140"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主要从事数据平 台的技术分析、 酒店商业策略等 线上线下技术培 训及酒店需求管 理的咨询服务三 大支柱产品等业 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tabs>
          <w:tab w:pos="833" w:val="left" w:leader="none"/>
        </w:tabs>
        <w:spacing w:before="0"/>
        <w:ind w:left="80"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增资</w:t>
        <w:tab/>
      </w:r>
      <w:r>
        <w:rPr>
          <w:rFonts w:ascii="Times New Roman" w:hAnsi="Times New Roman" w:cs="Times New Roman" w:eastAsia="Times New Roman" w:hint="default"/>
          <w:sz w:val="18"/>
          <w:szCs w:val="18"/>
        </w:rPr>
        <w:t>49,450,307.20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38.83%</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8"/>
          <w:szCs w:val="18"/>
        </w:rPr>
      </w:pPr>
    </w:p>
    <w:p>
      <w:pPr>
        <w:spacing w:before="0"/>
        <w:ind w:left="15"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SnapShot</w:t>
      </w:r>
    </w:p>
    <w:p>
      <w:pPr>
        <w:spacing w:before="63"/>
        <w:ind w:left="15" w:right="-19" w:firstLine="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27"/>
          <w:sz w:val="18"/>
          <w:szCs w:val="18"/>
        </w:rPr>
        <w:t> </w:t>
      </w: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tabs>
          <w:tab w:pos="708" w:val="left" w:leader="none"/>
        </w:tabs>
        <w:spacing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长期</w:t>
        <w:tab/>
        <w:t>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6"/>
          <w:szCs w:val="26"/>
        </w:rPr>
      </w:pPr>
    </w:p>
    <w:p>
      <w:pPr>
        <w:spacing w:line="319" w:lineRule="auto"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截止资产负债表 </w:t>
      </w:r>
      <w:r>
        <w:rPr>
          <w:rFonts w:ascii="宋体" w:hAnsi="宋体" w:cs="宋体" w:eastAsia="宋体" w:hint="default"/>
          <w:spacing w:val="-10"/>
          <w:sz w:val="18"/>
          <w:szCs w:val="18"/>
        </w:rPr>
        <w:t>日，所涉及的股权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产权已全部过户， 所涉及的债权债 务已全部转移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spacing w:before="0"/>
        <w:ind w:left="140"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-3,667,042.27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spacing w:before="0"/>
        <w:ind w:left="140" w:right="-2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p>
    <w:p>
      <w:pPr>
        <w:spacing w:before="63"/>
        <w:ind w:left="140" w:right="-19"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6"/>
          <w:szCs w:val="26"/>
        </w:rPr>
      </w:pPr>
    </w:p>
    <w:p>
      <w:pPr>
        <w:spacing w:line="316" w:lineRule="auto" w:before="0"/>
        <w:ind w:left="16" w:right="1436" w:firstLine="0"/>
        <w:jc w:val="both"/>
        <w:rPr>
          <w:rFonts w:ascii="宋体" w:hAnsi="宋体" w:cs="宋体" w:eastAsia="宋体" w:hint="default"/>
          <w:sz w:val="18"/>
          <w:szCs w:val="18"/>
        </w:rPr>
      </w:pPr>
      <w:r>
        <w:rPr>
          <w:rFonts w:ascii="宋体" w:hAnsi="宋体" w:cs="宋体" w:eastAsia="宋体" w:hint="default"/>
          <w:spacing w:val="-12"/>
          <w:sz w:val="18"/>
          <w:szCs w:val="18"/>
        </w:rPr>
        <w:t>详见《中国证券报》、《证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券时报》及巨潮资讯网的</w:t>
      </w:r>
    </w:p>
    <w:p>
      <w:pPr>
        <w:spacing w:line="309" w:lineRule="auto" w:before="19"/>
        <w:ind w:left="16" w:right="1346" w:firstLine="0"/>
        <w:jc w:val="both"/>
        <w:rPr>
          <w:rFonts w:ascii="宋体" w:hAnsi="宋体" w:cs="宋体" w:eastAsia="宋体" w:hint="default"/>
          <w:sz w:val="18"/>
          <w:szCs w:val="18"/>
        </w:rPr>
      </w:pPr>
      <w:r>
        <w:rPr>
          <w:rFonts w:ascii="宋体" w:hAnsi="宋体" w:cs="宋体" w:eastAsia="宋体" w:hint="default"/>
          <w:sz w:val="18"/>
          <w:szCs w:val="18"/>
        </w:rPr>
        <w:t>《关于全资子公司对外投 资参股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SnapShot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GmbH</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公 </w:t>
      </w:r>
      <w:r>
        <w:rPr>
          <w:rFonts w:ascii="宋体" w:hAnsi="宋体" w:cs="宋体" w:eastAsia="宋体" w:hint="default"/>
          <w:spacing w:val="-7"/>
          <w:sz w:val="18"/>
          <w:szCs w:val="18"/>
        </w:rPr>
        <w:t>司股权的公告》（</w:t>
      </w:r>
      <w:r>
        <w:rPr>
          <w:rFonts w:ascii="Times New Roman" w:hAnsi="Times New Roman" w:cs="Times New Roman" w:eastAsia="Times New Roman" w:hint="default"/>
          <w:spacing w:val="-7"/>
          <w:sz w:val="18"/>
          <w:szCs w:val="18"/>
        </w:rPr>
        <w:t>2015-07</w:t>
      </w:r>
      <w:r>
        <w:rPr>
          <w:rFonts w:ascii="宋体" w:hAnsi="宋体" w:cs="宋体" w:eastAsia="宋体" w:hint="default"/>
          <w:spacing w:val="-7"/>
          <w:sz w:val="18"/>
          <w:szCs w:val="18"/>
        </w:rPr>
        <w:t>）</w:t>
      </w:r>
    </w:p>
    <w:p>
      <w:pPr>
        <w:spacing w:after="0" w:line="309" w:lineRule="auto"/>
        <w:jc w:val="both"/>
        <w:rPr>
          <w:rFonts w:ascii="宋体" w:hAnsi="宋体" w:cs="宋体" w:eastAsia="宋体" w:hint="default"/>
          <w:sz w:val="18"/>
          <w:szCs w:val="18"/>
        </w:rPr>
        <w:sectPr>
          <w:type w:val="continuous"/>
          <w:pgSz w:w="16840" w:h="11910" w:orient="landscape"/>
          <w:pgMar w:top="1060" w:bottom="1160" w:left="1300" w:right="0"/>
          <w:cols w:num="9" w:equalWidth="0">
            <w:col w:w="831" w:space="90"/>
            <w:col w:w="1401" w:space="40"/>
            <w:col w:w="2578" w:space="40"/>
            <w:col w:w="1130" w:space="158"/>
            <w:col w:w="889" w:space="246"/>
            <w:col w:w="1581" w:space="477"/>
            <w:col w:w="1381" w:space="246"/>
            <w:col w:w="933" w:space="40"/>
            <w:col w:w="3479"/>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6" w:lineRule="auto" w:before="145"/>
        <w:ind w:left="140"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Galasys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PLC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p>
      <w:pPr>
        <w:spacing w:line="240" w:lineRule="auto" w:before="3"/>
        <w:rPr>
          <w:rFonts w:ascii="宋体" w:hAnsi="宋体" w:cs="宋体" w:eastAsia="宋体" w:hint="default"/>
          <w:sz w:val="20"/>
          <w:szCs w:val="20"/>
        </w:rPr>
      </w:pPr>
      <w:r>
        <w:rPr/>
        <w:br w:type="column"/>
      </w:r>
      <w:r>
        <w:rPr>
          <w:rFonts w:ascii="宋体"/>
          <w:sz w:val="20"/>
        </w:rPr>
      </w:r>
    </w:p>
    <w:p>
      <w:pPr>
        <w:spacing w:line="316" w:lineRule="auto"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主要为主题公园 和景区提供软 件、系统集成及 解决方案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6"/>
          <w:szCs w:val="26"/>
        </w:rPr>
      </w:pP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自有</w:t>
      </w:r>
    </w:p>
    <w:p>
      <w:pPr>
        <w:tabs>
          <w:tab w:pos="833" w:val="left" w:leader="none"/>
        </w:tabs>
        <w:spacing w:line="163" w:lineRule="exact" w:before="0"/>
        <w:ind w:left="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增资</w:t>
        <w:tab/>
      </w:r>
      <w:r>
        <w:rPr>
          <w:rFonts w:ascii="Times New Roman" w:hAnsi="Times New Roman" w:cs="Times New Roman" w:eastAsia="Times New Roman" w:hint="default"/>
          <w:sz w:val="18"/>
          <w:szCs w:val="18"/>
        </w:rPr>
        <w:t>44,162,150.46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20.00%</w:t>
      </w:r>
    </w:p>
    <w:p>
      <w:pPr>
        <w:spacing w:line="189"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7"/>
          <w:szCs w:val="17"/>
        </w:rPr>
      </w:pPr>
    </w:p>
    <w:p>
      <w:pPr>
        <w:spacing w:before="0"/>
        <w:ind w:left="23" w:right="0" w:firstLine="0"/>
        <w:jc w:val="left"/>
        <w:rPr>
          <w:rFonts w:ascii="Times New Roman" w:hAnsi="Times New Roman" w:cs="Times New Roman" w:eastAsia="Times New Roman" w:hint="default"/>
          <w:sz w:val="18"/>
          <w:szCs w:val="18"/>
        </w:rPr>
      </w:pPr>
      <w:r>
        <w:rPr>
          <w:rFonts w:ascii="Times New Roman"/>
          <w:sz w:val="18"/>
        </w:rPr>
        <w:t>Galasys</w:t>
      </w:r>
    </w:p>
    <w:p>
      <w:pPr>
        <w:tabs>
          <w:tab w:pos="1581" w:val="left" w:leader="none"/>
        </w:tabs>
        <w:spacing w:line="300" w:lineRule="auto" w:before="65"/>
        <w:ind w:left="2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PLC </w:t>
      </w:r>
      <w:r>
        <w:rPr>
          <w:rFonts w:ascii="宋体" w:hAnsi="宋体" w:cs="宋体" w:eastAsia="宋体" w:hint="default"/>
          <w:sz w:val="18"/>
          <w:szCs w:val="18"/>
        </w:rPr>
        <w:t>公司及</w:t>
      </w:r>
      <w:r>
        <w:rPr>
          <w:rFonts w:ascii="宋体" w:hAnsi="宋体" w:cs="宋体" w:eastAsia="宋体" w:hint="default"/>
          <w:spacing w:val="-18"/>
          <w:sz w:val="18"/>
          <w:szCs w:val="18"/>
        </w:rPr>
        <w:t> </w:t>
      </w:r>
      <w:r>
        <w:rPr>
          <w:rFonts w:ascii="宋体" w:hAnsi="宋体" w:cs="宋体" w:eastAsia="宋体" w:hint="default"/>
          <w:sz w:val="18"/>
          <w:szCs w:val="18"/>
        </w:rPr>
        <w:t>长期</w:t>
        <w:tab/>
        <w:t>无</w:t>
      </w:r>
      <w:r>
        <w:rPr>
          <w:rFonts w:ascii="宋体" w:hAnsi="宋体" w:cs="宋体" w:eastAsia="宋体" w:hint="default"/>
          <w:w w:val="99"/>
          <w:sz w:val="18"/>
          <w:szCs w:val="18"/>
        </w:rPr>
        <w:t> </w:t>
      </w:r>
      <w:r>
        <w:rPr>
          <w:rFonts w:ascii="宋体" w:hAnsi="宋体" w:cs="宋体" w:eastAsia="宋体" w:hint="default"/>
          <w:sz w:val="18"/>
          <w:szCs w:val="18"/>
        </w:rPr>
        <w:t>其原股东</w:t>
      </w:r>
    </w:p>
    <w:p>
      <w:pPr>
        <w:spacing w:line="316" w:lineRule="auto" w:before="109"/>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截止资产负债表 </w:t>
      </w:r>
      <w:r>
        <w:rPr>
          <w:rFonts w:ascii="宋体" w:hAnsi="宋体" w:cs="宋体" w:eastAsia="宋体" w:hint="default"/>
          <w:spacing w:val="-10"/>
          <w:sz w:val="18"/>
          <w:szCs w:val="18"/>
        </w:rPr>
        <w:t>日，所涉及的股权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产权已全部过户， 所涉及的债权债 务已全部转移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spacing w:before="0"/>
        <w:ind w:left="140"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1,796,437.82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6"/>
          <w:szCs w:val="26"/>
        </w:rPr>
      </w:pPr>
    </w:p>
    <w:p>
      <w:pPr>
        <w:spacing w:before="0"/>
        <w:ind w:left="140" w:right="-2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04</w:t>
      </w:r>
    </w:p>
    <w:p>
      <w:pPr>
        <w:spacing w:before="63"/>
        <w:ind w:left="140" w:right="-19"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16" w:lineRule="auto" w:before="109"/>
        <w:ind w:left="16" w:right="1428" w:firstLine="0"/>
        <w:jc w:val="left"/>
        <w:rPr>
          <w:rFonts w:ascii="宋体" w:hAnsi="宋体" w:cs="宋体" w:eastAsia="宋体" w:hint="default"/>
          <w:sz w:val="18"/>
          <w:szCs w:val="18"/>
        </w:rPr>
      </w:pPr>
      <w:r>
        <w:rPr>
          <w:spacing w:val="-12"/>
        </w:rPr>
        <w:br w:type="column"/>
      </w:r>
      <w:r>
        <w:rPr>
          <w:rFonts w:ascii="宋体" w:hAnsi="宋体" w:cs="宋体" w:eastAsia="宋体" w:hint="default"/>
          <w:spacing w:val="-12"/>
          <w:sz w:val="18"/>
          <w:szCs w:val="18"/>
        </w:rPr>
        <w:t>详见《中国证券报》、《证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券时报》及巨潮资讯网的</w:t>
      </w:r>
    </w:p>
    <w:p>
      <w:pPr>
        <w:spacing w:line="309" w:lineRule="auto" w:before="19"/>
        <w:ind w:left="16" w:right="1556" w:firstLine="0"/>
        <w:jc w:val="left"/>
        <w:rPr>
          <w:rFonts w:ascii="宋体" w:hAnsi="宋体" w:cs="宋体" w:eastAsia="宋体" w:hint="default"/>
          <w:sz w:val="18"/>
          <w:szCs w:val="18"/>
        </w:rPr>
      </w:pPr>
      <w:r>
        <w:rPr>
          <w:rFonts w:ascii="宋体" w:hAnsi="宋体" w:cs="宋体" w:eastAsia="宋体" w:hint="default"/>
          <w:sz w:val="18"/>
          <w:szCs w:val="18"/>
        </w:rPr>
        <w:t>《关于全资子公司参股 </w:t>
      </w:r>
      <w:r>
        <w:rPr>
          <w:rFonts w:ascii="Times New Roman" w:hAnsi="Times New Roman" w:cs="Times New Roman" w:eastAsia="Times New Roman" w:hint="default"/>
          <w:sz w:val="18"/>
          <w:szCs w:val="18"/>
        </w:rPr>
        <w:t>Galasys PLC </w:t>
      </w: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 权的公告》（</w:t>
      </w:r>
      <w:r>
        <w:rPr>
          <w:rFonts w:ascii="Times New Roman" w:hAnsi="Times New Roman" w:cs="Times New Roman" w:eastAsia="Times New Roman" w:hint="default"/>
          <w:sz w:val="18"/>
          <w:szCs w:val="18"/>
        </w:rPr>
        <w:t>2015-16</w:t>
      </w:r>
      <w:r>
        <w:rPr>
          <w:rFonts w:ascii="宋体" w:hAnsi="宋体" w:cs="宋体" w:eastAsia="宋体" w:hint="default"/>
          <w:sz w:val="18"/>
          <w:szCs w:val="18"/>
        </w:rPr>
        <w:t>）</w:t>
      </w:r>
    </w:p>
    <w:p>
      <w:pPr>
        <w:spacing w:after="0" w:line="309" w:lineRule="auto"/>
        <w:jc w:val="left"/>
        <w:rPr>
          <w:rFonts w:ascii="宋体" w:hAnsi="宋体" w:cs="宋体" w:eastAsia="宋体" w:hint="default"/>
          <w:sz w:val="18"/>
          <w:szCs w:val="18"/>
        </w:rPr>
        <w:sectPr>
          <w:type w:val="continuous"/>
          <w:pgSz w:w="16840" w:h="11910" w:orient="landscape"/>
          <w:pgMar w:top="1060" w:bottom="1160" w:left="1300" w:right="0"/>
          <w:cols w:num="8" w:equalWidth="0">
            <w:col w:w="875" w:space="45"/>
            <w:col w:w="1401" w:space="40"/>
            <w:col w:w="2993" w:space="40"/>
            <w:col w:w="1762" w:space="246"/>
            <w:col w:w="1581" w:space="537"/>
            <w:col w:w="1321" w:space="246"/>
            <w:col w:w="933" w:space="40"/>
            <w:col w:w="3480"/>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line="316" w:lineRule="auto"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科传计算 机科技控</w:t>
      </w:r>
    </w:p>
    <w:p>
      <w:pPr>
        <w:spacing w:line="316" w:lineRule="auto" w:before="95"/>
        <w:ind w:left="140"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科传控股与其全 资子公司广州市 科传计算机科技 股份有限公司主</w:t>
      </w:r>
    </w:p>
    <w:p>
      <w:pPr>
        <w:spacing w:line="212" w:lineRule="exact" w:before="19"/>
        <w:ind w:left="140" w:right="0" w:firstLine="0"/>
        <w:jc w:val="both"/>
        <w:rPr>
          <w:rFonts w:ascii="宋体" w:hAnsi="宋体" w:cs="宋体" w:eastAsia="宋体" w:hint="default"/>
          <w:sz w:val="18"/>
          <w:szCs w:val="18"/>
        </w:rPr>
      </w:pPr>
      <w:r>
        <w:rPr>
          <w:rFonts w:ascii="宋体" w:hAnsi="宋体" w:cs="宋体" w:eastAsia="宋体" w:hint="default"/>
          <w:sz w:val="18"/>
          <w:szCs w:val="18"/>
        </w:rPr>
        <w:t>要从事软件研</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自有</w:t>
      </w:r>
    </w:p>
    <w:p>
      <w:pPr>
        <w:tabs>
          <w:tab w:pos="833" w:val="left" w:leader="none"/>
        </w:tabs>
        <w:spacing w:line="171" w:lineRule="exact" w:before="0"/>
        <w:ind w:left="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w:t>
        <w:tab/>
      </w:r>
      <w:r>
        <w:rPr>
          <w:rFonts w:ascii="Times New Roman" w:hAnsi="Times New Roman" w:cs="Times New Roman" w:eastAsia="Times New Roman" w:hint="default"/>
          <w:sz w:val="18"/>
          <w:szCs w:val="18"/>
        </w:rPr>
        <w:t>81,740,000.00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30.00%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5"/>
        <w:rPr>
          <w:rFonts w:ascii="Times New Roman" w:hAnsi="Times New Roman" w:cs="Times New Roman" w:eastAsia="Times New Roman" w:hint="default"/>
          <w:sz w:val="17"/>
          <w:szCs w:val="17"/>
        </w:rPr>
      </w:pPr>
    </w:p>
    <w:p>
      <w:pPr>
        <w:spacing w:line="316" w:lineRule="auto" w:before="0"/>
        <w:ind w:left="23" w:right="835" w:firstLine="0"/>
        <w:jc w:val="both"/>
        <w:rPr>
          <w:rFonts w:ascii="宋体" w:hAnsi="宋体" w:cs="宋体" w:eastAsia="宋体" w:hint="default"/>
          <w:sz w:val="18"/>
          <w:szCs w:val="18"/>
        </w:rPr>
      </w:pPr>
      <w:r>
        <w:rPr>
          <w:rFonts w:ascii="宋体" w:hAnsi="宋体" w:cs="宋体" w:eastAsia="宋体" w:hint="default"/>
          <w:sz w:val="18"/>
          <w:szCs w:val="18"/>
        </w:rPr>
        <w:t>五位股东骆 永基先生、 刁继业先</w:t>
      </w:r>
    </w:p>
    <w:p>
      <w:pPr>
        <w:spacing w:line="210" w:lineRule="exact" w:before="20"/>
        <w:ind w:left="23" w:right="0" w:firstLine="0"/>
        <w:jc w:val="both"/>
        <w:rPr>
          <w:rFonts w:ascii="宋体" w:hAnsi="宋体" w:cs="宋体" w:eastAsia="宋体" w:hint="default"/>
          <w:sz w:val="18"/>
          <w:szCs w:val="18"/>
        </w:rPr>
      </w:pPr>
      <w:r>
        <w:rPr>
          <w:rFonts w:ascii="宋体" w:hAnsi="宋体" w:cs="宋体" w:eastAsia="宋体" w:hint="default"/>
          <w:sz w:val="18"/>
          <w:szCs w:val="18"/>
        </w:rPr>
        <w:t>生、廖浩生 长期 </w:t>
      </w:r>
      <w:r>
        <w:rPr>
          <w:rFonts w:ascii="宋体" w:hAnsi="宋体" w:cs="宋体" w:eastAsia="宋体" w:hint="default"/>
          <w:spacing w:val="26"/>
          <w:sz w:val="18"/>
          <w:szCs w:val="18"/>
        </w:rPr>
        <w:t> </w:t>
      </w: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spacing w:line="316" w:lineRule="auto"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截止资产负债表 </w:t>
      </w:r>
      <w:r>
        <w:rPr>
          <w:rFonts w:ascii="宋体" w:hAnsi="宋体" w:cs="宋体" w:eastAsia="宋体" w:hint="default"/>
          <w:spacing w:val="-10"/>
          <w:sz w:val="18"/>
          <w:szCs w:val="18"/>
        </w:rPr>
        <w:t>日，所涉及的股权</w:t>
      </w:r>
    </w:p>
    <w:p>
      <w:pPr>
        <w:spacing w:line="212" w:lineRule="exact" w:before="19"/>
        <w:ind w:left="140" w:right="-20" w:firstLine="0"/>
        <w:jc w:val="left"/>
        <w:rPr>
          <w:rFonts w:ascii="宋体" w:hAnsi="宋体" w:cs="宋体" w:eastAsia="宋体" w:hint="default"/>
          <w:sz w:val="18"/>
          <w:szCs w:val="18"/>
        </w:rPr>
      </w:pPr>
      <w:r>
        <w:rPr>
          <w:rFonts w:ascii="宋体" w:hAnsi="宋体" w:cs="宋体" w:eastAsia="宋体" w:hint="default"/>
          <w:sz w:val="18"/>
          <w:szCs w:val="18"/>
        </w:rPr>
        <w:t>产权已全部过户，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line="210" w:lineRule="exact" w:before="0"/>
        <w:ind w:left="140"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5,761,738.42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5"/>
          <w:szCs w:val="25"/>
        </w:rPr>
      </w:pPr>
    </w:p>
    <w:p>
      <w:pPr>
        <w:spacing w:line="316" w:lineRule="auto" w:before="0"/>
        <w:ind w:left="988" w:right="1428" w:firstLine="0"/>
        <w:jc w:val="left"/>
        <w:rPr>
          <w:rFonts w:ascii="宋体" w:hAnsi="宋体" w:cs="宋体" w:eastAsia="宋体" w:hint="default"/>
          <w:sz w:val="18"/>
          <w:szCs w:val="18"/>
        </w:rPr>
      </w:pPr>
      <w:r>
        <w:rPr>
          <w:rFonts w:ascii="宋体" w:hAnsi="宋体" w:cs="宋体" w:eastAsia="宋体" w:hint="default"/>
          <w:spacing w:val="-12"/>
          <w:sz w:val="18"/>
          <w:szCs w:val="18"/>
        </w:rPr>
        <w:t>详见《中国证券报》、《证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券时报》及巨潮资讯网的</w:t>
      </w:r>
    </w:p>
    <w:p>
      <w:pPr>
        <w:spacing w:before="20"/>
        <w:ind w:left="140" w:right="14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《关于签署</w:t>
      </w:r>
      <w:r>
        <w:rPr>
          <w:rFonts w:ascii="Times New Roman" w:hAnsi="Times New Roman" w:cs="Times New Roman" w:eastAsia="Times New Roman" w:hint="default"/>
          <w:sz w:val="18"/>
          <w:szCs w:val="18"/>
        </w:rPr>
        <w:t>&lt;</w:t>
      </w:r>
      <w:r>
        <w:rPr>
          <w:rFonts w:ascii="宋体" w:hAnsi="宋体" w:cs="宋体" w:eastAsia="宋体" w:hint="default"/>
          <w:sz w:val="18"/>
          <w:szCs w:val="18"/>
        </w:rPr>
        <w:t>科传计算机</w:t>
      </w:r>
    </w:p>
    <w:p>
      <w:pPr>
        <w:spacing w:after="0"/>
        <w:jc w:val="left"/>
        <w:rPr>
          <w:rFonts w:ascii="宋体" w:hAnsi="宋体" w:cs="宋体" w:eastAsia="宋体" w:hint="default"/>
          <w:sz w:val="18"/>
          <w:szCs w:val="18"/>
        </w:rPr>
        <w:sectPr>
          <w:type w:val="continuous"/>
          <w:pgSz w:w="16840" w:h="11910" w:orient="landscape"/>
          <w:pgMar w:top="1060" w:bottom="1160" w:left="1300" w:right="0"/>
          <w:cols w:num="7" w:equalWidth="0">
            <w:col w:w="861" w:space="60"/>
            <w:col w:w="1401" w:space="40"/>
            <w:col w:w="2993" w:space="40"/>
            <w:col w:w="1762" w:space="246"/>
            <w:col w:w="1581" w:space="537"/>
            <w:col w:w="1321" w:space="246"/>
            <w:col w:w="4452"/>
          </w:cols>
        </w:sectPr>
      </w:pPr>
    </w:p>
    <w:p>
      <w:pPr>
        <w:spacing w:line="180" w:lineRule="exact"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股有限公</w:t>
      </w:r>
    </w:p>
    <w:p>
      <w:pPr>
        <w:spacing w:before="77"/>
        <w:ind w:left="140" w:right="-2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319" w:lineRule="auto" w:before="100"/>
        <w:ind w:left="140"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发、计算机软件 产品和硬件产品 销售、后续技术 维护服务</w:t>
      </w:r>
    </w:p>
    <w:p>
      <w:pPr>
        <w:spacing w:line="141" w:lineRule="exact" w:before="0"/>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资金</w:t>
      </w:r>
    </w:p>
    <w:p>
      <w:pPr>
        <w:spacing w:line="195" w:lineRule="exact" w:before="0"/>
        <w:ind w:left="563" w:right="-20" w:firstLine="0"/>
        <w:jc w:val="left"/>
        <w:rPr>
          <w:rFonts w:ascii="宋体" w:hAnsi="宋体" w:cs="宋体" w:eastAsia="宋体" w:hint="default"/>
          <w:sz w:val="18"/>
          <w:szCs w:val="18"/>
        </w:rPr>
      </w:pPr>
      <w:r>
        <w:rPr>
          <w:rFonts w:ascii="宋体" w:hAnsi="宋体" w:cs="宋体" w:eastAsia="宋体" w:hint="default"/>
          <w:sz w:val="18"/>
          <w:szCs w:val="18"/>
        </w:rPr>
        <w:t>先生、梁伟</w:t>
      </w:r>
    </w:p>
    <w:p>
      <w:pPr>
        <w:spacing w:line="319" w:lineRule="auto" w:before="76"/>
        <w:ind w:left="563" w:right="-20" w:firstLine="0"/>
        <w:jc w:val="left"/>
        <w:rPr>
          <w:rFonts w:ascii="宋体" w:hAnsi="宋体" w:cs="宋体" w:eastAsia="宋体" w:hint="default"/>
          <w:sz w:val="18"/>
          <w:szCs w:val="18"/>
        </w:rPr>
      </w:pPr>
      <w:r>
        <w:rPr>
          <w:rFonts w:ascii="宋体" w:hAnsi="宋体" w:cs="宋体" w:eastAsia="宋体" w:hint="default"/>
          <w:sz w:val="18"/>
          <w:szCs w:val="18"/>
        </w:rPr>
        <w:t>昌先生、陈 耀清先生</w:t>
      </w:r>
    </w:p>
    <w:p>
      <w:pPr>
        <w:spacing w:line="319" w:lineRule="auto" w:before="100"/>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所涉及的债权债 务已全部转移</w:t>
      </w:r>
    </w:p>
    <w:p>
      <w:pPr>
        <w:spacing w:line="195" w:lineRule="exact" w:before="0"/>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80" w:lineRule="exact" w:before="0"/>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科技控股有限公司之股权</w:t>
      </w:r>
    </w:p>
    <w:p>
      <w:pPr>
        <w:spacing w:line="302" w:lineRule="auto" w:before="76"/>
        <w:ind w:left="140" w:right="1559" w:firstLine="0"/>
        <w:jc w:val="left"/>
        <w:rPr>
          <w:rFonts w:ascii="宋体" w:hAnsi="宋体" w:cs="宋体" w:eastAsia="宋体" w:hint="default"/>
          <w:sz w:val="18"/>
          <w:szCs w:val="18"/>
        </w:rPr>
      </w:pPr>
      <w:r>
        <w:rPr>
          <w:rFonts w:ascii="宋体" w:hAnsi="宋体" w:cs="宋体" w:eastAsia="宋体" w:hint="default"/>
          <w:sz w:val="18"/>
          <w:szCs w:val="18"/>
        </w:rPr>
        <w:t>转让协议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的交易进展公 告》（</w:t>
      </w:r>
      <w:r>
        <w:rPr>
          <w:rFonts w:ascii="Times New Roman" w:hAnsi="Times New Roman" w:cs="Times New Roman" w:eastAsia="Times New Roman" w:hint="default"/>
          <w:sz w:val="18"/>
          <w:szCs w:val="18"/>
        </w:rPr>
        <w:t>2015-22</w:t>
      </w:r>
      <w:r>
        <w:rPr>
          <w:rFonts w:ascii="宋体" w:hAnsi="宋体" w:cs="宋体" w:eastAsia="宋体" w:hint="default"/>
          <w:sz w:val="18"/>
          <w:szCs w:val="18"/>
        </w:rPr>
        <w:t>）</w:t>
      </w:r>
    </w:p>
    <w:p>
      <w:pPr>
        <w:spacing w:after="0" w:line="302" w:lineRule="auto"/>
        <w:jc w:val="left"/>
        <w:rPr>
          <w:rFonts w:ascii="宋体" w:hAnsi="宋体" w:cs="宋体" w:eastAsia="宋体" w:hint="default"/>
          <w:sz w:val="18"/>
          <w:szCs w:val="18"/>
        </w:rPr>
        <w:sectPr>
          <w:type w:val="continuous"/>
          <w:pgSz w:w="16840" w:h="11910" w:orient="landscape"/>
          <w:pgMar w:top="1060" w:bottom="1160" w:left="1300" w:right="0"/>
          <w:cols w:num="6" w:equalWidth="0">
            <w:col w:w="861" w:space="60"/>
            <w:col w:w="1401" w:space="2532"/>
            <w:col w:w="1464" w:space="1084"/>
            <w:col w:w="1401" w:space="2285"/>
            <w:col w:w="769" w:space="79"/>
            <w:col w:w="360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9" w:lineRule="auto" w:before="125"/>
        <w:ind w:left="140" w:right="-20" w:firstLine="0"/>
        <w:jc w:val="left"/>
        <w:rPr>
          <w:rFonts w:ascii="宋体" w:hAnsi="宋体" w:cs="宋体" w:eastAsia="宋体" w:hint="default"/>
          <w:sz w:val="18"/>
          <w:szCs w:val="18"/>
        </w:rPr>
      </w:pPr>
      <w:r>
        <w:rPr>
          <w:rFonts w:ascii="宋体" w:hAnsi="宋体" w:cs="宋体" w:eastAsia="宋体" w:hint="default"/>
          <w:sz w:val="18"/>
          <w:szCs w:val="18"/>
        </w:rPr>
        <w:t>银石科技 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5"/>
          <w:szCs w:val="15"/>
        </w:rPr>
      </w:pPr>
    </w:p>
    <w:p>
      <w:pPr>
        <w:spacing w:line="319" w:lineRule="auto"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主要从事公司销 售、支付相关业 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196" w:lineRule="exact" w:before="125"/>
        <w:ind w:left="0" w:right="0" w:firstLine="0"/>
        <w:jc w:val="right"/>
        <w:rPr>
          <w:rFonts w:ascii="宋体" w:hAnsi="宋体" w:cs="宋体" w:eastAsia="宋体" w:hint="default"/>
          <w:sz w:val="18"/>
          <w:szCs w:val="18"/>
        </w:rPr>
      </w:pPr>
      <w:r>
        <w:rPr>
          <w:rFonts w:ascii="宋体" w:hAnsi="宋体" w:cs="宋体" w:eastAsia="宋体" w:hint="default"/>
          <w:sz w:val="18"/>
          <w:szCs w:val="18"/>
        </w:rPr>
        <w:t>自有</w:t>
      </w:r>
    </w:p>
    <w:p>
      <w:pPr>
        <w:tabs>
          <w:tab w:pos="743" w:val="left" w:leader="none"/>
        </w:tabs>
        <w:spacing w:line="163" w:lineRule="exact" w:before="0"/>
        <w:ind w:left="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w:t>
        <w:tab/>
      </w:r>
      <w:r>
        <w:rPr>
          <w:rFonts w:ascii="Times New Roman" w:hAnsi="Times New Roman" w:cs="Times New Roman" w:eastAsia="Times New Roman" w:hint="default"/>
          <w:sz w:val="18"/>
          <w:szCs w:val="18"/>
        </w:rPr>
        <w:t>100,000,000.00</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100.00%</w:t>
      </w:r>
    </w:p>
    <w:p>
      <w:pPr>
        <w:spacing w:line="19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5"/>
          <w:szCs w:val="15"/>
        </w:rPr>
      </w:pPr>
    </w:p>
    <w:p>
      <w:pPr>
        <w:tabs>
          <w:tab w:pos="1581" w:val="left" w:leader="none"/>
        </w:tabs>
        <w:spacing w:line="319" w:lineRule="auto" w:before="0"/>
        <w:ind w:left="23" w:right="0" w:firstLine="0"/>
        <w:jc w:val="left"/>
        <w:rPr>
          <w:rFonts w:ascii="宋体" w:hAnsi="宋体" w:cs="宋体" w:eastAsia="宋体" w:hint="default"/>
          <w:sz w:val="18"/>
          <w:szCs w:val="18"/>
        </w:rPr>
      </w:pPr>
      <w:r>
        <w:rPr>
          <w:rFonts w:ascii="宋体" w:hAnsi="宋体" w:cs="宋体" w:eastAsia="宋体" w:hint="default"/>
          <w:sz w:val="18"/>
          <w:szCs w:val="18"/>
        </w:rPr>
        <w:t>北海石基信 息技术有限</w:t>
      </w:r>
      <w:r>
        <w:rPr>
          <w:rFonts w:ascii="宋体" w:hAnsi="宋体" w:cs="宋体" w:eastAsia="宋体" w:hint="default"/>
          <w:spacing w:val="-2"/>
          <w:sz w:val="18"/>
          <w:szCs w:val="18"/>
        </w:rPr>
        <w:t> </w:t>
      </w:r>
      <w:r>
        <w:rPr>
          <w:rFonts w:ascii="宋体" w:hAnsi="宋体" w:cs="宋体" w:eastAsia="宋体" w:hint="default"/>
          <w:sz w:val="18"/>
          <w:szCs w:val="18"/>
        </w:rPr>
        <w:t>长期</w:t>
        <w:tab/>
        <w:t>无</w:t>
      </w:r>
      <w:r>
        <w:rPr>
          <w:rFonts w:ascii="宋体" w:hAnsi="宋体" w:cs="宋体" w:eastAsia="宋体" w:hint="default"/>
          <w:sz w:val="18"/>
          <w:szCs w:val="18"/>
        </w:rPr>
        <w:t> 公司</w:t>
      </w:r>
    </w:p>
    <w:p>
      <w:pPr>
        <w:spacing w:line="319" w:lineRule="auto" w:before="128"/>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截止资产负债表 </w:t>
      </w:r>
      <w:r>
        <w:rPr>
          <w:rFonts w:ascii="宋体" w:hAnsi="宋体" w:cs="宋体" w:eastAsia="宋体" w:hint="default"/>
          <w:spacing w:val="-10"/>
          <w:sz w:val="18"/>
          <w:szCs w:val="18"/>
        </w:rPr>
        <w:t>日，所涉及的股权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产权已全部过户， 所涉及的债权债 务已全部转移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40"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26,595,954.27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5"/>
        <w:ind w:left="140" w:right="-2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p>
      <w:pPr>
        <w:spacing w:before="64"/>
        <w:ind w:left="140" w:right="-19"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19" w:lineRule="auto" w:before="128"/>
        <w:ind w:left="16" w:right="1436" w:firstLine="0"/>
        <w:jc w:val="both"/>
        <w:rPr>
          <w:rFonts w:ascii="宋体" w:hAnsi="宋体" w:cs="宋体" w:eastAsia="宋体" w:hint="default"/>
          <w:sz w:val="18"/>
          <w:szCs w:val="18"/>
        </w:rPr>
      </w:pPr>
      <w:r>
        <w:rPr>
          <w:spacing w:val="-12"/>
        </w:rPr>
        <w:br w:type="column"/>
      </w:r>
      <w:r>
        <w:rPr>
          <w:rFonts w:ascii="宋体" w:hAnsi="宋体" w:cs="宋体" w:eastAsia="宋体" w:hint="default"/>
          <w:spacing w:val="-12"/>
          <w:sz w:val="18"/>
          <w:szCs w:val="18"/>
        </w:rPr>
        <w:t>详见《中国证券报》、《证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券时报》及巨潮资讯网的</w:t>
      </w:r>
    </w:p>
    <w:p>
      <w:pPr>
        <w:spacing w:line="319" w:lineRule="auto" w:before="17"/>
        <w:ind w:left="16" w:right="1481" w:firstLine="0"/>
        <w:jc w:val="both"/>
        <w:rPr>
          <w:rFonts w:ascii="宋体" w:hAnsi="宋体" w:cs="宋体" w:eastAsia="宋体" w:hint="default"/>
          <w:sz w:val="18"/>
          <w:szCs w:val="18"/>
        </w:rPr>
      </w:pPr>
      <w:r>
        <w:rPr>
          <w:rFonts w:ascii="宋体" w:hAnsi="宋体" w:cs="宋体" w:eastAsia="宋体" w:hint="default"/>
          <w:sz w:val="18"/>
          <w:szCs w:val="18"/>
        </w:rPr>
        <w:t>《关于全资子公司对外投 资设立银石科技有限公司 的公告》（</w:t>
      </w:r>
      <w:r>
        <w:rPr>
          <w:rFonts w:ascii="Times New Roman" w:hAnsi="Times New Roman" w:cs="Times New Roman" w:eastAsia="Times New Roman" w:hint="default"/>
          <w:sz w:val="18"/>
          <w:szCs w:val="18"/>
        </w:rPr>
        <w:t>2015-26</w:t>
      </w:r>
      <w:r>
        <w:rPr>
          <w:rFonts w:ascii="宋体" w:hAnsi="宋体" w:cs="宋体" w:eastAsia="宋体" w:hint="default"/>
          <w:sz w:val="18"/>
          <w:szCs w:val="18"/>
        </w:rPr>
        <w:t>）</w:t>
      </w:r>
    </w:p>
    <w:p>
      <w:pPr>
        <w:spacing w:after="0" w:line="319" w:lineRule="auto"/>
        <w:jc w:val="both"/>
        <w:rPr>
          <w:rFonts w:ascii="宋体" w:hAnsi="宋体" w:cs="宋体" w:eastAsia="宋体" w:hint="default"/>
          <w:sz w:val="18"/>
          <w:szCs w:val="18"/>
        </w:rPr>
        <w:sectPr>
          <w:pgSz w:w="16840" w:h="11910" w:orient="landscape"/>
          <w:pgMar w:header="867" w:footer="979" w:top="1060" w:bottom="1160" w:left="1300" w:right="0"/>
          <w:cols w:num="8" w:equalWidth="0">
            <w:col w:w="861" w:space="60"/>
            <w:col w:w="1401" w:space="40"/>
            <w:col w:w="2993" w:space="40"/>
            <w:col w:w="1762" w:space="246"/>
            <w:col w:w="1581" w:space="447"/>
            <w:col w:w="1411" w:space="246"/>
            <w:col w:w="933" w:space="40"/>
            <w:col w:w="3479"/>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spacing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万达控股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line="312" w:lineRule="exact"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万达控股业务为 投资控股</w:t>
      </w:r>
      <w:r>
        <w:rPr>
          <w:rFonts w:ascii="Times New Roman" w:hAnsi="Times New Roman" w:cs="Times New Roman" w:eastAsia="Times New Roman" w:hint="default"/>
          <w:sz w:val="18"/>
          <w:szCs w:val="18"/>
        </w:rPr>
        <w:t>, </w:t>
      </w:r>
      <w:r>
        <w:rPr>
          <w:rFonts w:ascii="宋体" w:hAnsi="宋体" w:cs="宋体" w:eastAsia="宋体" w:hint="default"/>
          <w:sz w:val="18"/>
          <w:szCs w:val="18"/>
        </w:rPr>
        <w:t>直接 持有广州万迅电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自有</w:t>
      </w:r>
    </w:p>
    <w:p>
      <w:pPr>
        <w:tabs>
          <w:tab w:pos="833" w:val="left" w:leader="none"/>
        </w:tabs>
        <w:spacing w:line="172" w:lineRule="exact" w:before="0"/>
        <w:ind w:left="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w:t>
        <w:tab/>
      </w:r>
      <w:r>
        <w:rPr>
          <w:rFonts w:ascii="Times New Roman" w:hAnsi="Times New Roman" w:cs="Times New Roman" w:eastAsia="Times New Roman" w:hint="default"/>
          <w:sz w:val="18"/>
          <w:szCs w:val="18"/>
        </w:rPr>
        <w:t>75,000,000.00</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100.00%</w:t>
      </w:r>
    </w:p>
    <w:p>
      <w:pPr>
        <w:spacing w:line="316" w:lineRule="auto" w:before="86"/>
        <w:ind w:left="23" w:right="818"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公司之全资 子公司石基</w:t>
      </w:r>
    </w:p>
    <w:p>
      <w:pPr>
        <w:spacing w:line="316" w:lineRule="auto" w:before="19"/>
        <w:ind w:left="23" w:right="0" w:firstLine="0"/>
        <w:jc w:val="left"/>
        <w:rPr>
          <w:rFonts w:ascii="宋体" w:hAnsi="宋体" w:cs="宋体" w:eastAsia="宋体" w:hint="default"/>
          <w:sz w:val="18"/>
          <w:szCs w:val="18"/>
        </w:rPr>
      </w:pPr>
      <w:r>
        <w:rPr>
          <w:rFonts w:ascii="宋体" w:hAnsi="宋体" w:cs="宋体" w:eastAsia="宋体" w:hint="default"/>
          <w:sz w:val="18"/>
          <w:szCs w:val="18"/>
        </w:rPr>
        <w:t>（香港）有 限公司、万 达控股有限</w:t>
      </w:r>
    </w:p>
    <w:p>
      <w:pPr>
        <w:tabs>
          <w:tab w:pos="1581" w:val="left" w:leader="none"/>
        </w:tabs>
        <w:spacing w:line="212" w:lineRule="exact" w:before="19"/>
        <w:ind w:left="23" w:right="-20" w:firstLine="0"/>
        <w:jc w:val="left"/>
        <w:rPr>
          <w:rFonts w:ascii="宋体" w:hAnsi="宋体" w:cs="宋体" w:eastAsia="宋体" w:hint="default"/>
          <w:sz w:val="18"/>
          <w:szCs w:val="18"/>
        </w:rPr>
      </w:pPr>
      <w:r>
        <w:rPr>
          <w:rFonts w:ascii="宋体" w:hAnsi="宋体" w:cs="宋体" w:eastAsia="宋体" w:hint="default"/>
          <w:sz w:val="18"/>
          <w:szCs w:val="18"/>
        </w:rPr>
        <w:t>公司四位股</w:t>
      </w:r>
      <w:r>
        <w:rPr>
          <w:rFonts w:ascii="宋体" w:hAnsi="宋体" w:cs="宋体" w:eastAsia="宋体" w:hint="default"/>
          <w:spacing w:val="-2"/>
          <w:sz w:val="18"/>
          <w:szCs w:val="18"/>
        </w:rPr>
        <w:t> </w:t>
      </w:r>
      <w:r>
        <w:rPr>
          <w:rFonts w:ascii="宋体" w:hAnsi="宋体" w:cs="宋体" w:eastAsia="宋体" w:hint="default"/>
          <w:sz w:val="18"/>
          <w:szCs w:val="18"/>
        </w:rPr>
        <w:t>长期</w:t>
        <w:tab/>
        <w:t>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spacing w:line="310" w:lineRule="atLeast"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截止资产负债表 </w:t>
      </w:r>
      <w:r>
        <w:rPr>
          <w:rFonts w:ascii="宋体" w:hAnsi="宋体" w:cs="宋体" w:eastAsia="宋体" w:hint="default"/>
          <w:spacing w:val="-10"/>
          <w:sz w:val="18"/>
          <w:szCs w:val="18"/>
        </w:rPr>
        <w:t>日，所涉及的股权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产权已全部过户，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line="212" w:lineRule="exact" w:before="0"/>
        <w:ind w:left="140"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-45,777.00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6" w:lineRule="auto" w:before="159"/>
        <w:ind w:left="988" w:right="1428" w:firstLine="0"/>
        <w:jc w:val="left"/>
        <w:rPr>
          <w:rFonts w:ascii="宋体" w:hAnsi="宋体" w:cs="宋体" w:eastAsia="宋体" w:hint="default"/>
          <w:sz w:val="18"/>
          <w:szCs w:val="18"/>
        </w:rPr>
      </w:pPr>
      <w:r>
        <w:rPr>
          <w:rFonts w:ascii="宋体" w:hAnsi="宋体" w:cs="宋体" w:eastAsia="宋体" w:hint="default"/>
          <w:spacing w:val="-12"/>
          <w:sz w:val="18"/>
          <w:szCs w:val="18"/>
        </w:rPr>
        <w:t>详见《中国证券报》、《证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券时报》及巨潮资讯网的</w:t>
      </w:r>
    </w:p>
    <w:p>
      <w:pPr>
        <w:spacing w:before="19"/>
        <w:ind w:left="140" w:right="14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《关于签署</w:t>
      </w:r>
      <w:r>
        <w:rPr>
          <w:rFonts w:ascii="Times New Roman" w:hAnsi="Times New Roman" w:cs="Times New Roman" w:eastAsia="Times New Roman" w:hint="default"/>
          <w:sz w:val="18"/>
          <w:szCs w:val="18"/>
        </w:rPr>
        <w:t>&lt;</w:t>
      </w:r>
      <w:r>
        <w:rPr>
          <w:rFonts w:ascii="宋体" w:hAnsi="宋体" w:cs="宋体" w:eastAsia="宋体" w:hint="default"/>
          <w:sz w:val="18"/>
          <w:szCs w:val="18"/>
        </w:rPr>
        <w:t>万达控股有</w:t>
      </w:r>
    </w:p>
    <w:p>
      <w:pPr>
        <w:spacing w:after="0"/>
        <w:jc w:val="left"/>
        <w:rPr>
          <w:rFonts w:ascii="宋体" w:hAnsi="宋体" w:cs="宋体" w:eastAsia="宋体" w:hint="default"/>
          <w:sz w:val="18"/>
          <w:szCs w:val="18"/>
        </w:rPr>
        <w:sectPr>
          <w:type w:val="continuous"/>
          <w:pgSz w:w="16840" w:h="11910" w:orient="landscape"/>
          <w:pgMar w:top="1060" w:bottom="1160" w:left="1300" w:right="0"/>
          <w:cols w:num="7" w:equalWidth="0">
            <w:col w:w="861" w:space="60"/>
            <w:col w:w="1401" w:space="40"/>
            <w:col w:w="2993" w:space="40"/>
            <w:col w:w="1762" w:space="246"/>
            <w:col w:w="1581" w:space="702"/>
            <w:col w:w="1157" w:space="246"/>
            <w:col w:w="4451"/>
          </w:cols>
        </w:sectPr>
      </w:pPr>
    </w:p>
    <w:p>
      <w:pPr>
        <w:spacing w:line="120" w:lineRule="exact"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before="39"/>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脑软件有限公司</w:t>
      </w:r>
    </w:p>
    <w:p>
      <w:pPr>
        <w:spacing w:before="77"/>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p>
      <w:pPr>
        <w:spacing w:line="80" w:lineRule="exact" w:before="0"/>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资金</w:t>
      </w:r>
    </w:p>
    <w:p>
      <w:pPr>
        <w:spacing w:line="195" w:lineRule="exact" w:before="0"/>
        <w:ind w:left="563" w:right="0" w:firstLine="0"/>
        <w:jc w:val="both"/>
        <w:rPr>
          <w:rFonts w:ascii="宋体" w:hAnsi="宋体" w:cs="宋体" w:eastAsia="宋体" w:hint="default"/>
          <w:sz w:val="18"/>
          <w:szCs w:val="18"/>
        </w:rPr>
      </w:pPr>
      <w:r>
        <w:rPr>
          <w:rFonts w:ascii="宋体" w:hAnsi="宋体" w:cs="宋体" w:eastAsia="宋体" w:hint="default"/>
          <w:sz w:val="18"/>
          <w:szCs w:val="18"/>
        </w:rPr>
        <w:t>东李信汉、</w:t>
      </w:r>
    </w:p>
    <w:p>
      <w:pPr>
        <w:spacing w:line="319" w:lineRule="auto" w:before="76"/>
        <w:ind w:left="563" w:right="0" w:firstLine="0"/>
        <w:jc w:val="both"/>
        <w:rPr>
          <w:rFonts w:ascii="宋体" w:hAnsi="宋体" w:cs="宋体" w:eastAsia="宋体" w:hint="default"/>
          <w:sz w:val="18"/>
          <w:szCs w:val="18"/>
        </w:rPr>
      </w:pPr>
      <w:r>
        <w:rPr>
          <w:rFonts w:ascii="宋体" w:hAnsi="宋体" w:cs="宋体" w:eastAsia="宋体" w:hint="default"/>
          <w:sz w:val="18"/>
          <w:szCs w:val="18"/>
        </w:rPr>
        <w:t>詹瑞芬、京 士卓投资有 限公司、廖 约克</w:t>
      </w:r>
    </w:p>
    <w:p>
      <w:pPr>
        <w:spacing w:line="319" w:lineRule="auto" w:before="39"/>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所涉及的债权债 务已全部转移</w:t>
      </w:r>
    </w:p>
    <w:p>
      <w:pPr>
        <w:spacing w:line="134" w:lineRule="exact" w:before="0"/>
        <w:ind w:left="14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133" w:lineRule="exact" w:before="0"/>
        <w:ind w:left="140"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限公司之股权买卖协议</w:t>
      </w:r>
      <w:r>
        <w:rPr>
          <w:rFonts w:ascii="Times New Roman" w:hAnsi="Times New Roman" w:cs="Times New Roman" w:eastAsia="Times New Roman" w:hint="default"/>
          <w:sz w:val="18"/>
          <w:szCs w:val="18"/>
        </w:rPr>
        <w:t>&gt;</w:t>
      </w:r>
    </w:p>
    <w:p>
      <w:pPr>
        <w:spacing w:before="63"/>
        <w:ind w:left="140" w:right="0" w:firstLine="0"/>
        <w:jc w:val="left"/>
        <w:rPr>
          <w:rFonts w:ascii="宋体" w:hAnsi="宋体" w:cs="宋体" w:eastAsia="宋体" w:hint="default"/>
          <w:sz w:val="18"/>
          <w:szCs w:val="18"/>
        </w:rPr>
      </w:pPr>
      <w:r>
        <w:rPr>
          <w:rFonts w:ascii="宋体" w:hAnsi="宋体" w:cs="宋体" w:eastAsia="宋体" w:hint="default"/>
          <w:sz w:val="18"/>
          <w:szCs w:val="18"/>
        </w:rPr>
        <w:t>及相关事项的公告》</w:t>
      </w:r>
    </w:p>
    <w:p>
      <w:pPr>
        <w:spacing w:before="77"/>
        <w:ind w:left="1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2015-31</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6840" w:h="11910" w:orient="landscape"/>
          <w:pgMar w:top="1060" w:bottom="1160" w:left="1300" w:right="0"/>
          <w:cols w:num="6" w:equalWidth="0">
            <w:col w:w="861" w:space="60"/>
            <w:col w:w="1401" w:space="2532"/>
            <w:col w:w="1464" w:space="1084"/>
            <w:col w:w="1401" w:space="2285"/>
            <w:col w:w="769" w:space="79"/>
            <w:col w:w="3604"/>
          </w:cols>
        </w:sect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spacing w:line="319" w:lineRule="auto"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杭州连边 科技有限 公司</w:t>
      </w:r>
    </w:p>
    <w:p>
      <w:pPr>
        <w:spacing w:line="319" w:lineRule="auto" w:before="106"/>
        <w:ind w:left="140"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主要业务为计算 机软、硬件，网 络工程的技术开 发、技术咨询、 技术转让、技术 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自有</w:t>
      </w:r>
    </w:p>
    <w:p>
      <w:pPr>
        <w:tabs>
          <w:tab w:pos="923" w:val="left" w:leader="none"/>
        </w:tabs>
        <w:spacing w:line="163" w:lineRule="exact" w:before="0"/>
        <w:ind w:left="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w:t>
        <w:tab/>
      </w:r>
      <w:r>
        <w:rPr>
          <w:rFonts w:ascii="Times New Roman" w:hAnsi="Times New Roman" w:cs="Times New Roman" w:eastAsia="Times New Roman" w:hint="default"/>
          <w:sz w:val="18"/>
          <w:szCs w:val="18"/>
        </w:rPr>
        <w:t>4,200,000.00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70.00%</w:t>
      </w:r>
    </w:p>
    <w:p>
      <w:pPr>
        <w:spacing w:line="19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资金</w:t>
      </w:r>
    </w:p>
    <w:p>
      <w:pPr>
        <w:spacing w:line="240" w:lineRule="auto" w:before="0"/>
        <w:rPr>
          <w:rFonts w:ascii="宋体" w:hAnsi="宋体" w:cs="宋体" w:eastAsia="宋体" w:hint="default"/>
          <w:sz w:val="20"/>
          <w:szCs w:val="20"/>
        </w:rPr>
      </w:pPr>
      <w:r>
        <w:rPr/>
        <w:br w:type="column"/>
      </w:r>
      <w:r>
        <w:rPr>
          <w:rFonts w:ascii="宋体"/>
          <w:sz w:val="20"/>
        </w:rPr>
      </w:r>
    </w:p>
    <w:p>
      <w:pPr>
        <w:spacing w:line="316" w:lineRule="auto" w:before="0"/>
        <w:ind w:left="23" w:right="818" w:firstLine="0"/>
        <w:jc w:val="left"/>
        <w:rPr>
          <w:rFonts w:ascii="宋体" w:hAnsi="宋体" w:cs="宋体" w:eastAsia="宋体" w:hint="default"/>
          <w:sz w:val="18"/>
          <w:szCs w:val="18"/>
        </w:rPr>
      </w:pPr>
      <w:r>
        <w:rPr>
          <w:rFonts w:ascii="宋体" w:hAnsi="宋体" w:cs="宋体" w:eastAsia="宋体" w:hint="default"/>
          <w:sz w:val="18"/>
          <w:szCs w:val="18"/>
        </w:rPr>
        <w:t>杭州西软科 技有限公</w:t>
      </w:r>
    </w:p>
    <w:p>
      <w:pPr>
        <w:tabs>
          <w:tab w:pos="1581" w:val="left" w:leader="none"/>
        </w:tabs>
        <w:spacing w:line="316" w:lineRule="auto" w:before="19"/>
        <w:ind w:left="23" w:right="0" w:firstLine="0"/>
        <w:jc w:val="left"/>
        <w:rPr>
          <w:rFonts w:ascii="宋体" w:hAnsi="宋体" w:cs="宋体" w:eastAsia="宋体" w:hint="default"/>
          <w:sz w:val="18"/>
          <w:szCs w:val="18"/>
        </w:rPr>
      </w:pPr>
      <w:r>
        <w:rPr>
          <w:rFonts w:ascii="宋体" w:hAnsi="宋体" w:cs="宋体" w:eastAsia="宋体" w:hint="default"/>
          <w:sz w:val="18"/>
          <w:szCs w:val="18"/>
        </w:rPr>
        <w:t>司、浙江嘉</w:t>
      </w:r>
      <w:r>
        <w:rPr>
          <w:rFonts w:ascii="宋体" w:hAnsi="宋体" w:cs="宋体" w:eastAsia="宋体" w:hint="default"/>
          <w:spacing w:val="-2"/>
          <w:sz w:val="18"/>
          <w:szCs w:val="18"/>
        </w:rPr>
        <w:t> </w:t>
      </w:r>
      <w:r>
        <w:rPr>
          <w:rFonts w:ascii="宋体" w:hAnsi="宋体" w:cs="宋体" w:eastAsia="宋体" w:hint="default"/>
          <w:sz w:val="18"/>
          <w:szCs w:val="18"/>
        </w:rPr>
        <w:t>长期</w:t>
        <w:tab/>
        <w:t>无</w:t>
      </w:r>
      <w:r>
        <w:rPr>
          <w:rFonts w:ascii="宋体" w:hAnsi="宋体" w:cs="宋体" w:eastAsia="宋体" w:hint="default"/>
          <w:sz w:val="18"/>
          <w:szCs w:val="18"/>
        </w:rPr>
        <w:t> 航投资有限</w:t>
      </w:r>
    </w:p>
    <w:p>
      <w:pPr>
        <w:spacing w:before="20"/>
        <w:ind w:left="23"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0"/>
        <w:rPr>
          <w:rFonts w:ascii="宋体" w:hAnsi="宋体" w:cs="宋体" w:eastAsia="宋体" w:hint="default"/>
          <w:sz w:val="20"/>
          <w:szCs w:val="20"/>
        </w:rPr>
      </w:pPr>
      <w:r>
        <w:rPr/>
        <w:br w:type="column"/>
      </w:r>
      <w:r>
        <w:rPr>
          <w:rFonts w:ascii="宋体"/>
          <w:sz w:val="20"/>
        </w:rPr>
      </w:r>
    </w:p>
    <w:p>
      <w:pPr>
        <w:spacing w:line="319" w:lineRule="auto"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截止资产负债表 </w:t>
      </w:r>
      <w:r>
        <w:rPr>
          <w:rFonts w:ascii="宋体" w:hAnsi="宋体" w:cs="宋体" w:eastAsia="宋体" w:hint="default"/>
          <w:spacing w:val="-10"/>
          <w:sz w:val="18"/>
          <w:szCs w:val="18"/>
        </w:rPr>
        <w:t>日，所涉及的股权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产权已全部过户， 所涉及的债权债 务已全部转移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-159,897.54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6840" w:h="11910" w:orient="landscape"/>
          <w:pgMar w:top="1060" w:bottom="1160" w:left="1300" w:right="0"/>
          <w:cols w:num="6" w:equalWidth="0">
            <w:col w:w="861" w:space="60"/>
            <w:col w:w="1401" w:space="40"/>
            <w:col w:w="2993" w:space="40"/>
            <w:col w:w="1762" w:space="246"/>
            <w:col w:w="1581" w:space="612"/>
            <w:col w:w="5944"/>
          </w:cols>
        </w:sectPr>
      </w:pPr>
    </w:p>
    <w:p>
      <w:pPr>
        <w:spacing w:line="240" w:lineRule="auto" w:before="0"/>
        <w:rPr>
          <w:rFonts w:ascii="宋体" w:hAnsi="宋体" w:cs="宋体" w:eastAsia="宋体" w:hint="default"/>
          <w:sz w:val="18"/>
          <w:szCs w:val="18"/>
        </w:rPr>
      </w:pPr>
      <w:r>
        <w:rPr/>
        <w:pict>
          <v:group style="position:absolute;margin-left:70.139999pt;margin-top:55.260006pt;width:701.7pt;height:472.65pt;mso-position-horizontal-relative:page;mso-position-vertical-relative:page;z-index:-944512" coordorigin="1403,1105" coordsize="14034,9453">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17;top:1139;width:910;height:2" coordorigin="1417,1139" coordsize="910,2">
              <v:shape style="position:absolute;left:1417;top:1139;width:910;height:2" coordorigin="1417,1139" coordsize="910,0" path="m1417,1139l2327,1139e" filled="false" stroked="true" strokeweight=".48pt" strokecolor="#000000">
                <v:path arrowok="t"/>
              </v:shape>
            </v:group>
            <v:group style="position:absolute;left:2336;top:1139;width:1371;height:2" coordorigin="2336,1139" coordsize="1371,2">
              <v:shape style="position:absolute;left:2336;top:1139;width:1371;height:2" coordorigin="2336,1139" coordsize="1371,0" path="m2336,1139l3707,1139e" filled="false" stroked="true" strokeweight=".48pt" strokecolor="#000000">
                <v:path arrowok="t"/>
              </v:shape>
            </v:group>
            <v:group style="position:absolute;left:3717;top:1139;width:561;height:2" coordorigin="3717,1139" coordsize="561,2">
              <v:shape style="position:absolute;left:3717;top:1139;width:561;height:2" coordorigin="3717,1139" coordsize="561,0" path="m3717,1139l4277,1139e" filled="false" stroked="true" strokeweight=".48pt" strokecolor="#000000">
                <v:path arrowok="t"/>
              </v:shape>
            </v:group>
            <v:group style="position:absolute;left:4287;top:1139;width:1265;height:2" coordorigin="4287,1139" coordsize="1265,2">
              <v:shape style="position:absolute;left:4287;top:1139;width:1265;height:2" coordorigin="4287,1139" coordsize="1265,0" path="m4287,1139l5552,1139e" filled="false" stroked="true" strokeweight=".48pt" strokecolor="#000000">
                <v:path arrowok="t"/>
              </v:shape>
            </v:group>
            <v:group style="position:absolute;left:5561;top:1139;width:700;height:2" coordorigin="5561,1139" coordsize="700,2">
              <v:shape style="position:absolute;left:5561;top:1139;width:700;height:2" coordorigin="5561,1139" coordsize="700,0" path="m5561,1139l6261,1139e" filled="false" stroked="true" strokeweight=".48pt" strokecolor="#000000">
                <v:path arrowok="t"/>
              </v:shape>
            </v:group>
            <v:group style="position:absolute;left:6270;top:1139;width:413;height:2" coordorigin="6270,1139" coordsize="413,2">
              <v:shape style="position:absolute;left:6270;top:1139;width:413;height:2" coordorigin="6270,1139" coordsize="413,0" path="m6270,1139l6683,1139e" filled="false" stroked="true" strokeweight=".48pt" strokecolor="#000000">
                <v:path arrowok="t"/>
              </v:shape>
            </v:group>
            <v:group style="position:absolute;left:6693;top:1139;width:981;height:2" coordorigin="6693,1139" coordsize="981,2">
              <v:shape style="position:absolute;left:6693;top:1139;width:981;height:2" coordorigin="6693,1139" coordsize="981,0" path="m6693,1139l7673,1139e" filled="false" stroked="true" strokeweight=".48pt" strokecolor="#000000">
                <v:path arrowok="t"/>
              </v:shape>
            </v:group>
            <v:group style="position:absolute;left:7683;top:1139;width:560;height:2" coordorigin="7683,1139" coordsize="560,2">
              <v:shape style="position:absolute;left:7683;top:1139;width:560;height:2" coordorigin="7683,1139" coordsize="560,0" path="m7683,1139l8242,1139e" filled="false" stroked="true" strokeweight=".48pt" strokecolor="#000000">
                <v:path arrowok="t"/>
              </v:shape>
            </v:group>
            <v:group style="position:absolute;left:8252;top:1139;width:556;height:2" coordorigin="8252,1139" coordsize="556,2">
              <v:shape style="position:absolute;left:8252;top:1139;width:556;height:2" coordorigin="8252,1139" coordsize="556,0" path="m8252,1139l8808,1139e" filled="false" stroked="true" strokeweight=".48pt" strokecolor="#000000">
                <v:path arrowok="t"/>
              </v:shape>
            </v:group>
            <v:group style="position:absolute;left:8817;top:1139;width:1409;height:2" coordorigin="8817,1139" coordsize="1409,2">
              <v:shape style="position:absolute;left:8817;top:1139;width:1409;height:2" coordorigin="8817,1139" coordsize="1409,0" path="m8817,1139l10226,1139e" filled="false" stroked="true" strokeweight=".48pt" strokecolor="#000000">
                <v:path arrowok="t"/>
              </v:shape>
            </v:group>
            <v:group style="position:absolute;left:10236;top:1139;width:557;height:2" coordorigin="10236,1139" coordsize="557,2">
              <v:shape style="position:absolute;left:10236;top:1139;width:557;height:2" coordorigin="10236,1139" coordsize="557,0" path="m10236,1139l10792,1139e" filled="false" stroked="true" strokeweight=".48pt" strokecolor="#000000">
                <v:path arrowok="t"/>
              </v:shape>
            </v:group>
            <v:group style="position:absolute;left:10802;top:1139;width:1126;height:2" coordorigin="10802,1139" coordsize="1126,2">
              <v:shape style="position:absolute;left:10802;top:1139;width:1126;height:2" coordorigin="10802,1139" coordsize="1126,0" path="m10802,1139l11928,1139e" filled="false" stroked="true" strokeweight=".48pt" strokecolor="#000000">
                <v:path arrowok="t"/>
              </v:shape>
            </v:group>
            <v:group style="position:absolute;left:11937;top:1139;width:556;height:2" coordorigin="11937,1139" coordsize="556,2">
              <v:shape style="position:absolute;left:11937;top:1139;width:556;height:2" coordorigin="11937,1139" coordsize="556,0" path="m11937,1139l12493,1139e" filled="false" stroked="true" strokeweight=".48pt" strokecolor="#000000">
                <v:path arrowok="t"/>
              </v:shape>
            </v:group>
            <v:group style="position:absolute;left:12502;top:1139;width:840;height:2" coordorigin="12502,1139" coordsize="840,2">
              <v:shape style="position:absolute;left:12502;top:1139;width:840;height:2" coordorigin="12502,1139" coordsize="840,0" path="m12502,1139l13342,1139e" filled="false" stroked="true" strokeweight=".48pt" strokecolor="#000000">
                <v:path arrowok="t"/>
              </v:shape>
            </v:group>
            <v:group style="position:absolute;left:13352;top:1139;width:2071;height:2" coordorigin="13352,1139" coordsize="2071,2">
              <v:shape style="position:absolute;left:13352;top:1139;width:2071;height:2" coordorigin="13352,1139" coordsize="2071,0" path="m13352,1139l15422,1139e" filled="false" stroked="true" strokeweight=".48pt" strokecolor="#000000">
                <v:path arrowok="t"/>
              </v:shape>
            </v:group>
            <v:group style="position:absolute;left:1417;top:2789;width:910;height:2" coordorigin="1417,2789" coordsize="910,2">
              <v:shape style="position:absolute;left:1417;top:2789;width:910;height:2" coordorigin="1417,2789" coordsize="910,0" path="m1417,2789l2327,2789e" filled="false" stroked="true" strokeweight=".48pt" strokecolor="#000000">
                <v:path arrowok="t"/>
              </v:shape>
            </v:group>
            <v:group style="position:absolute;left:2336;top:2789;width:1371;height:2" coordorigin="2336,2789" coordsize="1371,2">
              <v:shape style="position:absolute;left:2336;top:2789;width:1371;height:2" coordorigin="2336,2789" coordsize="1371,0" path="m2336,2789l3707,2789e" filled="false" stroked="true" strokeweight=".48pt" strokecolor="#000000">
                <v:path arrowok="t"/>
              </v:shape>
            </v:group>
            <v:group style="position:absolute;left:3717;top:2789;width:561;height:2" coordorigin="3717,2789" coordsize="561,2">
              <v:shape style="position:absolute;left:3717;top:2789;width:561;height:2" coordorigin="3717,2789" coordsize="561,0" path="m3717,2789l4277,2789e" filled="false" stroked="true" strokeweight=".48pt" strokecolor="#000000">
                <v:path arrowok="t"/>
              </v:shape>
            </v:group>
            <v:group style="position:absolute;left:4287;top:2789;width:1265;height:2" coordorigin="4287,2789" coordsize="1265,2">
              <v:shape style="position:absolute;left:4287;top:2789;width:1265;height:2" coordorigin="4287,2789" coordsize="1265,0" path="m4287,2789l5552,2789e" filled="false" stroked="true" strokeweight=".48pt" strokecolor="#000000">
                <v:path arrowok="t"/>
              </v:shape>
            </v:group>
            <v:group style="position:absolute;left:5561;top:2789;width:700;height:2" coordorigin="5561,2789" coordsize="700,2">
              <v:shape style="position:absolute;left:5561;top:2789;width:700;height:2" coordorigin="5561,2789" coordsize="700,0" path="m5561,2789l6261,2789e" filled="false" stroked="true" strokeweight=".48pt" strokecolor="#000000">
                <v:path arrowok="t"/>
              </v:shape>
            </v:group>
            <v:group style="position:absolute;left:6270;top:2789;width:413;height:2" coordorigin="6270,2789" coordsize="413,2">
              <v:shape style="position:absolute;left:6270;top:2789;width:413;height:2" coordorigin="6270,2789" coordsize="413,0" path="m6270,2789l6683,2789e" filled="false" stroked="true" strokeweight=".48pt" strokecolor="#000000">
                <v:path arrowok="t"/>
              </v:shape>
            </v:group>
            <v:group style="position:absolute;left:6693;top:2789;width:981;height:2" coordorigin="6693,2789" coordsize="981,2">
              <v:shape style="position:absolute;left:6693;top:2789;width:981;height:2" coordorigin="6693,2789" coordsize="981,0" path="m6693,2789l7673,2789e" filled="false" stroked="true" strokeweight=".48pt" strokecolor="#000000">
                <v:path arrowok="t"/>
              </v:shape>
            </v:group>
            <v:group style="position:absolute;left:7683;top:2789;width:560;height:2" coordorigin="7683,2789" coordsize="560,2">
              <v:shape style="position:absolute;left:7683;top:2789;width:560;height:2" coordorigin="7683,2789" coordsize="560,0" path="m7683,2789l8242,2789e" filled="false" stroked="true" strokeweight=".48pt" strokecolor="#000000">
                <v:path arrowok="t"/>
              </v:shape>
            </v:group>
            <v:group style="position:absolute;left:8252;top:2789;width:556;height:2" coordorigin="8252,2789" coordsize="556,2">
              <v:shape style="position:absolute;left:8252;top:2789;width:556;height:2" coordorigin="8252,2789" coordsize="556,0" path="m8252,2789l8808,2789e" filled="false" stroked="true" strokeweight=".48pt" strokecolor="#000000">
                <v:path arrowok="t"/>
              </v:shape>
            </v:group>
            <v:group style="position:absolute;left:8817;top:2789;width:1409;height:2" coordorigin="8817,2789" coordsize="1409,2">
              <v:shape style="position:absolute;left:8817;top:2789;width:1409;height:2" coordorigin="8817,2789" coordsize="1409,0" path="m8817,2789l10226,2789e" filled="false" stroked="true" strokeweight=".48pt" strokecolor="#000000">
                <v:path arrowok="t"/>
              </v:shape>
            </v:group>
            <v:group style="position:absolute;left:10236;top:2789;width:557;height:2" coordorigin="10236,2789" coordsize="557,2">
              <v:shape style="position:absolute;left:10236;top:2789;width:557;height:2" coordorigin="10236,2789" coordsize="557,0" path="m10236,2789l10792,2789e" filled="false" stroked="true" strokeweight=".48pt" strokecolor="#000000">
                <v:path arrowok="t"/>
              </v:shape>
            </v:group>
            <v:group style="position:absolute;left:10802;top:2789;width:1126;height:2" coordorigin="10802,2789" coordsize="1126,2">
              <v:shape style="position:absolute;left:10802;top:2789;width:1126;height:2" coordorigin="10802,2789" coordsize="1126,0" path="m10802,2789l11928,2789e" filled="false" stroked="true" strokeweight=".48pt" strokecolor="#000000">
                <v:path arrowok="t"/>
              </v:shape>
            </v:group>
            <v:group style="position:absolute;left:11937;top:2789;width:556;height:2" coordorigin="11937,2789" coordsize="556,2">
              <v:shape style="position:absolute;left:11937;top:2789;width:556;height:2" coordorigin="11937,2789" coordsize="556,0" path="m11937,2789l12493,2789e" filled="false" stroked="true" strokeweight=".48pt" strokecolor="#000000">
                <v:path arrowok="t"/>
              </v:shape>
            </v:group>
            <v:group style="position:absolute;left:12502;top:2789;width:840;height:2" coordorigin="12502,2789" coordsize="840,2">
              <v:shape style="position:absolute;left:12502;top:2789;width:840;height:2" coordorigin="12502,2789" coordsize="840,0" path="m12502,2789l13342,2789e" filled="false" stroked="true" strokeweight=".48pt" strokecolor="#000000">
                <v:path arrowok="t"/>
              </v:shape>
            </v:group>
            <v:group style="position:absolute;left:13352;top:2789;width:2071;height:2" coordorigin="13352,2789" coordsize="2071,2">
              <v:shape style="position:absolute;left:13352;top:2789;width:2071;height:2" coordorigin="13352,2789" coordsize="2071,0" path="m13352,2789l15422,2789e" filled="false" stroked="true" strokeweight=".48pt" strokecolor="#000000">
                <v:path arrowok="t"/>
              </v:shape>
            </v:group>
            <v:group style="position:absolute;left:1417;top:6312;width:910;height:2" coordorigin="1417,6312" coordsize="910,2">
              <v:shape style="position:absolute;left:1417;top:6312;width:910;height:2" coordorigin="1417,6312" coordsize="910,0" path="m1417,6312l2327,6312e" filled="false" stroked="true" strokeweight=".48pt" strokecolor="#000000">
                <v:path arrowok="t"/>
              </v:shape>
            </v:group>
            <v:group style="position:absolute;left:2336;top:6312;width:1371;height:2" coordorigin="2336,6312" coordsize="1371,2">
              <v:shape style="position:absolute;left:2336;top:6312;width:1371;height:2" coordorigin="2336,6312" coordsize="1371,0" path="m2336,6312l3707,6312e" filled="false" stroked="true" strokeweight=".48pt" strokecolor="#000000">
                <v:path arrowok="t"/>
              </v:shape>
            </v:group>
            <v:group style="position:absolute;left:3717;top:6312;width:561;height:2" coordorigin="3717,6312" coordsize="561,2">
              <v:shape style="position:absolute;left:3717;top:6312;width:561;height:2" coordorigin="3717,6312" coordsize="561,0" path="m3717,6312l4277,6312e" filled="false" stroked="true" strokeweight=".48pt" strokecolor="#000000">
                <v:path arrowok="t"/>
              </v:shape>
            </v:group>
            <v:group style="position:absolute;left:4287;top:6312;width:1265;height:2" coordorigin="4287,6312" coordsize="1265,2">
              <v:shape style="position:absolute;left:4287;top:6312;width:1265;height:2" coordorigin="4287,6312" coordsize="1265,0" path="m4287,6312l5552,6312e" filled="false" stroked="true" strokeweight=".48pt" strokecolor="#000000">
                <v:path arrowok="t"/>
              </v:shape>
            </v:group>
            <v:group style="position:absolute;left:5561;top:6312;width:700;height:2" coordorigin="5561,6312" coordsize="700,2">
              <v:shape style="position:absolute;left:5561;top:6312;width:700;height:2" coordorigin="5561,6312" coordsize="700,0" path="m5561,6312l6261,6312e" filled="false" stroked="true" strokeweight=".48pt" strokecolor="#000000">
                <v:path arrowok="t"/>
              </v:shape>
            </v:group>
            <v:group style="position:absolute;left:6270;top:6312;width:413;height:2" coordorigin="6270,6312" coordsize="413,2">
              <v:shape style="position:absolute;left:6270;top:6312;width:413;height:2" coordorigin="6270,6312" coordsize="413,0" path="m6270,6312l6683,6312e" filled="false" stroked="true" strokeweight=".48pt" strokecolor="#000000">
                <v:path arrowok="t"/>
              </v:shape>
            </v:group>
            <v:group style="position:absolute;left:6693;top:6312;width:981;height:2" coordorigin="6693,6312" coordsize="981,2">
              <v:shape style="position:absolute;left:6693;top:6312;width:981;height:2" coordorigin="6693,6312" coordsize="981,0" path="m6693,6312l7673,6312e" filled="false" stroked="true" strokeweight=".48pt" strokecolor="#000000">
                <v:path arrowok="t"/>
              </v:shape>
            </v:group>
            <v:group style="position:absolute;left:7683;top:6312;width:560;height:2" coordorigin="7683,6312" coordsize="560,2">
              <v:shape style="position:absolute;left:7683;top:6312;width:560;height:2" coordorigin="7683,6312" coordsize="560,0" path="m7683,6312l8242,6312e" filled="false" stroked="true" strokeweight=".48pt" strokecolor="#000000">
                <v:path arrowok="t"/>
              </v:shape>
            </v:group>
            <v:group style="position:absolute;left:8252;top:6312;width:556;height:2" coordorigin="8252,6312" coordsize="556,2">
              <v:shape style="position:absolute;left:8252;top:6312;width:556;height:2" coordorigin="8252,6312" coordsize="556,0" path="m8252,6312l8808,6312e" filled="false" stroked="true" strokeweight=".48pt" strokecolor="#000000">
                <v:path arrowok="t"/>
              </v:shape>
            </v:group>
            <v:group style="position:absolute;left:8817;top:6312;width:1409;height:2" coordorigin="8817,6312" coordsize="1409,2">
              <v:shape style="position:absolute;left:8817;top:6312;width:1409;height:2" coordorigin="8817,6312" coordsize="1409,0" path="m8817,6312l10226,6312e" filled="false" stroked="true" strokeweight=".48pt" strokecolor="#000000">
                <v:path arrowok="t"/>
              </v:shape>
            </v:group>
            <v:group style="position:absolute;left:10236;top:6312;width:557;height:2" coordorigin="10236,6312" coordsize="557,2">
              <v:shape style="position:absolute;left:10236;top:6312;width:557;height:2" coordorigin="10236,6312" coordsize="557,0" path="m10236,6312l10792,6312e" filled="false" stroked="true" strokeweight=".48pt" strokecolor="#000000">
                <v:path arrowok="t"/>
              </v:shape>
            </v:group>
            <v:group style="position:absolute;left:10802;top:6312;width:1126;height:2" coordorigin="10802,6312" coordsize="1126,2">
              <v:shape style="position:absolute;left:10802;top:6312;width:1126;height:2" coordorigin="10802,6312" coordsize="1126,0" path="m10802,6312l11928,6312e" filled="false" stroked="true" strokeweight=".48pt" strokecolor="#000000">
                <v:path arrowok="t"/>
              </v:shape>
            </v:group>
            <v:group style="position:absolute;left:11937;top:6312;width:556;height:2" coordorigin="11937,6312" coordsize="556,2">
              <v:shape style="position:absolute;left:11937;top:6312;width:556;height:2" coordorigin="11937,6312" coordsize="556,0" path="m11937,6312l12493,6312e" filled="false" stroked="true" strokeweight=".48pt" strokecolor="#000000">
                <v:path arrowok="t"/>
              </v:shape>
            </v:group>
            <v:group style="position:absolute;left:12502;top:6312;width:840;height:2" coordorigin="12502,6312" coordsize="840,2">
              <v:shape style="position:absolute;left:12502;top:6312;width:840;height:2" coordorigin="12502,6312" coordsize="840,0" path="m12502,6312l13342,6312e" filled="false" stroked="true" strokeweight=".48pt" strokecolor="#000000">
                <v:path arrowok="t"/>
              </v:shape>
            </v:group>
            <v:group style="position:absolute;left:13352;top:6312;width:2071;height:2" coordorigin="13352,6312" coordsize="2071,2">
              <v:shape style="position:absolute;left:13352;top:6312;width:2071;height:2" coordorigin="13352,6312" coordsize="2071,0" path="m13352,6312l15422,6312e" filled="false" stroked="true" strokeweight=".48pt" strokecolor="#000000">
                <v:path arrowok="t"/>
              </v:shape>
            </v:group>
            <v:group style="position:absolute;left:7683;top:8279;width:560;height:936" coordorigin="7683,8279" coordsize="560,936">
              <v:shape style="position:absolute;left:7683;top:8279;width:560;height:936" coordorigin="7683,8279" coordsize="560,936" path="m7683,9215l8242,9215,8242,8279,7683,8279,7683,9215xe" filled="true" fillcolor="#ffffff" stroked="false">
                <v:path arrowok="t"/>
                <v:fill type="solid"/>
              </v:shape>
            </v:group>
            <v:group style="position:absolute;left:1417;top:8274;width:910;height:2" coordorigin="1417,8274" coordsize="910,2">
              <v:shape style="position:absolute;left:1417;top:8274;width:910;height:2" coordorigin="1417,8274" coordsize="910,0" path="m1417,8274l2327,8274e" filled="false" stroked="true" strokeweight=".48pt" strokecolor="#000000">
                <v:path arrowok="t"/>
              </v:shape>
            </v:group>
            <v:group style="position:absolute;left:2336;top:8274;width:1371;height:2" coordorigin="2336,8274" coordsize="1371,2">
              <v:shape style="position:absolute;left:2336;top:8274;width:1371;height:2" coordorigin="2336,8274" coordsize="1371,0" path="m2336,8274l3707,8274e" filled="false" stroked="true" strokeweight=".48pt" strokecolor="#000000">
                <v:path arrowok="t"/>
              </v:shape>
            </v:group>
            <v:group style="position:absolute;left:3717;top:8274;width:561;height:2" coordorigin="3717,8274" coordsize="561,2">
              <v:shape style="position:absolute;left:3717;top:8274;width:561;height:2" coordorigin="3717,8274" coordsize="561,0" path="m3717,8274l4277,8274e" filled="false" stroked="true" strokeweight=".48pt" strokecolor="#000000">
                <v:path arrowok="t"/>
              </v:shape>
            </v:group>
            <v:group style="position:absolute;left:4287;top:8274;width:1265;height:2" coordorigin="4287,8274" coordsize="1265,2">
              <v:shape style="position:absolute;left:4287;top:8274;width:1265;height:2" coordorigin="4287,8274" coordsize="1265,0" path="m4287,8274l5552,8274e" filled="false" stroked="true" strokeweight=".48pt" strokecolor="#000000">
                <v:path arrowok="t"/>
              </v:shape>
            </v:group>
            <v:group style="position:absolute;left:5561;top:8274;width:700;height:2" coordorigin="5561,8274" coordsize="700,2">
              <v:shape style="position:absolute;left:5561;top:8274;width:700;height:2" coordorigin="5561,8274" coordsize="700,0" path="m5561,8274l6261,8274e" filled="false" stroked="true" strokeweight=".48pt" strokecolor="#000000">
                <v:path arrowok="t"/>
              </v:shape>
            </v:group>
            <v:group style="position:absolute;left:6270;top:8274;width:413;height:2" coordorigin="6270,8274" coordsize="413,2">
              <v:shape style="position:absolute;left:6270;top:8274;width:413;height:2" coordorigin="6270,8274" coordsize="413,0" path="m6270,8274l6683,8274e" filled="false" stroked="true" strokeweight=".48pt" strokecolor="#000000">
                <v:path arrowok="t"/>
              </v:shape>
            </v:group>
            <v:group style="position:absolute;left:6693;top:8274;width:981;height:2" coordorigin="6693,8274" coordsize="981,2">
              <v:shape style="position:absolute;left:6693;top:8274;width:981;height:2" coordorigin="6693,8274" coordsize="981,0" path="m6693,8274l7673,8274e" filled="false" stroked="true" strokeweight=".48pt" strokecolor="#000000">
                <v:path arrowok="t"/>
              </v:shape>
            </v:group>
            <v:group style="position:absolute;left:7683;top:8274;width:560;height:2" coordorigin="7683,8274" coordsize="560,2">
              <v:shape style="position:absolute;left:7683;top:8274;width:560;height:2" coordorigin="7683,8274" coordsize="560,0" path="m7683,8274l8242,8274e" filled="false" stroked="true" strokeweight=".48pt" strokecolor="#000000">
                <v:path arrowok="t"/>
              </v:shape>
            </v:group>
            <v:group style="position:absolute;left:8252;top:8274;width:556;height:2" coordorigin="8252,8274" coordsize="556,2">
              <v:shape style="position:absolute;left:8252;top:8274;width:556;height:2" coordorigin="8252,8274" coordsize="556,0" path="m8252,8274l8808,8274e" filled="false" stroked="true" strokeweight=".48pt" strokecolor="#000000">
                <v:path arrowok="t"/>
              </v:shape>
            </v:group>
            <v:group style="position:absolute;left:8817;top:8274;width:1409;height:2" coordorigin="8817,8274" coordsize="1409,2">
              <v:shape style="position:absolute;left:8817;top:8274;width:1409;height:2" coordorigin="8817,8274" coordsize="1409,0" path="m8817,8274l10226,8274e" filled="false" stroked="true" strokeweight=".48pt" strokecolor="#000000">
                <v:path arrowok="t"/>
              </v:shape>
            </v:group>
            <v:group style="position:absolute;left:10236;top:8274;width:557;height:2" coordorigin="10236,8274" coordsize="557,2">
              <v:shape style="position:absolute;left:10236;top:8274;width:557;height:2" coordorigin="10236,8274" coordsize="557,0" path="m10236,8274l10792,8274e" filled="false" stroked="true" strokeweight=".48pt" strokecolor="#000000">
                <v:path arrowok="t"/>
              </v:shape>
            </v:group>
            <v:group style="position:absolute;left:10802;top:8274;width:1126;height:2" coordorigin="10802,8274" coordsize="1126,2">
              <v:shape style="position:absolute;left:10802;top:8274;width:1126;height:2" coordorigin="10802,8274" coordsize="1126,0" path="m10802,8274l11928,8274e" filled="false" stroked="true" strokeweight=".48pt" strokecolor="#000000">
                <v:path arrowok="t"/>
              </v:shape>
            </v:group>
            <v:group style="position:absolute;left:11937;top:8274;width:556;height:2" coordorigin="11937,8274" coordsize="556,2">
              <v:shape style="position:absolute;left:11937;top:8274;width:556;height:2" coordorigin="11937,8274" coordsize="556,0" path="m11937,8274l12493,8274e" filled="false" stroked="true" strokeweight=".48pt" strokecolor="#000000">
                <v:path arrowok="t"/>
              </v:shape>
            </v:group>
            <v:group style="position:absolute;left:12502;top:8274;width:840;height:2" coordorigin="12502,8274" coordsize="840,2">
              <v:shape style="position:absolute;left:12502;top:8274;width:840;height:2" coordorigin="12502,8274" coordsize="840,0" path="m12502,8274l13342,8274e" filled="false" stroked="true" strokeweight=".48pt" strokecolor="#000000">
                <v:path arrowok="t"/>
              </v:shape>
            </v:group>
            <v:group style="position:absolute;left:13352;top:8274;width:2071;height:2" coordorigin="13352,8274" coordsize="2071,2">
              <v:shape style="position:absolute;left:13352;top:8274;width:2071;height:2" coordorigin="13352,8274" coordsize="2071,0" path="m13352,8274l15422,8274e" filled="false" stroked="true" strokeweight=".48pt" strokecolor="#000000">
                <v:path arrowok="t"/>
              </v:shape>
            </v:group>
            <v:group style="position:absolute;left:1412;top:1134;width:2;height:9419" coordorigin="1412,1134" coordsize="2,9419">
              <v:shape style="position:absolute;left:1412;top:1134;width:2;height:9419" coordorigin="1412,1134" coordsize="0,9419" path="m1412,1134l1412,10553e" filled="false" stroked="true" strokeweight=".48pt" strokecolor="#000000">
                <v:path arrowok="t"/>
              </v:shape>
            </v:group>
            <v:group style="position:absolute;left:1417;top:10548;width:910;height:2" coordorigin="1417,10548" coordsize="910,2">
              <v:shape style="position:absolute;left:1417;top:10548;width:910;height:2" coordorigin="1417,10548" coordsize="910,0" path="m1417,10548l2327,10548e" filled="false" stroked="true" strokeweight=".48pt" strokecolor="#000000">
                <v:path arrowok="t"/>
              </v:shape>
            </v:group>
            <v:group style="position:absolute;left:2332;top:1134;width:2;height:9419" coordorigin="2332,1134" coordsize="2,9419">
              <v:shape style="position:absolute;left:2332;top:1134;width:2;height:9419" coordorigin="2332,1134" coordsize="0,9419" path="m2332,1134l2332,10553e" filled="false" stroked="true" strokeweight=".48pt" strokecolor="#000000">
                <v:path arrowok="t"/>
              </v:shape>
            </v:group>
            <v:group style="position:absolute;left:2336;top:10548;width:1371;height:2" coordorigin="2336,10548" coordsize="1371,2">
              <v:shape style="position:absolute;left:2336;top:10548;width:1371;height:2" coordorigin="2336,10548" coordsize="1371,0" path="m2336,10548l3707,10548e" filled="false" stroked="true" strokeweight=".48pt" strokecolor="#000000">
                <v:path arrowok="t"/>
              </v:shape>
            </v:group>
            <v:group style="position:absolute;left:3712;top:1134;width:2;height:9419" coordorigin="3712,1134" coordsize="2,9419">
              <v:shape style="position:absolute;left:3712;top:1134;width:2;height:9419" coordorigin="3712,1134" coordsize="0,9419" path="m3712,1134l3712,10553e" filled="false" stroked="true" strokeweight=".48pt" strokecolor="#000000">
                <v:path arrowok="t"/>
              </v:shape>
            </v:group>
            <v:group style="position:absolute;left:3717;top:10548;width:561;height:2" coordorigin="3717,10548" coordsize="561,2">
              <v:shape style="position:absolute;left:3717;top:10548;width:561;height:2" coordorigin="3717,10548" coordsize="561,0" path="m3717,10548l4277,10548e" filled="false" stroked="true" strokeweight=".48pt" strokecolor="#000000">
                <v:path arrowok="t"/>
              </v:shape>
            </v:group>
            <v:group style="position:absolute;left:4282;top:1134;width:2;height:9419" coordorigin="4282,1134" coordsize="2,9419">
              <v:shape style="position:absolute;left:4282;top:1134;width:2;height:9419" coordorigin="4282,1134" coordsize="0,9419" path="m4282,1134l4282,10553e" filled="false" stroked="true" strokeweight=".48pt" strokecolor="#000000">
                <v:path arrowok="t"/>
              </v:shape>
            </v:group>
            <v:group style="position:absolute;left:4287;top:10548;width:1265;height:2" coordorigin="4287,10548" coordsize="1265,2">
              <v:shape style="position:absolute;left:4287;top:10548;width:1265;height:2" coordorigin="4287,10548" coordsize="1265,0" path="m4287,10548l5552,10548e" filled="false" stroked="true" strokeweight=".48pt" strokecolor="#000000">
                <v:path arrowok="t"/>
              </v:shape>
            </v:group>
            <v:group style="position:absolute;left:5556;top:1134;width:2;height:9419" coordorigin="5556,1134" coordsize="2,9419">
              <v:shape style="position:absolute;left:5556;top:1134;width:2;height:9419" coordorigin="5556,1134" coordsize="0,9419" path="m5556,1134l5556,10553e" filled="false" stroked="true" strokeweight=".48pt" strokecolor="#000000">
                <v:path arrowok="t"/>
              </v:shape>
            </v:group>
            <v:group style="position:absolute;left:5561;top:10548;width:700;height:2" coordorigin="5561,10548" coordsize="700,2">
              <v:shape style="position:absolute;left:5561;top:10548;width:700;height:2" coordorigin="5561,10548" coordsize="700,0" path="m5561,10548l6261,10548e" filled="false" stroked="true" strokeweight=".48pt" strokecolor="#000000">
                <v:path arrowok="t"/>
              </v:shape>
            </v:group>
            <v:group style="position:absolute;left:6266;top:1134;width:2;height:9419" coordorigin="6266,1134" coordsize="2,9419">
              <v:shape style="position:absolute;left:6266;top:1134;width:2;height:9419" coordorigin="6266,1134" coordsize="0,9419" path="m6266,1134l6266,10553e" filled="false" stroked="true" strokeweight=".48pt" strokecolor="#000000">
                <v:path arrowok="t"/>
              </v:shape>
            </v:group>
            <v:group style="position:absolute;left:6270;top:10548;width:413;height:2" coordorigin="6270,10548" coordsize="413,2">
              <v:shape style="position:absolute;left:6270;top:10548;width:413;height:2" coordorigin="6270,10548" coordsize="413,0" path="m6270,10548l6683,10548e" filled="false" stroked="true" strokeweight=".48pt" strokecolor="#000000">
                <v:path arrowok="t"/>
              </v:shape>
            </v:group>
            <v:group style="position:absolute;left:6688;top:1134;width:2;height:9419" coordorigin="6688,1134" coordsize="2,9419">
              <v:shape style="position:absolute;left:6688;top:1134;width:2;height:9419" coordorigin="6688,1134" coordsize="0,9419" path="m6688,1134l6688,10553e" filled="false" stroked="true" strokeweight=".48pt" strokecolor="#000000">
                <v:path arrowok="t"/>
              </v:shape>
            </v:group>
            <v:group style="position:absolute;left:6693;top:10548;width:981;height:2" coordorigin="6693,10548" coordsize="981,2">
              <v:shape style="position:absolute;left:6693;top:10548;width:981;height:2" coordorigin="6693,10548" coordsize="981,0" path="m6693,10548l7673,10548e" filled="false" stroked="true" strokeweight=".48pt" strokecolor="#000000">
                <v:path arrowok="t"/>
              </v:shape>
            </v:group>
            <v:group style="position:absolute;left:7678;top:1134;width:2;height:9419" coordorigin="7678,1134" coordsize="2,9419">
              <v:shape style="position:absolute;left:7678;top:1134;width:2;height:9419" coordorigin="7678,1134" coordsize="0,9419" path="m7678,1134l7678,10553e" filled="false" stroked="true" strokeweight=".48pt" strokecolor="#000000">
                <v:path arrowok="t"/>
              </v:shape>
            </v:group>
            <v:group style="position:absolute;left:7683;top:10548;width:560;height:2" coordorigin="7683,10548" coordsize="560,2">
              <v:shape style="position:absolute;left:7683;top:10548;width:560;height:2" coordorigin="7683,10548" coordsize="560,0" path="m7683,10548l8242,10548e" filled="false" stroked="true" strokeweight=".48pt" strokecolor="#000000">
                <v:path arrowok="t"/>
              </v:shape>
            </v:group>
            <v:group style="position:absolute;left:8247;top:1134;width:2;height:9419" coordorigin="8247,1134" coordsize="2,9419">
              <v:shape style="position:absolute;left:8247;top:1134;width:2;height:9419" coordorigin="8247,1134" coordsize="0,9419" path="m8247,1134l8247,10553e" filled="false" stroked="true" strokeweight=".48pt" strokecolor="#000000">
                <v:path arrowok="t"/>
              </v:shape>
            </v:group>
            <v:group style="position:absolute;left:8252;top:10548;width:556;height:2" coordorigin="8252,10548" coordsize="556,2">
              <v:shape style="position:absolute;left:8252;top:10548;width:556;height:2" coordorigin="8252,10548" coordsize="556,0" path="m8252,10548l8808,10548e" filled="false" stroked="true" strokeweight=".48pt" strokecolor="#000000">
                <v:path arrowok="t"/>
              </v:shape>
            </v:group>
            <v:group style="position:absolute;left:8812;top:1134;width:2;height:9419" coordorigin="8812,1134" coordsize="2,9419">
              <v:shape style="position:absolute;left:8812;top:1134;width:2;height:9419" coordorigin="8812,1134" coordsize="0,9419" path="m8812,1134l8812,10553e" filled="false" stroked="true" strokeweight=".48pt" strokecolor="#000000">
                <v:path arrowok="t"/>
              </v:shape>
            </v:group>
            <v:group style="position:absolute;left:8817;top:10548;width:1409;height:2" coordorigin="8817,10548" coordsize="1409,2">
              <v:shape style="position:absolute;left:8817;top:10548;width:1409;height:2" coordorigin="8817,10548" coordsize="1409,0" path="m8817,10548l10226,10548e" filled="false" stroked="true" strokeweight=".48pt" strokecolor="#000000">
                <v:path arrowok="t"/>
              </v:shape>
            </v:group>
            <v:group style="position:absolute;left:10247;top:1768;width:2;height:393" coordorigin="10247,1768" coordsize="2,393">
              <v:shape style="position:absolute;left:10247;top:1768;width:2;height:393" coordorigin="10247,1768" coordsize="0,393" path="m10247,1768l10247,2160e" filled="false" stroked="true" strokeweight="1.140pt" strokecolor="#ffffff">
                <v:path arrowok="t"/>
              </v:shape>
            </v:group>
            <v:group style="position:absolute;left:10258;top:1768;width:510;height:393" coordorigin="10258,1768" coordsize="510,393">
              <v:shape style="position:absolute;left:10258;top:1768;width:510;height:393" coordorigin="10258,1768" coordsize="510,393" path="m10258,2160l10768,2160,10768,1768,10258,1768,10258,2160xe" filled="true" fillcolor="#ffffff" stroked="false">
                <v:path arrowok="t"/>
                <v:fill type="solid"/>
              </v:shape>
            </v:group>
            <v:group style="position:absolute;left:10247;top:4354;width:2;height:393" coordorigin="10247,4354" coordsize="2,393">
              <v:shape style="position:absolute;left:10247;top:4354;width:2;height:393" coordorigin="10247,4354" coordsize="0,393" path="m10247,4354l10247,4746e" filled="false" stroked="true" strokeweight="1.140pt" strokecolor="#ffffff">
                <v:path arrowok="t"/>
              </v:shape>
            </v:group>
            <v:group style="position:absolute;left:10258;top:4354;width:510;height:393" coordorigin="10258,4354" coordsize="510,393">
              <v:shape style="position:absolute;left:10258;top:4354;width:510;height:393" coordorigin="10258,4354" coordsize="510,393" path="m10258,4746l10768,4746,10768,4354,10258,4354,10258,4746xe" filled="true" fillcolor="#ffffff" stroked="false">
                <v:path arrowok="t"/>
                <v:fill type="solid"/>
              </v:shape>
            </v:group>
            <v:group style="position:absolute;left:10247;top:7096;width:2;height:393" coordorigin="10247,7096" coordsize="2,393">
              <v:shape style="position:absolute;left:10247;top:7096;width:2;height:393" coordorigin="10247,7096" coordsize="0,393" path="m10247,7096l10247,7489e" filled="false" stroked="true" strokeweight="1.140pt" strokecolor="#ffffff">
                <v:path arrowok="t"/>
              </v:shape>
            </v:group>
            <v:group style="position:absolute;left:10258;top:7096;width:510;height:393" coordorigin="10258,7096" coordsize="510,393">
              <v:shape style="position:absolute;left:10258;top:7096;width:510;height:393" coordorigin="10258,7096" coordsize="510,393" path="m10258,7489l10768,7489,10768,7096,10258,7096,10258,7489xe" filled="true" fillcolor="#ffffff" stroked="false">
                <v:path arrowok="t"/>
                <v:fill type="solid"/>
              </v:shape>
            </v:group>
            <v:group style="position:absolute;left:10247;top:9215;width:2;height:393" coordorigin="10247,9215" coordsize="2,393">
              <v:shape style="position:absolute;left:10247;top:9215;width:2;height:393" coordorigin="10247,9215" coordsize="0,393" path="m10247,9215l10247,9607e" filled="false" stroked="true" strokeweight="1.140pt" strokecolor="#ffffff">
                <v:path arrowok="t"/>
              </v:shape>
            </v:group>
            <v:group style="position:absolute;left:10258;top:9215;width:510;height:393" coordorigin="10258,9215" coordsize="510,393">
              <v:shape style="position:absolute;left:10258;top:9215;width:510;height:393" coordorigin="10258,9215" coordsize="510,393" path="m10258,9607l10768,9607,10768,9215,10258,9215,10258,9607xe" filled="true" fillcolor="#ffffff" stroked="false">
                <v:path arrowok="t"/>
                <v:fill type="solid"/>
              </v:shape>
            </v:group>
            <v:group style="position:absolute;left:10231;top:1134;width:2;height:9419" coordorigin="10231,1134" coordsize="2,9419">
              <v:shape style="position:absolute;left:10231;top:1134;width:2;height:9419" coordorigin="10231,1134" coordsize="0,9419" path="m10231,1134l10231,10553e" filled="false" stroked="true" strokeweight=".48pt" strokecolor="#000000">
                <v:path arrowok="t"/>
              </v:shape>
            </v:group>
            <v:group style="position:absolute;left:10236;top:10548;width:557;height:2" coordorigin="10236,10548" coordsize="557,2">
              <v:shape style="position:absolute;left:10236;top:10548;width:557;height:2" coordorigin="10236,10548" coordsize="557,0" path="m10236,10548l10792,10548e" filled="false" stroked="true" strokeweight=".48pt" strokecolor="#000000">
                <v:path arrowok="t"/>
              </v:shape>
            </v:group>
            <v:group style="position:absolute;left:10797;top:1134;width:2;height:9419" coordorigin="10797,1134" coordsize="2,9419">
              <v:shape style="position:absolute;left:10797;top:1134;width:2;height:9419" coordorigin="10797,1134" coordsize="0,9419" path="m10797,1134l10797,10553e" filled="false" stroked="true" strokeweight=".48pt" strokecolor="#000000">
                <v:path arrowok="t"/>
              </v:shape>
            </v:group>
            <v:group style="position:absolute;left:10802;top:10548;width:1126;height:2" coordorigin="10802,10548" coordsize="1126,2">
              <v:shape style="position:absolute;left:10802;top:10548;width:1126;height:2" coordorigin="10802,10548" coordsize="1126,0" path="m10802,10548l11928,10548e" filled="false" stroked="true" strokeweight=".48pt" strokecolor="#000000">
                <v:path arrowok="t"/>
              </v:shape>
            </v:group>
            <v:group style="position:absolute;left:11932;top:1134;width:2;height:9419" coordorigin="11932,1134" coordsize="2,9419">
              <v:shape style="position:absolute;left:11932;top:1134;width:2;height:9419" coordorigin="11932,1134" coordsize="0,9419" path="m11932,1134l11932,10553e" filled="false" stroked="true" strokeweight=".48pt" strokecolor="#000000">
                <v:path arrowok="t"/>
              </v:shape>
            </v:group>
            <v:group style="position:absolute;left:11937;top:10548;width:556;height:2" coordorigin="11937,10548" coordsize="556,2">
              <v:shape style="position:absolute;left:11937;top:10548;width:556;height:2" coordorigin="11937,10548" coordsize="556,0" path="m11937,10548l12493,10548e" filled="false" stroked="true" strokeweight=".48pt" strokecolor="#000000">
                <v:path arrowok="t"/>
              </v:shape>
            </v:group>
            <v:group style="position:absolute;left:12498;top:1134;width:2;height:9419" coordorigin="12498,1134" coordsize="2,9419">
              <v:shape style="position:absolute;left:12498;top:1134;width:2;height:9419" coordorigin="12498,1134" coordsize="0,9419" path="m12498,1134l12498,10553e" filled="false" stroked="true" strokeweight=".48pt" strokecolor="#000000">
                <v:path arrowok="t"/>
              </v:shape>
            </v:group>
            <v:group style="position:absolute;left:12502;top:10548;width:840;height:2" coordorigin="12502,10548" coordsize="840,2">
              <v:shape style="position:absolute;left:12502;top:10548;width:840;height:2" coordorigin="12502,10548" coordsize="840,0" path="m12502,10548l13342,10548e" filled="false" stroked="true" strokeweight=".48pt" strokecolor="#000000">
                <v:path arrowok="t"/>
              </v:shape>
            </v:group>
            <v:group style="position:absolute;left:13347;top:1134;width:2;height:9419" coordorigin="13347,1134" coordsize="2,9419">
              <v:shape style="position:absolute;left:13347;top:1134;width:2;height:9419" coordorigin="13347,1134" coordsize="0,9419" path="m13347,1134l13347,10553e" filled="false" stroked="true" strokeweight=".48pt" strokecolor="#000000">
                <v:path arrowok="t"/>
              </v:shape>
            </v:group>
            <v:group style="position:absolute;left:13352;top:10548;width:2071;height:2" coordorigin="13352,10548" coordsize="2071,2">
              <v:shape style="position:absolute;left:13352;top:10548;width:2071;height:2" coordorigin="13352,10548" coordsize="2071,0" path="m13352,10548l15422,10548e" filled="false" stroked="true" strokeweight=".48pt" strokecolor="#000000">
                <v:path arrowok="t"/>
              </v:shape>
            </v:group>
            <v:group style="position:absolute;left:15427;top:1134;width:2;height:9419" coordorigin="15427,1134" coordsize="2,9419">
              <v:shape style="position:absolute;left:15427;top:1134;width:2;height:9419" coordorigin="15427,1134" coordsize="0,9419" path="m15427,1134l15427,10553e" filled="false" stroked="true" strokeweight=".48pt" strokecolor="#000000">
                <v:path arrowok="t"/>
              </v:shape>
            </v:group>
            <w10:wrap type="none"/>
          </v:group>
        </w:pict>
      </w:r>
    </w:p>
    <w:p>
      <w:pPr>
        <w:spacing w:line="240" w:lineRule="auto" w:before="11"/>
        <w:rPr>
          <w:rFonts w:ascii="宋体" w:hAnsi="宋体" w:cs="宋体" w:eastAsia="宋体" w:hint="default"/>
          <w:sz w:val="25"/>
          <w:szCs w:val="25"/>
        </w:rPr>
      </w:pPr>
    </w:p>
    <w:p>
      <w:pPr>
        <w:spacing w:line="319" w:lineRule="auto" w:before="0"/>
        <w:ind w:left="140" w:right="-16" w:firstLine="0"/>
        <w:jc w:val="left"/>
        <w:rPr>
          <w:rFonts w:ascii="宋体" w:hAnsi="宋体" w:cs="宋体" w:eastAsia="宋体" w:hint="default"/>
          <w:sz w:val="18"/>
          <w:szCs w:val="18"/>
        </w:rPr>
      </w:pPr>
      <w:r>
        <w:rPr>
          <w:rFonts w:ascii="宋体" w:hAnsi="宋体" w:cs="宋体" w:eastAsia="宋体" w:hint="default"/>
          <w:sz w:val="18"/>
          <w:szCs w:val="18"/>
        </w:rPr>
        <w:t>浩华管理 顾问（亚 </w:t>
      </w:r>
      <w:r>
        <w:rPr>
          <w:rFonts w:ascii="宋体" w:hAnsi="宋体" w:cs="宋体" w:eastAsia="宋体" w:hint="default"/>
          <w:spacing w:val="-8"/>
          <w:sz w:val="18"/>
          <w:szCs w:val="18"/>
        </w:rPr>
        <w:t>太）有限公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spacing w:line="319" w:lineRule="auto" w:before="0"/>
        <w:ind w:left="16" w:right="0" w:firstLine="0"/>
        <w:jc w:val="both"/>
        <w:rPr>
          <w:rFonts w:ascii="宋体" w:hAnsi="宋体" w:cs="宋体" w:eastAsia="宋体" w:hint="default"/>
          <w:sz w:val="18"/>
          <w:szCs w:val="18"/>
        </w:rPr>
      </w:pPr>
      <w:r>
        <w:rPr>
          <w:rFonts w:ascii="宋体" w:hAnsi="宋体" w:cs="宋体" w:eastAsia="宋体" w:hint="default"/>
          <w:sz w:val="18"/>
          <w:szCs w:val="18"/>
        </w:rPr>
        <w:t>主要业务是为酒 店及旅游业提供 专业顾问服务， 为酒店提供整体 咨询解决方案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自有</w:t>
      </w:r>
    </w:p>
    <w:p>
      <w:pPr>
        <w:tabs>
          <w:tab w:pos="833" w:val="left" w:leader="none"/>
        </w:tabs>
        <w:spacing w:line="163" w:lineRule="exact" w:before="0"/>
        <w:ind w:left="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w:t>
        <w:tab/>
      </w:r>
      <w:r>
        <w:rPr>
          <w:rFonts w:ascii="Times New Roman" w:hAnsi="Times New Roman" w:cs="Times New Roman" w:eastAsia="Times New Roman" w:hint="default"/>
          <w:sz w:val="18"/>
          <w:szCs w:val="18"/>
        </w:rPr>
        <w:t>64,937,314.60  </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75.00%</w:t>
      </w:r>
    </w:p>
    <w:p>
      <w:pPr>
        <w:spacing w:line="19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资金</w:t>
      </w:r>
    </w:p>
    <w:p>
      <w:pPr>
        <w:spacing w:line="316" w:lineRule="auto" w:before="106"/>
        <w:ind w:left="23" w:right="-11" w:firstLine="0"/>
        <w:jc w:val="left"/>
        <w:rPr>
          <w:rFonts w:ascii="宋体" w:hAnsi="宋体" w:cs="宋体" w:eastAsia="宋体" w:hint="default"/>
          <w:sz w:val="18"/>
          <w:szCs w:val="18"/>
        </w:rPr>
      </w:pPr>
      <w:r>
        <w:rPr/>
        <w:br w:type="column"/>
      </w:r>
      <w:r>
        <w:rPr>
          <w:rFonts w:ascii="宋体" w:hAnsi="宋体" w:cs="宋体" w:eastAsia="宋体" w:hint="default"/>
          <w:sz w:val="18"/>
          <w:szCs w:val="18"/>
        </w:rPr>
        <w:t>石基 有限公司、 浩华股东</w:t>
      </w:r>
    </w:p>
    <w:p>
      <w:pPr>
        <w:spacing w:line="362" w:lineRule="auto" w:before="58"/>
        <w:ind w:left="23" w:right="-13" w:firstLine="0"/>
        <w:jc w:val="left"/>
        <w:rPr>
          <w:rFonts w:ascii="Times New Roman" w:hAnsi="Times New Roman" w:cs="Times New Roman" w:eastAsia="Times New Roman" w:hint="default"/>
          <w:sz w:val="18"/>
          <w:szCs w:val="18"/>
        </w:rPr>
      </w:pPr>
      <w:r>
        <w:rPr/>
        <w:pict>
          <v:shape style="position:absolute;margin-left:351.02301pt;margin-top:-48.457653pt;width:61.1pt;height:46.8pt;mso-position-horizontal-relative:page;mso-position-vertical-relative:paragraph;z-index:-94453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（香港）</w:t>
                  </w:r>
                </w:p>
              </w:txbxContent>
            </v:textbox>
            <w10:wrap type="none"/>
          </v:shape>
        </w:pict>
      </w:r>
      <w:r>
        <w:rPr>
          <w:rFonts w:ascii="Times New Roman"/>
          <w:spacing w:val="-3"/>
          <w:sz w:val="18"/>
        </w:rPr>
        <w:t>SEXTANT</w:t>
      </w:r>
      <w:r>
        <w:rPr>
          <w:rFonts w:ascii="Times New Roman"/>
          <w:spacing w:val="-41"/>
          <w:sz w:val="18"/>
        </w:rPr>
        <w:t> </w:t>
      </w:r>
      <w:r>
        <w:rPr>
          <w:rFonts w:ascii="Times New Roman"/>
          <w:spacing w:val="-41"/>
          <w:sz w:val="18"/>
        </w:rPr>
      </w:r>
      <w:r>
        <w:rPr>
          <w:rFonts w:ascii="Times New Roman"/>
          <w:spacing w:val="-1"/>
          <w:sz w:val="18"/>
        </w:rPr>
        <w:t>INVESTME</w:t>
      </w:r>
      <w:r>
        <w:rPr>
          <w:rFonts w:ascii="Times New Roman"/>
          <w:spacing w:val="-39"/>
          <w:sz w:val="18"/>
        </w:rPr>
        <w:t> </w:t>
      </w:r>
      <w:r>
        <w:rPr>
          <w:rFonts w:ascii="Times New Roman"/>
          <w:spacing w:val="-39"/>
          <w:sz w:val="18"/>
        </w:rPr>
      </w:r>
      <w:r>
        <w:rPr>
          <w:rFonts w:ascii="Times New Roman"/>
          <w:sz w:val="18"/>
        </w:rPr>
        <w:t>NTS</w:t>
      </w:r>
      <w:r>
        <w:rPr>
          <w:rFonts w:ascii="Times New Roman"/>
          <w:w w:val="99"/>
          <w:sz w:val="18"/>
        </w:rPr>
        <w:t> </w:t>
      </w:r>
      <w:r>
        <w:rPr>
          <w:rFonts w:ascii="Times New Roman"/>
          <w:sz w:val="18"/>
        </w:rPr>
        <w:t>LIMITED</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8"/>
          <w:szCs w:val="18"/>
        </w:rPr>
      </w:pPr>
    </w:p>
    <w:p>
      <w:pPr>
        <w:tabs>
          <w:tab w:pos="608" w:val="left" w:leader="none"/>
        </w:tabs>
        <w:spacing w:before="0"/>
        <w:ind w:left="39" w:right="-20" w:firstLine="0"/>
        <w:jc w:val="left"/>
        <w:rPr>
          <w:rFonts w:ascii="宋体" w:hAnsi="宋体" w:cs="宋体" w:eastAsia="宋体" w:hint="default"/>
          <w:sz w:val="18"/>
          <w:szCs w:val="18"/>
        </w:rPr>
      </w:pPr>
      <w:r>
        <w:rPr>
          <w:rFonts w:ascii="宋体" w:hAnsi="宋体" w:cs="宋体" w:eastAsia="宋体" w:hint="default"/>
          <w:sz w:val="18"/>
          <w:szCs w:val="18"/>
        </w:rPr>
        <w:t>长期</w:t>
        <w:tab/>
        <w:t>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spacing w:line="319" w:lineRule="auto"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截止资产负债表 </w:t>
      </w:r>
      <w:r>
        <w:rPr>
          <w:rFonts w:ascii="宋体" w:hAnsi="宋体" w:cs="宋体" w:eastAsia="宋体" w:hint="default"/>
          <w:spacing w:val="-10"/>
          <w:sz w:val="18"/>
          <w:szCs w:val="18"/>
        </w:rPr>
        <w:t>日，所涉及的股权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产权已全部过户， 所涉及的债权债 务已全部转移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spacing w:before="0"/>
        <w:ind w:left="140"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-1,710,809.78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before="0"/>
        <w:ind w:left="140" w:right="-2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spacing w:before="64"/>
        <w:ind w:left="140" w:right="-19"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16" w:lineRule="auto" w:before="106"/>
        <w:ind w:left="16" w:right="1436" w:firstLine="0"/>
        <w:jc w:val="both"/>
        <w:rPr>
          <w:rFonts w:ascii="宋体" w:hAnsi="宋体" w:cs="宋体" w:eastAsia="宋体" w:hint="default"/>
          <w:sz w:val="18"/>
          <w:szCs w:val="18"/>
        </w:rPr>
      </w:pPr>
      <w:r>
        <w:rPr>
          <w:spacing w:val="-12"/>
        </w:rPr>
        <w:br w:type="column"/>
      </w:r>
      <w:r>
        <w:rPr>
          <w:rFonts w:ascii="宋体" w:hAnsi="宋体" w:cs="宋体" w:eastAsia="宋体" w:hint="default"/>
          <w:spacing w:val="-12"/>
          <w:sz w:val="18"/>
          <w:szCs w:val="18"/>
        </w:rPr>
        <w:t>详见《中国证券报》、《证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券时报》及巨潮资讯网的</w:t>
      </w:r>
    </w:p>
    <w:p>
      <w:pPr>
        <w:spacing w:line="314" w:lineRule="auto" w:before="19"/>
        <w:ind w:left="16" w:right="1466" w:firstLine="0"/>
        <w:jc w:val="both"/>
        <w:rPr>
          <w:rFonts w:ascii="宋体" w:hAnsi="宋体" w:cs="宋体" w:eastAsia="宋体" w:hint="default"/>
          <w:sz w:val="18"/>
          <w:szCs w:val="18"/>
        </w:rPr>
      </w:pPr>
      <w:r>
        <w:rPr>
          <w:rFonts w:ascii="宋体" w:hAnsi="宋体" w:cs="宋体" w:eastAsia="宋体" w:hint="default"/>
          <w:sz w:val="18"/>
          <w:szCs w:val="18"/>
        </w:rPr>
        <w:t>《公司全资子公司关于签 署浩华管理顾问（亚太）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已发行股本 的买卖协议及相关事项的 公告》（</w:t>
      </w:r>
      <w:r>
        <w:rPr>
          <w:rFonts w:ascii="Times New Roman" w:hAnsi="Times New Roman" w:cs="Times New Roman" w:eastAsia="Times New Roman" w:hint="default"/>
          <w:sz w:val="18"/>
          <w:szCs w:val="18"/>
        </w:rPr>
        <w:t>2015-51</w:t>
      </w:r>
      <w:r>
        <w:rPr>
          <w:rFonts w:ascii="宋体" w:hAnsi="宋体" w:cs="宋体" w:eastAsia="宋体" w:hint="default"/>
          <w:sz w:val="18"/>
          <w:szCs w:val="18"/>
        </w:rPr>
        <w:t>）</w:t>
      </w:r>
    </w:p>
    <w:p>
      <w:pPr>
        <w:spacing w:after="0" w:line="314" w:lineRule="auto"/>
        <w:jc w:val="both"/>
        <w:rPr>
          <w:rFonts w:ascii="宋体" w:hAnsi="宋体" w:cs="宋体" w:eastAsia="宋体" w:hint="default"/>
          <w:sz w:val="18"/>
          <w:szCs w:val="18"/>
        </w:rPr>
        <w:sectPr>
          <w:type w:val="continuous"/>
          <w:pgSz w:w="16840" w:h="11910" w:orient="landscape"/>
          <w:pgMar w:top="1060" w:bottom="1160" w:left="1300" w:right="0"/>
          <w:cols w:num="9" w:equalWidth="0">
            <w:col w:w="1005" w:space="40"/>
            <w:col w:w="1277" w:space="40"/>
            <w:col w:w="2993" w:space="40"/>
            <w:col w:w="933" w:space="40"/>
            <w:col w:w="789" w:space="246"/>
            <w:col w:w="1581" w:space="477"/>
            <w:col w:w="1381" w:space="246"/>
            <w:col w:w="933" w:space="40"/>
            <w:col w:w="3479"/>
          </w:cols>
        </w:sectPr>
      </w:pPr>
    </w:p>
    <w:p>
      <w:pPr>
        <w:spacing w:line="240" w:lineRule="auto" w:before="4"/>
        <w:rPr>
          <w:rFonts w:ascii="Times New Roman" w:hAnsi="Times New Roman" w:cs="Times New Roman" w:eastAsia="Times New Roman" w:hint="default"/>
          <w:sz w:val="3"/>
          <w:szCs w:val="3"/>
        </w:rPr>
      </w:pPr>
      <w:r>
        <w:rPr/>
        <w:pict>
          <v:group style="position:absolute;margin-left:512.919983pt;margin-top:104.000008pt;width:25.5pt;height:19.650pt;mso-position-horizontal-relative:page;mso-position-vertical-relative:page;z-index:-944464" coordorigin="10258,2080" coordsize="510,393">
            <v:shape style="position:absolute;left:10258;top:2080;width:510;height:393" coordorigin="10258,2080" coordsize="510,393" path="m10258,2472l10768,2472,10768,2080,10258,2080,10258,2472xe" filled="true" fillcolor="#ffffff" stroked="false">
              <v:path arrowok="t"/>
              <v:fill type="solid"/>
            </v:shape>
            <w10:wrap type="none"/>
          </v:group>
        </w:pict>
      </w:r>
      <w:r>
        <w:rPr/>
        <w:pict>
          <v:group style="position:absolute;margin-left:512.919983pt;margin-top:241.100006pt;width:25.5pt;height:19.650pt;mso-position-horizontal-relative:page;mso-position-vertical-relative:page;z-index:-944440" coordorigin="10258,4822" coordsize="510,393">
            <v:shape style="position:absolute;left:10258;top:4822;width:510;height:393" coordorigin="10258,4822" coordsize="510,393" path="m10258,5215l10768,5215,10768,4822,10258,4822,10258,521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19"/>
        <w:gridCol w:w="1380"/>
        <w:gridCol w:w="570"/>
        <w:gridCol w:w="1274"/>
        <w:gridCol w:w="709"/>
        <w:gridCol w:w="422"/>
        <w:gridCol w:w="990"/>
        <w:gridCol w:w="569"/>
        <w:gridCol w:w="566"/>
        <w:gridCol w:w="1418"/>
        <w:gridCol w:w="566"/>
        <w:gridCol w:w="1135"/>
        <w:gridCol w:w="565"/>
        <w:gridCol w:w="850"/>
        <w:gridCol w:w="2080"/>
      </w:tblGrid>
      <w:tr>
        <w:trPr>
          <w:trHeight w:val="2289" w:hRule="exact"/>
        </w:trPr>
        <w:tc>
          <w:tcPr>
            <w:tcW w:w="9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2" w:right="24"/>
              <w:jc w:val="left"/>
              <w:rPr>
                <w:rFonts w:ascii="Times New Roman" w:hAnsi="Times New Roman" w:cs="Times New Roman" w:eastAsia="Times New Roman" w:hint="default"/>
                <w:sz w:val="18"/>
                <w:szCs w:val="18"/>
              </w:rPr>
            </w:pPr>
            <w:r>
              <w:rPr>
                <w:rFonts w:ascii="Times New Roman"/>
                <w:sz w:val="18"/>
              </w:rPr>
              <w:t>eFuture</w:t>
            </w:r>
            <w:r>
              <w:rPr>
                <w:rFonts w:ascii="Times New Roman"/>
                <w:w w:val="99"/>
                <w:sz w:val="18"/>
              </w:rPr>
              <w:t> </w:t>
            </w:r>
            <w:r>
              <w:rPr>
                <w:rFonts w:ascii="Times New Roman"/>
                <w:sz w:val="18"/>
              </w:rPr>
              <w:t>Information</w:t>
            </w:r>
            <w:r>
              <w:rPr>
                <w:rFonts w:ascii="Times New Roman"/>
                <w:w w:val="99"/>
                <w:sz w:val="18"/>
              </w:rPr>
              <w:t> </w:t>
            </w:r>
            <w:r>
              <w:rPr>
                <w:rFonts w:ascii="Times New Roman"/>
                <w:sz w:val="18"/>
              </w:rPr>
              <w:t>Technology</w:t>
            </w:r>
            <w:r>
              <w:rPr>
                <w:rFonts w:ascii="Times New Roman"/>
                <w:w w:val="99"/>
                <w:sz w:val="18"/>
              </w:rPr>
              <w:t> </w:t>
            </w:r>
            <w:r>
              <w:rPr>
                <w:rFonts w:ascii="Times New Roman"/>
                <w:sz w:val="18"/>
              </w:rPr>
              <w:t>Inc.</w:t>
            </w:r>
          </w:p>
        </w:tc>
        <w:tc>
          <w:tcPr>
            <w:tcW w:w="13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84"/>
              <w:jc w:val="both"/>
              <w:rPr>
                <w:rFonts w:ascii="宋体" w:hAnsi="宋体" w:cs="宋体" w:eastAsia="宋体" w:hint="default"/>
                <w:sz w:val="18"/>
                <w:szCs w:val="18"/>
              </w:rPr>
            </w:pPr>
            <w:r>
              <w:rPr>
                <w:rFonts w:ascii="宋体" w:hAnsi="宋体" w:cs="宋体" w:eastAsia="宋体" w:hint="default"/>
                <w:sz w:val="18"/>
                <w:szCs w:val="18"/>
              </w:rPr>
              <w:t>主要业务为消费 品及零售行业软 件和解决方案提 供商</w:t>
            </w:r>
          </w:p>
        </w:tc>
        <w:tc>
          <w:tcPr>
            <w:tcW w:w="5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74"/>
              <w:jc w:val="righ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130,684,404.74</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56.49%</w:t>
            </w:r>
          </w:p>
        </w:tc>
        <w:tc>
          <w:tcPr>
            <w:tcW w:w="4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eFuture</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w:t>
            </w:r>
            <w:r>
              <w:rPr>
                <w:rFonts w:ascii="宋体" w:hAnsi="宋体" w:cs="宋体" w:eastAsia="宋体" w:hint="default"/>
                <w:w w:val="99"/>
                <w:sz w:val="18"/>
                <w:szCs w:val="18"/>
              </w:rPr>
              <w:t> </w:t>
            </w:r>
            <w:r>
              <w:rPr>
                <w:rFonts w:ascii="宋体" w:hAnsi="宋体" w:cs="宋体" w:eastAsia="宋体" w:hint="default"/>
                <w:sz w:val="18"/>
                <w:szCs w:val="18"/>
              </w:rPr>
              <w:t>司二级市场</w:t>
            </w:r>
            <w:r>
              <w:rPr>
                <w:rFonts w:ascii="宋体" w:hAnsi="宋体" w:cs="宋体" w:eastAsia="宋体" w:hint="default"/>
                <w:w w:val="99"/>
                <w:sz w:val="18"/>
                <w:szCs w:val="18"/>
              </w:rPr>
              <w:t> </w:t>
            </w:r>
            <w:r>
              <w:rPr>
                <w:rFonts w:ascii="宋体" w:hAnsi="宋体" w:cs="宋体" w:eastAsia="宋体" w:hint="default"/>
                <w:sz w:val="18"/>
                <w:szCs w:val="18"/>
              </w:rPr>
              <w:t>股东</w:t>
            </w:r>
          </w:p>
        </w:tc>
        <w:tc>
          <w:tcPr>
            <w:tcW w:w="5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74"/>
              <w:jc w:val="right"/>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18" w:type="dxa"/>
            <w:tcBorders>
              <w:top w:val="single" w:sz="15" w:space="0" w:color="000000"/>
              <w:left w:val="single" w:sz="4" w:space="0" w:color="000000"/>
              <w:bottom w:val="single" w:sz="4" w:space="0" w:color="000000"/>
              <w:right w:val="single" w:sz="9" w:space="0" w:color="FFFFFF"/>
            </w:tcBorders>
          </w:tcPr>
          <w:p>
            <w:pPr>
              <w:pStyle w:val="TableParagraph"/>
              <w:spacing w:line="314" w:lineRule="auto" w:before="51"/>
              <w:ind w:left="23" w:right="14"/>
              <w:jc w:val="left"/>
              <w:rPr>
                <w:rFonts w:ascii="宋体" w:hAnsi="宋体" w:cs="宋体" w:eastAsia="宋体" w:hint="default"/>
                <w:sz w:val="18"/>
                <w:szCs w:val="18"/>
              </w:rPr>
            </w:pPr>
            <w:r>
              <w:rPr>
                <w:rFonts w:ascii="宋体" w:hAnsi="宋体" w:cs="宋体" w:eastAsia="宋体" w:hint="default"/>
                <w:sz w:val="18"/>
                <w:szCs w:val="18"/>
              </w:rPr>
              <w:t>截止资产负债表 </w:t>
            </w:r>
            <w:r>
              <w:rPr>
                <w:rFonts w:ascii="宋体" w:hAnsi="宋体" w:cs="宋体" w:eastAsia="宋体" w:hint="default"/>
                <w:spacing w:val="-10"/>
                <w:sz w:val="18"/>
                <w:szCs w:val="18"/>
              </w:rPr>
              <w:t>日，公司购买股权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尚未完成过户，截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止本报告披露日 公司已实现对 </w:t>
            </w:r>
            <w:r>
              <w:rPr>
                <w:rFonts w:ascii="Times New Roman" w:hAnsi="Times New Roman" w:cs="Times New Roman" w:eastAsia="Times New Roman" w:hint="default"/>
                <w:sz w:val="18"/>
                <w:szCs w:val="18"/>
              </w:rPr>
              <w:t>eFuture</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公司的控 制。</w:t>
            </w:r>
          </w:p>
        </w:tc>
        <w:tc>
          <w:tcPr>
            <w:tcW w:w="566" w:type="dxa"/>
            <w:tcBorders>
              <w:top w:val="single" w:sz="15"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12"/>
                <w:sz w:val="18"/>
                <w:szCs w:val="18"/>
              </w:rPr>
              <w:t>详见《中国证券报》、《证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券时报》及巨潮资讯网的</w:t>
            </w:r>
          </w:p>
          <w:p>
            <w:pPr>
              <w:pStyle w:val="TableParagraph"/>
              <w:spacing w:line="336" w:lineRule="auto" w:before="17"/>
              <w:ind w:left="22" w:right="158"/>
              <w:jc w:val="left"/>
              <w:rPr>
                <w:rFonts w:ascii="宋体" w:hAnsi="宋体" w:cs="宋体" w:eastAsia="宋体" w:hint="default"/>
                <w:sz w:val="18"/>
                <w:szCs w:val="18"/>
              </w:rPr>
            </w:pPr>
            <w:r>
              <w:rPr>
                <w:rFonts w:ascii="宋体" w:hAnsi="宋体" w:cs="宋体" w:eastAsia="宋体" w:hint="default"/>
                <w:sz w:val="18"/>
                <w:szCs w:val="18"/>
              </w:rPr>
              <w:t>《关于全资子公司控股 </w:t>
            </w:r>
            <w:r>
              <w:rPr>
                <w:rFonts w:ascii="Times New Roman" w:hAnsi="Times New Roman" w:cs="Times New Roman" w:eastAsia="Times New Roman" w:hint="default"/>
                <w:sz w:val="18"/>
                <w:szCs w:val="18"/>
              </w:rPr>
              <w:t>eFuture Information Technology</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的公告》</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2015-63</w:t>
            </w:r>
            <w:r>
              <w:rPr>
                <w:rFonts w:ascii="宋体" w:hAnsi="宋体" w:cs="宋体" w:eastAsia="宋体" w:hint="default"/>
                <w:sz w:val="18"/>
                <w:szCs w:val="18"/>
              </w:rPr>
              <w:t>）</w:t>
            </w:r>
          </w:p>
        </w:tc>
      </w:tr>
      <w:tr>
        <w:trPr>
          <w:trHeight w:val="3210" w:hRule="exact"/>
        </w:trPr>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64"/>
              <w:jc w:val="both"/>
              <w:rPr>
                <w:rFonts w:ascii="宋体" w:hAnsi="宋体" w:cs="宋体" w:eastAsia="宋体" w:hint="default"/>
                <w:sz w:val="18"/>
                <w:szCs w:val="18"/>
              </w:rPr>
            </w:pPr>
            <w:r>
              <w:rPr>
                <w:rFonts w:ascii="宋体" w:hAnsi="宋体" w:cs="宋体" w:eastAsia="宋体" w:hint="default"/>
                <w:sz w:val="18"/>
                <w:szCs w:val="18"/>
              </w:rPr>
              <w:t>上海仁大 商业保理 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84"/>
              <w:jc w:val="both"/>
              <w:rPr>
                <w:rFonts w:ascii="宋体" w:hAnsi="宋体" w:cs="宋体" w:eastAsia="宋体" w:hint="default"/>
                <w:sz w:val="18"/>
                <w:szCs w:val="18"/>
              </w:rPr>
            </w:pPr>
            <w:r>
              <w:rPr>
                <w:rFonts w:ascii="宋体" w:hAnsi="宋体" w:cs="宋体" w:eastAsia="宋体" w:hint="default"/>
                <w:sz w:val="18"/>
                <w:szCs w:val="18"/>
              </w:rPr>
              <w:t>主要业务为出口 </w:t>
            </w:r>
            <w:r>
              <w:rPr>
                <w:rFonts w:ascii="宋体" w:hAnsi="宋体" w:cs="宋体" w:eastAsia="宋体" w:hint="default"/>
                <w:spacing w:val="-4"/>
                <w:sz w:val="18"/>
                <w:szCs w:val="18"/>
              </w:rPr>
              <w:t>保理，国内保理</w:t>
            </w:r>
            <w:r>
              <w:rPr>
                <w:rFonts w:ascii="宋体" w:hAnsi="宋体" w:cs="宋体" w:eastAsia="宋体" w:hint="default"/>
                <w:sz w:val="18"/>
                <w:szCs w:val="18"/>
              </w:rPr>
              <w:t> 与商业保理相关 的咨询服务等</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1808" w:lineRule="exact"/>
              <w:ind w:left="1" w:right="-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pict>
                <v:group style="width:27.9pt;height:90.45pt;mso-position-horizontal-relative:char;mso-position-vertical-relative:line" coordorigin="0,0" coordsize="558,1809">
                  <v:group style="position:absolute;left:0;top:0;width:558;height:1404" coordorigin="0,0" coordsize="558,1404">
                    <v:shape style="position:absolute;left:0;top:0;width:558;height:1404" coordorigin="0,0" coordsize="558,1404" path="m0,1404l558,1404,558,0,0,0,0,1404xe" filled="true" fillcolor="#ffffff" stroked="false">
                      <v:path arrowok="t"/>
                      <v:fill type="solid"/>
                    </v:shape>
                  </v:group>
                  <v:group style="position:absolute;left:11;top:1404;width:2;height:393" coordorigin="11,1404" coordsize="2,393">
                    <v:shape style="position:absolute;left:11;top:1404;width:2;height:393" coordorigin="11,1404" coordsize="0,393" path="m11,1404l11,1797e" filled="false" stroked="true" strokeweight="1.140pt" strokecolor="#ffffff">
                      <v:path arrowok="t"/>
                    </v:shape>
                  </v:group>
                  <v:group style="position:absolute;left:23;top:1404;width:513;height:393" coordorigin="23,1404" coordsize="513,393">
                    <v:shape style="position:absolute;left:23;top:1404;width:513;height:393" coordorigin="23,1404" coordsize="513,393" path="m23,1797l535,1797,535,1404,23,1404,23,1797xe" filled="true" fillcolor="#ffffff" stroked="false">
                      <v:path arrowok="t"/>
                      <v:fill type="solid"/>
                    </v:shape>
                  </v:group>
                </v:group>
              </w:pict>
            </w:r>
            <w:r>
              <w:rPr>
                <w:rFonts w:ascii="Times New Roman" w:hAnsi="Times New Roman" w:cs="Times New Roman" w:eastAsia="Times New Roman" w:hint="default"/>
                <w:position w:val="-3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上海环迅电 子商务有限 公司、北海 石基信息技 术有限公 司、上海环 汇实业有限 公司、上海 禾地投资管 理有限公司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长期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1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4"/>
              <w:jc w:val="left"/>
              <w:rPr>
                <w:rFonts w:ascii="宋体" w:hAnsi="宋体" w:cs="宋体" w:eastAsia="宋体" w:hint="default"/>
                <w:sz w:val="18"/>
                <w:szCs w:val="18"/>
              </w:rPr>
            </w:pPr>
            <w:r>
              <w:rPr>
                <w:rFonts w:ascii="宋体" w:hAnsi="宋体" w:cs="宋体" w:eastAsia="宋体" w:hint="default"/>
                <w:sz w:val="18"/>
                <w:szCs w:val="18"/>
              </w:rPr>
              <w:t>截止资产负债表 </w:t>
            </w:r>
            <w:r>
              <w:rPr>
                <w:rFonts w:ascii="宋体" w:hAnsi="宋体" w:cs="宋体" w:eastAsia="宋体" w:hint="default"/>
                <w:spacing w:val="-10"/>
                <w:sz w:val="18"/>
                <w:szCs w:val="18"/>
              </w:rPr>
              <w:t>日，所涉及的股权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产权已全部过户 所涉及的债权债 务已全部转移</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-1,834.71</w:t>
            </w:r>
            <w:r>
              <w:rPr>
                <w:rFonts w:ascii="Times New Roman"/>
                <w:sz w:val="18"/>
              </w:rPr>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561,424,177.00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28,568,769.21</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7" w:footer="979" w:top="1060" w:bottom="1160" w:left="1300" w:right="0"/>
        </w:sectPr>
      </w:pPr>
    </w:p>
    <w:p>
      <w:pPr>
        <w:spacing w:line="240" w:lineRule="auto" w:before="0"/>
        <w:rPr>
          <w:rFonts w:ascii="Times New Roman" w:hAnsi="Times New Roman" w:cs="Times New Roman" w:eastAsia="Times New Roman" w:hint="default"/>
          <w:sz w:val="20"/>
          <w:szCs w:val="20"/>
        </w:rPr>
      </w:pPr>
      <w:r>
        <w:rPr/>
        <w:pict>
          <v:group style="position:absolute;margin-left:491.76001pt;margin-top:580.119995pt;width:43pt;height:62.4pt;mso-position-horizontal-relative:page;mso-position-vertical-relative:page;z-index:-944416" coordorigin="9835,11602" coordsize="860,1248">
            <v:shape style="position:absolute;left:9835;top:11602;width:860;height:1248" coordorigin="9835,11602" coordsize="860,1248" path="m9835,12850l10694,12850,10694,11602,9835,11602,9835,12850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pStyle w:val="Heading4"/>
        <w:spacing w:line="240" w:lineRule="auto" w:before="158"/>
        <w:ind w:left="153"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1289"/>
        <w:gridCol w:w="1088"/>
        <w:gridCol w:w="1450"/>
        <w:gridCol w:w="1417"/>
        <w:gridCol w:w="851"/>
        <w:gridCol w:w="709"/>
        <w:gridCol w:w="1274"/>
        <w:gridCol w:w="496"/>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8" w:right="89"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3" w:right="72" w:hanging="540"/>
              <w:jc w:val="left"/>
              <w:rPr>
                <w:rFonts w:ascii="宋体" w:hAnsi="宋体" w:cs="宋体" w:eastAsia="宋体" w:hint="default"/>
                <w:sz w:val="18"/>
                <w:szCs w:val="18"/>
              </w:rPr>
            </w:pPr>
            <w:r>
              <w:rPr>
                <w:rFonts w:ascii="宋体" w:hAnsi="宋体" w:cs="宋体" w:eastAsia="宋体" w:hint="default"/>
                <w:sz w:val="18"/>
                <w:szCs w:val="18"/>
              </w:rPr>
              <w:t>报告期内购入金 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left"/>
              <w:rPr>
                <w:rFonts w:ascii="宋体" w:hAnsi="宋体" w:cs="宋体" w:eastAsia="宋体" w:hint="default"/>
                <w:sz w:val="18"/>
                <w:szCs w:val="18"/>
              </w:rPr>
            </w:pPr>
            <w:r>
              <w:rPr>
                <w:rFonts w:ascii="宋体" w:hAnsi="宋体" w:cs="宋体" w:eastAsia="宋体" w:hint="default"/>
                <w:sz w:val="18"/>
                <w:szCs w:val="18"/>
              </w:rPr>
              <w:t>累计投 资收益</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6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center"/>
              <w:rPr>
                <w:rFonts w:ascii="Times New Roman" w:hAnsi="Times New Roman" w:cs="Times New Roman" w:eastAsia="Times New Roman" w:hint="default"/>
                <w:sz w:val="18"/>
                <w:szCs w:val="18"/>
              </w:rPr>
            </w:pPr>
            <w:r>
              <w:rPr>
                <w:rFonts w:ascii="Times New Roman"/>
                <w:sz w:val="18"/>
              </w:rPr>
              <w:t>130,684,404.74</w:t>
            </w:r>
          </w:p>
        </w:tc>
        <w:tc>
          <w:tcPr>
            <w:tcW w:w="108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27,953,813.62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130,684,404.74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center"/>
              <w:rPr>
                <w:rFonts w:ascii="Times New Roman" w:hAnsi="Times New Roman" w:cs="Times New Roman" w:eastAsia="Times New Roman" w:hint="default"/>
                <w:sz w:val="18"/>
                <w:szCs w:val="18"/>
              </w:rPr>
            </w:pPr>
            <w:r>
              <w:rPr>
                <w:rFonts w:ascii="Times New Roman"/>
                <w:sz w:val="18"/>
              </w:rPr>
              <w:t>158,638,218.36</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8"/>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center"/>
              <w:rPr>
                <w:rFonts w:ascii="Times New Roman" w:hAnsi="Times New Roman" w:cs="Times New Roman" w:eastAsia="Times New Roman" w:hint="default"/>
                <w:sz w:val="18"/>
                <w:szCs w:val="18"/>
              </w:rPr>
            </w:pPr>
            <w:r>
              <w:rPr>
                <w:rFonts w:ascii="Times New Roman"/>
                <w:sz w:val="18"/>
              </w:rPr>
              <w:t>130,684,404.74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27,953,813.62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130,684,404.74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center"/>
              <w:rPr>
                <w:rFonts w:ascii="Times New Roman" w:hAnsi="Times New Roman" w:cs="Times New Roman" w:eastAsia="Times New Roman" w:hint="default"/>
                <w:sz w:val="18"/>
                <w:szCs w:val="18"/>
              </w:rPr>
            </w:pPr>
            <w:r>
              <w:rPr>
                <w:rFonts w:ascii="Times New Roman"/>
                <w:sz w:val="18"/>
              </w:rPr>
              <w:t>158,638,218.36</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89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3" w:right="0"/>
              <w:jc w:val="left"/>
              <w:rPr>
                <w:rFonts w:ascii="Times New Roman" w:hAnsi="Times New Roman" w:cs="Times New Roman" w:eastAsia="Times New Roman" w:hint="default"/>
                <w:sz w:val="18"/>
                <w:szCs w:val="18"/>
              </w:rPr>
            </w:pPr>
            <w:r>
              <w:rPr>
                <w:rFonts w:ascii="Times New Roman"/>
                <w:sz w:val="18"/>
              </w:rPr>
              <w:t>238,887.93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3" w:right="0"/>
              <w:jc w:val="center"/>
              <w:rPr>
                <w:rFonts w:ascii="Times New Roman" w:hAnsi="Times New Roman" w:cs="Times New Roman" w:eastAsia="Times New Roman" w:hint="default"/>
                <w:sz w:val="18"/>
                <w:szCs w:val="18"/>
              </w:rPr>
            </w:pPr>
            <w:r>
              <w:rPr>
                <w:rFonts w:ascii="Times New Roman"/>
                <w:sz w:val="18"/>
              </w:rPr>
              <w:t>98,887.93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2" w:right="0"/>
              <w:jc w:val="center"/>
              <w:rPr>
                <w:rFonts w:ascii="Times New Roman" w:hAnsi="Times New Roman" w:cs="Times New Roman" w:eastAsia="Times New Roman" w:hint="default"/>
                <w:sz w:val="18"/>
                <w:szCs w:val="18"/>
              </w:rPr>
            </w:pPr>
            <w:r>
              <w:rPr>
                <w:rFonts w:ascii="Times New Roman"/>
                <w:sz w:val="18"/>
              </w:rPr>
              <w:t>98,887.93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140,000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尚未使用 的募集资 金均存放 于公司募 集资金专 户</w:t>
            </w:r>
            <w:r>
              <w:rPr>
                <w:rFonts w:ascii="Times New Roman" w:hAnsi="Times New Roman" w:cs="Times New Roman" w:eastAsia="Times New Roman" w:hint="default"/>
                <w:sz w:val="18"/>
                <w:szCs w:val="18"/>
              </w:rPr>
              <w:t>,</w:t>
            </w:r>
            <w:r>
              <w:rPr>
                <w:rFonts w:ascii="宋体" w:hAnsi="宋体" w:cs="宋体" w:eastAsia="宋体" w:hint="default"/>
                <w:sz w:val="18"/>
                <w:szCs w:val="18"/>
              </w:rPr>
              <w:t>用于募 集资金投 资项目的 后续投入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238,887.93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98,887.93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98,887.93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9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b/>
                <w:bCs/>
                <w:sz w:val="18"/>
                <w:szCs w:val="18"/>
              </w:rPr>
              <w:t>一、募集资金基本情况</w:t>
            </w:r>
            <w:r>
              <w:rPr>
                <w:rFonts w:ascii="宋体" w:hAnsi="宋体" w:cs="宋体" w:eastAsia="宋体" w:hint="default"/>
                <w:sz w:val="18"/>
                <w:szCs w:val="18"/>
              </w:rPr>
            </w:r>
          </w:p>
          <w:p>
            <w:pPr>
              <w:pStyle w:val="TableParagraph"/>
              <w:spacing w:line="240" w:lineRule="auto" w:before="117"/>
              <w:ind w:left="382" w:right="0"/>
              <w:jc w:val="left"/>
              <w:rPr>
                <w:rFonts w:ascii="宋体" w:hAnsi="宋体" w:cs="宋体" w:eastAsia="宋体" w:hint="default"/>
                <w:sz w:val="18"/>
                <w:szCs w:val="18"/>
              </w:rPr>
            </w:pPr>
            <w:r>
              <w:rPr>
                <w:rFonts w:ascii="宋体" w:hAnsi="宋体" w:cs="宋体" w:eastAsia="宋体" w:hint="default"/>
                <w:sz w:val="18"/>
                <w:szCs w:val="18"/>
              </w:rPr>
              <w:t>（一）石基募集资金数额和资金到位时间</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Arial" w:hAnsi="Arial" w:cs="Arial" w:eastAsia="Arial" w:hint="default"/>
                <w:sz w:val="18"/>
                <w:szCs w:val="18"/>
              </w:rPr>
              <w:t>[2015]2456</w:t>
            </w:r>
            <w:r>
              <w:rPr>
                <w:rFonts w:ascii="Arial" w:hAnsi="Arial" w:cs="Arial" w:eastAsia="Arial" w:hint="default"/>
                <w:spacing w:val="2"/>
                <w:sz w:val="18"/>
                <w:szCs w:val="18"/>
              </w:rPr>
              <w:t> </w:t>
            </w:r>
            <w:r>
              <w:rPr>
                <w:rFonts w:ascii="宋体" w:hAnsi="宋体" w:cs="宋体" w:eastAsia="宋体" w:hint="default"/>
                <w:spacing w:val="-3"/>
                <w:sz w:val="18"/>
                <w:szCs w:val="18"/>
              </w:rPr>
              <w:t>号文核准，公司获准向淘宝（中国）软件有限公司非公开发行不超过</w:t>
            </w:r>
          </w:p>
          <w:p>
            <w:pPr>
              <w:pStyle w:val="TableParagraph"/>
              <w:spacing w:line="240" w:lineRule="auto" w:before="63"/>
              <w:ind w:left="22" w:right="0"/>
              <w:jc w:val="left"/>
              <w:rPr>
                <w:rFonts w:ascii="宋体" w:hAnsi="宋体" w:cs="宋体" w:eastAsia="宋体" w:hint="default"/>
                <w:sz w:val="18"/>
                <w:szCs w:val="18"/>
              </w:rPr>
            </w:pPr>
            <w:r>
              <w:rPr>
                <w:rFonts w:ascii="Arial" w:hAnsi="Arial" w:cs="Arial" w:eastAsia="Arial" w:hint="default"/>
                <w:sz w:val="18"/>
                <w:szCs w:val="18"/>
              </w:rPr>
              <w:t>46,476,251.00</w:t>
            </w:r>
            <w:r>
              <w:rPr>
                <w:rFonts w:ascii="Arial" w:hAnsi="Arial" w:cs="Arial" w:eastAsia="Arial" w:hint="default"/>
                <w:spacing w:val="1"/>
                <w:sz w:val="18"/>
                <w:szCs w:val="18"/>
              </w:rPr>
              <w:t> </w:t>
            </w:r>
            <w:r>
              <w:rPr>
                <w:rFonts w:ascii="宋体" w:hAnsi="宋体" w:cs="宋体" w:eastAsia="宋体" w:hint="default"/>
                <w:sz w:val="18"/>
                <w:szCs w:val="18"/>
              </w:rPr>
              <w:t>股新股，实际发行股票数量为</w:t>
            </w:r>
            <w:r>
              <w:rPr>
                <w:rFonts w:ascii="宋体" w:hAnsi="宋体" w:cs="宋体" w:eastAsia="宋体" w:hint="default"/>
                <w:spacing w:val="-41"/>
                <w:sz w:val="18"/>
                <w:szCs w:val="18"/>
              </w:rPr>
              <w:t> </w:t>
            </w:r>
            <w:r>
              <w:rPr>
                <w:rFonts w:ascii="Arial" w:hAnsi="Arial" w:cs="Arial" w:eastAsia="Arial" w:hint="default"/>
                <w:sz w:val="18"/>
                <w:szCs w:val="18"/>
              </w:rPr>
              <w:t>46,476,251.00</w:t>
            </w:r>
            <w:r>
              <w:rPr>
                <w:rFonts w:ascii="Arial" w:hAnsi="Arial" w:cs="Arial" w:eastAsia="Arial" w:hint="default"/>
                <w:spacing w:val="-1"/>
                <w:sz w:val="18"/>
                <w:szCs w:val="18"/>
              </w:rPr>
              <w:t> </w:t>
            </w:r>
            <w:r>
              <w:rPr>
                <w:rFonts w:ascii="宋体" w:hAnsi="宋体" w:cs="宋体" w:eastAsia="宋体" w:hint="default"/>
                <w:sz w:val="18"/>
                <w:szCs w:val="18"/>
              </w:rPr>
              <w:t>股，每股面值</w:t>
            </w:r>
            <w:r>
              <w:rPr>
                <w:rFonts w:ascii="宋体" w:hAnsi="宋体" w:cs="宋体" w:eastAsia="宋体" w:hint="default"/>
                <w:spacing w:val="-41"/>
                <w:sz w:val="18"/>
                <w:szCs w:val="18"/>
              </w:rPr>
              <w:t> </w:t>
            </w:r>
            <w:r>
              <w:rPr>
                <w:rFonts w:ascii="Arial" w:hAnsi="Arial" w:cs="Arial" w:eastAsia="Arial" w:hint="default"/>
                <w:sz w:val="18"/>
                <w:szCs w:val="18"/>
              </w:rPr>
              <w:t>1</w:t>
            </w:r>
            <w:r>
              <w:rPr>
                <w:rFonts w:ascii="Arial" w:hAnsi="Arial" w:cs="Arial" w:eastAsia="Arial" w:hint="default"/>
                <w:spacing w:val="-2"/>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41"/>
                <w:sz w:val="18"/>
                <w:szCs w:val="18"/>
              </w:rPr>
              <w:t> </w:t>
            </w:r>
            <w:r>
              <w:rPr>
                <w:rFonts w:ascii="Arial" w:hAnsi="Arial" w:cs="Arial" w:eastAsia="Arial" w:hint="default"/>
                <w:sz w:val="18"/>
                <w:szCs w:val="18"/>
              </w:rPr>
              <w:t>51.40</w:t>
            </w:r>
            <w:r>
              <w:rPr>
                <w:rFonts w:ascii="Arial" w:hAnsi="Arial" w:cs="Arial" w:eastAsia="Arial" w:hint="default"/>
                <w:spacing w:val="-1"/>
                <w:sz w:val="18"/>
                <w:szCs w:val="18"/>
              </w:rPr>
              <w:t> </w:t>
            </w:r>
            <w:r>
              <w:rPr>
                <w:rFonts w:ascii="宋体" w:hAnsi="宋体" w:cs="宋体" w:eastAsia="宋体" w:hint="default"/>
                <w:sz w:val="18"/>
                <w:szCs w:val="18"/>
              </w:rPr>
              <w:t>元。公司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本次非公开发行股票募集资金总额为人民币</w:t>
            </w:r>
            <w:r>
              <w:rPr>
                <w:rFonts w:ascii="宋体" w:hAnsi="宋体" w:cs="宋体" w:eastAsia="宋体" w:hint="default"/>
                <w:spacing w:val="-45"/>
                <w:sz w:val="18"/>
                <w:szCs w:val="18"/>
              </w:rPr>
              <w:t> </w:t>
            </w:r>
            <w:r>
              <w:rPr>
                <w:rFonts w:ascii="Arial" w:hAnsi="Arial" w:cs="Arial" w:eastAsia="Arial" w:hint="default"/>
                <w:sz w:val="18"/>
                <w:szCs w:val="18"/>
              </w:rPr>
              <w:t>2,388,879,301.40</w:t>
            </w:r>
            <w:r>
              <w:rPr>
                <w:rFonts w:ascii="Arial" w:hAnsi="Arial" w:cs="Arial" w:eastAsia="Arial" w:hint="default"/>
                <w:spacing w:val="-5"/>
                <w:sz w:val="18"/>
                <w:szCs w:val="18"/>
              </w:rPr>
              <w:t> </w:t>
            </w:r>
            <w:r>
              <w:rPr>
                <w:rFonts w:ascii="宋体" w:hAnsi="宋体" w:cs="宋体" w:eastAsia="宋体" w:hint="default"/>
                <w:spacing w:val="-3"/>
                <w:sz w:val="18"/>
                <w:szCs w:val="18"/>
              </w:rPr>
              <w:t>元，扣除各项发行费用人民币</w:t>
            </w:r>
            <w:r>
              <w:rPr>
                <w:rFonts w:ascii="宋体" w:hAnsi="宋体" w:cs="宋体" w:eastAsia="宋体" w:hint="default"/>
                <w:spacing w:val="-45"/>
                <w:sz w:val="18"/>
                <w:szCs w:val="18"/>
              </w:rPr>
              <w:t> </w:t>
            </w:r>
            <w:r>
              <w:rPr>
                <w:rFonts w:ascii="Arial" w:hAnsi="Arial" w:cs="Arial" w:eastAsia="Arial" w:hint="default"/>
                <w:sz w:val="18"/>
                <w:szCs w:val="18"/>
              </w:rPr>
              <w:t>16,706,875.25</w:t>
            </w:r>
            <w:r>
              <w:rPr>
                <w:rFonts w:ascii="Arial" w:hAnsi="Arial" w:cs="Arial" w:eastAsia="Arial" w:hint="default"/>
                <w:spacing w:val="-5"/>
                <w:sz w:val="18"/>
                <w:szCs w:val="18"/>
              </w:rPr>
              <w:t> </w:t>
            </w:r>
            <w:r>
              <w:rPr>
                <w:rFonts w:ascii="宋体" w:hAnsi="宋体" w:cs="宋体" w:eastAsia="宋体" w:hint="default"/>
                <w:spacing w:val="-6"/>
                <w:sz w:val="18"/>
                <w:szCs w:val="18"/>
              </w:rPr>
              <w:t>元，实际募集</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1910" w:h="16840"/>
          <w:pgMar w:header="877" w:footer="979" w:top="1060" w:bottom="1160" w:left="980" w:right="0"/>
          <w:pgNumType w:start="2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1144" w:firstLine="0"/>
        <w:jc w:val="right"/>
        <w:rPr>
          <w:rFonts w:ascii="宋体" w:hAnsi="宋体" w:cs="宋体" w:eastAsia="宋体" w:hint="default"/>
          <w:sz w:val="18"/>
          <w:szCs w:val="18"/>
        </w:rPr>
      </w:pPr>
      <w:r>
        <w:rPr/>
        <w:pict>
          <v:shape style="position:absolute;margin-left:56.459999pt;margin-top:-215.828262pt;width:479pt;height:456.9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3224"/>
                    <w:gridCol w:w="2162"/>
                    <w:gridCol w:w="1136"/>
                    <w:gridCol w:w="1560"/>
                    <w:gridCol w:w="774"/>
                  </w:tblGrid>
                  <w:tr>
                    <w:trPr>
                      <w:trHeight w:val="6298" w:hRule="exact"/>
                    </w:trPr>
                    <w:tc>
                      <w:tcPr>
                        <w:tcW w:w="9565" w:type="dxa"/>
                        <w:gridSpan w:val="6"/>
                        <w:tcBorders>
                          <w:top w:val="single" w:sz="4" w:space="0" w:color="000000"/>
                          <w:left w:val="single" w:sz="4" w:space="0" w:color="000000"/>
                          <w:bottom w:val="nil" w:sz="6" w:space="0" w:color="auto"/>
                          <w:right w:val="single" w:sz="4" w:space="0" w:color="000000"/>
                        </w:tcBorders>
                      </w:tcPr>
                      <w:p>
                        <w:pPr>
                          <w:pStyle w:val="TableParagraph"/>
                          <w:spacing w:line="302"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资金净额为人民币</w:t>
                        </w:r>
                        <w:r>
                          <w:rPr>
                            <w:rFonts w:ascii="宋体" w:hAnsi="宋体" w:cs="宋体" w:eastAsia="宋体" w:hint="default"/>
                            <w:spacing w:val="-36"/>
                            <w:sz w:val="18"/>
                            <w:szCs w:val="18"/>
                          </w:rPr>
                          <w:t> </w:t>
                        </w:r>
                        <w:r>
                          <w:rPr>
                            <w:rFonts w:ascii="Arial" w:hAnsi="Arial" w:cs="Arial" w:eastAsia="Arial" w:hint="default"/>
                            <w:sz w:val="18"/>
                            <w:szCs w:val="18"/>
                          </w:rPr>
                          <w:t>2,372,172,426.15</w:t>
                        </w:r>
                        <w:r>
                          <w:rPr>
                            <w:rFonts w:ascii="Arial" w:hAnsi="Arial" w:cs="Arial" w:eastAsia="Arial" w:hint="default"/>
                            <w:spacing w:val="4"/>
                            <w:sz w:val="18"/>
                            <w:szCs w:val="18"/>
                          </w:rPr>
                          <w:t> </w:t>
                        </w:r>
                        <w:r>
                          <w:rPr>
                            <w:rFonts w:ascii="宋体" w:hAnsi="宋体" w:cs="宋体" w:eastAsia="宋体" w:hint="default"/>
                            <w:sz w:val="18"/>
                            <w:szCs w:val="18"/>
                          </w:rPr>
                          <w:t>元。该项募集资金已于</w:t>
                        </w:r>
                        <w:r>
                          <w:rPr>
                            <w:rFonts w:ascii="宋体" w:hAnsi="宋体" w:cs="宋体" w:eastAsia="宋体" w:hint="default"/>
                            <w:spacing w:val="-1"/>
                            <w:sz w:val="18"/>
                            <w:szCs w:val="18"/>
                          </w:rPr>
                          <w:t> </w:t>
                        </w:r>
                        <w:r>
                          <w:rPr>
                            <w:rFonts w:ascii="Arial" w:hAnsi="Arial" w:cs="Arial" w:eastAsia="Arial" w:hint="default"/>
                            <w:sz w:val="18"/>
                            <w:szCs w:val="18"/>
                          </w:rPr>
                          <w:t>2015</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Arial" w:hAnsi="Arial" w:cs="Arial" w:eastAsia="Arial" w:hint="default"/>
                            <w:spacing w:val="-7"/>
                            <w:sz w:val="18"/>
                            <w:szCs w:val="18"/>
                          </w:rPr>
                          <w:t>11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Arial" w:hAnsi="Arial" w:cs="Arial" w:eastAsia="Arial" w:hint="default"/>
                            <w:sz w:val="18"/>
                            <w:szCs w:val="18"/>
                          </w:rPr>
                          <w:t>23</w:t>
                        </w:r>
                        <w:r>
                          <w:rPr>
                            <w:rFonts w:ascii="Arial" w:hAnsi="Arial" w:cs="Arial" w:eastAsia="Arial" w:hint="default"/>
                            <w:spacing w:val="3"/>
                            <w:sz w:val="18"/>
                            <w:szCs w:val="18"/>
                          </w:rPr>
                          <w:t> </w:t>
                        </w:r>
                        <w:r>
                          <w:rPr>
                            <w:rFonts w:ascii="宋体" w:hAnsi="宋体" w:cs="宋体" w:eastAsia="宋体" w:hint="default"/>
                            <w:sz w:val="18"/>
                            <w:szCs w:val="18"/>
                          </w:rPr>
                          <w:t>日到位，业经中审众环会计师事务所（特 殊普通合伙）验证并出具了众环验字</w:t>
                        </w:r>
                        <w:r>
                          <w:rPr>
                            <w:rFonts w:ascii="Arial" w:hAnsi="Arial" w:cs="Arial" w:eastAsia="Arial" w:hint="default"/>
                            <w:sz w:val="18"/>
                            <w:szCs w:val="18"/>
                          </w:rPr>
                          <w:t>[2015]010119</w:t>
                        </w:r>
                        <w:r>
                          <w:rPr>
                            <w:rFonts w:ascii="Arial" w:hAnsi="Arial" w:cs="Arial" w:eastAsia="Arial" w:hint="default"/>
                            <w:spacing w:val="-22"/>
                            <w:sz w:val="18"/>
                            <w:szCs w:val="18"/>
                          </w:rPr>
                          <w:t> </w:t>
                        </w:r>
                        <w:r>
                          <w:rPr>
                            <w:rFonts w:ascii="宋体" w:hAnsi="宋体" w:cs="宋体" w:eastAsia="宋体" w:hint="default"/>
                            <w:sz w:val="18"/>
                            <w:szCs w:val="18"/>
                          </w:rPr>
                          <w:t>号验资报告。</w:t>
                        </w:r>
                      </w:p>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（二）以前年度已使用金额、本年度使用金额及当前余额</w:t>
                        </w:r>
                      </w:p>
                      <w:p>
                        <w:pPr>
                          <w:pStyle w:val="TableParagraph"/>
                          <w:spacing w:line="302" w:lineRule="auto" w:before="115"/>
                          <w:ind w:left="22" w:right="22" w:firstLine="36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31"/>
                            <w:sz w:val="18"/>
                            <w:szCs w:val="18"/>
                          </w:rPr>
                          <w:t> </w:t>
                        </w: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r>
                          <w:rPr>
                            <w:rFonts w:ascii="宋体" w:hAnsi="宋体" w:cs="宋体" w:eastAsia="宋体" w:hint="default"/>
                            <w:spacing w:val="-2"/>
                            <w:sz w:val="18"/>
                            <w:szCs w:val="18"/>
                          </w:rPr>
                          <w:t> </w:t>
                        </w:r>
                        <w:r>
                          <w:rPr>
                            <w:rFonts w:ascii="宋体" w:hAnsi="宋体" w:cs="宋体" w:eastAsia="宋体" w:hint="default"/>
                            <w:sz w:val="18"/>
                            <w:szCs w:val="18"/>
                          </w:rPr>
                          <w:t>本公司募集资金投资项目累计投入资金</w:t>
                        </w:r>
                        <w:r>
                          <w:rPr>
                            <w:rFonts w:ascii="宋体" w:hAnsi="宋体" w:cs="宋体" w:eastAsia="宋体" w:hint="default"/>
                            <w:spacing w:val="-31"/>
                            <w:sz w:val="18"/>
                            <w:szCs w:val="18"/>
                          </w:rPr>
                          <w:t> </w:t>
                        </w:r>
                        <w:r>
                          <w:rPr>
                            <w:rFonts w:ascii="Arial" w:hAnsi="Arial" w:cs="Arial" w:eastAsia="Arial" w:hint="default"/>
                            <w:sz w:val="18"/>
                            <w:szCs w:val="18"/>
                          </w:rPr>
                          <w:t>988,879,301.40</w:t>
                        </w:r>
                        <w:r>
                          <w:rPr>
                            <w:rFonts w:ascii="Arial" w:hAnsi="Arial" w:cs="Arial" w:eastAsia="Arial" w:hint="default"/>
                            <w:spacing w:val="9"/>
                            <w:sz w:val="18"/>
                            <w:szCs w:val="18"/>
                          </w:rPr>
                          <w:t> </w:t>
                        </w:r>
                        <w:r>
                          <w:rPr>
                            <w:rFonts w:ascii="宋体" w:hAnsi="宋体" w:cs="宋体" w:eastAsia="宋体" w:hint="default"/>
                            <w:sz w:val="18"/>
                            <w:szCs w:val="18"/>
                          </w:rPr>
                          <w:t>元（用于补充流动资金项目）</w:t>
                        </w:r>
                        <w:r>
                          <w:rPr>
                            <w:rFonts w:ascii="Arial" w:hAnsi="Arial" w:cs="Arial" w:eastAsia="Arial" w:hint="default"/>
                            <w:sz w:val="18"/>
                            <w:szCs w:val="18"/>
                          </w:rPr>
                          <w:t>,</w:t>
                        </w:r>
                        <w:r>
                          <w:rPr>
                            <w:rFonts w:ascii="Arial" w:hAnsi="Arial" w:cs="Arial" w:eastAsia="Arial" w:hint="default"/>
                            <w:w w:val="100"/>
                            <w:sz w:val="18"/>
                            <w:szCs w:val="18"/>
                          </w:rPr>
                          <w:t> </w:t>
                        </w:r>
                        <w:r>
                          <w:rPr>
                            <w:rFonts w:ascii="宋体" w:hAnsi="宋体" w:cs="宋体" w:eastAsia="宋体" w:hint="default"/>
                            <w:sz w:val="18"/>
                            <w:szCs w:val="18"/>
                          </w:rPr>
                          <w:t>其中：</w:t>
                        </w: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年度投入</w:t>
                        </w:r>
                        <w:r>
                          <w:rPr>
                            <w:rFonts w:ascii="宋体" w:hAnsi="宋体" w:cs="宋体" w:eastAsia="宋体" w:hint="default"/>
                            <w:spacing w:val="-47"/>
                            <w:sz w:val="18"/>
                            <w:szCs w:val="18"/>
                          </w:rPr>
                          <w:t> </w:t>
                        </w:r>
                        <w:r>
                          <w:rPr>
                            <w:rFonts w:ascii="Arial" w:hAnsi="Arial" w:cs="Arial" w:eastAsia="Arial" w:hint="default"/>
                            <w:sz w:val="18"/>
                            <w:szCs w:val="18"/>
                          </w:rPr>
                          <w:t>988,879,301.40</w:t>
                        </w:r>
                        <w:r>
                          <w:rPr>
                            <w:rFonts w:ascii="Arial" w:hAnsi="Arial" w:cs="Arial" w:eastAsia="Arial" w:hint="default"/>
                            <w:spacing w:val="-7"/>
                            <w:sz w:val="18"/>
                            <w:szCs w:val="18"/>
                          </w:rPr>
                          <w:t> </w:t>
                        </w:r>
                        <w:r>
                          <w:rPr>
                            <w:rFonts w:ascii="宋体" w:hAnsi="宋体" w:cs="宋体" w:eastAsia="宋体" w:hint="default"/>
                            <w:sz w:val="18"/>
                            <w:szCs w:val="18"/>
                          </w:rPr>
                          <w:t>元。</w:t>
                        </w:r>
                      </w:p>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1"/>
                            <w:sz w:val="18"/>
                            <w:szCs w:val="18"/>
                          </w:rPr>
                          <w:t> </w:t>
                        </w: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12</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Arial" w:hAnsi="Arial" w:cs="Arial" w:eastAsia="Arial" w:hint="default"/>
                            <w:sz w:val="18"/>
                            <w:szCs w:val="18"/>
                          </w:rPr>
                          <w:t>31</w:t>
                        </w:r>
                        <w:r>
                          <w:rPr>
                            <w:rFonts w:ascii="Arial" w:hAnsi="Arial" w:cs="Arial" w:eastAsia="Arial" w:hint="default"/>
                            <w:spacing w:val="-12"/>
                            <w:sz w:val="18"/>
                            <w:szCs w:val="18"/>
                          </w:rPr>
                          <w:t> </w:t>
                        </w:r>
                        <w:r>
                          <w:rPr>
                            <w:rFonts w:ascii="宋体" w:hAnsi="宋体" w:cs="宋体" w:eastAsia="宋体" w:hint="default"/>
                            <w:spacing w:val="-3"/>
                            <w:sz w:val="18"/>
                            <w:szCs w:val="18"/>
                          </w:rPr>
                          <w:t>日，本公司募集资金专户余额为</w:t>
                        </w:r>
                        <w:r>
                          <w:rPr>
                            <w:rFonts w:ascii="宋体" w:hAnsi="宋体" w:cs="宋体" w:eastAsia="宋体" w:hint="default"/>
                            <w:spacing w:val="-51"/>
                            <w:sz w:val="18"/>
                            <w:szCs w:val="18"/>
                          </w:rPr>
                          <w:t> </w:t>
                        </w:r>
                        <w:r>
                          <w:rPr>
                            <w:rFonts w:ascii="Arial" w:hAnsi="Arial" w:cs="Arial" w:eastAsia="Arial" w:hint="default"/>
                            <w:sz w:val="18"/>
                            <w:szCs w:val="18"/>
                          </w:rPr>
                          <w:t>1,405,522,249.42</w:t>
                        </w:r>
                        <w:r>
                          <w:rPr>
                            <w:rFonts w:ascii="Arial" w:hAnsi="Arial" w:cs="Arial" w:eastAsia="Arial" w:hint="default"/>
                            <w:spacing w:val="-10"/>
                            <w:sz w:val="18"/>
                            <w:szCs w:val="18"/>
                          </w:rPr>
                          <w:t> </w:t>
                        </w:r>
                        <w:r>
                          <w:rPr>
                            <w:rFonts w:ascii="宋体" w:hAnsi="宋体" w:cs="宋体" w:eastAsia="宋体" w:hint="default"/>
                            <w:sz w:val="18"/>
                            <w:szCs w:val="18"/>
                          </w:rPr>
                          <w:t>元（含募集资金存放在银行所收到的银行利</w:t>
                        </w:r>
                      </w:p>
                      <w:p>
                        <w:pPr>
                          <w:pStyle w:val="TableParagraph"/>
                          <w:spacing w:line="340" w:lineRule="auto" w:before="65"/>
                          <w:ind w:left="384" w:right="5689" w:hanging="362"/>
                          <w:jc w:val="left"/>
                          <w:rPr>
                            <w:rFonts w:ascii="宋体" w:hAnsi="宋体" w:cs="宋体" w:eastAsia="宋体" w:hint="default"/>
                            <w:sz w:val="18"/>
                            <w:szCs w:val="18"/>
                          </w:rPr>
                        </w:pPr>
                        <w:r>
                          <w:rPr>
                            <w:rFonts w:ascii="宋体" w:hAnsi="宋体" w:cs="宋体" w:eastAsia="宋体" w:hint="default"/>
                            <w:sz w:val="18"/>
                            <w:szCs w:val="18"/>
                          </w:rPr>
                          <w:t>息扣除银行手续费等的净额</w:t>
                        </w:r>
                        <w:r>
                          <w:rPr>
                            <w:rFonts w:ascii="宋体" w:hAnsi="宋体" w:cs="宋体" w:eastAsia="宋体" w:hint="default"/>
                            <w:spacing w:val="-47"/>
                            <w:sz w:val="18"/>
                            <w:szCs w:val="18"/>
                          </w:rPr>
                          <w:t> </w:t>
                        </w:r>
                        <w:r>
                          <w:rPr>
                            <w:rFonts w:ascii="Arial" w:hAnsi="Arial" w:cs="Arial" w:eastAsia="Arial" w:hint="default"/>
                            <w:sz w:val="18"/>
                            <w:szCs w:val="18"/>
                          </w:rPr>
                          <w:t>5,522,249.42</w:t>
                        </w:r>
                        <w:r>
                          <w:rPr>
                            <w:rFonts w:ascii="Arial" w:hAnsi="Arial" w:cs="Arial" w:eastAsia="Arial" w:hint="default"/>
                            <w:spacing w:val="-7"/>
                            <w:sz w:val="18"/>
                            <w:szCs w:val="18"/>
                          </w:rPr>
                          <w:t> </w:t>
                        </w:r>
                        <w:r>
                          <w:rPr>
                            <w:rFonts w:ascii="宋体" w:hAnsi="宋体" w:cs="宋体" w:eastAsia="宋体" w:hint="default"/>
                            <w:sz w:val="18"/>
                            <w:szCs w:val="18"/>
                          </w:rPr>
                          <w:t>元）。 </w:t>
                        </w:r>
                        <w:r>
                          <w:rPr>
                            <w:rFonts w:ascii="宋体" w:hAnsi="宋体" w:cs="宋体" w:eastAsia="宋体" w:hint="default"/>
                            <w:b/>
                            <w:bCs/>
                            <w:sz w:val="18"/>
                            <w:szCs w:val="18"/>
                          </w:rPr>
                          <w:t>二、募集资金存放和管理情况</w:t>
                        </w:r>
                        <w:r>
                          <w:rPr>
                            <w:rFonts w:ascii="宋体" w:hAnsi="宋体" w:cs="宋体" w:eastAsia="宋体" w:hint="default"/>
                            <w:sz w:val="18"/>
                            <w:szCs w:val="18"/>
                          </w:rPr>
                        </w:r>
                      </w:p>
                      <w:p>
                        <w:pPr>
                          <w:pStyle w:val="TableParagraph"/>
                          <w:spacing w:line="357" w:lineRule="auto" w:before="40"/>
                          <w:ind w:left="563" w:right="21" w:hanging="181"/>
                          <w:jc w:val="left"/>
                          <w:rPr>
                            <w:rFonts w:ascii="宋体" w:hAnsi="宋体" w:cs="宋体" w:eastAsia="宋体" w:hint="default"/>
                            <w:sz w:val="18"/>
                            <w:szCs w:val="18"/>
                          </w:rPr>
                        </w:pPr>
                        <w:r>
                          <w:rPr>
                            <w:rFonts w:ascii="宋体" w:hAnsi="宋体" w:cs="宋体" w:eastAsia="宋体" w:hint="default"/>
                            <w:sz w:val="18"/>
                            <w:szCs w:val="18"/>
                          </w:rPr>
                          <w:t>（一）募集资金管理情况 </w:t>
                        </w:r>
                        <w:r>
                          <w:rPr>
                            <w:rFonts w:ascii="宋体" w:hAnsi="宋体" w:cs="宋体" w:eastAsia="宋体" w:hint="default"/>
                            <w:spacing w:val="-1"/>
                            <w:sz w:val="18"/>
                            <w:szCs w:val="18"/>
                          </w:rPr>
                          <w:t>为了规范募集资金的使用和管理，保护投资者权益，本公司根据《中华人民共和国公司法》、《中华人民共和国证</w:t>
                        </w:r>
                      </w:p>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券法》、《上市公司证券发行管理办法》、《关于进一步规范上市公司募集资金使用的通知》、《深圳证券交易所中小企</w:t>
                        </w:r>
                      </w:p>
                      <w:p>
                        <w:pPr>
                          <w:pStyle w:val="TableParagraph"/>
                          <w:spacing w:line="314" w:lineRule="auto" w:before="76"/>
                          <w:ind w:left="22" w:right="23"/>
                          <w:jc w:val="left"/>
                          <w:rPr>
                            <w:rFonts w:ascii="宋体" w:hAnsi="宋体" w:cs="宋体" w:eastAsia="宋体" w:hint="default"/>
                            <w:sz w:val="18"/>
                            <w:szCs w:val="18"/>
                          </w:rPr>
                        </w:pPr>
                        <w:r>
                          <w:rPr>
                            <w:rFonts w:ascii="宋体" w:hAnsi="宋体" w:cs="宋体" w:eastAsia="宋体" w:hint="default"/>
                            <w:spacing w:val="-1"/>
                            <w:sz w:val="18"/>
                            <w:szCs w:val="18"/>
                          </w:rPr>
                          <w:t>业板上市公司规范运作指引》及《深圳证券交易所股票上市规则》等法律法规的规定，制定了《北京中长石基信息技术股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份有限公司募集资金管理制度》（以下简称“《管理制度》”）。根据上述管理制度的规定，公司对募集资金实行专户存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储，对募集资金实行严格的审批制度，便于对募集资金使用情况进行监督，以保证募集资金专款专用，</w:t>
                        </w:r>
                        <w:r>
                          <w:rPr>
                            <w:rFonts w:ascii="Arial" w:hAnsi="Arial" w:cs="Arial" w:eastAsia="Arial" w:hint="default"/>
                            <w:spacing w:val="-4"/>
                            <w:sz w:val="18"/>
                            <w:szCs w:val="18"/>
                          </w:rPr>
                          <w:t>2015</w:t>
                        </w:r>
                        <w:r>
                          <w:rPr>
                            <w:rFonts w:ascii="Arial" w:hAnsi="Arial" w:cs="Arial" w:eastAsia="Arial" w:hint="default"/>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12</w:t>
                        </w:r>
                        <w:r>
                          <w:rPr>
                            <w:rFonts w:ascii="Arial" w:hAnsi="Arial" w:cs="Arial" w:eastAsia="Arial"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Arial" w:hAnsi="Arial" w:cs="Arial" w:eastAsia="Arial" w:hint="default"/>
                            <w:sz w:val="18"/>
                            <w:szCs w:val="18"/>
                          </w:rPr>
                          <w:t>2</w:t>
                        </w:r>
                        <w:r>
                          <w:rPr>
                            <w:rFonts w:ascii="Arial" w:hAnsi="Arial" w:cs="Arial" w:eastAsia="Arial"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6"/>
                            <w:sz w:val="18"/>
                            <w:szCs w:val="18"/>
                          </w:rPr>
                          <w:t> </w:t>
                        </w:r>
                        <w:r>
                          <w:rPr>
                            <w:rFonts w:ascii="宋体" w:hAnsi="宋体" w:cs="宋体" w:eastAsia="宋体" w:hint="default"/>
                            <w:spacing w:val="-1"/>
                            <w:sz w:val="18"/>
                            <w:szCs w:val="18"/>
                          </w:rPr>
                          <w:t>公司及保荐机构中信建投证券股份有限公司分别与募集资金专户所在银行中国工商银行股份有限公司北海分行、桂林银行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股份有限公司南宁东葛路支行签订了《募集资金三方监管协议》，明确了各方的权利和义务。三方监管协议与深圳证券交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易所三方监管协议范本不存在重大差异，本公司在使用募集资金时已经严格遵照履行。</w:t>
                        </w:r>
                      </w:p>
                      <w:p>
                        <w:pPr>
                          <w:pStyle w:val="TableParagraph"/>
                          <w:spacing w:line="240" w:lineRule="auto" w:before="61"/>
                          <w:ind w:left="382" w:right="0"/>
                          <w:jc w:val="left"/>
                          <w:rPr>
                            <w:rFonts w:ascii="宋体" w:hAnsi="宋体" w:cs="宋体" w:eastAsia="宋体" w:hint="default"/>
                            <w:sz w:val="18"/>
                            <w:szCs w:val="18"/>
                          </w:rPr>
                        </w:pPr>
                        <w:r>
                          <w:rPr>
                            <w:rFonts w:ascii="宋体" w:hAnsi="宋体" w:cs="宋体" w:eastAsia="宋体" w:hint="default"/>
                            <w:sz w:val="18"/>
                            <w:szCs w:val="18"/>
                          </w:rPr>
                          <w:t>（二）募集资金专户存储情况</w:t>
                        </w:r>
                      </w:p>
                      <w:p>
                        <w:pPr>
                          <w:pStyle w:val="TableParagraph"/>
                          <w:spacing w:line="240" w:lineRule="auto" w:before="116"/>
                          <w:ind w:left="38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日止，本公司募集资金专户存储情况如下：</w:t>
                        </w:r>
                      </w:p>
                    </w:tc>
                  </w:tr>
                  <w:tr>
                    <w:trPr>
                      <w:trHeight w:val="469" w:hRule="exact"/>
                    </w:trPr>
                    <w:tc>
                      <w:tcPr>
                        <w:tcW w:w="710" w:type="dxa"/>
                        <w:vMerge w:val="restart"/>
                        <w:tcBorders>
                          <w:top w:val="nil" w:sz="6" w:space="0" w:color="auto"/>
                          <w:left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账号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账户类型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43" w:right="0"/>
                          <w:jc w:val="left"/>
                          <w:rPr>
                            <w:rFonts w:ascii="宋体" w:hAnsi="宋体" w:cs="宋体" w:eastAsia="宋体" w:hint="default"/>
                            <w:sz w:val="18"/>
                            <w:szCs w:val="18"/>
                          </w:rPr>
                        </w:pPr>
                        <w:r>
                          <w:rPr>
                            <w:rFonts w:ascii="宋体" w:hAnsi="宋体" w:cs="宋体" w:eastAsia="宋体" w:hint="default"/>
                            <w:sz w:val="18"/>
                            <w:szCs w:val="18"/>
                          </w:rPr>
                          <w:t>存款金额（元）</w:t>
                        </w:r>
                      </w:p>
                    </w:tc>
                    <w:tc>
                      <w:tcPr>
                        <w:tcW w:w="774" w:type="dxa"/>
                        <w:vMerge w:val="restart"/>
                        <w:tcBorders>
                          <w:top w:val="nil" w:sz="6" w:space="0" w:color="auto"/>
                          <w:left w:val="single" w:sz="4" w:space="0" w:color="000000"/>
                          <w:right w:val="single" w:sz="4" w:space="0" w:color="000000"/>
                        </w:tcBorders>
                      </w:tcPr>
                      <w:p>
                        <w:pPr/>
                      </w:p>
                    </w:tc>
                  </w:tr>
                  <w:tr>
                    <w:trPr>
                      <w:trHeight w:val="470" w:hRule="exact"/>
                    </w:trPr>
                    <w:tc>
                      <w:tcPr>
                        <w:tcW w:w="710" w:type="dxa"/>
                        <w:vMerge/>
                        <w:tcBorders>
                          <w:left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中国工商银行股份有限公司北海分行</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 w:right="0"/>
                          <w:jc w:val="left"/>
                          <w:rPr>
                            <w:rFonts w:ascii="Arial" w:hAnsi="Arial" w:cs="Arial" w:eastAsia="Arial" w:hint="default"/>
                            <w:sz w:val="18"/>
                            <w:szCs w:val="18"/>
                          </w:rPr>
                        </w:pPr>
                        <w:r>
                          <w:rPr>
                            <w:rFonts w:ascii="Arial"/>
                            <w:sz w:val="18"/>
                          </w:rPr>
                          <w:t>2107530029300889995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专户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9"/>
                          <w:jc w:val="right"/>
                          <w:rPr>
                            <w:rFonts w:ascii="Arial" w:hAnsi="Arial" w:cs="Arial" w:eastAsia="Arial" w:hint="default"/>
                            <w:sz w:val="18"/>
                            <w:szCs w:val="18"/>
                          </w:rPr>
                        </w:pPr>
                        <w:r>
                          <w:rPr>
                            <w:rFonts w:ascii="Arial"/>
                            <w:spacing w:val="-1"/>
                            <w:sz w:val="18"/>
                          </w:rPr>
                          <w:t>687,249.42</w:t>
                        </w:r>
                      </w:p>
                    </w:tc>
                    <w:tc>
                      <w:tcPr>
                        <w:tcW w:w="774" w:type="dxa"/>
                        <w:vMerge/>
                        <w:tcBorders>
                          <w:left w:val="single" w:sz="4" w:space="0" w:color="000000"/>
                          <w:right w:val="single" w:sz="4" w:space="0" w:color="000000"/>
                        </w:tcBorders>
                      </w:tcPr>
                      <w:p>
                        <w:pPr/>
                      </w:p>
                    </w:tc>
                  </w:tr>
                  <w:tr>
                    <w:trPr>
                      <w:trHeight w:val="469" w:hRule="exact"/>
                    </w:trPr>
                    <w:tc>
                      <w:tcPr>
                        <w:tcW w:w="710" w:type="dxa"/>
                        <w:vMerge/>
                        <w:tcBorders>
                          <w:left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桂林银行股份有限公司南宁东葛路支行</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 w:right="0"/>
                          <w:jc w:val="left"/>
                          <w:rPr>
                            <w:rFonts w:ascii="Arial" w:hAnsi="Arial" w:cs="Arial" w:eastAsia="Arial" w:hint="default"/>
                            <w:sz w:val="18"/>
                            <w:szCs w:val="18"/>
                          </w:rPr>
                        </w:pPr>
                        <w:r>
                          <w:rPr>
                            <w:rFonts w:ascii="Arial"/>
                            <w:sz w:val="18"/>
                          </w:rPr>
                          <w:t>660200057036500010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专户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7"/>
                          <w:jc w:val="right"/>
                          <w:rPr>
                            <w:rFonts w:ascii="Arial" w:hAnsi="Arial" w:cs="Arial" w:eastAsia="Arial" w:hint="default"/>
                            <w:sz w:val="18"/>
                            <w:szCs w:val="18"/>
                          </w:rPr>
                        </w:pPr>
                        <w:r>
                          <w:rPr>
                            <w:rFonts w:ascii="Arial"/>
                            <w:spacing w:val="-1"/>
                            <w:sz w:val="18"/>
                          </w:rPr>
                          <w:t>752,625,000.00</w:t>
                        </w:r>
                      </w:p>
                    </w:tc>
                    <w:tc>
                      <w:tcPr>
                        <w:tcW w:w="774" w:type="dxa"/>
                        <w:vMerge/>
                        <w:tcBorders>
                          <w:left w:val="single" w:sz="4" w:space="0" w:color="000000"/>
                          <w:right w:val="single" w:sz="4" w:space="0" w:color="000000"/>
                        </w:tcBorders>
                      </w:tcPr>
                      <w:p>
                        <w:pPr/>
                      </w:p>
                    </w:tc>
                  </w:tr>
                  <w:tr>
                    <w:trPr>
                      <w:trHeight w:val="469" w:hRule="exact"/>
                    </w:trPr>
                    <w:tc>
                      <w:tcPr>
                        <w:tcW w:w="710" w:type="dxa"/>
                        <w:vMerge/>
                        <w:tcBorders>
                          <w:left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8" w:right="0"/>
                          <w:jc w:val="left"/>
                          <w:rPr>
                            <w:rFonts w:ascii="宋体" w:hAnsi="宋体" w:cs="宋体" w:eastAsia="宋体" w:hint="default"/>
                            <w:sz w:val="18"/>
                            <w:szCs w:val="18"/>
                          </w:rPr>
                        </w:pPr>
                        <w:r>
                          <w:rPr>
                            <w:rFonts w:ascii="宋体" w:hAnsi="宋体" w:cs="宋体" w:eastAsia="宋体" w:hint="default"/>
                            <w:sz w:val="18"/>
                            <w:szCs w:val="18"/>
                          </w:rPr>
                          <w:t>桂林银行股份有限公司南宁东葛路支行</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 w:right="0"/>
                          <w:jc w:val="left"/>
                          <w:rPr>
                            <w:rFonts w:ascii="Arial" w:hAnsi="Arial" w:cs="Arial" w:eastAsia="Arial" w:hint="default"/>
                            <w:sz w:val="18"/>
                            <w:szCs w:val="18"/>
                          </w:rPr>
                        </w:pPr>
                        <w:r>
                          <w:rPr>
                            <w:rFonts w:ascii="Arial"/>
                            <w:sz w:val="18"/>
                          </w:rPr>
                          <w:t>660200057036500020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专户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7"/>
                          <w:jc w:val="right"/>
                          <w:rPr>
                            <w:rFonts w:ascii="Arial" w:hAnsi="Arial" w:cs="Arial" w:eastAsia="Arial" w:hint="default"/>
                            <w:sz w:val="18"/>
                            <w:szCs w:val="18"/>
                          </w:rPr>
                        </w:pPr>
                        <w:r>
                          <w:rPr>
                            <w:rFonts w:ascii="Arial"/>
                            <w:spacing w:val="-1"/>
                            <w:sz w:val="18"/>
                          </w:rPr>
                          <w:t>351,190,000.00</w:t>
                        </w:r>
                      </w:p>
                    </w:tc>
                    <w:tc>
                      <w:tcPr>
                        <w:tcW w:w="774" w:type="dxa"/>
                        <w:vMerge/>
                        <w:tcBorders>
                          <w:left w:val="single" w:sz="4" w:space="0" w:color="000000"/>
                          <w:right w:val="single" w:sz="4" w:space="0" w:color="000000"/>
                        </w:tcBorders>
                      </w:tcPr>
                      <w:p>
                        <w:pPr/>
                      </w:p>
                    </w:tc>
                  </w:tr>
                  <w:tr>
                    <w:trPr>
                      <w:trHeight w:val="468" w:hRule="exact"/>
                    </w:trPr>
                    <w:tc>
                      <w:tcPr>
                        <w:tcW w:w="710" w:type="dxa"/>
                        <w:vMerge/>
                        <w:tcBorders>
                          <w:left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8" w:right="0"/>
                          <w:jc w:val="left"/>
                          <w:rPr>
                            <w:rFonts w:ascii="宋体" w:hAnsi="宋体" w:cs="宋体" w:eastAsia="宋体" w:hint="default"/>
                            <w:sz w:val="18"/>
                            <w:szCs w:val="18"/>
                          </w:rPr>
                        </w:pPr>
                        <w:r>
                          <w:rPr>
                            <w:rFonts w:ascii="宋体" w:hAnsi="宋体" w:cs="宋体" w:eastAsia="宋体" w:hint="default"/>
                            <w:sz w:val="18"/>
                            <w:szCs w:val="18"/>
                          </w:rPr>
                          <w:t>桂林银行股份有限公司南宁东葛路支行</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 w:right="0"/>
                          <w:jc w:val="left"/>
                          <w:rPr>
                            <w:rFonts w:ascii="Arial" w:hAnsi="Arial" w:cs="Arial" w:eastAsia="Arial" w:hint="default"/>
                            <w:sz w:val="18"/>
                            <w:szCs w:val="18"/>
                          </w:rPr>
                        </w:pPr>
                        <w:r>
                          <w:rPr>
                            <w:rFonts w:ascii="Arial"/>
                            <w:sz w:val="18"/>
                          </w:rPr>
                          <w:t>660200057036500039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专户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7"/>
                          <w:jc w:val="right"/>
                          <w:rPr>
                            <w:rFonts w:ascii="Arial" w:hAnsi="Arial" w:cs="Arial" w:eastAsia="Arial" w:hint="default"/>
                            <w:sz w:val="18"/>
                            <w:szCs w:val="18"/>
                          </w:rPr>
                        </w:pPr>
                        <w:r>
                          <w:rPr>
                            <w:rFonts w:ascii="Arial"/>
                            <w:spacing w:val="-1"/>
                            <w:sz w:val="18"/>
                          </w:rPr>
                          <w:t>301,020,000.00</w:t>
                        </w:r>
                      </w:p>
                    </w:tc>
                    <w:tc>
                      <w:tcPr>
                        <w:tcW w:w="774" w:type="dxa"/>
                        <w:vMerge/>
                        <w:tcBorders>
                          <w:left w:val="single" w:sz="4" w:space="0" w:color="000000"/>
                          <w:right w:val="single" w:sz="4" w:space="0" w:color="000000"/>
                        </w:tcBorders>
                      </w:tcPr>
                      <w:p>
                        <w:pPr/>
                      </w:p>
                    </w:tc>
                  </w:tr>
                  <w:tr>
                    <w:trPr>
                      <w:trHeight w:val="480" w:hRule="exact"/>
                    </w:trPr>
                    <w:tc>
                      <w:tcPr>
                        <w:tcW w:w="710" w:type="dxa"/>
                        <w:vMerge/>
                        <w:tcBorders>
                          <w:left w:val="single" w:sz="4" w:space="0" w:color="000000"/>
                          <w:bottom w:val="single" w:sz="4" w:space="0" w:color="000000"/>
                          <w:right w:val="single" w:sz="4" w:space="0" w:color="000000"/>
                        </w:tcBorders>
                      </w:tcPr>
                      <w:p>
                        <w:pPr/>
                      </w:p>
                    </w:tc>
                    <w:tc>
                      <w:tcPr>
                        <w:tcW w:w="322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2" w:type="dxa"/>
                        <w:tcBorders>
                          <w:top w:val="single" w:sz="4" w:space="0" w:color="000000"/>
                          <w:left w:val="single" w:sz="4" w:space="0" w:color="000000"/>
                          <w:bottom w:val="single" w:sz="8" w:space="0" w:color="000000"/>
                          <w:right w:val="single" w:sz="4" w:space="0" w:color="000000"/>
                        </w:tcBorders>
                      </w:tcPr>
                      <w:p>
                        <w:pPr/>
                      </w:p>
                    </w:tc>
                    <w:tc>
                      <w:tcPr>
                        <w:tcW w:w="1136" w:type="dxa"/>
                        <w:tcBorders>
                          <w:top w:val="single" w:sz="4" w:space="0" w:color="000000"/>
                          <w:left w:val="single" w:sz="4" w:space="0" w:color="000000"/>
                          <w:bottom w:val="single" w:sz="8" w:space="0" w:color="000000"/>
                          <w:right w:val="single" w:sz="4" w:space="0" w:color="000000"/>
                        </w:tcBorders>
                      </w:tcPr>
                      <w:p>
                        <w:pPr/>
                      </w:p>
                    </w:tc>
                    <w:tc>
                      <w:tcPr>
                        <w:tcW w:w="15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5"/>
                          <w:ind w:right="28"/>
                          <w:jc w:val="right"/>
                          <w:rPr>
                            <w:rFonts w:ascii="Arial" w:hAnsi="Arial" w:cs="Arial" w:eastAsia="Arial" w:hint="default"/>
                            <w:sz w:val="18"/>
                            <w:szCs w:val="18"/>
                          </w:rPr>
                        </w:pPr>
                        <w:r>
                          <w:rPr>
                            <w:rFonts w:ascii="Arial"/>
                            <w:spacing w:val="-1"/>
                            <w:sz w:val="18"/>
                          </w:rPr>
                          <w:t>1,405,522,249.42</w:t>
                        </w:r>
                      </w:p>
                    </w:tc>
                    <w:tc>
                      <w:tcPr>
                        <w:tcW w:w="774"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4"/>
        <w:spacing w:line="240" w:lineRule="auto" w:before="35"/>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851"/>
        <w:gridCol w:w="991"/>
        <w:gridCol w:w="993"/>
        <w:gridCol w:w="851"/>
        <w:gridCol w:w="851"/>
        <w:gridCol w:w="708"/>
        <w:gridCol w:w="852"/>
        <w:gridCol w:w="708"/>
        <w:gridCol w:w="708"/>
        <w:gridCol w:w="992"/>
      </w:tblGrid>
      <w:tr>
        <w:trPr>
          <w:trHeight w:val="1338"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85" w:right="3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9" w:right="2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 w:right="38"/>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6" w:right="39" w:hanging="16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3" w:right="62"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7"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 w:right="38"/>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2" w:hRule="exact"/>
        </w:trPr>
        <w:tc>
          <w:tcPr>
            <w:tcW w:w="1020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、补充日常流动资金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98,887.93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98,887.93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98,887.93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98,887.93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、与淘宝（中国）软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件在酒店领域开展业 务合作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696"/>
        <w:gridCol w:w="857"/>
        <w:gridCol w:w="991"/>
        <w:gridCol w:w="993"/>
        <w:gridCol w:w="851"/>
        <w:gridCol w:w="851"/>
        <w:gridCol w:w="708"/>
        <w:gridCol w:w="852"/>
        <w:gridCol w:w="708"/>
        <w:gridCol w:w="708"/>
        <w:gridCol w:w="992"/>
      </w:tblGrid>
      <w:tr>
        <w:trPr>
          <w:trHeight w:val="1026"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6"/>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、与淘宝（中国）软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件在餐饮领域开展业 务合作</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、与阿里巴巴在零 售、支付系统领域开 展业务合作</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238,887.93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238,887.93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98,887.93</w:t>
            </w:r>
          </w:p>
        </w:tc>
        <w:tc>
          <w:tcPr>
            <w:tcW w:w="85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98,887.93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28"/>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1020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59"/>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238,887.93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238,887.93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98,887.93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98,887.93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28"/>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5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5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4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85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96" w:type="dxa"/>
            <w:vMerge/>
            <w:tcBorders>
              <w:left w:val="single" w:sz="4" w:space="0" w:color="000000"/>
              <w:bottom w:val="single" w:sz="4" w:space="0" w:color="000000"/>
              <w:right w:val="single" w:sz="4" w:space="0" w:color="000000"/>
            </w:tcBorders>
            <w:shd w:val="clear" w:color="auto" w:fill="D2D2D2"/>
          </w:tcPr>
          <w:p>
            <w:pPr/>
          </w:p>
        </w:tc>
        <w:tc>
          <w:tcPr>
            <w:tcW w:w="8511" w:type="dxa"/>
            <w:gridSpan w:val="10"/>
            <w:tcBorders>
              <w:top w:val="single" w:sz="4" w:space="0" w:color="000000"/>
              <w:left w:val="single" w:sz="13" w:space="0" w:color="D2D2D2"/>
              <w:bottom w:val="single" w:sz="4" w:space="0" w:color="000000"/>
              <w:right w:val="single" w:sz="4" w:space="0" w:color="000000"/>
            </w:tcBorders>
          </w:tcPr>
          <w:p>
            <w:pPr/>
          </w:p>
        </w:tc>
      </w:tr>
      <w:tr>
        <w:trPr>
          <w:trHeight w:val="251" w:hRule="exact"/>
        </w:trPr>
        <w:tc>
          <w:tcPr>
            <w:tcW w:w="1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1"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511" w:type="dxa"/>
            <w:gridSpan w:val="10"/>
            <w:vMerge/>
            <w:tcBorders>
              <w:left w:val="single" w:sz="9" w:space="0" w:color="D2D2D2"/>
              <w:bottom w:val="single" w:sz="4" w:space="0" w:color="000000"/>
              <w:right w:val="single" w:sz="4" w:space="0" w:color="000000"/>
            </w:tcBorders>
          </w:tcPr>
          <w:p>
            <w:pPr/>
          </w:p>
        </w:tc>
      </w:tr>
      <w:tr>
        <w:trPr>
          <w:trHeight w:val="402" w:hRule="exact"/>
        </w:trPr>
        <w:tc>
          <w:tcPr>
            <w:tcW w:w="1696" w:type="dxa"/>
            <w:vMerge/>
            <w:tcBorders>
              <w:left w:val="single" w:sz="4" w:space="0" w:color="000000"/>
              <w:right w:val="single" w:sz="4" w:space="0" w:color="000000"/>
            </w:tcBorders>
            <w:shd w:val="clear" w:color="auto" w:fill="D2D2D2"/>
          </w:tcPr>
          <w:p>
            <w:pPr/>
          </w:p>
        </w:tc>
        <w:tc>
          <w:tcPr>
            <w:tcW w:w="8511" w:type="dxa"/>
            <w:gridSpan w:val="10"/>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696" w:type="dxa"/>
            <w:vMerge/>
            <w:tcBorders>
              <w:left w:val="single" w:sz="4" w:space="0" w:color="000000"/>
              <w:bottom w:val="nil" w:sz="6" w:space="0" w:color="auto"/>
              <w:right w:val="single" w:sz="4" w:space="0" w:color="000000"/>
            </w:tcBorders>
            <w:shd w:val="clear" w:color="auto" w:fill="D2D2D2"/>
          </w:tcPr>
          <w:p>
            <w:pPr/>
          </w:p>
        </w:tc>
        <w:tc>
          <w:tcPr>
            <w:tcW w:w="8511"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1" w:type="dxa"/>
            <w:gridSpan w:val="10"/>
            <w:vMerge/>
            <w:tcBorders>
              <w:left w:val="single" w:sz="9" w:space="0" w:color="D2D2D2"/>
              <w:bottom w:val="single" w:sz="4" w:space="0" w:color="000000"/>
              <w:right w:val="single" w:sz="4" w:space="0" w:color="000000"/>
            </w:tcBorders>
          </w:tcPr>
          <w:p>
            <w:pPr/>
          </w:p>
        </w:tc>
      </w:tr>
      <w:tr>
        <w:trPr>
          <w:trHeight w:val="251" w:hRule="exact"/>
        </w:trPr>
        <w:tc>
          <w:tcPr>
            <w:tcW w:w="1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1"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511" w:type="dxa"/>
            <w:gridSpan w:val="10"/>
            <w:vMerge/>
            <w:tcBorders>
              <w:left w:val="single" w:sz="9" w:space="0" w:color="D2D2D2"/>
              <w:bottom w:val="single" w:sz="4" w:space="0" w:color="000000"/>
              <w:right w:val="single" w:sz="4" w:space="0" w:color="000000"/>
            </w:tcBorders>
          </w:tcPr>
          <w:p>
            <w:pPr/>
          </w:p>
        </w:tc>
      </w:tr>
      <w:tr>
        <w:trPr>
          <w:trHeight w:val="402" w:hRule="exact"/>
        </w:trPr>
        <w:tc>
          <w:tcPr>
            <w:tcW w:w="1696" w:type="dxa"/>
            <w:vMerge/>
            <w:tcBorders>
              <w:left w:val="single" w:sz="4" w:space="0" w:color="000000"/>
              <w:right w:val="single" w:sz="4" w:space="0" w:color="000000"/>
            </w:tcBorders>
            <w:shd w:val="clear" w:color="auto" w:fill="D2D2D2"/>
          </w:tcPr>
          <w:p>
            <w:pPr/>
          </w:p>
        </w:tc>
        <w:tc>
          <w:tcPr>
            <w:tcW w:w="8511" w:type="dxa"/>
            <w:gridSpan w:val="10"/>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696" w:type="dxa"/>
            <w:vMerge/>
            <w:tcBorders>
              <w:left w:val="single" w:sz="4" w:space="0" w:color="000000"/>
              <w:bottom w:val="nil" w:sz="6" w:space="0" w:color="auto"/>
              <w:right w:val="single" w:sz="4" w:space="0" w:color="000000"/>
            </w:tcBorders>
            <w:shd w:val="clear" w:color="auto" w:fill="D2D2D2"/>
          </w:tcPr>
          <w:p>
            <w:pPr/>
          </w:p>
        </w:tc>
        <w:tc>
          <w:tcPr>
            <w:tcW w:w="8511"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1" w:type="dxa"/>
            <w:gridSpan w:val="10"/>
            <w:vMerge/>
            <w:tcBorders>
              <w:left w:val="single" w:sz="9" w:space="0" w:color="D2D2D2"/>
              <w:bottom w:val="single" w:sz="4" w:space="0" w:color="000000"/>
              <w:right w:val="single" w:sz="4" w:space="0" w:color="000000"/>
            </w:tcBorders>
          </w:tcPr>
          <w:p>
            <w:pPr/>
          </w:p>
        </w:tc>
      </w:tr>
      <w:tr>
        <w:trPr>
          <w:trHeight w:val="402" w:hRule="exact"/>
        </w:trPr>
        <w:tc>
          <w:tcPr>
            <w:tcW w:w="16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4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5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96" w:type="dxa"/>
            <w:vMerge/>
            <w:tcBorders>
              <w:left w:val="single" w:sz="4" w:space="0" w:color="000000"/>
              <w:bottom w:val="single" w:sz="4" w:space="0" w:color="000000"/>
              <w:right w:val="single" w:sz="4" w:space="0" w:color="000000"/>
            </w:tcBorders>
            <w:shd w:val="clear" w:color="auto" w:fill="D2D2D2"/>
          </w:tcPr>
          <w:p>
            <w:pPr/>
          </w:p>
        </w:tc>
        <w:tc>
          <w:tcPr>
            <w:tcW w:w="8511"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6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4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5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96" w:type="dxa"/>
            <w:vMerge/>
            <w:tcBorders>
              <w:left w:val="single" w:sz="4" w:space="0" w:color="000000"/>
              <w:bottom w:val="single" w:sz="4" w:space="0" w:color="000000"/>
              <w:right w:val="single" w:sz="4" w:space="0" w:color="000000"/>
            </w:tcBorders>
            <w:shd w:val="clear" w:color="auto" w:fill="D2D2D2"/>
          </w:tcPr>
          <w:p>
            <w:pPr/>
          </w:p>
        </w:tc>
        <w:tc>
          <w:tcPr>
            <w:tcW w:w="8511"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6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4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5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96" w:type="dxa"/>
            <w:vMerge/>
            <w:tcBorders>
              <w:left w:val="single" w:sz="4" w:space="0" w:color="000000"/>
              <w:bottom w:val="single" w:sz="4" w:space="0" w:color="000000"/>
              <w:right w:val="single" w:sz="4" w:space="0" w:color="000000"/>
            </w:tcBorders>
            <w:shd w:val="clear" w:color="auto" w:fill="D2D2D2"/>
          </w:tcPr>
          <w:p>
            <w:pPr/>
          </w:p>
        </w:tc>
        <w:tc>
          <w:tcPr>
            <w:tcW w:w="8511" w:type="dxa"/>
            <w:gridSpan w:val="10"/>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5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尚未使用的募集资金均存放于公司募集资金专户</w:t>
            </w:r>
            <w:r>
              <w:rPr>
                <w:rFonts w:ascii="Times New Roman" w:hAnsi="Times New Roman" w:cs="Times New Roman" w:eastAsia="Times New Roman" w:hint="default"/>
                <w:sz w:val="18"/>
                <w:szCs w:val="18"/>
              </w:rPr>
              <w:t>,</w:t>
            </w:r>
            <w:r>
              <w:rPr>
                <w:rFonts w:ascii="宋体" w:hAnsi="宋体" w:cs="宋体" w:eastAsia="宋体" w:hint="default"/>
                <w:sz w:val="18"/>
                <w:szCs w:val="18"/>
              </w:rPr>
              <w:t>用于募集资金投资项目的后续投入。</w:t>
            </w:r>
          </w:p>
        </w:tc>
      </w:tr>
      <w:tr>
        <w:trPr>
          <w:trHeight w:val="1026"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51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left="153"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3"/>
        <w:rPr>
          <w:rFonts w:ascii="宋体" w:hAnsi="宋体" w:cs="宋体" w:eastAsia="宋体" w:hint="default"/>
          <w:sz w:val="22"/>
          <w:szCs w:val="22"/>
        </w:rPr>
      </w:pPr>
    </w:p>
    <w:p>
      <w:pPr>
        <w:pStyle w:val="Heading2"/>
        <w:spacing w:line="240" w:lineRule="auto"/>
        <w:ind w:left="140" w:right="-2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8"/>
        <w:rPr>
          <w:rFonts w:ascii="宋体" w:hAnsi="宋体" w:cs="宋体" w:eastAsia="宋体" w:hint="default"/>
          <w:b/>
          <w:bCs/>
          <w:sz w:val="26"/>
          <w:szCs w:val="26"/>
        </w:rPr>
      </w:pPr>
    </w:p>
    <w:p>
      <w:pPr>
        <w:spacing w:before="0"/>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40"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北京中长石基信息技术股份有限公司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spacing w:before="0"/>
        <w:ind w:left="4010" w:right="0" w:firstLine="0"/>
        <w:jc w:val="left"/>
        <w:rPr>
          <w:rFonts w:ascii="宋体" w:hAnsi="宋体" w:cs="宋体" w:eastAsia="宋体" w:hint="default"/>
          <w:sz w:val="18"/>
          <w:szCs w:val="18"/>
        </w:rPr>
      </w:pPr>
      <w:r>
        <w:rPr/>
        <w:pict>
          <v:group style="position:absolute;margin-left:70.5pt;margin-top:-67.568283pt;width:701pt;height:.1pt;mso-position-horizontal-relative:page;mso-position-vertical-relative:paragraph;z-index:-944368" coordorigin="1410,-1351" coordsize="14020,2">
            <v:shape style="position:absolute;left:1410;top:-1351;width:14020;height:2" coordorigin="1410,-1351" coordsize="14020,0" path="m1410,-1351l15430,-1351e" filled="false" stroked="true" strokeweight=".72pt" strokecolor="#000000">
              <v:path arrowok="t"/>
            </v:shape>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headerReference w:type="default" r:id="rId17"/>
          <w:footerReference w:type="default" r:id="rId18"/>
          <w:pgSz w:w="16840" w:h="11910" w:orient="landscape"/>
          <w:pgMar w:header="0" w:footer="0" w:top="800" w:bottom="0" w:left="1300" w:right="0"/>
          <w:cols w:num="2" w:equalWidth="0">
            <w:col w:w="4835" w:space="4534"/>
            <w:col w:w="6171"/>
          </w:cols>
        </w:sectPr>
      </w:pP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439"/>
        <w:gridCol w:w="996"/>
        <w:gridCol w:w="2270"/>
        <w:gridCol w:w="1274"/>
        <w:gridCol w:w="1419"/>
        <w:gridCol w:w="1418"/>
        <w:gridCol w:w="1417"/>
        <w:gridCol w:w="1419"/>
        <w:gridCol w:w="1362"/>
      </w:tblGrid>
      <w:tr>
        <w:trPr>
          <w:trHeight w:val="402" w:hRule="exact"/>
        </w:trPr>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482,154,530.15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409,283,268.26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198,888,050.02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-14,584,064.64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-6,845,120.97</w:t>
            </w:r>
          </w:p>
        </w:tc>
      </w:tr>
      <w:tr>
        <w:trPr>
          <w:trHeight w:val="40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74,452,398.59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9,952,364.25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39,402,653.22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-869,883.01</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618,349.23</w:t>
            </w:r>
          </w:p>
        </w:tc>
      </w:tr>
      <w:tr>
        <w:trPr>
          <w:trHeight w:val="40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酒店信息管理系统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支付系统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1,150,865,592.11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775,266,040.00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403,865,421.94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255,247,406.21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250,257,010.68</w:t>
            </w:r>
          </w:p>
        </w:tc>
      </w:tr>
      <w:tr>
        <w:trPr>
          <w:trHeight w:val="40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19700000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175,056,590.13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95,785,160.67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88,286,643.94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4,277,548.61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8,750,411.80</w:t>
            </w:r>
          </w:p>
        </w:tc>
      </w:tr>
      <w:tr>
        <w:trPr>
          <w:trHeight w:val="40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酒店信息管理系统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4280000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63,741,293.84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41,918,220.40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29,317,818.62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14,981,166.73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15,377,565.51</w:t>
            </w:r>
          </w:p>
        </w:tc>
      </w:tr>
      <w:tr>
        <w:trPr>
          <w:trHeight w:val="40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餐饮信息管理系统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471268500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754,550,908.49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678,557,641.20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159,615,514.69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40,758,365.45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43,065,210.60</w:t>
            </w:r>
          </w:p>
        </w:tc>
      </w:tr>
      <w:tr>
        <w:trPr>
          <w:trHeight w:val="40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餐饮信息管理系统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4,742,777.82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2,219,993.33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11,798,608.33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-620,719.82</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514,409.90</w:t>
            </w:r>
          </w:p>
        </w:tc>
      </w:tr>
      <w:tr>
        <w:trPr>
          <w:trHeight w:val="40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194038000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758,661,959.70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551,738,886.96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1,006,076,803.66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-4,844,792.65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-3,703,539.18</w:t>
            </w:r>
          </w:p>
        </w:tc>
      </w:tr>
      <w:tr>
        <w:trPr>
          <w:trHeight w:val="40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商业流通管理系统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143,609,097.96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114,550,963.10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78,141,324.34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35,157,425.13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39,509,820.44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76"/>
        <w:ind w:left="7010" w:right="8307" w:firstLine="0"/>
        <w:jc w:val="center"/>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1408" type="#_x0000_t75" stroked="false">
            <v:imagedata r:id="rId19" o:title=""/>
          </v:shape>
        </w:pict>
      </w:r>
      <w:r>
        <w:rPr>
          <w:rFonts w:ascii="Times New Roman"/>
          <w:sz w:val="18"/>
        </w:rPr>
        <w:t>31</w:t>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0"/>
        <w:rPr>
          <w:rFonts w:ascii="Times New Roman" w:hAnsi="Times New Roman" w:cs="Times New Roman" w:eastAsia="Times New Roman"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3684"/>
        <w:gridCol w:w="3191"/>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公司子公司石基（香港）以现金方式购买子公 司浩华管理顾问（亚太）有限公司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自购买日起至报告期末为上市公司贡献 的净利润为</w:t>
            </w:r>
            <w:r>
              <w:rPr>
                <w:rFonts w:ascii="Times New Roman" w:hAnsi="Times New Roman" w:cs="Times New Roman" w:eastAsia="Times New Roman" w:hint="default"/>
                <w:sz w:val="18"/>
                <w:szCs w:val="18"/>
              </w:rPr>
              <w:t>-171.08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公司子公司石基（香港）以现金方式购买子公 司万达控股有限公司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自购买日起至报告期末为上市公司贡献 的净利润为</w:t>
            </w:r>
            <w:r>
              <w:rPr>
                <w:rFonts w:ascii="Times New Roman" w:hAnsi="Times New Roman" w:cs="Times New Roman" w:eastAsia="Times New Roman" w:hint="default"/>
                <w:sz w:val="18"/>
                <w:szCs w:val="18"/>
              </w:rPr>
              <w:t>-4.58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公司子公司杭州西软科技有限公司以现金方式 购买子公司杭州连边科技有限公司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自购买日起至报告期末为上市公司贡献 的净利润为</w:t>
            </w:r>
            <w:r>
              <w:rPr>
                <w:rFonts w:ascii="Times New Roman" w:hAnsi="Times New Roman" w:cs="Times New Roman" w:eastAsia="Times New Roman" w:hint="default"/>
                <w:sz w:val="18"/>
                <w:szCs w:val="18"/>
              </w:rPr>
              <w:t>-15.99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北京中电创新科技有限公司</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月，公司下属子公司中电器件公司</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将其持有的北京中电创新科技有限公司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股权以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613.12 </w:t>
            </w:r>
            <w:r>
              <w:rPr>
                <w:rFonts w:ascii="宋体" w:hAnsi="宋体" w:cs="宋体" w:eastAsia="宋体" w:hint="default"/>
                <w:sz w:val="18"/>
                <w:szCs w:val="18"/>
              </w:rPr>
              <w:t>万元价格予以出售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宋体" w:hAnsi="宋体" w:cs="宋体" w:eastAsia="宋体" w:hint="default"/>
                <w:sz w:val="18"/>
                <w:szCs w:val="18"/>
              </w:rPr>
              <w:t>处置子公司取得的投资收益为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90" w:lineRule="auto" w:before="92"/>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）北京中长石基软件有限公司</w:t>
      </w:r>
      <w:r>
        <w:rPr>
          <w:rFonts w:ascii="宋体" w:hAnsi="宋体" w:cs="宋体" w:eastAsia="宋体" w:hint="default"/>
          <w:b/>
          <w:bCs/>
          <w:w w:val="99"/>
          <w:sz w:val="21"/>
          <w:szCs w:val="21"/>
        </w:rPr>
        <w:t> </w:t>
      </w:r>
      <w:r>
        <w:rPr>
          <w:rFonts w:ascii="宋体" w:hAnsi="宋体" w:cs="宋体" w:eastAsia="宋体" w:hint="default"/>
          <w:sz w:val="21"/>
          <w:szCs w:val="21"/>
        </w:rPr>
        <w:t>北京中长石基软件有限公司为本公司全资子公司，成立于</w:t>
      </w:r>
      <w:r>
        <w:rPr>
          <w:rFonts w:ascii="Times New Roman" w:hAnsi="Times New Roman" w:cs="Times New Roman" w:eastAsia="Times New Roman" w:hint="default"/>
          <w:sz w:val="21"/>
          <w:szCs w:val="21"/>
        </w:rPr>
        <w:t>2008</w:t>
      </w:r>
      <w:r>
        <w:rPr>
          <w:rFonts w:ascii="宋体" w:hAnsi="宋体" w:cs="宋体" w:eastAsia="宋体" w:hint="default"/>
          <w:sz w:val="21"/>
          <w:szCs w:val="21"/>
        </w:rPr>
        <w:t>年，注册资本</w:t>
      </w:r>
      <w:r>
        <w:rPr>
          <w:rFonts w:ascii="Times New Roman" w:hAnsi="Times New Roman" w:cs="Times New Roman" w:eastAsia="Times New Roman" w:hint="default"/>
          <w:sz w:val="21"/>
          <w:szCs w:val="21"/>
        </w:rPr>
        <w:t>1,000.00</w:t>
      </w:r>
      <w:r>
        <w:rPr>
          <w:rFonts w:ascii="宋体" w:hAnsi="宋体" w:cs="宋体" w:eastAsia="宋体" w:hint="default"/>
          <w:sz w:val="21"/>
          <w:szCs w:val="21"/>
        </w:rPr>
        <w:t>万元，主要业务</w:t>
      </w:r>
    </w:p>
    <w:p>
      <w:pPr>
        <w:pStyle w:val="BodyText"/>
        <w:spacing w:line="263" w:lineRule="exact" w:before="0"/>
        <w:ind w:right="0"/>
        <w:jc w:val="both"/>
      </w:pPr>
      <w:r>
        <w:rPr/>
        <w:t>为软件研发、销售和技术咨询。北京中长石基软件有限公司净利润比上年同期下降</w:t>
      </w:r>
      <w:r>
        <w:rPr>
          <w:rFonts w:ascii="Times New Roman" w:hAnsi="Times New Roman" w:cs="Times New Roman" w:eastAsia="Times New Roman" w:hint="default"/>
        </w:rPr>
        <w:t>120.10%</w:t>
      </w:r>
      <w:r>
        <w:rPr/>
        <w:t>，主要系公司</w:t>
      </w:r>
    </w:p>
    <w:p>
      <w:pPr>
        <w:pStyle w:val="BodyText"/>
        <w:spacing w:line="240" w:lineRule="auto" w:before="22"/>
        <w:ind w:right="0"/>
        <w:jc w:val="both"/>
      </w:pPr>
      <w:r>
        <w:rPr/>
        <w:t>业务调整，软件公司将以研发各项系统业务为主。</w:t>
      </w:r>
    </w:p>
    <w:p>
      <w:pPr>
        <w:spacing w:line="290" w:lineRule="auto" w:before="76"/>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）上海石基信息技术有限公司</w:t>
      </w:r>
      <w:r>
        <w:rPr>
          <w:rFonts w:ascii="宋体" w:hAnsi="宋体" w:cs="宋体" w:eastAsia="宋体" w:hint="default"/>
          <w:b/>
          <w:bCs/>
          <w:w w:val="99"/>
          <w:sz w:val="21"/>
          <w:szCs w:val="21"/>
        </w:rPr>
        <w:t> </w:t>
      </w:r>
      <w:r>
        <w:rPr>
          <w:rFonts w:ascii="宋体" w:hAnsi="宋体" w:cs="宋体" w:eastAsia="宋体" w:hint="default"/>
          <w:sz w:val="21"/>
          <w:szCs w:val="21"/>
        </w:rPr>
        <w:t>上海石基信息技术有限公司为本公司的全资子公司，注册资本</w:t>
      </w:r>
      <w:r>
        <w:rPr>
          <w:rFonts w:ascii="Times New Roman" w:hAnsi="Times New Roman" w:cs="Times New Roman" w:eastAsia="Times New Roman" w:hint="default"/>
          <w:sz w:val="21"/>
          <w:szCs w:val="21"/>
        </w:rPr>
        <w:t>100.00</w:t>
      </w:r>
      <w:r>
        <w:rPr>
          <w:rFonts w:ascii="宋体" w:hAnsi="宋体" w:cs="宋体" w:eastAsia="宋体" w:hint="default"/>
          <w:sz w:val="21"/>
          <w:szCs w:val="21"/>
        </w:rPr>
        <w:t>万元，主要负责本公司的技术支</w:t>
      </w:r>
    </w:p>
    <w:p>
      <w:pPr>
        <w:pStyle w:val="BodyText"/>
        <w:spacing w:line="263" w:lineRule="exact" w:before="0"/>
        <w:ind w:right="0"/>
        <w:jc w:val="both"/>
      </w:pPr>
      <w:r>
        <w:rPr/>
        <w:t>持与维护业务。上海石基信息技术有限公司净利润比上年同期增长</w:t>
      </w:r>
      <w:r>
        <w:rPr>
          <w:rFonts w:ascii="Times New Roman" w:hAnsi="Times New Roman" w:cs="Times New Roman" w:eastAsia="Times New Roman" w:hint="default"/>
        </w:rPr>
        <w:t>305.71%</w:t>
      </w:r>
      <w:r>
        <w:rPr/>
        <w:t>，主要系淘宝酒店直连项目内</w:t>
      </w:r>
    </w:p>
    <w:p>
      <w:pPr>
        <w:pStyle w:val="BodyText"/>
        <w:spacing w:line="240" w:lineRule="auto" w:before="23"/>
        <w:ind w:right="0"/>
        <w:jc w:val="both"/>
      </w:pPr>
      <w:r>
        <w:rPr/>
        <w:t>部委托市场调研收入增加所致。</w:t>
      </w:r>
    </w:p>
    <w:p>
      <w:pPr>
        <w:spacing w:line="290" w:lineRule="auto" w:before="7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）北海石基信息技术有限公司</w:t>
      </w:r>
      <w:r>
        <w:rPr>
          <w:rFonts w:ascii="宋体" w:hAnsi="宋体" w:cs="宋体" w:eastAsia="宋体" w:hint="default"/>
          <w:b/>
          <w:bCs/>
          <w:w w:val="99"/>
          <w:sz w:val="21"/>
          <w:szCs w:val="21"/>
        </w:rPr>
        <w:t> </w:t>
      </w:r>
      <w:r>
        <w:rPr>
          <w:rFonts w:ascii="宋体" w:hAnsi="宋体" w:cs="宋体" w:eastAsia="宋体" w:hint="default"/>
          <w:sz w:val="21"/>
          <w:szCs w:val="21"/>
        </w:rPr>
        <w:t>北海石基信息技术有限公司为本公司的全资子公司，成立于</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月，注册资本</w:t>
      </w:r>
      <w:r>
        <w:rPr>
          <w:rFonts w:ascii="Times New Roman" w:hAnsi="Times New Roman" w:cs="Times New Roman" w:eastAsia="Times New Roman" w:hint="default"/>
          <w:sz w:val="21"/>
          <w:szCs w:val="21"/>
        </w:rPr>
        <w:t>11,000.00</w:t>
      </w:r>
      <w:r>
        <w:rPr>
          <w:rFonts w:ascii="宋体" w:hAnsi="宋体" w:cs="宋体" w:eastAsia="宋体" w:hint="default"/>
          <w:sz w:val="21"/>
          <w:szCs w:val="21"/>
        </w:rPr>
        <w:t>万元，主</w:t>
      </w:r>
    </w:p>
    <w:p>
      <w:pPr>
        <w:pStyle w:val="BodyText"/>
        <w:spacing w:line="247" w:lineRule="exact" w:before="0"/>
        <w:ind w:right="0"/>
        <w:jc w:val="both"/>
      </w:pPr>
      <w:r>
        <w:rPr/>
        <w:t>要业务是计算机软件开发、销售及相关的系统集成、技术服务；电子产品、网络设备、网络技术的研究开</w:t>
      </w:r>
    </w:p>
    <w:p>
      <w:pPr>
        <w:pStyle w:val="BodyText"/>
        <w:spacing w:line="259" w:lineRule="auto" w:before="37"/>
        <w:ind w:right="1132"/>
        <w:jc w:val="both"/>
      </w:pPr>
      <w:r>
        <w:rPr>
          <w:spacing w:val="-1"/>
        </w:rPr>
        <w:t>发、销售及服务（以上项目不含互联网信息服务）。北海石基公司净利润比上年同期增长</w:t>
      </w:r>
      <w:r>
        <w:rPr>
          <w:rFonts w:ascii="Times New Roman" w:hAnsi="Times New Roman" w:cs="Times New Roman" w:eastAsia="Times New Roman" w:hint="default"/>
          <w:spacing w:val="-1"/>
        </w:rPr>
        <w:t>34.24%</w:t>
      </w:r>
      <w:r>
        <w:rPr>
          <w:spacing w:val="-1"/>
        </w:rPr>
        <w:t>，主要系</w:t>
      </w:r>
      <w:r>
        <w:rPr>
          <w:spacing w:val="-99"/>
        </w:rPr>
        <w:t> </w:t>
      </w:r>
      <w:r>
        <w:rPr>
          <w:spacing w:val="-99"/>
        </w:rPr>
      </w:r>
      <w:r>
        <w:rPr/>
        <w:t>维护业务增长，以及南京银石合并至北海公司共同所致。</w:t>
      </w:r>
    </w:p>
    <w:p>
      <w:pPr>
        <w:spacing w:line="290" w:lineRule="auto" w:before="61"/>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）杭州西软科技有限公司</w:t>
      </w:r>
      <w:r>
        <w:rPr>
          <w:rFonts w:ascii="宋体" w:hAnsi="宋体" w:cs="宋体" w:eastAsia="宋体" w:hint="default"/>
          <w:b/>
          <w:bCs/>
          <w:w w:val="99"/>
          <w:sz w:val="21"/>
          <w:szCs w:val="21"/>
        </w:rPr>
        <w:t> </w:t>
      </w:r>
      <w:r>
        <w:rPr>
          <w:rFonts w:ascii="宋体" w:hAnsi="宋体" w:cs="宋体" w:eastAsia="宋体" w:hint="default"/>
          <w:spacing w:val="-1"/>
          <w:sz w:val="21"/>
          <w:szCs w:val="21"/>
        </w:rPr>
        <w:t>杭州西软科技有限公司，成立于</w:t>
      </w:r>
      <w:r>
        <w:rPr>
          <w:rFonts w:ascii="Times New Roman" w:hAnsi="Times New Roman" w:cs="Times New Roman" w:eastAsia="Times New Roman" w:hint="default"/>
          <w:spacing w:val="-1"/>
          <w:sz w:val="21"/>
          <w:szCs w:val="21"/>
        </w:rPr>
        <w:t>2001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20</w:t>
      </w:r>
      <w:r>
        <w:rPr>
          <w:rFonts w:ascii="宋体" w:hAnsi="宋体" w:cs="宋体" w:eastAsia="宋体" w:hint="default"/>
          <w:spacing w:val="-1"/>
          <w:sz w:val="21"/>
          <w:szCs w:val="21"/>
        </w:rPr>
        <w:t>日，注册资本为</w:t>
      </w:r>
      <w:r>
        <w:rPr>
          <w:rFonts w:ascii="Times New Roman" w:hAnsi="Times New Roman" w:cs="Times New Roman" w:eastAsia="Times New Roman" w:hint="default"/>
          <w:spacing w:val="-1"/>
          <w:sz w:val="21"/>
          <w:szCs w:val="21"/>
        </w:rPr>
        <w:t>1,970.00</w:t>
      </w:r>
      <w:r>
        <w:rPr>
          <w:rFonts w:ascii="宋体" w:hAnsi="宋体" w:cs="宋体" w:eastAsia="宋体" w:hint="default"/>
          <w:spacing w:val="-1"/>
          <w:sz w:val="21"/>
          <w:szCs w:val="21"/>
        </w:rPr>
        <w:t>万元人民币，是本公司的控股子</w:t>
      </w:r>
    </w:p>
    <w:p>
      <w:pPr>
        <w:pStyle w:val="BodyText"/>
        <w:spacing w:line="263" w:lineRule="exact" w:before="0"/>
        <w:ind w:right="0"/>
        <w:jc w:val="both"/>
      </w:pPr>
      <w:r>
        <w:rPr/>
        <w:t>公司，本公司现持有其</w:t>
      </w:r>
      <w:r>
        <w:rPr>
          <w:rFonts w:ascii="Times New Roman" w:hAnsi="Times New Roman" w:cs="Times New Roman" w:eastAsia="Times New Roman" w:hint="default"/>
        </w:rPr>
        <w:t>100%</w:t>
      </w:r>
      <w:r>
        <w:rPr/>
        <w:t>的股份。该公司主要从事开发销售计算机软硬件及外围设备，西软科技拥有包</w:t>
      </w:r>
    </w:p>
    <w:p>
      <w:pPr>
        <w:pStyle w:val="BodyText"/>
        <w:spacing w:line="261" w:lineRule="auto" w:before="21"/>
        <w:ind w:left="154" w:right="1131"/>
        <w:jc w:val="both"/>
      </w:pPr>
      <w:r>
        <w:rPr/>
        <w:t>括</w:t>
      </w:r>
      <w:r>
        <w:rPr>
          <w:rFonts w:ascii="Times New Roman" w:hAnsi="Times New Roman" w:cs="Times New Roman" w:eastAsia="Times New Roman" w:hint="default"/>
        </w:rPr>
        <w:t>“</w:t>
      </w:r>
      <w:r>
        <w:rPr/>
        <w:t>西软</w:t>
      </w:r>
      <w:r>
        <w:rPr>
          <w:rFonts w:ascii="Times New Roman" w:hAnsi="Times New Roman" w:cs="Times New Roman" w:eastAsia="Times New Roman" w:hint="default"/>
        </w:rPr>
        <w:t>X5”</w:t>
      </w:r>
      <w:r>
        <w:rPr/>
        <w:t>、</w:t>
      </w:r>
      <w:r>
        <w:rPr>
          <w:rFonts w:ascii="Times New Roman" w:hAnsi="Times New Roman" w:cs="Times New Roman" w:eastAsia="Times New Roman" w:hint="default"/>
        </w:rPr>
        <w:t>“FOXHIS</w:t>
      </w:r>
      <w:r>
        <w:rPr>
          <w:rFonts w:ascii="Times New Roman" w:hAnsi="Times New Roman" w:cs="Times New Roman" w:eastAsia="Times New Roman" w:hint="default"/>
          <w:spacing w:val="40"/>
        </w:rPr>
        <w:t> </w:t>
      </w:r>
      <w:r>
        <w:rPr>
          <w:rFonts w:ascii="Times New Roman" w:hAnsi="Times New Roman" w:cs="Times New Roman" w:eastAsia="Times New Roman" w:hint="default"/>
        </w:rPr>
        <w:t>V</w:t>
      </w:r>
      <w:r>
        <w:rPr/>
        <w:t>系列</w:t>
      </w:r>
      <w:r>
        <w:rPr>
          <w:rFonts w:ascii="Times New Roman" w:hAnsi="Times New Roman" w:cs="Times New Roman" w:eastAsia="Times New Roman" w:hint="default"/>
        </w:rPr>
        <w:t>”</w:t>
      </w:r>
      <w:r>
        <w:rPr/>
        <w:t>、</w:t>
      </w:r>
      <w:r>
        <w:rPr>
          <w:rFonts w:ascii="Times New Roman" w:hAnsi="Times New Roman" w:cs="Times New Roman" w:eastAsia="Times New Roman" w:hint="default"/>
        </w:rPr>
        <w:t>“Smart”</w:t>
      </w:r>
      <w:r>
        <w:rPr/>
        <w:t>等针对不同档次酒店用户需求的较为完整的产品序列，连续多</w:t>
      </w:r>
      <w:r>
        <w:rPr>
          <w:spacing w:val="-101"/>
        </w:rPr>
        <w:t> </w:t>
      </w:r>
      <w:r>
        <w:rPr>
          <w:spacing w:val="-101"/>
        </w:rPr>
      </w:r>
      <w:r>
        <w:rPr/>
        <w:t>年荣获中国软件行业协会</w:t>
      </w:r>
      <w:r>
        <w:rPr>
          <w:rFonts w:ascii="Times New Roman" w:hAnsi="Times New Roman" w:cs="Times New Roman" w:eastAsia="Times New Roman" w:hint="default"/>
        </w:rPr>
        <w:t>“</w:t>
      </w:r>
      <w:r>
        <w:rPr/>
        <w:t>年度推荐优秀软件产品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中国优秀软件产品</w:t>
      </w:r>
      <w:r>
        <w:rPr>
          <w:rFonts w:ascii="Times New Roman" w:hAnsi="Times New Roman" w:cs="Times New Roman" w:eastAsia="Times New Roman" w:hint="default"/>
        </w:rPr>
        <w:t>”</w:t>
      </w:r>
      <w:r>
        <w:rPr/>
        <w:t>称号，并拥有多项软件著作权，</w:t>
      </w:r>
      <w:r>
        <w:rPr>
          <w:spacing w:val="-85"/>
        </w:rPr>
        <w:t> </w:t>
      </w:r>
      <w:r>
        <w:rPr>
          <w:spacing w:val="-85"/>
        </w:rPr>
      </w:r>
      <w:r>
        <w:rPr>
          <w:spacing w:val="-2"/>
        </w:rPr>
        <w:t>是目前国内用户数量最多的酒店信息系统公司。杭州西软科技有限公司净利润比上年同期下降</w:t>
      </w:r>
      <w:r>
        <w:rPr>
          <w:rFonts w:ascii="Times New Roman" w:hAnsi="Times New Roman" w:cs="Times New Roman" w:eastAsia="Times New Roman" w:hint="default"/>
          <w:spacing w:val="-2"/>
        </w:rPr>
        <w:t>61.86%</w:t>
      </w:r>
      <w:r>
        <w:rPr>
          <w:spacing w:val="-2"/>
        </w:rPr>
        <w:t>，主</w:t>
      </w:r>
      <w:r>
        <w:rPr>
          <w:spacing w:val="-68"/>
        </w:rPr>
        <w:t> </w:t>
      </w:r>
      <w:r>
        <w:rPr>
          <w:spacing w:val="-1"/>
        </w:rPr>
        <w:t>要系为配合淘宝酒店直连项目，增设了相关的运营团队，增加了人力成本。以及自购的新办公室装修费用</w:t>
      </w:r>
      <w:r>
        <w:rPr>
          <w:spacing w:val="-83"/>
        </w:rPr>
        <w:t> </w:t>
      </w:r>
      <w:r>
        <w:rPr>
          <w:spacing w:val="-83"/>
        </w:rPr>
      </w:r>
      <w:r>
        <w:rPr/>
        <w:t>增加共同所致。</w:t>
      </w:r>
    </w:p>
    <w:p>
      <w:pPr>
        <w:spacing w:line="290" w:lineRule="auto" w:before="58"/>
        <w:ind w:left="576"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）北京石基昆仑软件有限公司</w:t>
      </w:r>
      <w:r>
        <w:rPr>
          <w:rFonts w:ascii="宋体" w:hAnsi="宋体" w:cs="宋体" w:eastAsia="宋体" w:hint="default"/>
          <w:b/>
          <w:bCs/>
          <w:w w:val="99"/>
          <w:sz w:val="21"/>
          <w:szCs w:val="21"/>
        </w:rPr>
        <w:t> </w:t>
      </w:r>
      <w:r>
        <w:rPr>
          <w:rFonts w:ascii="宋体" w:hAnsi="宋体" w:cs="宋体" w:eastAsia="宋体" w:hint="default"/>
          <w:sz w:val="21"/>
          <w:szCs w:val="21"/>
        </w:rPr>
        <w:t>北京石基昆仑软件有限公司为本公司控股子公司。成立于</w:t>
      </w:r>
      <w:r>
        <w:rPr>
          <w:rFonts w:ascii="Times New Roman" w:hAnsi="Times New Roman" w:cs="Times New Roman" w:eastAsia="Times New Roman" w:hint="default"/>
          <w:sz w:val="21"/>
          <w:szCs w:val="21"/>
        </w:rPr>
        <w:t>2005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日，注册资本</w:t>
      </w:r>
      <w:r>
        <w:rPr>
          <w:rFonts w:ascii="Times New Roman" w:hAnsi="Times New Roman" w:cs="Times New Roman" w:eastAsia="Times New Roman" w:hint="default"/>
          <w:sz w:val="21"/>
          <w:szCs w:val="21"/>
        </w:rPr>
        <w:t>428.00</w:t>
      </w:r>
      <w:r>
        <w:rPr>
          <w:rFonts w:ascii="宋体" w:hAnsi="宋体" w:cs="宋体" w:eastAsia="宋体" w:hint="default"/>
          <w:sz w:val="21"/>
          <w:szCs w:val="21"/>
        </w:rPr>
        <w:t>万元。本公</w:t>
      </w:r>
    </w:p>
    <w:p>
      <w:pPr>
        <w:pStyle w:val="BodyText"/>
        <w:spacing w:line="263" w:lineRule="exact" w:before="0"/>
        <w:ind w:right="0"/>
        <w:jc w:val="both"/>
      </w:pPr>
      <w:r>
        <w:rPr>
          <w:spacing w:val="-5"/>
        </w:rPr>
        <w:t>司持有石基昆仑</w:t>
      </w:r>
      <w:r>
        <w:rPr>
          <w:rFonts w:ascii="Times New Roman" w:hAnsi="Times New Roman" w:cs="Times New Roman" w:eastAsia="Times New Roman" w:hint="default"/>
          <w:spacing w:val="-5"/>
        </w:rPr>
        <w:t>82.40%</w:t>
      </w:r>
      <w:r>
        <w:rPr>
          <w:spacing w:val="-5"/>
        </w:rPr>
        <w:t>的股权。石基昆仑的主要业务开发和实施酒店</w:t>
      </w:r>
      <w:r>
        <w:rPr>
          <w:rFonts w:ascii="Times New Roman" w:hAnsi="Times New Roman" w:cs="Times New Roman" w:eastAsia="Times New Roman" w:hint="default"/>
          <w:spacing w:val="-5"/>
        </w:rPr>
        <w:t>CRM</w:t>
      </w:r>
      <w:r>
        <w:rPr>
          <w:spacing w:val="-5"/>
        </w:rPr>
        <w:t>（客户关系管理系统）、</w:t>
      </w:r>
      <w:r>
        <w:rPr>
          <w:rFonts w:ascii="Times New Roman" w:hAnsi="Times New Roman" w:cs="Times New Roman" w:eastAsia="Times New Roman" w:hint="default"/>
          <w:spacing w:val="-5"/>
        </w:rPr>
        <w:t>LPS</w:t>
      </w:r>
      <w:r>
        <w:rPr>
          <w:spacing w:val="-5"/>
        </w:rPr>
        <w:t>（会</w:t>
      </w:r>
    </w:p>
    <w:p>
      <w:pPr>
        <w:pStyle w:val="BodyText"/>
        <w:spacing w:line="259" w:lineRule="auto" w:before="21"/>
        <w:ind w:right="1132"/>
        <w:jc w:val="both"/>
      </w:pPr>
      <w:r>
        <w:rPr/>
        <w:t>员积分和管理系统）和</w:t>
      </w:r>
      <w:r>
        <w:rPr>
          <w:rFonts w:ascii="Times New Roman" w:hAnsi="Times New Roman" w:cs="Times New Roman" w:eastAsia="Times New Roman" w:hint="default"/>
        </w:rPr>
        <w:t>CRS</w:t>
      </w:r>
      <w:r>
        <w:rPr/>
        <w:t>（集团酒店中央预订系统），配合石基数字酒店信息系统提供中国本地酒店集 团化解决方案。</w:t>
      </w:r>
    </w:p>
    <w:p>
      <w:pPr>
        <w:spacing w:line="290" w:lineRule="auto" w:before="6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）石基（香港）有限公司</w:t>
      </w:r>
      <w:r>
        <w:rPr>
          <w:rFonts w:ascii="宋体" w:hAnsi="宋体" w:cs="宋体" w:eastAsia="宋体" w:hint="default"/>
          <w:b/>
          <w:bCs/>
          <w:w w:val="99"/>
          <w:sz w:val="21"/>
          <w:szCs w:val="21"/>
        </w:rPr>
        <w:t> </w:t>
      </w:r>
      <w:r>
        <w:rPr>
          <w:rFonts w:ascii="宋体" w:hAnsi="宋体" w:cs="宋体" w:eastAsia="宋体" w:hint="default"/>
          <w:spacing w:val="-1"/>
          <w:sz w:val="21"/>
          <w:szCs w:val="21"/>
        </w:rPr>
        <w:t>石基（香港）有限公司为本公司的全资子公司，注册资本</w:t>
      </w:r>
      <w:r>
        <w:rPr>
          <w:rFonts w:ascii="Times New Roman" w:hAnsi="Times New Roman" w:cs="Times New Roman" w:eastAsia="Times New Roman" w:hint="default"/>
          <w:spacing w:val="-1"/>
          <w:sz w:val="21"/>
          <w:szCs w:val="21"/>
        </w:rPr>
        <w:t>47,126.85</w:t>
      </w:r>
      <w:r>
        <w:rPr>
          <w:rFonts w:ascii="宋体" w:hAnsi="宋体" w:cs="宋体" w:eastAsia="宋体" w:hint="default"/>
          <w:spacing w:val="-1"/>
          <w:sz w:val="21"/>
          <w:szCs w:val="21"/>
        </w:rPr>
        <w:t>万元，</w:t>
      </w:r>
      <w:r>
        <w:rPr>
          <w:rFonts w:ascii="Times New Roman" w:hAnsi="Times New Roman" w:cs="Times New Roman" w:eastAsia="Times New Roman" w:hint="default"/>
          <w:spacing w:val="-1"/>
          <w:sz w:val="21"/>
          <w:szCs w:val="21"/>
        </w:rPr>
        <w:t>2007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17</w:t>
      </w:r>
      <w:r>
        <w:rPr>
          <w:rFonts w:ascii="宋体" w:hAnsi="宋体" w:cs="宋体" w:eastAsia="宋体" w:hint="default"/>
          <w:spacing w:val="-1"/>
          <w:sz w:val="21"/>
          <w:szCs w:val="21"/>
        </w:rPr>
        <w:t>日在中国香港</w:t>
      </w:r>
    </w:p>
    <w:p>
      <w:pPr>
        <w:spacing w:after="0" w:line="290" w:lineRule="auto"/>
        <w:jc w:val="left"/>
        <w:rPr>
          <w:rFonts w:ascii="宋体" w:hAnsi="宋体" w:cs="宋体" w:eastAsia="宋体" w:hint="default"/>
          <w:sz w:val="21"/>
          <w:szCs w:val="21"/>
        </w:rPr>
        <w:sectPr>
          <w:footerReference w:type="default" r:id="rId20"/>
          <w:pgSz w:w="11910" w:h="16840"/>
          <w:pgMar w:footer="979" w:header="0" w:top="1100" w:bottom="1160" w:left="980" w:right="0"/>
          <w:pgNumType w:start="32"/>
        </w:sectPr>
      </w:pPr>
    </w:p>
    <w:p>
      <w:pPr>
        <w:spacing w:line="240" w:lineRule="auto" w:before="10"/>
        <w:rPr>
          <w:rFonts w:ascii="宋体" w:hAnsi="宋体" w:cs="宋体" w:eastAsia="宋体" w:hint="default"/>
          <w:sz w:val="20"/>
          <w:szCs w:val="20"/>
        </w:rPr>
      </w:pPr>
    </w:p>
    <w:p>
      <w:pPr>
        <w:pStyle w:val="BodyText"/>
        <w:spacing w:line="240" w:lineRule="auto" w:before="35"/>
        <w:ind w:right="0"/>
        <w:jc w:val="left"/>
      </w:pPr>
      <w:r>
        <w:rPr/>
        <w:t>成立，主要从事酒店及餐饮信息管理系统经营相关投资业务。</w:t>
      </w:r>
    </w:p>
    <w:p>
      <w:pPr>
        <w:spacing w:line="290" w:lineRule="auto" w:before="76"/>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）上海正品贵德软件有限公司</w:t>
      </w:r>
      <w:r>
        <w:rPr>
          <w:rFonts w:ascii="宋体" w:hAnsi="宋体" w:cs="宋体" w:eastAsia="宋体" w:hint="default"/>
          <w:b/>
          <w:bCs/>
          <w:w w:val="99"/>
          <w:sz w:val="21"/>
          <w:szCs w:val="21"/>
        </w:rPr>
        <w:t> </w:t>
      </w:r>
      <w:r>
        <w:rPr>
          <w:rFonts w:ascii="宋体" w:hAnsi="宋体" w:cs="宋体" w:eastAsia="宋体" w:hint="default"/>
          <w:sz w:val="21"/>
          <w:szCs w:val="21"/>
        </w:rPr>
        <w:t>上海正品贵德软件有限公司为本公司控股子公司，成立于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日，注册资本</w:t>
      </w:r>
      <w:r>
        <w:rPr>
          <w:rFonts w:ascii="Times New Roman" w:hAnsi="Times New Roman" w:cs="Times New Roman" w:eastAsia="Times New Roman" w:hint="default"/>
          <w:sz w:val="21"/>
          <w:szCs w:val="21"/>
        </w:rPr>
        <w:t>500</w:t>
      </w:r>
      <w:r>
        <w:rPr>
          <w:rFonts w:ascii="宋体" w:hAnsi="宋体" w:cs="宋体" w:eastAsia="宋体" w:hint="default"/>
          <w:sz w:val="21"/>
          <w:szCs w:val="21"/>
        </w:rPr>
        <w:t>万元，本公</w:t>
      </w:r>
    </w:p>
    <w:p>
      <w:pPr>
        <w:pStyle w:val="BodyText"/>
        <w:spacing w:line="263" w:lineRule="exact" w:before="0"/>
        <w:ind w:right="0"/>
        <w:jc w:val="left"/>
      </w:pPr>
      <w:r>
        <w:rPr/>
        <w:t>司持有正品贵德</w:t>
      </w:r>
      <w:r>
        <w:rPr>
          <w:rFonts w:ascii="Times New Roman" w:hAnsi="Times New Roman" w:cs="Times New Roman" w:eastAsia="Times New Roman" w:hint="default"/>
        </w:rPr>
        <w:t>70%</w:t>
      </w:r>
      <w:r>
        <w:rPr/>
        <w:t>的股权。正品贵德主要从事餐饮信息系统的研发及销售，拥有连锁餐饮、大型中餐餐</w:t>
      </w:r>
    </w:p>
    <w:p>
      <w:pPr>
        <w:pStyle w:val="BodyText"/>
        <w:spacing w:line="240" w:lineRule="auto" w:before="23"/>
        <w:ind w:right="0"/>
        <w:jc w:val="left"/>
      </w:pPr>
      <w:r>
        <w:rPr/>
        <w:t>饮、西餐咖啡厅、酒店、会所等众多业态信息化管理软件系列产品。</w:t>
      </w:r>
    </w:p>
    <w:p>
      <w:pPr>
        <w:spacing w:line="256" w:lineRule="auto" w:before="75"/>
        <w:ind w:left="516" w:right="0" w:firstLine="20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）中国电子器件工业有限公司</w:t>
      </w:r>
      <w:r>
        <w:rPr>
          <w:rFonts w:ascii="宋体" w:hAnsi="宋体" w:cs="宋体" w:eastAsia="宋体" w:hint="default"/>
          <w:b/>
          <w:bCs/>
          <w:w w:val="99"/>
          <w:sz w:val="21"/>
          <w:szCs w:val="21"/>
        </w:rPr>
        <w:t> </w:t>
      </w:r>
      <w:r>
        <w:rPr>
          <w:rFonts w:ascii="宋体" w:hAnsi="宋体" w:cs="宋体" w:eastAsia="宋体" w:hint="default"/>
          <w:spacing w:val="-2"/>
          <w:sz w:val="21"/>
          <w:szCs w:val="21"/>
        </w:rPr>
        <w:t>中国电子器件工业有限公司为本公司子公司，成立于</w:t>
      </w:r>
      <w:r>
        <w:rPr>
          <w:rFonts w:ascii="Times New Roman" w:hAnsi="Times New Roman" w:cs="Times New Roman" w:eastAsia="Times New Roman" w:hint="default"/>
          <w:spacing w:val="-2"/>
          <w:sz w:val="21"/>
          <w:szCs w:val="21"/>
        </w:rPr>
        <w:t>1982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日，注册资本</w:t>
      </w:r>
      <w:r>
        <w:rPr>
          <w:rFonts w:ascii="Times New Roman" w:hAnsi="Times New Roman" w:cs="Times New Roman" w:eastAsia="Times New Roman" w:hint="default"/>
          <w:spacing w:val="-2"/>
          <w:sz w:val="21"/>
          <w:szCs w:val="21"/>
        </w:rPr>
        <w:t>19,403.80</w:t>
      </w:r>
      <w:r>
        <w:rPr>
          <w:rFonts w:ascii="宋体" w:hAnsi="宋体" w:cs="宋体" w:eastAsia="宋体" w:hint="default"/>
          <w:spacing w:val="-2"/>
          <w:sz w:val="21"/>
          <w:szCs w:val="21"/>
        </w:rPr>
        <w:t>万元，本公司</w:t>
      </w:r>
    </w:p>
    <w:p>
      <w:pPr>
        <w:pStyle w:val="BodyText"/>
        <w:spacing w:line="261" w:lineRule="auto" w:before="5"/>
        <w:ind w:right="1119"/>
        <w:jc w:val="left"/>
      </w:pPr>
      <w:r>
        <w:rPr>
          <w:spacing w:val="-2"/>
        </w:rPr>
        <w:t>持有中国电子器件公司</w:t>
      </w:r>
      <w:r>
        <w:rPr>
          <w:rFonts w:ascii="Times New Roman" w:hAnsi="Times New Roman" w:cs="Times New Roman" w:eastAsia="Times New Roman" w:hint="default"/>
          <w:spacing w:val="-2"/>
        </w:rPr>
        <w:t>100%</w:t>
      </w:r>
      <w:r>
        <w:rPr>
          <w:spacing w:val="-2"/>
        </w:rPr>
        <w:t>的股权。中电电子器件工业有限公司主要从事电子设备的销售等业务。中国电</w:t>
      </w:r>
      <w:r>
        <w:rPr/>
        <w:t> </w:t>
      </w:r>
      <w:r>
        <w:rPr>
          <w:spacing w:val="-1"/>
        </w:rPr>
        <w:t>子器件工业有限公司及其下属子公司国电子器件工业海南有限公司、海南中电器件精模公司、香港精密模</w:t>
      </w:r>
      <w:r>
        <w:rPr>
          <w:spacing w:val="-81"/>
        </w:rPr>
        <w:t> </w:t>
      </w:r>
      <w:r>
        <w:rPr>
          <w:spacing w:val="-81"/>
        </w:rPr>
      </w:r>
      <w:r>
        <w:rPr>
          <w:spacing w:val="-1"/>
        </w:rPr>
        <w:t>具有限公司、北京凯利德智科技发展有限公司（</w:t>
      </w:r>
      <w:r>
        <w:rPr>
          <w:rFonts w:ascii="Times New Roman" w:hAnsi="Times New Roman" w:cs="Times New Roman" w:eastAsia="Times New Roman" w:hint="default"/>
          <w:spacing w:val="-1"/>
        </w:rPr>
        <w:t>2014</w:t>
      </w:r>
      <w:r>
        <w:rPr>
          <w:spacing w:val="-1"/>
        </w:rPr>
        <w:t>年北京凯利德智科技发展有限公司名称变更为北京中</w:t>
      </w:r>
      <w:r>
        <w:rPr>
          <w:spacing w:val="-80"/>
        </w:rPr>
        <w:t> </w:t>
      </w:r>
      <w:r>
        <w:rPr>
          <w:spacing w:val="-80"/>
        </w:rPr>
      </w:r>
      <w:r>
        <w:rPr/>
        <w:t>长商通科技有限公司）、北京中电创新科技有限公司自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日起纳入合并报表范围。其中，北京 </w:t>
      </w:r>
      <w:r>
        <w:rPr>
          <w:spacing w:val="-2"/>
        </w:rPr>
        <w:t>中电创新科技有限公司已于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100%</w:t>
      </w:r>
      <w:r>
        <w:rPr>
          <w:spacing w:val="-2"/>
        </w:rPr>
        <w:t>股权转让。中国电子器件工业有限公司净利润比上年同期下降</w:t>
      </w:r>
      <w:r>
        <w:rPr>
          <w:spacing w:val="-99"/>
        </w:rPr>
        <w:t> </w:t>
      </w:r>
      <w:r>
        <w:rPr>
          <w:spacing w:val="-99"/>
        </w:rPr>
      </w:r>
      <w:r>
        <w:rPr>
          <w:rFonts w:ascii="Times New Roman" w:hAnsi="Times New Roman" w:cs="Times New Roman" w:eastAsia="Times New Roman" w:hint="default"/>
        </w:rPr>
        <w:t>123.06%</w:t>
      </w:r>
      <w:r>
        <w:rPr/>
        <w:t>，主要系中电器件业务战略调整，收入大幅下降所致。</w:t>
      </w:r>
    </w:p>
    <w:p>
      <w:pPr>
        <w:pStyle w:val="Heading4"/>
        <w:spacing w:line="240" w:lineRule="auto"/>
        <w:ind w:left="576" w:right="0"/>
        <w:jc w:val="left"/>
        <w:rPr>
          <w:b w:val="0"/>
          <w:bCs w:val="0"/>
        </w:rPr>
      </w:pPr>
      <w:r>
        <w:rPr/>
        <w:t>（</w:t>
      </w:r>
      <w:r>
        <w:rPr>
          <w:rFonts w:ascii="Times New Roman" w:hAnsi="Times New Roman" w:cs="Times New Roman" w:eastAsia="Times New Roman" w:hint="default"/>
        </w:rPr>
        <w:t>9</w:t>
      </w:r>
      <w:r>
        <w:rPr/>
        <w:t>）深圳市思迅软件股份有限公司</w:t>
      </w:r>
      <w:r>
        <w:rPr>
          <w:b w:val="0"/>
          <w:bCs w:val="0"/>
        </w:rPr>
      </w:r>
    </w:p>
    <w:p>
      <w:pPr>
        <w:pStyle w:val="BodyText"/>
        <w:tabs>
          <w:tab w:pos="6417" w:val="left" w:leader="none"/>
        </w:tabs>
        <w:spacing w:line="256" w:lineRule="auto" w:before="21"/>
        <w:ind w:right="1026" w:firstLine="630"/>
        <w:jc w:val="left"/>
      </w:pPr>
      <w:r>
        <w:rPr>
          <w:spacing w:val="-2"/>
        </w:rPr>
        <w:t>深圳市思迅软件股份有限公司为本公司控股子公司，成立于</w:t>
        <w:tab/>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日，注册资本</w:t>
      </w:r>
      <w:r>
        <w:rPr>
          <w:rFonts w:ascii="Times New Roman" w:hAnsi="Times New Roman" w:cs="Times New Roman" w:eastAsia="Times New Roman" w:hint="default"/>
          <w:spacing w:val="-2"/>
        </w:rPr>
        <w:t>1,000</w:t>
      </w:r>
      <w:r>
        <w:rPr>
          <w:spacing w:val="-2"/>
        </w:rPr>
        <w:t>万元，</w:t>
      </w:r>
      <w:r>
        <w:rPr/>
        <w:t> </w:t>
      </w:r>
      <w:r>
        <w:rPr>
          <w:spacing w:val="-2"/>
        </w:rPr>
        <w:t>本公司持有</w:t>
      </w:r>
      <w:r>
        <w:rPr>
          <w:rFonts w:ascii="Times New Roman" w:hAnsi="Times New Roman" w:cs="Times New Roman" w:eastAsia="Times New Roman" w:hint="default"/>
          <w:spacing w:val="-2"/>
        </w:rPr>
        <w:t>75%</w:t>
      </w:r>
      <w:r>
        <w:rPr>
          <w:spacing w:val="-2"/>
        </w:rPr>
        <w:t>的股权。深圳市思迅软件股份有限公司主要从事商业流通系统软件业务。于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w:t>
      </w:r>
      <w:r>
        <w:rPr>
          <w:spacing w:val="-2"/>
        </w:rPr>
        <w:t>月收购</w:t>
      </w:r>
      <w:r>
        <w:rPr>
          <w:spacing w:val="-98"/>
        </w:rPr>
        <w:t> </w:t>
      </w:r>
      <w:r>
        <w:rPr>
          <w:spacing w:val="-2"/>
        </w:rPr>
        <w:t>深圳奥凯软件有限公司</w:t>
      </w:r>
      <w:r>
        <w:rPr>
          <w:rFonts w:ascii="Times New Roman" w:hAnsi="Times New Roman" w:cs="Times New Roman" w:eastAsia="Times New Roman" w:hint="default"/>
          <w:spacing w:val="-2"/>
        </w:rPr>
        <w:t>100%</w:t>
      </w:r>
      <w:r>
        <w:rPr>
          <w:spacing w:val="-2"/>
        </w:rPr>
        <w:t>股权。自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日起纳入合并报表范围。深圳市思迅软件股份有限公司净</w:t>
      </w:r>
      <w:r>
        <w:rPr>
          <w:spacing w:val="-101"/>
        </w:rPr>
        <w:t> </w:t>
      </w:r>
      <w:r>
        <w:rPr>
          <w:spacing w:val="-101"/>
        </w:rPr>
      </w:r>
      <w:r>
        <w:rPr/>
        <w:t>利润比上年同期增长</w:t>
      </w:r>
      <w:r>
        <w:rPr>
          <w:rFonts w:ascii="Times New Roman" w:hAnsi="Times New Roman" w:cs="Times New Roman" w:eastAsia="Times New Roman" w:hint="default"/>
        </w:rPr>
        <w:t>33.58%</w:t>
      </w:r>
      <w:r>
        <w:rPr/>
        <w:t>，主要系公司大力进行新产品开发及渠道拓展，取得效果，合同订单大幅增加 所致。</w:t>
      </w:r>
    </w:p>
    <w:p>
      <w:pPr>
        <w:spacing w:line="240" w:lineRule="auto" w:before="13"/>
        <w:rPr>
          <w:rFonts w:ascii="宋体" w:hAnsi="宋体" w:cs="宋体" w:eastAsia="宋体" w:hint="default"/>
          <w:sz w:val="22"/>
          <w:szCs w:val="22"/>
        </w:rPr>
      </w:pPr>
    </w:p>
    <w:p>
      <w:pPr>
        <w:pStyle w:val="Heading2"/>
        <w:spacing w:line="240" w:lineRule="auto"/>
        <w:ind w:left="154"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576" w:right="0"/>
        <w:jc w:val="left"/>
        <w:rPr>
          <w:b w:val="0"/>
          <w:bCs w:val="0"/>
        </w:rPr>
      </w:pPr>
      <w:r>
        <w:rPr>
          <w:rFonts w:ascii="Times New Roman" w:hAnsi="Times New Roman" w:cs="Times New Roman" w:eastAsia="Times New Roman" w:hint="default"/>
        </w:rPr>
        <w:t>1</w:t>
      </w:r>
      <w:r>
        <w:rPr/>
        <w:t>、行业发展趋势与市场竞争格局</w:t>
      </w:r>
      <w:r>
        <w:rPr>
          <w:b w:val="0"/>
          <w:bCs w:val="0"/>
        </w:rPr>
      </w:r>
    </w:p>
    <w:p>
      <w:pPr>
        <w:pStyle w:val="Heading4"/>
        <w:spacing w:line="240" w:lineRule="auto" w:before="61"/>
        <w:ind w:left="576" w:right="0"/>
        <w:jc w:val="left"/>
        <w:rPr>
          <w:b w:val="0"/>
          <w:bCs w:val="0"/>
        </w:rPr>
      </w:pPr>
      <w:r>
        <w:rPr/>
        <w:t>（</w:t>
      </w:r>
      <w:r>
        <w:rPr>
          <w:rFonts w:ascii="Times New Roman" w:hAnsi="Times New Roman" w:cs="Times New Roman" w:eastAsia="Times New Roman" w:hint="default"/>
        </w:rPr>
        <w:t>1</w:t>
      </w:r>
      <w:r>
        <w:rPr/>
        <w:t>）行业发展趋势</w:t>
      </w:r>
      <w:r>
        <w:rPr>
          <w:b w:val="0"/>
          <w:bCs w:val="0"/>
        </w:rPr>
      </w:r>
    </w:p>
    <w:p>
      <w:pPr>
        <w:pStyle w:val="BodyText"/>
        <w:spacing w:line="290" w:lineRule="auto" w:before="62"/>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A</w:t>
      </w:r>
      <w:r>
        <w:rPr/>
        <w:t>、中国旅游消费行业市场空间巨大 </w:t>
      </w:r>
      <w:r>
        <w:rPr>
          <w:spacing w:val="-1"/>
        </w:rPr>
        <w:t>石基信息致力于为中国旅游消费行业提供整体信息化解决方案。我国改革开放以来，人均</w:t>
      </w:r>
      <w:r>
        <w:rPr>
          <w:rFonts w:ascii="Times New Roman" w:hAnsi="Times New Roman" w:cs="Times New Roman" w:eastAsia="Times New Roman" w:hint="default"/>
          <w:spacing w:val="-1"/>
        </w:rPr>
        <w:t>GDP</w:t>
      </w:r>
      <w:r>
        <w:rPr>
          <w:spacing w:val="-1"/>
        </w:rPr>
        <w:t>提升</w:t>
      </w:r>
      <w:r>
        <w:rPr>
          <w:rFonts w:ascii="Times New Roman" w:hAnsi="Times New Roman" w:cs="Times New Roman" w:eastAsia="Times New Roman" w:hint="default"/>
          <w:spacing w:val="-1"/>
        </w:rPr>
        <w:t>30</w:t>
      </w:r>
    </w:p>
    <w:p>
      <w:pPr>
        <w:pStyle w:val="BodyText"/>
        <w:spacing w:line="263" w:lineRule="exact" w:before="0"/>
        <w:ind w:right="0"/>
        <w:jc w:val="left"/>
      </w:pPr>
      <w:r>
        <w:rPr/>
        <w:t>倍，从</w:t>
      </w:r>
      <w:r>
        <w:rPr>
          <w:rFonts w:ascii="Times New Roman" w:hAnsi="Times New Roman" w:cs="Times New Roman" w:eastAsia="Times New Roman" w:hint="default"/>
        </w:rPr>
        <w:t>200</w:t>
      </w:r>
      <w:r>
        <w:rPr/>
        <w:t>美元发展到</w:t>
      </w:r>
      <w:r>
        <w:rPr>
          <w:rFonts w:ascii="Times New Roman" w:hAnsi="Times New Roman" w:cs="Times New Roman" w:eastAsia="Times New Roman" w:hint="default"/>
        </w:rPr>
        <w:t>6000</w:t>
      </w:r>
      <w:r>
        <w:rPr/>
        <w:t>美元，已经进入消费升级的新时期，为我国旅游消费行业的发展提供了良好的</w:t>
      </w:r>
    </w:p>
    <w:p>
      <w:pPr>
        <w:pStyle w:val="BodyText"/>
        <w:spacing w:line="259" w:lineRule="auto" w:before="21"/>
        <w:ind w:right="1131"/>
        <w:jc w:val="both"/>
      </w:pPr>
      <w:r>
        <w:rPr/>
        <w:t>经济基础。世界旅游组织（</w:t>
      </w:r>
      <w:r>
        <w:rPr>
          <w:rFonts w:ascii="Times New Roman" w:hAnsi="Times New Roman" w:cs="Times New Roman" w:eastAsia="Times New Roman" w:hint="default"/>
        </w:rPr>
        <w:t>UNWTO</w:t>
      </w:r>
      <w:r>
        <w:rPr/>
        <w:t>）数据显示，中国已成为世界第三大旅游目的地。</w:t>
      </w:r>
      <w:r>
        <w:rPr>
          <w:rFonts w:ascii="Times New Roman" w:hAnsi="Times New Roman" w:cs="Times New Roman" w:eastAsia="Times New Roman" w:hint="default"/>
        </w:rPr>
        <w:t>UNWTO</w:t>
      </w:r>
      <w:r>
        <w:rPr/>
        <w:t>预测，到</w:t>
      </w:r>
      <w:r>
        <w:rPr>
          <w:spacing w:val="-26"/>
        </w:rPr>
        <w:t> </w:t>
      </w:r>
      <w:r>
        <w:rPr>
          <w:spacing w:val="-26"/>
        </w:rPr>
      </w:r>
      <w:r>
        <w:rPr>
          <w:rFonts w:ascii="Times New Roman" w:hAnsi="Times New Roman" w:cs="Times New Roman" w:eastAsia="Times New Roman" w:hint="default"/>
          <w:spacing w:val="-2"/>
        </w:rPr>
        <w:t>2020</w:t>
      </w:r>
      <w:r>
        <w:rPr>
          <w:spacing w:val="-2"/>
        </w:rPr>
        <w:t>年，中国将接待入境游客</w:t>
      </w:r>
      <w:r>
        <w:rPr>
          <w:rFonts w:ascii="Times New Roman" w:hAnsi="Times New Roman" w:cs="Times New Roman" w:eastAsia="Times New Roman" w:hint="default"/>
          <w:spacing w:val="-2"/>
        </w:rPr>
        <w:t>1.37</w:t>
      </w:r>
      <w:r>
        <w:rPr>
          <w:spacing w:val="-2"/>
        </w:rPr>
        <w:t>亿人次，占世界市场份额的</w:t>
      </w:r>
      <w:r>
        <w:rPr>
          <w:rFonts w:ascii="Times New Roman" w:hAnsi="Times New Roman" w:cs="Times New Roman" w:eastAsia="Times New Roman" w:hint="default"/>
          <w:spacing w:val="-2"/>
        </w:rPr>
        <w:t>8.6%</w:t>
      </w:r>
      <w:r>
        <w:rPr>
          <w:spacing w:val="-2"/>
        </w:rPr>
        <w:t>，居世界第一位；中国出境旅游将达到</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6"/>
        </w:rPr>
        <w:t> </w:t>
      </w:r>
      <w:r>
        <w:rPr/>
        <w:t>亿人次，占全世界市场份额的</w:t>
      </w:r>
      <w:r>
        <w:rPr>
          <w:rFonts w:ascii="Times New Roman" w:hAnsi="Times New Roman" w:cs="Times New Roman" w:eastAsia="Times New Roman" w:hint="default"/>
        </w:rPr>
        <w:t>6.2%</w:t>
      </w:r>
      <w:r>
        <w:rPr/>
        <w:t>，居世界第四位。</w:t>
      </w:r>
    </w:p>
    <w:p>
      <w:pPr>
        <w:pStyle w:val="BodyText"/>
        <w:spacing w:line="261" w:lineRule="auto" w:before="41"/>
        <w:ind w:right="0" w:firstLine="420"/>
        <w:jc w:val="left"/>
      </w:pPr>
      <w:r>
        <w:rPr/>
        <w:t>中国的经济转型和消费升级将为品牌酒店连锁酒店提供巨大的市场空间。虽然中国目前星级酒店总共 不到</w:t>
      </w:r>
      <w:r>
        <w:rPr>
          <w:rFonts w:ascii="Times New Roman" w:hAnsi="Times New Roman" w:cs="Times New Roman" w:eastAsia="Times New Roman" w:hint="default"/>
        </w:rPr>
        <w:t>2</w:t>
      </w:r>
      <w:r>
        <w:rPr/>
        <w:t>万家，但从中国酒店的整个供应端来看，中国仅大中型城市正在营业的</w:t>
      </w:r>
      <w:r>
        <w:rPr>
          <w:rFonts w:ascii="Times New Roman" w:hAnsi="Times New Roman" w:cs="Times New Roman" w:eastAsia="Times New Roman" w:hint="default"/>
        </w:rPr>
        <w:t>20</w:t>
      </w:r>
      <w:r>
        <w:rPr/>
        <w:t>到</w:t>
      </w:r>
      <w:r>
        <w:rPr>
          <w:rFonts w:ascii="Times New Roman" w:hAnsi="Times New Roman" w:cs="Times New Roman" w:eastAsia="Times New Roman" w:hint="default"/>
        </w:rPr>
        <w:t>100</w:t>
      </w:r>
      <w:r>
        <w:rPr/>
        <w:t>间客房的旅馆招待所 </w:t>
      </w:r>
      <w:r>
        <w:rPr>
          <w:spacing w:val="-3"/>
        </w:rPr>
        <w:t>就有</w:t>
      </w:r>
      <w:r>
        <w:rPr>
          <w:rFonts w:ascii="Times New Roman" w:hAnsi="Times New Roman" w:cs="Times New Roman" w:eastAsia="Times New Roman" w:hint="default"/>
          <w:spacing w:val="-3"/>
        </w:rPr>
        <w:t>30</w:t>
      </w:r>
      <w:r>
        <w:rPr>
          <w:spacing w:val="-3"/>
        </w:rPr>
        <w:t>万家，客房将近</w:t>
      </w:r>
      <w:r>
        <w:rPr>
          <w:rFonts w:ascii="Times New Roman" w:hAnsi="Times New Roman" w:cs="Times New Roman" w:eastAsia="Times New Roman" w:hint="default"/>
          <w:spacing w:val="-3"/>
        </w:rPr>
        <w:t>2000</w:t>
      </w:r>
      <w:r>
        <w:rPr>
          <w:spacing w:val="-3"/>
        </w:rPr>
        <w:t>万间，随着国内客人消费水平的提高，必然逐步从招待所向品牌连锁酒店转移，</w:t>
      </w:r>
      <w:r>
        <w:rPr>
          <w:spacing w:val="-84"/>
        </w:rPr>
        <w:t> </w:t>
      </w:r>
      <w:r>
        <w:rPr>
          <w:spacing w:val="-84"/>
        </w:rPr>
      </w:r>
      <w:r>
        <w:rPr>
          <w:spacing w:val="10"/>
        </w:rPr>
        <w:t>按平均</w:t>
      </w:r>
      <w:r>
        <w:rPr>
          <w:rFonts w:ascii="Times New Roman" w:hAnsi="Times New Roman" w:cs="Times New Roman" w:eastAsia="Times New Roman" w:hint="default"/>
          <w:spacing w:val="10"/>
        </w:rPr>
        <w:t>200</w:t>
      </w:r>
      <w:r>
        <w:rPr>
          <w:spacing w:val="10"/>
        </w:rPr>
        <w:t>间客房算，这相当于仅现在的旅游消费规模就有新增</w:t>
      </w:r>
      <w:r>
        <w:rPr>
          <w:rFonts w:ascii="Times New Roman" w:hAnsi="Times New Roman" w:cs="Times New Roman" w:eastAsia="Times New Roman" w:hint="default"/>
          <w:spacing w:val="10"/>
        </w:rPr>
        <w:t>10</w:t>
      </w:r>
      <w:r>
        <w:rPr>
          <w:spacing w:val="10"/>
        </w:rPr>
        <w:t>万家品牌连锁酒店的市场潜力。据</w:t>
      </w:r>
      <w:r>
        <w:rPr>
          <w:spacing w:val="-95"/>
        </w:rPr>
        <w:t> </w:t>
      </w:r>
      <w:r>
        <w:rPr>
          <w:spacing w:val="-95"/>
        </w:rPr>
      </w:r>
      <w:r>
        <w:rPr>
          <w:rFonts w:ascii="Times New Roman" w:hAnsi="Times New Roman" w:cs="Times New Roman" w:eastAsia="Times New Roman" w:hint="default"/>
        </w:rPr>
        <w:t>UNWTO</w:t>
      </w:r>
      <w:r>
        <w:rPr/>
        <w:t>预测，中国酒店市场规模到</w:t>
      </w:r>
      <w:r>
        <w:rPr>
          <w:rFonts w:ascii="Times New Roman" w:hAnsi="Times New Roman" w:cs="Times New Roman" w:eastAsia="Times New Roman" w:hint="default"/>
        </w:rPr>
        <w:t>2025</w:t>
      </w:r>
      <w:r>
        <w:rPr/>
        <w:t>年将超过美国，到</w:t>
      </w:r>
      <w:r>
        <w:rPr>
          <w:rFonts w:ascii="Times New Roman" w:hAnsi="Times New Roman" w:cs="Times New Roman" w:eastAsia="Times New Roman" w:hint="default"/>
        </w:rPr>
        <w:t>2039</w:t>
      </w:r>
      <w:r>
        <w:rPr/>
        <w:t>年将增长近一倍。</w:t>
      </w:r>
    </w:p>
    <w:p>
      <w:pPr>
        <w:pStyle w:val="BodyText"/>
        <w:spacing w:line="290" w:lineRule="auto" w:before="41"/>
        <w:ind w:left="573" w:right="1093"/>
        <w:jc w:val="left"/>
      </w:pPr>
      <w:r>
        <w:rPr>
          <w:rFonts w:ascii="Times New Roman" w:hAnsi="Times New Roman" w:cs="Times New Roman" w:eastAsia="Times New Roman" w:hint="default"/>
        </w:rPr>
        <w:t>B</w:t>
      </w:r>
      <w:r>
        <w:rPr/>
        <w:t>、酒店、餐饮、零售等大旅游消费行业当前处于升级转型期 虽然旅游酒店行业还有较大的发展空间，但是受中国经济结构深度调整和增速放缓的影响，</w:t>
      </w:r>
      <w:r>
        <w:rPr>
          <w:rFonts w:ascii="Times New Roman" w:hAnsi="Times New Roman" w:cs="Times New Roman" w:eastAsia="Times New Roman" w:hint="default"/>
        </w:rPr>
        <w:t>2015</w:t>
      </w:r>
      <w:r>
        <w:rPr/>
        <w:t>年，</w:t>
      </w:r>
    </w:p>
    <w:p>
      <w:pPr>
        <w:pStyle w:val="BodyText"/>
        <w:spacing w:line="247" w:lineRule="exact" w:before="0"/>
        <w:ind w:right="0"/>
        <w:jc w:val="left"/>
      </w:pPr>
      <w:r>
        <w:rPr/>
        <w:t>中国旅游消费行业处在升级转型期，酒店、餐饮行业告别粗放增长的高大上时代，进入了回归产品和服务</w:t>
      </w:r>
    </w:p>
    <w:p>
      <w:pPr>
        <w:pStyle w:val="BodyText"/>
        <w:spacing w:line="240" w:lineRule="auto" w:before="37"/>
        <w:ind w:right="0"/>
        <w:jc w:val="left"/>
      </w:pPr>
      <w:r>
        <w:rPr/>
        <w:t>本质的全新发展时期。从行业创新来看，当前酒店、餐饮业正进入调整期，酒店的管理模式、产品模式、</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09"/>
        <w:jc w:val="both"/>
      </w:pPr>
      <w:r>
        <w:rPr>
          <w:spacing w:val="-1"/>
        </w:rPr>
        <w:t>市场模式都在进行根本性和结构性变革。从市场环境来说，品牌创新将进入高速爆发期，品牌取代星级成</w:t>
      </w:r>
      <w:r>
        <w:rPr>
          <w:spacing w:val="-83"/>
        </w:rPr>
        <w:t> </w:t>
      </w:r>
      <w:r>
        <w:rPr>
          <w:spacing w:val="-83"/>
        </w:rPr>
      </w:r>
      <w:r>
        <w:rPr/>
        <w:t>为市场标杆。从产品模式来说，企业将更多地研究目标市场消费需求，重新组合酒店提供的服务和设施， </w:t>
      </w:r>
      <w:r>
        <w:rPr>
          <w:spacing w:val="-1"/>
        </w:rPr>
        <w:t>消费者需要的部分将被更加重视，而消费者不需要的部分则会被弱化。而互联网大数据、移动信息科技技</w:t>
      </w:r>
      <w:r>
        <w:rPr>
          <w:spacing w:val="-83"/>
        </w:rPr>
        <w:t> </w:t>
      </w:r>
      <w:r>
        <w:rPr>
          <w:spacing w:val="-83"/>
        </w:rPr>
      </w:r>
      <w:r>
        <w:rPr/>
        <w:t>术时代的来临，为酒店和餐饮信息化市场的繁荣发展提供了新的拓展空间。</w:t>
      </w:r>
    </w:p>
    <w:p>
      <w:pPr>
        <w:pStyle w:val="BodyText"/>
        <w:spacing w:line="261" w:lineRule="auto" w:before="46"/>
        <w:ind w:right="1129" w:firstLine="420"/>
        <w:jc w:val="both"/>
      </w:pPr>
      <w:r>
        <w:rPr/>
        <w:t>中国零售业无论从产品和经营模式都正在迎来互联网的巨大冲击</w:t>
      </w:r>
      <w:r>
        <w:rPr>
          <w:rFonts w:ascii="Times New Roman" w:hAnsi="Times New Roman" w:cs="Times New Roman" w:eastAsia="Times New Roman" w:hint="default"/>
        </w:rPr>
        <w:t>,2015</w:t>
      </w:r>
      <w:r>
        <w:rPr/>
        <w:t>年中国消费者海外购已经接近</w:t>
      </w:r>
      <w:r>
        <w:rPr>
          <w:rFonts w:ascii="Times New Roman" w:hAnsi="Times New Roman" w:cs="Times New Roman" w:eastAsia="Times New Roman" w:hint="default"/>
        </w:rPr>
        <w:t>1 </w:t>
      </w:r>
      <w:r>
        <w:rPr/>
        <w:t>万亿人民币</w:t>
      </w:r>
      <w:r>
        <w:rPr>
          <w:rFonts w:ascii="Times New Roman" w:hAnsi="Times New Roman" w:cs="Times New Roman" w:eastAsia="Times New Roman" w:hint="default"/>
        </w:rPr>
        <w:t>,</w:t>
      </w:r>
      <w:r>
        <w:rPr/>
        <w:t>消费升级趋势明显</w:t>
      </w:r>
      <w:r>
        <w:rPr>
          <w:rFonts w:ascii="Times New Roman" w:hAnsi="Times New Roman" w:cs="Times New Roman" w:eastAsia="Times New Roman" w:hint="default"/>
        </w:rPr>
        <w:t>,</w:t>
      </w:r>
      <w:r>
        <w:rPr/>
        <w:t>品牌和商品信息能通过网络更加容易地传播到消费者</w:t>
      </w:r>
      <w:r>
        <w:rPr>
          <w:rFonts w:ascii="Times New Roman" w:hAnsi="Times New Roman" w:cs="Times New Roman" w:eastAsia="Times New Roman" w:hint="default"/>
        </w:rPr>
        <w:t>,</w:t>
      </w:r>
      <w:r>
        <w:rPr/>
        <w:t>传统零售业基于从生</w:t>
      </w:r>
      <w:r>
        <w:rPr>
          <w:spacing w:val="-77"/>
        </w:rPr>
        <w:t> </w:t>
      </w:r>
      <w:r>
        <w:rPr>
          <w:spacing w:val="-77"/>
        </w:rPr>
      </w:r>
      <w:r>
        <w:rPr>
          <w:spacing w:val="2"/>
        </w:rPr>
        <w:t>产者到最终消费者之间各个环节信息不对称所建立起来的商业模式正在被瓦解和颠覆</w:t>
      </w:r>
      <w:r>
        <w:rPr>
          <w:rFonts w:ascii="Times New Roman" w:hAnsi="Times New Roman" w:cs="Times New Roman" w:eastAsia="Times New Roman" w:hint="default"/>
          <w:spacing w:val="2"/>
        </w:rPr>
        <w:t>,</w:t>
      </w:r>
      <w:r>
        <w:rPr>
          <w:spacing w:val="2"/>
        </w:rPr>
        <w:t>实体零售店必须且</w:t>
      </w:r>
      <w:r>
        <w:rPr>
          <w:spacing w:val="-72"/>
        </w:rPr>
        <w:t> </w:t>
      </w:r>
      <w:r>
        <w:rPr>
          <w:spacing w:val="-72"/>
        </w:rPr>
      </w:r>
      <w:r>
        <w:rPr/>
        <w:t>必然会与互联网融为一体利用其服务优势参与到新的商业零售的重构中来</w:t>
      </w:r>
      <w:r>
        <w:rPr>
          <w:rFonts w:ascii="Times New Roman" w:hAnsi="Times New Roman" w:cs="Times New Roman" w:eastAsia="Times New Roman" w:hint="default"/>
        </w:rPr>
        <w:t>,</w:t>
      </w:r>
      <w:r>
        <w:rPr/>
        <w:t>互联网和信息技术只是工具</w:t>
      </w:r>
      <w:r>
        <w:rPr>
          <w:rFonts w:ascii="Times New Roman" w:hAnsi="Times New Roman" w:cs="Times New Roman" w:eastAsia="Times New Roman" w:hint="default"/>
        </w:rPr>
        <w:t>,</w:t>
      </w:r>
      <w:r>
        <w:rPr/>
        <w:t>最</w:t>
      </w:r>
      <w:r>
        <w:rPr>
          <w:spacing w:val="-28"/>
        </w:rPr>
        <w:t> </w:t>
      </w:r>
      <w:r>
        <w:rPr>
          <w:spacing w:val="-1"/>
        </w:rPr>
        <w:t>终洗牌后的商业主角还将是实体店，实体店通过利用新一代信息技术将继续成为商品和服务交易的核心环</w:t>
      </w:r>
      <w:r>
        <w:rPr>
          <w:spacing w:val="-81"/>
        </w:rPr>
        <w:t> </w:t>
      </w:r>
      <w:r>
        <w:rPr>
          <w:spacing w:val="-81"/>
        </w:rPr>
      </w:r>
      <w:r>
        <w:rPr/>
        <w:t>节。</w:t>
      </w:r>
    </w:p>
    <w:p>
      <w:pPr>
        <w:pStyle w:val="BodyText"/>
        <w:spacing w:line="290" w:lineRule="auto" w:before="59"/>
        <w:ind w:left="573" w:right="0"/>
        <w:jc w:val="left"/>
      </w:pPr>
      <w:r>
        <w:rPr>
          <w:rFonts w:ascii="Times New Roman" w:hAnsi="Times New Roman" w:cs="Times New Roman" w:eastAsia="Times New Roman" w:hint="default"/>
        </w:rPr>
        <w:t>C</w:t>
      </w:r>
      <w:r>
        <w:rPr/>
        <w:t>、云计算技术是酒店、餐饮和零售业信息系统技术发展方向 </w:t>
      </w:r>
      <w:r>
        <w:rPr>
          <w:spacing w:val="-1"/>
        </w:rPr>
        <w:t>从信息化行业的技术发展趋势来看，以云计算为代表的新一代信息管理系统将成为未来酒店、餐饮及</w:t>
      </w:r>
    </w:p>
    <w:p>
      <w:pPr>
        <w:pStyle w:val="BodyText"/>
        <w:spacing w:line="268" w:lineRule="auto" w:before="0"/>
        <w:ind w:right="1110"/>
        <w:jc w:val="both"/>
      </w:pPr>
      <w:r>
        <w:rPr>
          <w:spacing w:val="-1"/>
        </w:rPr>
        <w:t>零售信息系统的发展趋势。基于云的信息系统不仅简化了实施部署和培训，使得优秀的信息系统可以快速</w:t>
      </w:r>
      <w:r>
        <w:rPr>
          <w:spacing w:val="-81"/>
        </w:rPr>
        <w:t> </w:t>
      </w:r>
      <w:r>
        <w:rPr>
          <w:spacing w:val="-81"/>
        </w:rPr>
      </w:r>
      <w:r>
        <w:rPr>
          <w:spacing w:val="-1"/>
        </w:rPr>
        <w:t>得到推广和普及，更重要的基于云的信息系统使得公司建立覆盖酒店餐饮零售的整个消费信息服务平台和</w:t>
      </w:r>
      <w:r>
        <w:rPr>
          <w:spacing w:val="-81"/>
        </w:rPr>
        <w:t> </w:t>
      </w:r>
      <w:r>
        <w:rPr>
          <w:spacing w:val="-81"/>
        </w:rPr>
      </w:r>
      <w:r>
        <w:rPr/>
        <w:t>数据平台可以实现。公司在云酒店和餐饮信息系统方面已经投入多年并成功地被一定规模的用户所使用， </w:t>
      </w:r>
      <w:r>
        <w:rPr>
          <w:spacing w:val="-2"/>
        </w:rPr>
        <w:t>公司在欧洲投资的</w:t>
      </w:r>
      <w:r>
        <w:rPr>
          <w:rFonts w:ascii="Times New Roman" w:hAnsi="Times New Roman" w:cs="Times New Roman" w:eastAsia="Times New Roman" w:hint="default"/>
          <w:spacing w:val="-2"/>
        </w:rPr>
        <w:t>SNAPSHOT</w:t>
      </w:r>
      <w:r>
        <w:rPr>
          <w:spacing w:val="-2"/>
        </w:rPr>
        <w:t>正在成为酒店数据平台的领先者。公司希望借助酒店业的经验，利用投资控</w:t>
      </w:r>
      <w:r>
        <w:rPr>
          <w:spacing w:val="-67"/>
        </w:rPr>
        <w:t> </w:t>
      </w:r>
      <w:r>
        <w:rPr>
          <w:spacing w:val="-67"/>
        </w:rPr>
      </w:r>
      <w:r>
        <w:rPr>
          <w:spacing w:val="-1"/>
        </w:rPr>
        <w:t>股零售企业的专业人才优势，通过数据平台和开发云平台的建立，实现公司在新一代基于云的零售信息系</w:t>
      </w:r>
      <w:r>
        <w:rPr>
          <w:spacing w:val="-81"/>
        </w:rPr>
        <w:t> </w:t>
      </w:r>
      <w:r>
        <w:rPr>
          <w:spacing w:val="-81"/>
        </w:rPr>
      </w:r>
      <w:r>
        <w:rPr/>
        <w:t>统的领导地位。</w:t>
      </w:r>
    </w:p>
    <w:p>
      <w:pPr>
        <w:pStyle w:val="BodyText"/>
        <w:spacing w:line="290" w:lineRule="auto" w:before="51"/>
        <w:ind w:left="574" w:right="0"/>
        <w:jc w:val="left"/>
      </w:pPr>
      <w:r>
        <w:rPr>
          <w:rFonts w:ascii="Times New Roman" w:hAnsi="Times New Roman" w:cs="Times New Roman" w:eastAsia="Times New Roman" w:hint="default"/>
        </w:rPr>
        <w:t>D</w:t>
      </w:r>
      <w:r>
        <w:rPr/>
        <w:t>、移动互联网的发展和普及强化了直连技术在旅游消费行业信息化发展中的应用需求 </w:t>
      </w:r>
      <w:r>
        <w:rPr>
          <w:spacing w:val="-1"/>
        </w:rPr>
        <w:t>从我国酒店行业信息化发展来看，我国酒店的管理系统建设滞后导致酒店预订目前主要依靠人工参与</w:t>
      </w:r>
    </w:p>
    <w:p>
      <w:pPr>
        <w:pStyle w:val="BodyText"/>
        <w:spacing w:line="273" w:lineRule="auto" w:before="0"/>
        <w:ind w:left="154" w:right="1131"/>
        <w:jc w:val="both"/>
      </w:pPr>
      <w:r>
        <w:rPr>
          <w:spacing w:val="-1"/>
        </w:rPr>
        <w:t>完成，直连应用仍存在巨大发展空间。拥有直连技术后，通过预订网站预订之后产生的数据将直接写入到</w:t>
      </w:r>
      <w:r>
        <w:rPr>
          <w:spacing w:val="-82"/>
        </w:rPr>
        <w:t> </w:t>
      </w:r>
      <w:r>
        <w:rPr>
          <w:spacing w:val="-82"/>
        </w:rPr>
      </w:r>
      <w:r>
        <w:rPr>
          <w:spacing w:val="-1"/>
        </w:rPr>
        <w:t>酒店信息管理系统之中，而预订网站也能够实时或者定时读取酒店信息管理系统的数据。一方面，直连能</w:t>
      </w:r>
      <w:r>
        <w:rPr>
          <w:spacing w:val="-83"/>
        </w:rPr>
        <w:t> </w:t>
      </w:r>
      <w:r>
        <w:rPr>
          <w:spacing w:val="-83"/>
        </w:rPr>
      </w:r>
      <w:r>
        <w:rPr>
          <w:spacing w:val="-1"/>
        </w:rPr>
        <w:t>够简化预订流程、缩短预订时间；另一方面，直连降低了人为错误的可能性。因此直连技术能够提升预订</w:t>
      </w:r>
      <w:r>
        <w:rPr>
          <w:spacing w:val="-86"/>
        </w:rPr>
        <w:t> </w:t>
      </w:r>
      <w:r>
        <w:rPr>
          <w:spacing w:val="-86"/>
        </w:rPr>
      </w:r>
      <w:r>
        <w:rPr/>
        <w:t>行业的效率，降低成本。</w:t>
      </w:r>
    </w:p>
    <w:p>
      <w:pPr>
        <w:pStyle w:val="BodyText"/>
        <w:spacing w:line="273" w:lineRule="auto" w:before="46"/>
        <w:ind w:left="154" w:right="1023" w:firstLine="420"/>
        <w:jc w:val="left"/>
      </w:pPr>
      <w:r>
        <w:rPr>
          <w:spacing w:val="3"/>
        </w:rPr>
        <w:t>移动互联网的发展和普及将强化直连需求。移动互联网的兴起导致越来越多的客户通过手机预订酒</w:t>
      </w:r>
      <w:r>
        <w:rPr/>
        <w:t> 店，成为推动直连需求的又一重要因素。一方面，移动互联网时代人们更改旅行计划将更为容易，越来越 多的用户放弃了提前预定，而是在住宿需求确定后（比如抵达旅行目的地后）才开始预订房间；这就要求 </w:t>
      </w:r>
      <w:r>
        <w:rPr>
          <w:spacing w:val="-3"/>
        </w:rPr>
        <w:t>旅客的订单必须迅速得到确认，必将推动直连的发展；另一方面，移动互联网用户对体验的要求更为苛刻，</w:t>
      </w:r>
      <w:r>
        <w:rPr>
          <w:spacing w:val="-90"/>
        </w:rPr>
        <w:t> </w:t>
      </w:r>
      <w:r>
        <w:rPr>
          <w:spacing w:val="-90"/>
        </w:rPr>
      </w:r>
      <w:r>
        <w:rPr/>
        <w:t>希望入住酒店的所有过程（包括预定、选房、入住、支付、离店优惠券等）都在手机上完成，满足其需求</w:t>
      </w:r>
      <w:r>
        <w:rPr/>
        <w:t> 的唯一方式是实现</w:t>
      </w:r>
      <w:r>
        <w:rPr>
          <w:rFonts w:ascii="Times New Roman" w:hAnsi="Times New Roman" w:cs="Times New Roman" w:eastAsia="Times New Roman" w:hint="default"/>
        </w:rPr>
        <w:t>PMS</w:t>
      </w:r>
      <w:r>
        <w:rPr/>
        <w:t>的直连。</w:t>
      </w:r>
    </w:p>
    <w:p>
      <w:pPr>
        <w:pStyle w:val="BodyText"/>
        <w:spacing w:line="290" w:lineRule="auto" w:before="28"/>
        <w:ind w:left="573" w:right="1018"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）市场竞争格局</w:t>
      </w:r>
      <w:r>
        <w:rPr>
          <w:rFonts w:ascii="宋体" w:hAnsi="宋体" w:cs="宋体" w:eastAsia="宋体" w:hint="default"/>
          <w:b/>
          <w:bCs/>
          <w:w w:val="99"/>
        </w:rPr>
        <w:t> </w:t>
      </w:r>
      <w:r>
        <w:rPr>
          <w:spacing w:val="-3"/>
        </w:rPr>
        <w:t>目前，国际酒店管理集团在中国酒店行业的强势地位并未发生根本改变。在中国现有的五星级酒店中，</w:t>
      </w:r>
    </w:p>
    <w:p>
      <w:pPr>
        <w:pStyle w:val="BodyText"/>
        <w:spacing w:line="268" w:lineRule="auto" w:before="0"/>
        <w:ind w:right="1130"/>
        <w:jc w:val="both"/>
      </w:pPr>
      <w:r>
        <w:rPr/>
        <w:t>本土酒店品牌仅占不到三分之一。在目前国内已有的星级酒店中，连锁酒店仅占</w:t>
      </w:r>
      <w:r>
        <w:rPr>
          <w:rFonts w:ascii="Times New Roman" w:hAnsi="Times New Roman" w:cs="Times New Roman" w:eastAsia="Times New Roman" w:hint="default"/>
        </w:rPr>
        <w:t>10%</w:t>
      </w:r>
      <w:r>
        <w:rPr/>
        <w:t>左右，国际连锁酒店</w:t>
      </w:r>
      <w:r>
        <w:rPr>
          <w:spacing w:val="-95"/>
        </w:rPr>
        <w:t> </w:t>
      </w:r>
      <w:r>
        <w:rPr>
          <w:spacing w:val="-95"/>
        </w:rPr>
      </w:r>
      <w:r>
        <w:rPr>
          <w:spacing w:val="-1"/>
        </w:rPr>
        <w:t>数量更少，大部分是管理水平较低的单体酒店，星级酒店无论是数量还是质量均远远不能满足高速发展的</w:t>
      </w:r>
      <w:r>
        <w:rPr>
          <w:spacing w:val="-80"/>
        </w:rPr>
        <w:t> </w:t>
      </w:r>
      <w:r>
        <w:rPr>
          <w:spacing w:val="-80"/>
        </w:rPr>
      </w:r>
      <w:r>
        <w:rPr>
          <w:spacing w:val="-1"/>
        </w:rPr>
        <w:t>中国旅游业的需求。因此，经营连锁化、运营信息化是我国旅游酒店业提升服务质量、提高经营效益的必</w:t>
      </w:r>
      <w:r>
        <w:rPr>
          <w:spacing w:val="-86"/>
        </w:rPr>
        <w:t> </w:t>
      </w:r>
      <w:r>
        <w:rPr>
          <w:spacing w:val="-86"/>
        </w:rPr>
      </w:r>
      <w:r>
        <w:rPr>
          <w:spacing w:val="-1"/>
        </w:rPr>
        <w:t>由之路，也是我国旅游酒店业近几年的发展趋势。经营连锁化、运营信息化必然对酒店的信息管理系统提</w:t>
      </w:r>
      <w:r>
        <w:rPr>
          <w:spacing w:val="-83"/>
        </w:rPr>
        <w:t> </w:t>
      </w:r>
      <w:r>
        <w:rPr>
          <w:spacing w:val="-83"/>
        </w:rPr>
      </w:r>
      <w:r>
        <w:rPr/>
        <w:t>出更高的技术先进性、运行可靠性、系统扩展性（接口通用性）要求。</w:t>
      </w:r>
    </w:p>
    <w:p>
      <w:pPr>
        <w:pStyle w:val="BodyText"/>
        <w:spacing w:line="266" w:lineRule="auto" w:before="50"/>
        <w:ind w:right="0" w:firstLine="420"/>
        <w:jc w:val="left"/>
      </w:pPr>
      <w:r>
        <w:rPr/>
        <w:t>公司在国内从事国际化经营与管理的酒店管理软件业务方面基本没有竞争对手，五星级酒店市场占有 率</w:t>
      </w:r>
      <w:r>
        <w:rPr>
          <w:rFonts w:ascii="Times New Roman" w:hAnsi="Times New Roman" w:cs="Times New Roman" w:eastAsia="Times New Roman" w:hint="default"/>
        </w:rPr>
        <w:t>90%</w:t>
      </w:r>
      <w:r>
        <w:rPr/>
        <w:t>以上。公司是目前国内最主要的酒店信息管理系统解决方案提供商之一，能够为从高星级到较低星</w:t>
      </w:r>
      <w:r>
        <w:rPr>
          <w:spacing w:val="-98"/>
        </w:rPr>
        <w:t> </w:t>
      </w:r>
      <w:r>
        <w:rPr>
          <w:spacing w:val="-98"/>
        </w:rPr>
      </w:r>
      <w:r>
        <w:rPr>
          <w:spacing w:val="-5"/>
        </w:rPr>
        <w:t>级直至经济型连锁酒店提供全套完整的解决方案，酒店客户总数超过</w:t>
      </w:r>
      <w:r>
        <w:rPr>
          <w:rFonts w:ascii="Times New Roman" w:hAnsi="Times New Roman" w:cs="Times New Roman" w:eastAsia="Times New Roman" w:hint="default"/>
          <w:spacing w:val="-5"/>
        </w:rPr>
        <w:t>10000</w:t>
      </w:r>
      <w:r>
        <w:rPr>
          <w:spacing w:val="-5"/>
        </w:rPr>
        <w:t>家。公司的中央预订系统（</w:t>
      </w:r>
      <w:r>
        <w:rPr>
          <w:rFonts w:ascii="Times New Roman" w:hAnsi="Times New Roman" w:cs="Times New Roman" w:eastAsia="Times New Roman" w:hint="default"/>
          <w:spacing w:val="-5"/>
        </w:rPr>
        <w:t>CRS</w:t>
      </w:r>
      <w:r>
        <w:rPr>
          <w:spacing w:val="-5"/>
        </w:rPr>
        <w:t>）</w:t>
      </w:r>
      <w:r>
        <w:rPr>
          <w:spacing w:val="-63"/>
        </w:rPr>
        <w:t> </w:t>
      </w:r>
      <w:r>
        <w:rPr/>
        <w:t>已经成为国内中高星级酒店集团的主要选择之一，为中国酒店连锁化运营做好了技术准备。公司的产品与</w:t>
      </w:r>
      <w:r>
        <w:rPr/>
        <w:t> 服务在上述各方面相比于其他市场参与主体具有显著的优势，行业与市场的发展将有利于公司各项竞争优 势的充分发挥。</w:t>
      </w:r>
    </w:p>
    <w:p>
      <w:pPr>
        <w:spacing w:after="0" w:line="266"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BodyText"/>
        <w:spacing w:line="268" w:lineRule="auto" w:before="35"/>
        <w:ind w:right="1131" w:firstLine="420"/>
        <w:jc w:val="both"/>
      </w:pPr>
      <w:r>
        <w:rPr>
          <w:spacing w:val="-1"/>
        </w:rPr>
        <w:t>在本地化酒店信息管理系统领域，由公司全资子公司杭州西软和万达控股下属的广州万迅负责，杭州</w:t>
      </w:r>
      <w:r>
        <w:rPr/>
        <w:t> 西软是国内单体酒店客户数量最多的公司在华东地区所有星级酒店占有</w:t>
      </w:r>
      <w:r>
        <w:rPr>
          <w:rFonts w:ascii="Times New Roman" w:hAnsi="Times New Roman" w:cs="Times New Roman" w:eastAsia="Times New Roman" w:hint="default"/>
        </w:rPr>
        <w:t>50%</w:t>
      </w:r>
      <w:r>
        <w:rPr/>
        <w:t>以上份额，具有相对的区域控</w:t>
      </w:r>
      <w:r>
        <w:rPr>
          <w:spacing w:val="-97"/>
        </w:rPr>
        <w:t> </w:t>
      </w:r>
      <w:r>
        <w:rPr>
          <w:spacing w:val="-97"/>
        </w:rPr>
      </w:r>
      <w:r>
        <w:rPr>
          <w:spacing w:val="-1"/>
        </w:rPr>
        <w:t>制优势。本地化酒店信息管理系统领域现阶段主要的竞争对手有北京中软好泰酒店计算机管理系统工程有</w:t>
      </w:r>
      <w:r>
        <w:rPr>
          <w:spacing w:val="-81"/>
        </w:rPr>
        <w:t> </w:t>
      </w:r>
      <w:r>
        <w:rPr>
          <w:spacing w:val="-81"/>
        </w:rPr>
      </w:r>
      <w:r>
        <w:rPr/>
        <w:t>限责任公司等。</w:t>
      </w:r>
    </w:p>
    <w:p>
      <w:pPr>
        <w:pStyle w:val="BodyText"/>
        <w:spacing w:line="266" w:lineRule="auto" w:before="50"/>
        <w:ind w:right="1131" w:firstLine="420"/>
        <w:jc w:val="both"/>
      </w:pPr>
      <w:r>
        <w:rPr>
          <w:spacing w:val="-1"/>
        </w:rPr>
        <w:t>在餐饮信息化行业高度分散的局势下，公司通过有效整合旗下四大品牌，中高端、连锁餐饮用户数量</w:t>
      </w:r>
      <w:r>
        <w:rPr/>
        <w:t> 已超过</w:t>
      </w:r>
      <w:r>
        <w:rPr>
          <w:rFonts w:ascii="Times New Roman" w:hAnsi="Times New Roman" w:cs="Times New Roman" w:eastAsia="Times New Roman" w:hint="default"/>
        </w:rPr>
        <w:t>10,000</w:t>
      </w:r>
      <w:r>
        <w:rPr/>
        <w:t>家，低端餐饮用户约</w:t>
      </w:r>
      <w:r>
        <w:rPr>
          <w:rFonts w:ascii="Times New Roman" w:hAnsi="Times New Roman" w:cs="Times New Roman" w:eastAsia="Times New Roman" w:hint="default"/>
        </w:rPr>
        <w:t>10</w:t>
      </w:r>
      <w:r>
        <w:rPr/>
        <w:t>万家左右，无论在中高端及连锁餐饮市场还是在整个餐饮信息化市场</w:t>
      </w:r>
      <w:r>
        <w:rPr>
          <w:spacing w:val="-81"/>
        </w:rPr>
        <w:t> </w:t>
      </w:r>
      <w:r>
        <w:rPr>
          <w:spacing w:val="-81"/>
        </w:rPr>
      </w:r>
      <w:r>
        <w:rPr/>
        <w:t>的占有率均处于相对领先水平。</w:t>
      </w:r>
    </w:p>
    <w:p>
      <w:pPr>
        <w:pStyle w:val="BodyText"/>
        <w:spacing w:line="256" w:lineRule="auto" w:before="53"/>
        <w:ind w:right="1111" w:firstLine="420"/>
        <w:jc w:val="both"/>
      </w:pPr>
      <w:r>
        <w:rPr/>
        <w:t>对于公司</w:t>
      </w:r>
      <w:r>
        <w:rPr>
          <w:rFonts w:ascii="Times New Roman" w:hAnsi="Times New Roman" w:cs="Times New Roman" w:eastAsia="Times New Roman" w:hint="default"/>
        </w:rPr>
        <w:t>2015</w:t>
      </w:r>
      <w:r>
        <w:rPr/>
        <w:t>年全面布局的零售信息化市场，多年以来竞争激烈。公司目前已收购或控股长益科技、 科传计算机科技控股有限公司、</w:t>
      </w:r>
      <w:r>
        <w:rPr>
          <w:rFonts w:ascii="Times New Roman" w:hAnsi="Times New Roman" w:cs="Times New Roman" w:eastAsia="Times New Roman" w:hint="default"/>
        </w:rPr>
        <w:t>eFuture Information Technology</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t>以及思迅软件，零售客户总量在</w:t>
      </w:r>
      <w:r>
        <w:rPr>
          <w:rFonts w:ascii="Times New Roman" w:hAnsi="Times New Roman" w:cs="Times New Roman" w:eastAsia="Times New Roman" w:hint="default"/>
        </w:rPr>
        <w:t>20</w:t>
      </w:r>
      <w:r>
        <w:rPr/>
        <w:t>万家</w:t>
      </w:r>
      <w:r>
        <w:rPr>
          <w:spacing w:val="1"/>
        </w:rPr>
        <w:t> </w:t>
      </w:r>
      <w:r>
        <w:rPr>
          <w:spacing w:val="-2"/>
        </w:rPr>
        <w:t>以上，占中国规模化零售行业客户群的</w:t>
      </w:r>
      <w:r>
        <w:rPr>
          <w:rFonts w:ascii="Times New Roman" w:hAnsi="Times New Roman" w:cs="Times New Roman" w:eastAsia="Times New Roman" w:hint="default"/>
          <w:spacing w:val="-2"/>
        </w:rPr>
        <w:t>6-7</w:t>
      </w:r>
      <w:r>
        <w:rPr>
          <w:spacing w:val="-2"/>
        </w:rPr>
        <w:t>成。通过整合与加大投入，公司有望在零售业取得与酒店业相同</w:t>
      </w:r>
      <w:r>
        <w:rPr/>
        <w:t> 的领导地位。</w:t>
      </w:r>
    </w:p>
    <w:p>
      <w:pPr>
        <w:pStyle w:val="BodyText"/>
        <w:spacing w:line="290" w:lineRule="auto" w:before="62"/>
        <w:ind w:left="573" w:right="1128" w:firstLine="2"/>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、公司发展战略</w:t>
      </w:r>
      <w:r>
        <w:rPr>
          <w:rFonts w:ascii="宋体" w:hAnsi="宋体" w:cs="宋体" w:eastAsia="宋体" w:hint="default"/>
          <w:b/>
          <w:bCs/>
          <w:w w:val="99"/>
        </w:rPr>
        <w:t> </w:t>
      </w:r>
      <w:r>
        <w:rPr/>
        <w:t>公司从创立伊始就专注于为商业客户提供营业管理系统而不涉足工业企业，政府等非商业客户的</w:t>
      </w:r>
      <w:r>
        <w:rPr>
          <w:rFonts w:ascii="Times New Roman" w:hAnsi="Times New Roman" w:cs="Times New Roman" w:eastAsia="Times New Roman" w:hint="default"/>
        </w:rPr>
        <w:t>ERP</w:t>
      </w:r>
    </w:p>
    <w:p>
      <w:pPr>
        <w:pStyle w:val="BodyText"/>
        <w:spacing w:line="263" w:lineRule="exact" w:before="0"/>
        <w:ind w:left="154" w:right="0"/>
        <w:jc w:val="left"/>
      </w:pPr>
      <w:r>
        <w:rPr/>
        <w:t>或</w:t>
      </w:r>
      <w:r>
        <w:rPr>
          <w:rFonts w:ascii="Times New Roman" w:hAnsi="Times New Roman" w:cs="Times New Roman" w:eastAsia="Times New Roman" w:hint="default"/>
        </w:rPr>
        <w:t>OA</w:t>
      </w:r>
      <w:r>
        <w:rPr/>
        <w:t>系统。通过技术许可、源码引进、自主开发、收购兼并等多种手段，目前公司拥有覆盖整个消费行</w:t>
      </w:r>
    </w:p>
    <w:p>
      <w:pPr>
        <w:pStyle w:val="BodyText"/>
        <w:spacing w:line="266" w:lineRule="auto" w:before="21"/>
        <w:ind w:right="0"/>
        <w:jc w:val="left"/>
      </w:pPr>
      <w:r>
        <w:rPr/>
        <w:t>业的从高端到低端，从国际到本地，从连锁到单体的全套信息系统解决方案。以酒店和餐饮业高端客户为 核心的覆盖全国及港、澳、台、中南亚的客户的年度营业额目前已超过</w:t>
      </w:r>
      <w:r>
        <w:rPr>
          <w:rFonts w:ascii="Times New Roman" w:hAnsi="Times New Roman" w:cs="Times New Roman" w:eastAsia="Times New Roman" w:hint="default"/>
        </w:rPr>
        <w:t>1</w:t>
      </w:r>
      <w:r>
        <w:rPr/>
        <w:t>万亿人民币。特别是在高星级酒</w:t>
      </w:r>
      <w:r>
        <w:rPr>
          <w:spacing w:val="-27"/>
        </w:rPr>
        <w:t> </w:t>
      </w:r>
      <w:r>
        <w:rPr>
          <w:spacing w:val="-27"/>
        </w:rPr>
      </w:r>
      <w:r>
        <w:rPr/>
        <w:t>店业，公司具有一定的领先优势。由于公司软件在酒店行业的较高占有率，使得公司有机会将信息系统向</w:t>
      </w:r>
      <w:r>
        <w:rPr/>
        <w:t> 酒店的上下游延伸，建立预定、支付的直连技术通道，使订房渠道、银行或第三方支付公司可以直连酒店 信息系统，实现快速、准确、高效的自动交易。目前工农中建交等主要收单银行进入高星级酒店业基本上 全部使用了公司的直连清算通道。目前已经有超过</w:t>
      </w:r>
      <w:r>
        <w:rPr>
          <w:rFonts w:ascii="Times New Roman" w:hAnsi="Times New Roman" w:cs="Times New Roman" w:eastAsia="Times New Roman" w:hint="default"/>
        </w:rPr>
        <w:t>20</w:t>
      </w:r>
      <w:r>
        <w:rPr/>
        <w:t>家国内外主流预定渠道通过石基直连预定平台连接数 千家酒店。公司目前正在餐饮业复制酒店业的直连模式，移动互联网的发展将推动公司直连模式向低端市 </w:t>
      </w:r>
      <w:r>
        <w:rPr>
          <w:spacing w:val="-3"/>
        </w:rPr>
        <w:t>场扩展。经过多年的准备与预先研究，</w:t>
      </w:r>
      <w:r>
        <w:rPr>
          <w:rFonts w:ascii="Times New Roman" w:hAnsi="Times New Roman" w:cs="Times New Roman" w:eastAsia="Times New Roman" w:hint="default"/>
          <w:spacing w:val="-3"/>
        </w:rPr>
        <w:t>2015</w:t>
      </w:r>
      <w:r>
        <w:rPr>
          <w:spacing w:val="-3"/>
        </w:rPr>
        <w:t>年公司快速进入零售业信息系统领域，取得行业市场领先地位，</w:t>
      </w:r>
      <w:r>
        <w:rPr>
          <w:spacing w:val="-85"/>
        </w:rPr>
        <w:t> </w:t>
      </w:r>
      <w:r>
        <w:rPr>
          <w:spacing w:val="-85"/>
        </w:rPr>
      </w:r>
      <w:r>
        <w:rPr/>
        <w:t>公司目前在零售业客户的年度营业额超过</w:t>
      </w:r>
      <w:r>
        <w:rPr>
          <w:rFonts w:ascii="Times New Roman" w:hAnsi="Times New Roman" w:cs="Times New Roman" w:eastAsia="Times New Roman" w:hint="default"/>
        </w:rPr>
        <w:t>3</w:t>
      </w:r>
      <w:r>
        <w:rPr/>
        <w:t>万亿人民币，公司将通过建立大型数据平台与云服务平台将酒</w:t>
      </w:r>
      <w:r>
        <w:rPr>
          <w:spacing w:val="-31"/>
        </w:rPr>
        <w:t> </w:t>
      </w:r>
      <w:r>
        <w:rPr>
          <w:spacing w:val="-31"/>
        </w:rPr>
      </w:r>
      <w:r>
        <w:rPr/>
        <w:t>店餐饮零售三大行业以数据为基础进行连接，构建大消费信息服务平台，为经营者和消费者提供数据、软</w:t>
      </w:r>
      <w:r>
        <w:rPr/>
        <w:t> 件和信息服务。</w:t>
      </w:r>
    </w:p>
    <w:p>
      <w:pPr>
        <w:pStyle w:val="BodyText"/>
        <w:spacing w:line="273" w:lineRule="auto" w:before="53"/>
        <w:ind w:left="154" w:right="1131" w:firstLine="420"/>
        <w:jc w:val="both"/>
      </w:pPr>
      <w:r>
        <w:rPr>
          <w:spacing w:val="-1"/>
        </w:rPr>
        <w:t>为此，公司的发展战略保持不变，即：围绕酒店信息系统核心业务，加大新一代酒店信息管理系统研</w:t>
      </w:r>
      <w:r>
        <w:rPr/>
        <w:t> </w:t>
      </w:r>
      <w:r>
        <w:rPr>
          <w:spacing w:val="-1"/>
        </w:rPr>
        <w:t>发投入，以确保公司在以云计算为代表的新一代信息系统变迁中继续领导中国酒店信息系统的发展，以酒</w:t>
      </w:r>
      <w:r>
        <w:rPr>
          <w:spacing w:val="-81"/>
        </w:rPr>
        <w:t> </w:t>
      </w:r>
      <w:r>
        <w:rPr>
          <w:spacing w:val="-81"/>
        </w:rPr>
      </w:r>
      <w:r>
        <w:rPr>
          <w:spacing w:val="-1"/>
        </w:rPr>
        <w:t>店信息管理系统领域强有力的市场地位为基础，积极发展与酒店信息管理系统紧密相关的或有共同管理模</w:t>
      </w:r>
      <w:r>
        <w:rPr>
          <w:spacing w:val="-81"/>
        </w:rPr>
        <w:t> </w:t>
      </w:r>
      <w:r>
        <w:rPr>
          <w:spacing w:val="-81"/>
        </w:rPr>
      </w:r>
      <w:r>
        <w:rPr/>
        <w:t>式和经营特点的其他业务，逐步构建旅游消费信息化服务平台。</w:t>
      </w:r>
    </w:p>
    <w:p>
      <w:pPr>
        <w:pStyle w:val="Heading4"/>
        <w:spacing w:line="240" w:lineRule="auto" w:before="47"/>
        <w:ind w:left="573" w:right="0"/>
        <w:jc w:val="left"/>
        <w:rPr>
          <w:b w:val="0"/>
          <w:bCs w:val="0"/>
        </w:rPr>
      </w:pPr>
      <w:r>
        <w:rPr>
          <w:rFonts w:ascii="Times New Roman" w:hAnsi="Times New Roman" w:cs="Times New Roman" w:eastAsia="Times New Roman" w:hint="default"/>
        </w:rPr>
        <w:t>3</w:t>
      </w:r>
      <w:r>
        <w:rPr/>
        <w:t>、公司新年度经营计划</w:t>
      </w:r>
      <w:r>
        <w:rPr>
          <w:b w:val="0"/>
          <w:bCs w:val="0"/>
        </w:rPr>
      </w:r>
    </w:p>
    <w:p>
      <w:pPr>
        <w:pStyle w:val="BodyText"/>
        <w:spacing w:line="271" w:lineRule="auto" w:before="59"/>
        <w:ind w:right="1110" w:firstLine="420"/>
        <w:jc w:val="both"/>
      </w:pPr>
      <w:r>
        <w:rPr>
          <w:rFonts w:ascii="Times New Roman" w:hAnsi="Times New Roman" w:cs="Times New Roman" w:eastAsia="Times New Roman" w:hint="default"/>
          <w:spacing w:val="-1"/>
        </w:rPr>
        <w:t>2016</w:t>
      </w:r>
      <w:r>
        <w:rPr>
          <w:spacing w:val="-1"/>
        </w:rPr>
        <w:t>年，公司将继续推进内部控制的建设和完善，继续完善基于云计算的新一代酒店、餐饮信息管理</w:t>
      </w:r>
      <w:r>
        <w:rPr/>
        <w:t> </w:t>
      </w:r>
      <w:r>
        <w:rPr>
          <w:spacing w:val="-1"/>
        </w:rPr>
        <w:t>系统，开始建立石基零售数据平台和开发平台，使公司的产品和服务通过统一的开发平台从高端向低端延</w:t>
      </w:r>
      <w:r>
        <w:rPr>
          <w:spacing w:val="-81"/>
        </w:rPr>
        <w:t> </w:t>
      </w:r>
      <w:r>
        <w:rPr>
          <w:spacing w:val="-81"/>
        </w:rPr>
      </w:r>
      <w:r>
        <w:rPr>
          <w:spacing w:val="-1"/>
        </w:rPr>
        <w:t>伸；顺应软件业向移动互联网转移的大趋势，加强适应市场变化的餐饮信息系统新产品开发，扩大移动终</w:t>
      </w:r>
      <w:r>
        <w:rPr>
          <w:spacing w:val="-83"/>
        </w:rPr>
        <w:t> </w:t>
      </w:r>
      <w:r>
        <w:rPr>
          <w:spacing w:val="-83"/>
        </w:rPr>
      </w:r>
      <w:r>
        <w:rPr>
          <w:spacing w:val="-1"/>
        </w:rPr>
        <w:t>端在餐饮领域的广泛应用，顺应中国餐饮发展方向，提升公司在中国餐饮信息化行业的地位；启动对旗下</w:t>
      </w:r>
      <w:r>
        <w:rPr>
          <w:spacing w:val="-83"/>
        </w:rPr>
        <w:t> </w:t>
      </w:r>
      <w:r>
        <w:rPr>
          <w:spacing w:val="-83"/>
        </w:rPr>
      </w:r>
      <w:r>
        <w:rPr>
          <w:spacing w:val="-1"/>
        </w:rPr>
        <w:t>零售业公司的整合，实现公司在零售业信息系统的领导地位，畅联业务将在继续推进酒店集团和渠道合作</w:t>
      </w:r>
      <w:r>
        <w:rPr>
          <w:spacing w:val="-81"/>
        </w:rPr>
        <w:t> </w:t>
      </w:r>
      <w:r>
        <w:rPr>
          <w:spacing w:val="-81"/>
        </w:rPr>
      </w:r>
      <w:r>
        <w:rPr>
          <w:spacing w:val="-1"/>
        </w:rPr>
        <w:t>的同时，继续加深与阿里旅行在酒店预订领域的直连合作，实现预订量的快速增长；加强与淘宝支付宝和</w:t>
      </w:r>
      <w:r>
        <w:rPr>
          <w:spacing w:val="-83"/>
        </w:rPr>
        <w:t> </w:t>
      </w:r>
      <w:r>
        <w:rPr>
          <w:spacing w:val="-83"/>
        </w:rPr>
      </w:r>
      <w:r>
        <w:rPr/>
        <w:t>腾讯微信的合作，扩大南京银石在支付系统行业的影响力，促进公司从软件供应商向平台服务商的转型。</w:t>
      </w:r>
    </w:p>
    <w:p>
      <w:pPr>
        <w:pStyle w:val="BodyText"/>
        <w:spacing w:line="240" w:lineRule="auto" w:before="50"/>
        <w:ind w:left="574" w:right="0"/>
        <w:jc w:val="left"/>
      </w:pPr>
      <w:r>
        <w:rPr/>
        <w:t>为实现上述经营计划，公司将采取如下举措：</w:t>
      </w:r>
    </w:p>
    <w:p>
      <w:pPr>
        <w:pStyle w:val="Heading4"/>
        <w:spacing w:line="240" w:lineRule="auto" w:before="76"/>
        <w:ind w:left="574" w:right="0"/>
        <w:jc w:val="left"/>
        <w:rPr>
          <w:b w:val="0"/>
          <w:bCs w:val="0"/>
        </w:rPr>
      </w:pPr>
      <w:r>
        <w:rPr/>
        <w:t>（</w:t>
      </w:r>
      <w:r>
        <w:rPr>
          <w:rFonts w:ascii="Times New Roman" w:hAnsi="Times New Roman" w:cs="Times New Roman" w:eastAsia="Times New Roman" w:hint="default"/>
        </w:rPr>
        <w:t>1</w:t>
      </w:r>
      <w:r>
        <w:rPr/>
        <w:t>）酒店信息系统业务</w:t>
      </w:r>
      <w:r>
        <w:rPr>
          <w:b w:val="0"/>
          <w:bCs w:val="0"/>
        </w:rPr>
      </w:r>
    </w:p>
    <w:p>
      <w:pPr>
        <w:pStyle w:val="BodyText"/>
        <w:spacing w:line="261" w:lineRule="auto" w:before="60"/>
        <w:ind w:left="154" w:right="1025" w:firstLine="420"/>
        <w:jc w:val="both"/>
      </w:pPr>
      <w:r>
        <w:rPr>
          <w:rFonts w:ascii="Times New Roman" w:hAnsi="Times New Roman" w:cs="Times New Roman" w:eastAsia="Times New Roman" w:hint="default"/>
        </w:rPr>
        <w:t>2016</w:t>
      </w:r>
      <w:r>
        <w:rPr/>
        <w:t>年，公司将以在高端酒店信息系统业务领域的市场竞争优势为基石，开发新的产品与服务帮助中 国高端酒店业实现业务和经营转型；杭州西软在技术研发方面将在现有产品的基础上完成国际化、</w:t>
      </w:r>
      <w:r>
        <w:rPr>
          <w:rFonts w:ascii="Times New Roman" w:hAnsi="Times New Roman" w:cs="Times New Roman" w:eastAsia="Times New Roman" w:hint="default"/>
        </w:rPr>
        <w:t>SAAS</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化、移动化，完成西软产品与总公司体系下各产品的有效对接；广州万迅将全面对接总公司在酒店行业的 </w:t>
      </w:r>
      <w:r>
        <w:rPr>
          <w:spacing w:val="-3"/>
        </w:rPr>
        <w:t>技术和产品资源，实现大部分客户与畅联联接，继续扩大客户规模，同时将统一按照石基云</w:t>
      </w:r>
      <w:r>
        <w:rPr>
          <w:rFonts w:ascii="Times New Roman" w:hAnsi="Times New Roman" w:cs="Times New Roman" w:eastAsia="Times New Roman" w:hint="default"/>
          <w:spacing w:val="-3"/>
        </w:rPr>
        <w:t>PMS</w:t>
      </w:r>
      <w:r>
        <w:rPr>
          <w:spacing w:val="-3"/>
        </w:rPr>
        <w:t>开发计划，</w:t>
      </w:r>
    </w:p>
    <w:p>
      <w:pPr>
        <w:spacing w:after="0" w:line="261" w:lineRule="auto"/>
        <w:jc w:val="both"/>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BodyText"/>
        <w:spacing w:line="240" w:lineRule="auto" w:before="35"/>
        <w:ind w:right="0"/>
        <w:jc w:val="left"/>
      </w:pPr>
      <w:r>
        <w:rPr/>
        <w:t>开发新一代基于云的千里马酒店管理系统。</w:t>
      </w:r>
    </w:p>
    <w:p>
      <w:pPr>
        <w:pStyle w:val="Heading4"/>
        <w:spacing w:line="240" w:lineRule="auto" w:before="76"/>
        <w:ind w:left="576" w:right="0"/>
        <w:jc w:val="left"/>
        <w:rPr>
          <w:b w:val="0"/>
          <w:bCs w:val="0"/>
        </w:rPr>
      </w:pPr>
      <w:r>
        <w:rPr/>
        <w:t>（</w:t>
      </w:r>
      <w:r>
        <w:rPr>
          <w:rFonts w:ascii="Times New Roman" w:hAnsi="Times New Roman" w:cs="Times New Roman" w:eastAsia="Times New Roman" w:hint="default"/>
        </w:rPr>
        <w:t>2</w:t>
      </w:r>
      <w:r>
        <w:rPr/>
        <w:t>）餐饮、零售信息系统业务</w:t>
      </w:r>
      <w:r>
        <w:rPr>
          <w:b w:val="0"/>
          <w:bCs w:val="0"/>
        </w:rPr>
      </w:r>
    </w:p>
    <w:p>
      <w:pPr>
        <w:pStyle w:val="BodyText"/>
        <w:spacing w:line="259" w:lineRule="auto" w:before="61"/>
        <w:ind w:right="1131" w:firstLine="42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Infrasys</w:t>
      </w:r>
      <w:r>
        <w:rPr>
          <w:spacing w:val="-2"/>
        </w:rPr>
        <w:t>将大力推广云平台</w:t>
      </w:r>
      <w:r>
        <w:rPr>
          <w:rFonts w:ascii="Times New Roman" w:hAnsi="Times New Roman" w:cs="Times New Roman" w:eastAsia="Times New Roman" w:hint="default"/>
          <w:spacing w:val="-2"/>
        </w:rPr>
        <w:t>“Hero”</w:t>
      </w:r>
      <w:r>
        <w:rPr>
          <w:spacing w:val="-2"/>
        </w:rPr>
        <w:t>及</w:t>
      </w:r>
      <w:r>
        <w:rPr>
          <w:rFonts w:ascii="Times New Roman" w:hAnsi="Times New Roman" w:cs="Times New Roman" w:eastAsia="Times New Roman" w:hint="default"/>
          <w:spacing w:val="-2"/>
        </w:rPr>
        <w:t>Xpos</w:t>
      </w:r>
      <w:r>
        <w:rPr>
          <w:spacing w:val="-2"/>
        </w:rPr>
        <w:t>快速支付系统，为连锁餐饮打造适宜的生态环境，为</w:t>
      </w:r>
      <w:r>
        <w:rPr/>
        <w:t> 其打造从市场拓展、门店经营、集团物流采购、集团会员管理、</w:t>
      </w:r>
      <w:r>
        <w:rPr>
          <w:rFonts w:ascii="Times New Roman" w:hAnsi="Times New Roman" w:cs="Times New Roman" w:eastAsia="Times New Roman" w:hint="default"/>
        </w:rPr>
        <w:t>“O2O”</w:t>
      </w:r>
      <w:r>
        <w:rPr/>
        <w:t>线上系统直连、智能决策分析等全</w:t>
      </w:r>
      <w:r>
        <w:rPr>
          <w:spacing w:val="-96"/>
        </w:rPr>
        <w:t> </w:t>
      </w:r>
      <w:r>
        <w:rPr>
          <w:spacing w:val="-96"/>
        </w:rPr>
      </w:r>
      <w:r>
        <w:rPr/>
        <w:t>方位的信息化管理系统。</w:t>
      </w:r>
    </w:p>
    <w:p>
      <w:pPr>
        <w:pStyle w:val="BodyText"/>
        <w:spacing w:line="264" w:lineRule="auto" w:before="58"/>
        <w:ind w:right="1110" w:firstLine="420"/>
        <w:jc w:val="both"/>
      </w:pPr>
      <w:r>
        <w:rPr>
          <w:rFonts w:ascii="Times New Roman" w:hAnsi="Times New Roman" w:cs="Times New Roman" w:eastAsia="Times New Roman" w:hint="default"/>
          <w:spacing w:val="-1"/>
        </w:rPr>
        <w:t>2016</w:t>
      </w:r>
      <w:r>
        <w:rPr>
          <w:spacing w:val="-1"/>
        </w:rPr>
        <w:t>年，正品贵德将继续强化餐饮供应链的行业优势，帮助餐饮企业节约成本，主推精细化管理系统</w:t>
      </w:r>
      <w:r>
        <w:rPr/>
        <w:t> </w:t>
      </w:r>
      <w:r>
        <w:rPr>
          <w:rFonts w:ascii="Times New Roman" w:hAnsi="Times New Roman" w:cs="Times New Roman" w:eastAsia="Times New Roman" w:hint="default"/>
        </w:rPr>
        <w:t>G9</w:t>
      </w:r>
      <w:r>
        <w:rPr/>
        <w:t>系统产品，继续完善基于移动应用的正品</w:t>
      </w:r>
      <w:r>
        <w:rPr>
          <w:rFonts w:ascii="Times New Roman" w:hAnsi="Times New Roman" w:cs="Times New Roman" w:eastAsia="Times New Roman" w:hint="default"/>
        </w:rPr>
        <w:t>CRM</w:t>
      </w:r>
      <w:r>
        <w:rPr/>
        <w:t>系统，成为业内提供餐饮业供应链</w:t>
      </w:r>
      <w:r>
        <w:rPr>
          <w:rFonts w:ascii="Times New Roman" w:hAnsi="Times New Roman" w:cs="Times New Roman" w:eastAsia="Times New Roman" w:hint="default"/>
        </w:rPr>
        <w:t>+</w:t>
      </w:r>
      <w:r>
        <w:rPr/>
        <w:t>连锁</w:t>
      </w:r>
      <w:r>
        <w:rPr>
          <w:rFonts w:ascii="Times New Roman" w:hAnsi="Times New Roman" w:cs="Times New Roman" w:eastAsia="Times New Roman" w:hint="default"/>
        </w:rPr>
        <w:t>+CRM</w:t>
      </w:r>
      <w:r>
        <w:rPr/>
        <w:t>等前后台</w:t>
      </w:r>
      <w:r>
        <w:rPr>
          <w:spacing w:val="-92"/>
        </w:rPr>
        <w:t> </w:t>
      </w:r>
      <w:r>
        <w:rPr/>
        <w:t>整体解决方案的供应商；加大渠道和全国营销服务网点建设力度，召开渠道年度大会和渠道招商大会等， 大力发展渠道，制定新的渠道政策；继续推进餐饮</w:t>
      </w:r>
      <w:r>
        <w:rPr>
          <w:rFonts w:ascii="Times New Roman" w:hAnsi="Times New Roman" w:cs="Times New Roman" w:eastAsia="Times New Roman" w:hint="default"/>
        </w:rPr>
        <w:t>O2O</w:t>
      </w:r>
      <w:r>
        <w:rPr/>
        <w:t>应用，扩大连锁</w:t>
      </w:r>
      <w:r>
        <w:rPr>
          <w:rFonts w:ascii="Times New Roman" w:hAnsi="Times New Roman" w:cs="Times New Roman" w:eastAsia="Times New Roman" w:hint="default"/>
        </w:rPr>
        <w:t>O2O</w:t>
      </w:r>
      <w:r>
        <w:rPr/>
        <w:t>上线应用客户数量。</w:t>
      </w:r>
    </w:p>
    <w:p>
      <w:pPr>
        <w:pStyle w:val="BodyText"/>
        <w:spacing w:line="264" w:lineRule="auto" w:before="36"/>
        <w:ind w:right="1130" w:firstLine="420"/>
        <w:jc w:val="both"/>
      </w:pPr>
      <w:r>
        <w:rPr>
          <w:rFonts w:ascii="Times New Roman" w:hAnsi="Times New Roman" w:cs="Times New Roman" w:eastAsia="Times New Roman" w:hint="default"/>
          <w:spacing w:val="-1"/>
        </w:rPr>
        <w:t>2016</w:t>
      </w:r>
      <w:r>
        <w:rPr>
          <w:spacing w:val="-1"/>
        </w:rPr>
        <w:t>年，思迅软件将聚焦传统细分行业的业务推广，保持原有的业务持续增长；加大新的业务模式拓</w:t>
      </w:r>
      <w:r>
        <w:rPr/>
        <w:t> </w:t>
      </w:r>
      <w:r>
        <w:rPr>
          <w:spacing w:val="-1"/>
        </w:rPr>
        <w:t>展，主要包括：软件产品向</w:t>
      </w:r>
      <w:r>
        <w:rPr>
          <w:rFonts w:ascii="Times New Roman" w:hAnsi="Times New Roman" w:cs="Times New Roman" w:eastAsia="Times New Roman" w:hint="default"/>
          <w:spacing w:val="-1"/>
        </w:rPr>
        <w:t>SaaS</w:t>
      </w:r>
      <w:r>
        <w:rPr>
          <w:spacing w:val="-1"/>
        </w:rPr>
        <w:t>业务转型、传统产品对接</w:t>
      </w:r>
      <w:r>
        <w:rPr>
          <w:rFonts w:ascii="Times New Roman" w:hAnsi="Times New Roman" w:cs="Times New Roman" w:eastAsia="Times New Roman" w:hint="default"/>
          <w:spacing w:val="-1"/>
        </w:rPr>
        <w:t>O2O</w:t>
      </w:r>
      <w:r>
        <w:rPr>
          <w:spacing w:val="-1"/>
        </w:rPr>
        <w:t>，打通线下线上的业务连接，增加产品竞争</w:t>
      </w:r>
      <w:r>
        <w:rPr>
          <w:spacing w:val="-72"/>
        </w:rPr>
        <w:t> </w:t>
      </w:r>
      <w:r>
        <w:rPr>
          <w:spacing w:val="-72"/>
        </w:rPr>
      </w:r>
      <w:r>
        <w:rPr>
          <w:spacing w:val="-1"/>
        </w:rPr>
        <w:t>力；坚持以渠道为基础的营销模式，进一步发挥和利用强大的渠道资源进行产品和服务推广；扩大软硬件</w:t>
      </w:r>
      <w:r>
        <w:rPr>
          <w:spacing w:val="-82"/>
        </w:rPr>
        <w:t> </w:t>
      </w:r>
      <w:r>
        <w:rPr>
          <w:spacing w:val="-82"/>
        </w:rPr>
      </w:r>
      <w:r>
        <w:rPr/>
        <w:t>一体化业务，为客户提供一体化解决方案。</w:t>
      </w:r>
    </w:p>
    <w:p>
      <w:pPr>
        <w:pStyle w:val="BodyText"/>
        <w:spacing w:line="266" w:lineRule="auto" w:before="55"/>
        <w:ind w:right="1130" w:firstLine="420"/>
        <w:jc w:val="both"/>
      </w:pPr>
      <w:r>
        <w:rPr>
          <w:spacing w:val="-1"/>
        </w:rPr>
        <w:t>对于刚刚在</w:t>
      </w:r>
      <w:r>
        <w:rPr>
          <w:rFonts w:ascii="Times New Roman" w:hAnsi="Times New Roman" w:cs="Times New Roman" w:eastAsia="Times New Roman" w:hint="default"/>
          <w:spacing w:val="-1"/>
        </w:rPr>
        <w:t>2015</w:t>
      </w:r>
      <w:r>
        <w:rPr>
          <w:spacing w:val="-1"/>
        </w:rPr>
        <w:t>年年底完成收购的长益科技和富基，公司将适时启动对整个零售业务的整合，</w:t>
      </w:r>
      <w:r>
        <w:rPr>
          <w:rFonts w:ascii="Times New Roman" w:hAnsi="Times New Roman" w:cs="Times New Roman" w:eastAsia="Times New Roman" w:hint="default"/>
          <w:spacing w:val="-1"/>
        </w:rPr>
        <w:t>2016</w:t>
      </w:r>
      <w:r>
        <w:rPr>
          <w:spacing w:val="-1"/>
        </w:rPr>
        <w:t>年</w:t>
      </w:r>
      <w:r>
        <w:rPr/>
        <w:t> </w:t>
      </w:r>
      <w:r>
        <w:rPr>
          <w:spacing w:val="-1"/>
        </w:rPr>
        <w:t>公司将首先从搭建数据平台开始，实现与银石支付平台与支付系统的对接，探索在数据平台基础上为第三</w:t>
      </w:r>
      <w:r>
        <w:rPr>
          <w:spacing w:val="-81"/>
        </w:rPr>
        <w:t> </w:t>
      </w:r>
      <w:r>
        <w:rPr>
          <w:spacing w:val="-81"/>
        </w:rPr>
      </w:r>
      <w:r>
        <w:rPr/>
        <w:t>方公司提供金融和渠道数据服务。</w:t>
      </w:r>
    </w:p>
    <w:p>
      <w:pPr>
        <w:pStyle w:val="BodyText"/>
        <w:spacing w:line="290" w:lineRule="auto" w:before="53"/>
        <w:ind w:left="576" w:right="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）畅联业务</w:t>
      </w:r>
      <w:r>
        <w:rPr>
          <w:rFonts w:ascii="宋体" w:hAnsi="宋体" w:cs="宋体" w:eastAsia="宋体" w:hint="default"/>
          <w:b/>
          <w:bCs/>
          <w:w w:val="99"/>
        </w:rPr>
        <w:t> </w:t>
      </w:r>
      <w:r>
        <w:rPr>
          <w:spacing w:val="-1"/>
        </w:rPr>
        <w:t>展望</w:t>
      </w:r>
      <w:r>
        <w:rPr>
          <w:rFonts w:ascii="Times New Roman" w:hAnsi="Times New Roman" w:cs="Times New Roman" w:eastAsia="Times New Roman" w:hint="default"/>
          <w:spacing w:val="-1"/>
        </w:rPr>
        <w:t>2016</w:t>
      </w:r>
      <w:r>
        <w:rPr>
          <w:spacing w:val="-1"/>
        </w:rPr>
        <w:t>年，在技术方面，畅联将继续投入研发，完成平台数据和缓存的改造升级，维持行业领先的</w:t>
      </w:r>
    </w:p>
    <w:p>
      <w:pPr>
        <w:pStyle w:val="BodyText"/>
        <w:spacing w:line="247" w:lineRule="exact" w:before="0"/>
        <w:ind w:right="0"/>
        <w:jc w:val="left"/>
      </w:pPr>
      <w:r>
        <w:rPr/>
        <w:t>技术，以帮助合作伙伴提升消费者使用体验为核心使命；业务方面，畅联将在继续扩大与阿里旅行直连酒</w:t>
      </w:r>
    </w:p>
    <w:p>
      <w:pPr>
        <w:pStyle w:val="BodyText"/>
        <w:spacing w:line="240" w:lineRule="auto" w:before="38"/>
        <w:ind w:right="0"/>
        <w:jc w:val="left"/>
      </w:pPr>
      <w:r>
        <w:rPr/>
        <w:t>店数量和增加流量的同时和接入更多的渠道，力争实现量的突破。</w:t>
      </w:r>
    </w:p>
    <w:p>
      <w:pPr>
        <w:pStyle w:val="Heading4"/>
        <w:spacing w:line="240" w:lineRule="auto" w:before="78"/>
        <w:ind w:left="576" w:right="0"/>
        <w:jc w:val="left"/>
        <w:rPr>
          <w:b w:val="0"/>
          <w:bCs w:val="0"/>
        </w:rPr>
      </w:pPr>
      <w:r>
        <w:rPr/>
        <w:t>（</w:t>
      </w:r>
      <w:r>
        <w:rPr>
          <w:rFonts w:ascii="Times New Roman" w:hAnsi="Times New Roman" w:cs="Times New Roman" w:eastAsia="Times New Roman" w:hint="default"/>
        </w:rPr>
        <w:t>4</w:t>
      </w:r>
      <w:r>
        <w:rPr/>
        <w:t>）支付业务</w:t>
      </w:r>
      <w:r>
        <w:rPr>
          <w:b w:val="0"/>
          <w:bCs w:val="0"/>
        </w:rPr>
      </w:r>
    </w:p>
    <w:p>
      <w:pPr>
        <w:pStyle w:val="BodyText"/>
        <w:spacing w:line="259" w:lineRule="auto" w:before="60"/>
        <w:ind w:right="1132" w:firstLine="422"/>
        <w:jc w:val="both"/>
      </w:pPr>
      <w:r>
        <w:rPr>
          <w:rFonts w:ascii="Times New Roman" w:hAnsi="Times New Roman" w:cs="Times New Roman" w:eastAsia="Times New Roman" w:hint="default"/>
          <w:spacing w:val="-1"/>
        </w:rPr>
        <w:t>2016</w:t>
      </w:r>
      <w:r>
        <w:rPr>
          <w:spacing w:val="-1"/>
        </w:rPr>
        <w:t>年，南京银石将继续加大技术人员的投入，目标是建立业内领先的、完备的技术研发和技术支持</w:t>
      </w:r>
      <w:r>
        <w:rPr/>
        <w:t> 团队；继续推进支付宝和微信支付接入业务以及推广石基智能支付平台产品。</w:t>
      </w:r>
    </w:p>
    <w:p>
      <w:pPr>
        <w:pStyle w:val="Heading4"/>
        <w:spacing w:line="240" w:lineRule="auto" w:before="60"/>
        <w:ind w:left="576" w:right="0"/>
        <w:jc w:val="left"/>
        <w:rPr>
          <w:b w:val="0"/>
          <w:bCs w:val="0"/>
        </w:rPr>
      </w:pPr>
      <w:r>
        <w:rPr/>
        <w:t>（</w:t>
      </w:r>
      <w:r>
        <w:rPr>
          <w:rFonts w:ascii="Times New Roman" w:hAnsi="Times New Roman" w:cs="Times New Roman" w:eastAsia="Times New Roman" w:hint="default"/>
        </w:rPr>
        <w:t>5</w:t>
      </w:r>
      <w:r>
        <w:rPr/>
        <w:t>）中电业务</w:t>
      </w:r>
      <w:r>
        <w:rPr>
          <w:b w:val="0"/>
          <w:bCs w:val="0"/>
        </w:rPr>
      </w:r>
    </w:p>
    <w:p>
      <w:pPr>
        <w:pStyle w:val="BodyText"/>
        <w:spacing w:line="259" w:lineRule="auto" w:before="61"/>
        <w:ind w:right="1131" w:firstLine="422"/>
        <w:jc w:val="both"/>
      </w:pPr>
      <w:r>
        <w:rPr>
          <w:rFonts w:ascii="Times New Roman" w:hAnsi="Times New Roman" w:cs="Times New Roman" w:eastAsia="Times New Roman" w:hint="default"/>
          <w:spacing w:val="-1"/>
        </w:rPr>
        <w:t>2016</w:t>
      </w:r>
      <w:r>
        <w:rPr>
          <w:spacing w:val="-1"/>
        </w:rPr>
        <w:t>年，中电器件将一方面在现有传统分销业务上做精做细，继续增加城市和渠道覆盖，积极寻找行</w:t>
      </w:r>
      <w:r>
        <w:rPr/>
        <w:t> 业大客户销售机会，另一方面继续按照公司的总体发展战略，大力拓展与母公司现有软件业务协同的</w:t>
      </w:r>
      <w:r>
        <w:rPr>
          <w:rFonts w:ascii="Times New Roman" w:hAnsi="Times New Roman" w:cs="Times New Roman" w:eastAsia="Times New Roman" w:hint="default"/>
        </w:rPr>
        <w:t>POS</w:t>
      </w:r>
      <w:r>
        <w:rPr>
          <w:rFonts w:ascii="Times New Roman" w:hAnsi="Times New Roman" w:cs="Times New Roman" w:eastAsia="Times New Roman" w:hint="default"/>
          <w:spacing w:val="-43"/>
        </w:rPr>
        <w:t> </w:t>
      </w:r>
      <w:r>
        <w:rPr/>
        <w:t>机及微型打印机等业务。</w:t>
      </w:r>
    </w:p>
    <w:p>
      <w:pPr>
        <w:pStyle w:val="BodyText"/>
        <w:spacing w:line="290" w:lineRule="auto" w:before="60"/>
        <w:ind w:left="573" w:right="0" w:firstLine="2"/>
        <w:jc w:val="left"/>
      </w:pPr>
      <w:r>
        <w:rPr>
          <w:rFonts w:ascii="Times New Roman" w:hAnsi="Times New Roman" w:cs="Times New Roman" w:eastAsia="Times New Roman" w:hint="default"/>
          <w:b/>
          <w:bCs/>
        </w:rPr>
        <w:t>4</w:t>
      </w:r>
      <w:r>
        <w:rPr>
          <w:rFonts w:ascii="宋体" w:hAnsi="宋体" w:cs="宋体" w:eastAsia="宋体" w:hint="default"/>
          <w:b/>
          <w:bCs/>
        </w:rPr>
        <w:t>、资金需求及使用计划</w:t>
      </w:r>
      <w:r>
        <w:rPr>
          <w:rFonts w:ascii="宋体" w:hAnsi="宋体" w:cs="宋体" w:eastAsia="宋体" w:hint="default"/>
          <w:b/>
          <w:bCs/>
          <w:w w:val="99"/>
        </w:rPr>
        <w:t> </w:t>
      </w:r>
      <w:r>
        <w:rPr>
          <w:spacing w:val="-1"/>
        </w:rPr>
        <w:t>经公司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22</w:t>
      </w:r>
      <w:r>
        <w:rPr>
          <w:spacing w:val="-1"/>
        </w:rPr>
        <w:t>日召开的第五届董事会</w:t>
      </w:r>
      <w:r>
        <w:rPr>
          <w:rFonts w:ascii="Times New Roman" w:hAnsi="Times New Roman" w:cs="Times New Roman" w:eastAsia="Times New Roman" w:hint="default"/>
          <w:spacing w:val="-1"/>
        </w:rPr>
        <w:t>2014</w:t>
      </w:r>
      <w:r>
        <w:rPr>
          <w:spacing w:val="-1"/>
        </w:rPr>
        <w:t>年第五次临时会议审议通过，同意对公司全资子公司</w:t>
      </w:r>
    </w:p>
    <w:p>
      <w:pPr>
        <w:pStyle w:val="BodyText"/>
        <w:spacing w:line="263" w:lineRule="exact" w:before="0"/>
        <w:ind w:left="154" w:right="0"/>
        <w:jc w:val="left"/>
      </w:pPr>
      <w:r>
        <w:rPr/>
        <w:t>焦点信息技术（香港）有限公司根据业务发展需要在未来三年以自有资金向焦点信息增资总额不超过</w:t>
      </w:r>
      <w:r>
        <w:rPr>
          <w:rFonts w:ascii="Times New Roman" w:hAnsi="Times New Roman" w:cs="Times New Roman" w:eastAsia="Times New Roman" w:hint="default"/>
        </w:rPr>
        <w:t>5</w:t>
      </w:r>
      <w:r>
        <w:rPr/>
        <w:t>亿</w:t>
      </w:r>
    </w:p>
    <w:p>
      <w:pPr>
        <w:pStyle w:val="BodyText"/>
        <w:spacing w:line="240" w:lineRule="auto" w:before="21"/>
        <w:ind w:left="154" w:right="0"/>
        <w:jc w:val="left"/>
      </w:pPr>
      <w:r>
        <w:rPr/>
        <w:t>元人民币，以拓展香港市场，寻找海外业务拓展或合作机会，为公司下一步资产并购做准备。</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p>
    <w:p>
      <w:pPr>
        <w:pStyle w:val="BodyText"/>
        <w:spacing w:line="240" w:lineRule="auto" w:before="21"/>
        <w:ind w:right="0"/>
        <w:jc w:val="left"/>
      </w:pPr>
      <w:r>
        <w:rPr>
          <w:rFonts w:ascii="Times New Roman" w:hAnsi="Times New Roman" w:cs="Times New Roman" w:eastAsia="Times New Roman" w:hint="default"/>
        </w:rPr>
        <w:t>27</w:t>
      </w:r>
      <w:r>
        <w:rPr/>
        <w:t>日，公司召开第五届董事会</w:t>
      </w:r>
      <w:r>
        <w:rPr>
          <w:rFonts w:ascii="Times New Roman" w:hAnsi="Times New Roman" w:cs="Times New Roman" w:eastAsia="Times New Roman" w:hint="default"/>
        </w:rPr>
        <w:t>2015</w:t>
      </w:r>
      <w:r>
        <w:rPr/>
        <w:t>年第十一次临时会议，审议通过了在未来三年内继续以自有资金向石基</w:t>
      </w:r>
    </w:p>
    <w:p>
      <w:pPr>
        <w:pStyle w:val="BodyText"/>
        <w:spacing w:line="259" w:lineRule="auto" w:before="21"/>
        <w:ind w:right="0"/>
        <w:jc w:val="left"/>
      </w:pPr>
      <w:r>
        <w:rPr>
          <w:spacing w:val="-1"/>
        </w:rPr>
        <w:t>（香港）有限公司增资总额不超过</w:t>
      </w:r>
      <w:r>
        <w:rPr>
          <w:rFonts w:ascii="Times New Roman" w:hAnsi="Times New Roman" w:cs="Times New Roman" w:eastAsia="Times New Roman" w:hint="default"/>
          <w:spacing w:val="-1"/>
        </w:rPr>
        <w:t>4</w:t>
      </w:r>
      <w:r>
        <w:rPr>
          <w:spacing w:val="-1"/>
        </w:rPr>
        <w:t>亿元人民币的议案。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6</w:t>
      </w:r>
      <w:r>
        <w:rPr>
          <w:spacing w:val="-1"/>
        </w:rPr>
        <w:t>日，公司向淘宝（中国）软件有限公</w:t>
      </w:r>
      <w:r>
        <w:rPr>
          <w:spacing w:val="-82"/>
        </w:rPr>
        <w:t> </w:t>
      </w:r>
      <w:r>
        <w:rPr>
          <w:spacing w:val="-82"/>
        </w:rPr>
      </w:r>
      <w:r>
        <w:rPr/>
        <w:t>司非公开发行股票事项获得中国证监会核准，本次募集资金净额约为</w:t>
      </w:r>
      <w:r>
        <w:rPr>
          <w:rFonts w:ascii="Times New Roman" w:hAnsi="Times New Roman" w:cs="Times New Roman" w:eastAsia="Times New Roman" w:hint="default"/>
        </w:rPr>
        <w:t>23.7</w:t>
      </w:r>
      <w:r>
        <w:rPr/>
        <w:t>亿元。</w:t>
      </w:r>
    </w:p>
    <w:p>
      <w:pPr>
        <w:pStyle w:val="BodyText"/>
        <w:spacing w:line="266" w:lineRule="auto" w:before="42"/>
        <w:ind w:right="1131" w:firstLine="420"/>
        <w:jc w:val="both"/>
      </w:pPr>
      <w:r>
        <w:rPr>
          <w:rFonts w:ascii="Times New Roman" w:hAnsi="Times New Roman" w:cs="Times New Roman" w:eastAsia="Times New Roman" w:hint="default"/>
          <w:spacing w:val="-1"/>
        </w:rPr>
        <w:t>2016</w:t>
      </w:r>
      <w:r>
        <w:rPr>
          <w:spacing w:val="-1"/>
        </w:rPr>
        <w:t>年，公司将围绕现有酒店、餐饮和商业流通信息管理系统的研发，与阿里巴巴开展业务合作的技</w:t>
      </w:r>
      <w:r>
        <w:rPr/>
        <w:t> </w:t>
      </w:r>
      <w:r>
        <w:rPr>
          <w:spacing w:val="-1"/>
        </w:rPr>
        <w:t>术研发、项目实施、系统维护和人员投入，以及自身转型的需求等多方面，并结合业务规模扩大带来的资</w:t>
      </w:r>
      <w:r>
        <w:rPr>
          <w:spacing w:val="-86"/>
        </w:rPr>
        <w:t> </w:t>
      </w:r>
      <w:r>
        <w:rPr>
          <w:spacing w:val="-86"/>
        </w:rPr>
      </w:r>
      <w:r>
        <w:rPr/>
        <w:t>金需求，合理筹集、安排和使用资金。</w:t>
      </w:r>
    </w:p>
    <w:p>
      <w:pPr>
        <w:pStyle w:val="Heading4"/>
        <w:spacing w:line="240" w:lineRule="auto" w:before="53"/>
        <w:ind w:left="576" w:right="0"/>
        <w:jc w:val="left"/>
        <w:rPr>
          <w:b w:val="0"/>
          <w:bCs w:val="0"/>
        </w:rPr>
      </w:pPr>
      <w:r>
        <w:rPr>
          <w:rFonts w:ascii="Times New Roman" w:hAnsi="Times New Roman" w:cs="Times New Roman" w:eastAsia="Times New Roman" w:hint="default"/>
        </w:rPr>
        <w:t>5</w:t>
      </w:r>
      <w:r>
        <w:rPr/>
        <w:t>、公司未来发展可能面临的风险因素</w:t>
      </w:r>
      <w:r>
        <w:rPr>
          <w:b w:val="0"/>
          <w:bCs w:val="0"/>
        </w:rPr>
      </w:r>
    </w:p>
    <w:p>
      <w:pPr>
        <w:spacing w:line="290" w:lineRule="auto" w:before="61"/>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）技术及产品开发风险</w:t>
      </w:r>
      <w:r>
        <w:rPr>
          <w:rFonts w:ascii="宋体" w:hAnsi="宋体" w:cs="宋体" w:eastAsia="宋体" w:hint="default"/>
          <w:b/>
          <w:bCs/>
          <w:w w:val="99"/>
          <w:sz w:val="21"/>
          <w:szCs w:val="21"/>
        </w:rPr>
        <w:t> </w:t>
      </w:r>
      <w:r>
        <w:rPr>
          <w:rFonts w:ascii="宋体" w:hAnsi="宋体" w:cs="宋体" w:eastAsia="宋体" w:hint="default"/>
          <w:spacing w:val="-1"/>
          <w:sz w:val="21"/>
          <w:szCs w:val="21"/>
        </w:rPr>
        <w:t>技术及产品开发对公司的市场竞争力和未来发展具有重要影响。软件技术是更新换代速度最快的技术</w:t>
      </w:r>
    </w:p>
    <w:p>
      <w:pPr>
        <w:pStyle w:val="BodyText"/>
        <w:spacing w:line="256" w:lineRule="auto" w:before="0"/>
        <w:ind w:left="154" w:right="0"/>
        <w:jc w:val="left"/>
      </w:pPr>
      <w:r>
        <w:rPr>
          <w:spacing w:val="-1"/>
        </w:rPr>
        <w:t>之一，与其他</w:t>
      </w:r>
      <w:r>
        <w:rPr>
          <w:rFonts w:ascii="Times New Roman" w:hAnsi="Times New Roman" w:cs="Times New Roman" w:eastAsia="Times New Roman" w:hint="default"/>
          <w:spacing w:val="-1"/>
        </w:rPr>
        <w:t>IT</w:t>
      </w:r>
      <w:r>
        <w:rPr>
          <w:spacing w:val="-1"/>
        </w:rPr>
        <w:t>企业一样，公司必须适应技术进步快、产品更新快、市场需求转型快的行业特点。作为目</w:t>
      </w:r>
      <w:r>
        <w:rPr>
          <w:spacing w:val="-73"/>
        </w:rPr>
        <w:t> </w:t>
      </w:r>
      <w:r>
        <w:rPr>
          <w:spacing w:val="-73"/>
        </w:rPr>
      </w:r>
      <w:r>
        <w:rPr>
          <w:spacing w:val="-1"/>
        </w:rPr>
        <w:t>前国内最主要的酒店信息管理系统全面解决方案提供商之一，公司必须能准确预测技术发展趋势，并利用</w:t>
      </w:r>
    </w:p>
    <w:p>
      <w:pPr>
        <w:spacing w:after="0" w:line="256"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024"/>
        <w:jc w:val="left"/>
      </w:pPr>
      <w:r>
        <w:rPr/>
        <w:t>成熟、实用、先进的技术作为自己的开发和应用环境。如果公司不能准确预测软件开发技术发展趋势，或 是使用落后、不实用的技术进行产品研发，或公司对产品和市场需求的把握出现偏差、不能及时调整，或 </w:t>
      </w:r>
      <w:r>
        <w:rPr>
          <w:spacing w:val="-3"/>
        </w:rPr>
        <w:t>新技术、新产品不能迅速推广应用，将可能使公司丧失技术和市场的领先地位，面临技术与产品开发风险。</w:t>
      </w:r>
      <w:r>
        <w:rPr>
          <w:spacing w:val="-90"/>
        </w:rPr>
        <w:t> </w:t>
      </w:r>
      <w:r>
        <w:rPr>
          <w:spacing w:val="-90"/>
        </w:rPr>
      </w:r>
      <w:r>
        <w:rPr/>
        <w:t>为了应对这一风险，公司一直加大对新技术、新产品的研发投入，不断加强与处于行业领导地位的客户的</w:t>
      </w:r>
      <w:r>
        <w:rPr/>
        <w:t> 交流与合作。</w:t>
      </w:r>
    </w:p>
    <w:p>
      <w:pPr>
        <w:pStyle w:val="BodyText"/>
        <w:spacing w:line="290" w:lineRule="auto" w:before="47"/>
        <w:ind w:left="573" w:right="0"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）市场及政策风险</w:t>
      </w:r>
      <w:r>
        <w:rPr>
          <w:rFonts w:ascii="宋体" w:hAnsi="宋体" w:cs="宋体" w:eastAsia="宋体" w:hint="default"/>
          <w:b/>
          <w:bCs/>
          <w:w w:val="99"/>
        </w:rPr>
        <w:t> </w:t>
      </w:r>
      <w:r>
        <w:rPr>
          <w:spacing w:val="-1"/>
        </w:rPr>
        <w:t>公司是国内领先的旅游业信息管理系统整体解决方案提供商。近年来我国国民经济的迅速增长带动了</w:t>
      </w:r>
    </w:p>
    <w:p>
      <w:pPr>
        <w:pStyle w:val="BodyText"/>
        <w:spacing w:line="273" w:lineRule="auto" w:before="0"/>
        <w:ind w:right="1131"/>
        <w:jc w:val="both"/>
      </w:pPr>
      <w:r>
        <w:rPr>
          <w:spacing w:val="-1"/>
        </w:rPr>
        <w:t>旅游业的迅猛发展，作为旅游业核心部分的酒店业也得到了长足的发展。同时我国酒店业的信息化建设从</w:t>
      </w:r>
      <w:r>
        <w:rPr>
          <w:spacing w:val="-81"/>
        </w:rPr>
        <w:t> </w:t>
      </w:r>
      <w:r>
        <w:rPr>
          <w:spacing w:val="-81"/>
        </w:rPr>
      </w:r>
      <w:r>
        <w:rPr>
          <w:spacing w:val="-1"/>
        </w:rPr>
        <w:t>最初的电算化、自动化初级阶段迅速发展到目前的集成化、网络化、协同化阶段，酒店业对信息化产品的</w:t>
      </w:r>
      <w:r>
        <w:rPr>
          <w:spacing w:val="-85"/>
        </w:rPr>
        <w:t> </w:t>
      </w:r>
      <w:r>
        <w:rPr>
          <w:spacing w:val="-85"/>
        </w:rPr>
      </w:r>
      <w:r>
        <w:rPr/>
        <w:t>需求不断发展和深化，这是过去几年公司主要业务保持快速增长的主要源动力。</w:t>
      </w:r>
    </w:p>
    <w:p>
      <w:pPr>
        <w:pStyle w:val="BodyText"/>
        <w:spacing w:line="268" w:lineRule="auto" w:before="46"/>
        <w:ind w:right="1110" w:firstLine="420"/>
        <w:jc w:val="both"/>
      </w:pPr>
      <w:r>
        <w:rPr>
          <w:rFonts w:ascii="Times New Roman" w:hAnsi="Times New Roman" w:cs="Times New Roman" w:eastAsia="Times New Roman" w:hint="default"/>
          <w:spacing w:val="-1"/>
        </w:rPr>
        <w:t>2008</w:t>
      </w:r>
      <w:r>
        <w:rPr>
          <w:spacing w:val="-1"/>
        </w:rPr>
        <w:t>年以前国内高星级酒店的投资增速较高，公司的收入和净利润保持了较快的增长。</w:t>
      </w:r>
      <w:r>
        <w:rPr>
          <w:rFonts w:ascii="Times New Roman" w:hAnsi="Times New Roman" w:cs="Times New Roman" w:eastAsia="Times New Roman" w:hint="default"/>
          <w:spacing w:val="-1"/>
        </w:rPr>
        <w:t>2009</w:t>
      </w:r>
      <w:r>
        <w:rPr>
          <w:spacing w:val="-1"/>
        </w:rPr>
        <w:t>年金融危</w:t>
      </w:r>
      <w:r>
        <w:rPr/>
        <w:t> </w:t>
      </w:r>
      <w:r>
        <w:rPr>
          <w:spacing w:val="-1"/>
        </w:rPr>
        <w:t>机导致国内高星级酒店的建设放缓，公司的收入和净利润出现了近十年间唯一的一次负增长。近年来受国</w:t>
      </w:r>
      <w:r>
        <w:rPr>
          <w:spacing w:val="-81"/>
        </w:rPr>
        <w:t> </w:t>
      </w:r>
      <w:r>
        <w:rPr>
          <w:spacing w:val="-81"/>
        </w:rPr>
      </w:r>
      <w:r>
        <w:rPr/>
        <w:t>家整体经济增速放缓，中央</w:t>
      </w:r>
      <w:r>
        <w:rPr>
          <w:rFonts w:ascii="Times New Roman" w:hAnsi="Times New Roman" w:cs="Times New Roman" w:eastAsia="Times New Roman" w:hint="default"/>
        </w:rPr>
        <w:t>“</w:t>
      </w:r>
      <w:r>
        <w:rPr/>
        <w:t>八项规定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六项禁令</w:t>
      </w:r>
      <w:r>
        <w:rPr>
          <w:rFonts w:ascii="Times New Roman" w:hAnsi="Times New Roman" w:cs="Times New Roman" w:eastAsia="Times New Roman" w:hint="default"/>
        </w:rPr>
        <w:t>”</w:t>
      </w:r>
      <w:r>
        <w:rPr/>
        <w:t>的深入推行对公款消费的影响，中国旅游酒店业扩张</w:t>
      </w:r>
      <w:r>
        <w:rPr>
          <w:spacing w:val="-86"/>
        </w:rPr>
        <w:t> </w:t>
      </w:r>
      <w:r>
        <w:rPr>
          <w:spacing w:val="-86"/>
        </w:rPr>
      </w:r>
      <w:r>
        <w:rPr>
          <w:spacing w:val="-1"/>
        </w:rPr>
        <w:t>速度有所放缓，宏观经济下行导致高端酒店建设不及预期，酒店及餐饮行业处于转型期，对公司经营业绩</w:t>
      </w:r>
      <w:r>
        <w:rPr>
          <w:spacing w:val="-83"/>
        </w:rPr>
        <w:t> </w:t>
      </w:r>
      <w:r>
        <w:rPr>
          <w:spacing w:val="-83"/>
        </w:rPr>
      </w:r>
      <w:r>
        <w:rPr>
          <w:spacing w:val="-1"/>
        </w:rPr>
        <w:t>产生了一定影响。同时酒店行业的发展有其自身的客观规律，也存在诸多风险因素。如出现大规模流行性</w:t>
      </w:r>
      <w:r>
        <w:rPr>
          <w:spacing w:val="-83"/>
        </w:rPr>
        <w:t> </w:t>
      </w:r>
      <w:r>
        <w:rPr>
          <w:spacing w:val="-83"/>
        </w:rPr>
      </w:r>
      <w:r>
        <w:rPr/>
        <w:t>疾病、自然灾害等，造成酒店行业一定时期的持续低迷，都将会对公司的业务经营产生较大的不利影响。 为此，公司正在积极打造预订和支付平台，加速从单纯的软件供应商向平台运营商的转型。</w:t>
      </w:r>
    </w:p>
    <w:p>
      <w:pPr>
        <w:pStyle w:val="BodyText"/>
        <w:spacing w:line="290" w:lineRule="auto" w:before="51"/>
        <w:ind w:left="573" w:right="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）经营管理风险</w:t>
      </w:r>
      <w:r>
        <w:rPr>
          <w:rFonts w:ascii="宋体" w:hAnsi="宋体" w:cs="宋体" w:eastAsia="宋体" w:hint="default"/>
          <w:b/>
          <w:bCs/>
          <w:w w:val="99"/>
        </w:rPr>
        <w:t> </w:t>
      </w:r>
      <w:r>
        <w:rPr>
          <w:spacing w:val="-1"/>
        </w:rPr>
        <w:t>随着公司业务的发展，公司资产规模和业务规模将进一步扩大，这对公司的管理水平将提出更高的要</w:t>
      </w:r>
    </w:p>
    <w:p>
      <w:pPr>
        <w:pStyle w:val="BodyText"/>
        <w:spacing w:line="266" w:lineRule="auto" w:before="0"/>
        <w:ind w:right="1131"/>
        <w:jc w:val="both"/>
      </w:pPr>
      <w:r>
        <w:rPr>
          <w:spacing w:val="-1"/>
        </w:rPr>
        <w:t>求。如果公司的管理人员储备、管控体系的调整不能适应公司业务快速发展的要求，将对公司的整体运营</w:t>
      </w:r>
      <w:r>
        <w:rPr>
          <w:spacing w:val="-83"/>
        </w:rPr>
        <w:t> </w:t>
      </w:r>
      <w:r>
        <w:rPr>
          <w:spacing w:val="-83"/>
        </w:rPr>
      </w:r>
      <w:r>
        <w:rPr>
          <w:spacing w:val="-1"/>
        </w:rPr>
        <w:t>造成不利影响，进而影响业务的正常开展。为此，公司在</w:t>
      </w:r>
      <w:r>
        <w:rPr>
          <w:rFonts w:ascii="Times New Roman" w:hAnsi="Times New Roman" w:cs="Times New Roman" w:eastAsia="Times New Roman" w:hint="default"/>
          <w:spacing w:val="-1"/>
        </w:rPr>
        <w:t>2015</w:t>
      </w:r>
      <w:r>
        <w:rPr>
          <w:spacing w:val="-1"/>
        </w:rPr>
        <w:t>年引入了国际化管理团队，加强内部控制体</w:t>
      </w:r>
      <w:r>
        <w:rPr>
          <w:spacing w:val="-84"/>
        </w:rPr>
        <w:t> </w:t>
      </w:r>
      <w:r>
        <w:rPr>
          <w:spacing w:val="-84"/>
        </w:rPr>
      </w:r>
      <w:r>
        <w:rPr/>
        <w:t>系建设，提升内部控制水平。</w:t>
      </w:r>
    </w:p>
    <w:p>
      <w:pPr>
        <w:pStyle w:val="BodyText"/>
        <w:spacing w:line="273" w:lineRule="auto" w:before="53"/>
        <w:ind w:right="1024" w:firstLine="42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）与互联网企业合作进展不确定性的风险</w:t>
      </w:r>
      <w:r>
        <w:rPr>
          <w:rFonts w:ascii="宋体" w:hAnsi="宋体" w:cs="宋体" w:eastAsia="宋体" w:hint="default"/>
          <w:b/>
          <w:bCs/>
          <w:w w:val="99"/>
        </w:rPr>
        <w:t> </w:t>
      </w:r>
      <w:r>
        <w:rPr/>
        <w:t>为了加快公司从软件供应商向平台运营商的转型，基于公司多年来积累的旅游消费信息化行业的丰富客户 </w:t>
      </w:r>
      <w:r>
        <w:rPr>
          <w:spacing w:val="3"/>
        </w:rPr>
        <w:t>资源和线下行业优势地位并结合在线电商在线上的客户优势，公司从</w:t>
      </w:r>
      <w:r>
        <w:rPr>
          <w:rFonts w:ascii="Times New Roman" w:hAnsi="Times New Roman" w:cs="Times New Roman" w:eastAsia="Times New Roman" w:hint="default"/>
          <w:spacing w:val="3"/>
        </w:rPr>
        <w:t>2014</w:t>
      </w:r>
      <w:r>
        <w:rPr>
          <w:spacing w:val="3"/>
        </w:rPr>
        <w:t>年度开始一直在加强与阿里巴</w:t>
      </w:r>
      <w:r>
        <w:rPr>
          <w:spacing w:val="-83"/>
        </w:rPr>
        <w:t> </w:t>
      </w:r>
      <w:r>
        <w:rPr>
          <w:spacing w:val="-83"/>
        </w:rPr>
      </w:r>
      <w:r>
        <w:rPr/>
        <w:t>巴、腾讯微信等在线电商的合作，但在合作过程中仍然有可能出现由于市场竞争等多种因素造成合作进展</w:t>
      </w:r>
      <w:r>
        <w:rPr/>
        <w:t> </w:t>
      </w:r>
      <w:r>
        <w:rPr>
          <w:spacing w:val="-3"/>
        </w:rPr>
        <w:t>不顺利的风险。为此，公司已成立与在线电商合作的相关专门业务团队，按进度制定了关键绩效考核指标，</w:t>
      </w:r>
      <w:r>
        <w:rPr>
          <w:spacing w:val="-92"/>
        </w:rPr>
        <w:t> </w:t>
      </w:r>
      <w:r>
        <w:rPr>
          <w:spacing w:val="-92"/>
        </w:rPr>
      </w:r>
      <w:r>
        <w:rPr/>
        <w:t>整合公司优势资源，积极投入合作。</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bookmarkStart w:name="十、接待调研、沟通、采访等活动" w:id="58"/>
      <w:bookmarkEnd w:id="58"/>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4"/>
        <w:gridCol w:w="992"/>
        <w:gridCol w:w="1418"/>
        <w:gridCol w:w="5316"/>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1">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1">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详见投资者关系互动平台</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44"/>
        <w:gridCol w:w="992"/>
        <w:gridCol w:w="1418"/>
        <w:gridCol w:w="5316"/>
      </w:tblGrid>
      <w:tr>
        <w:trPr>
          <w:trHeight w:val="674"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hyperlink r:id="rId21">
              <w:r>
                <w:rPr>
                  <w:rFonts w:ascii="Times New Roman"/>
                  <w:sz w:val="18"/>
                </w:rPr>
                <w:t>http://irm.cninfo.com.cn/ircs/ssgs/companyIrmes.do?stockcode=002153</w:t>
              </w:r>
            </w:hyperlink>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1">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1">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日投资者关系活动记录表》</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1">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1">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详见投资者关系互动平台 </w:t>
            </w:r>
            <w:hyperlink r:id="rId21">
              <w:r>
                <w:rPr>
                  <w:rFonts w:ascii="Times New Roman" w:hAnsi="Times New Roman" w:cs="Times New Roman" w:eastAsia="Times New Roman" w:hint="default"/>
                  <w:sz w:val="18"/>
                  <w:szCs w:val="18"/>
                </w:rPr>
                <w:t>http://irm.cninfo.com.cn/ircs/ssgs/companyIrmes.do?stockcode=002153</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石基信息：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336"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3040"/>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7" w:lineRule="auto" w:before="101"/>
        <w:ind w:left="153" w:right="1133" w:firstLine="57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日公司召开第五届董事会第六次会议审议通过《关于修订公司章程的议案》，对公司章程中利润分 配条款进行完善，同时制定了《北京中长石基信息技术股份有限公司未来三年股东回报规划（</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年）》，建立对 </w:t>
      </w:r>
      <w:r>
        <w:rPr>
          <w:rFonts w:ascii="宋体" w:hAnsi="宋体" w:cs="宋体" w:eastAsia="宋体" w:hint="default"/>
          <w:spacing w:val="-2"/>
          <w:sz w:val="18"/>
          <w:szCs w:val="18"/>
        </w:rPr>
        <w:t>投资者持续、稳定、科学的回报机制，保持利润分配政策的连续性和稳定性。报告期内，公司严格执行有关法律法规及公司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章程、公司制度的规定，确定合理的利润分配计划，遵守作出的相关承诺。</w:t>
      </w:r>
    </w:p>
    <w:p>
      <w:pPr>
        <w:spacing w:line="300" w:lineRule="auto" w:before="26"/>
        <w:ind w:left="153" w:right="1140" w:firstLine="57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、报告期内，公司完成</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年度利润分配方案的实施工作，经公司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年年度股东大会审议 通过，公司拟以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日总股本</w:t>
      </w:r>
      <w:r>
        <w:rPr>
          <w:rFonts w:ascii="Times New Roman" w:hAnsi="Times New Roman" w:cs="Times New Roman" w:eastAsia="Times New Roman" w:hint="default"/>
          <w:sz w:val="18"/>
          <w:szCs w:val="18"/>
        </w:rPr>
        <w:t>309,120,000.00</w:t>
      </w:r>
      <w:r>
        <w:rPr>
          <w:rFonts w:ascii="宋体" w:hAnsi="宋体" w:cs="宋体" w:eastAsia="宋体" w:hint="default"/>
          <w:sz w:val="18"/>
          <w:szCs w:val="18"/>
        </w:rPr>
        <w:t>为基数，向全体股东按每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r>
        <w:rPr>
          <w:rFonts w:ascii="Times New Roman" w:hAnsi="Times New Roman" w:cs="Times New Roman" w:eastAsia="Times New Roman" w:hint="default"/>
          <w:sz w:val="18"/>
          <w:szCs w:val="18"/>
        </w:rPr>
        <w:t>1.2</w:t>
      </w:r>
      <w:r>
        <w:rPr>
          <w:rFonts w:ascii="宋体" w:hAnsi="宋体" w:cs="宋体" w:eastAsia="宋体" w:hint="default"/>
          <w:sz w:val="18"/>
          <w:szCs w:val="18"/>
        </w:rPr>
        <w:t>元（含税），共 计派发</w:t>
      </w:r>
      <w:r>
        <w:rPr>
          <w:rFonts w:ascii="Times New Roman" w:hAnsi="Times New Roman" w:cs="Times New Roman" w:eastAsia="Times New Roman" w:hint="default"/>
          <w:sz w:val="18"/>
          <w:szCs w:val="18"/>
        </w:rPr>
        <w:t>37,094,400.00</w:t>
      </w:r>
      <w:r>
        <w:rPr>
          <w:rFonts w:ascii="宋体" w:hAnsi="宋体" w:cs="宋体" w:eastAsia="宋体" w:hint="default"/>
          <w:sz w:val="18"/>
          <w:szCs w:val="18"/>
        </w:rPr>
        <w:t>元，剩余未分配利润结转至下一年度。该利润分配方案报告期内已经实施完毕。</w:t>
      </w:r>
    </w:p>
    <w:tbl>
      <w:tblPr>
        <w:tblW w:w="0" w:type="auto"/>
        <w:jc w:val="left"/>
        <w:tblInd w:w="160" w:type="dxa"/>
        <w:tblLayout w:type="fixed"/>
        <w:tblCellMar>
          <w:top w:w="0" w:type="dxa"/>
          <w:left w:w="0" w:type="dxa"/>
          <w:bottom w:w="0" w:type="dxa"/>
          <w:right w:w="0" w:type="dxa"/>
        </w:tblCellMar>
        <w:tblLook w:val="01E0"/>
      </w:tblPr>
      <w:tblGrid>
        <w:gridCol w:w="6641"/>
        <w:gridCol w:w="2916"/>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年（包括本报告期）的普通股股利分配方案（预案）、资本公积金转增股本方案（预案）情况</w:t>
      </w:r>
    </w:p>
    <w:p>
      <w:pPr>
        <w:pStyle w:val="BodyText"/>
        <w:spacing w:line="240" w:lineRule="auto" w:before="77"/>
        <w:ind w:left="57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年度利润分配方案：公司拟以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309,120,000</w:t>
      </w:r>
      <w:r>
        <w:rPr/>
        <w:t>为基数，向全体股东按每</w:t>
      </w:r>
    </w:p>
    <w:p>
      <w:pPr>
        <w:pStyle w:val="BodyText"/>
        <w:spacing w:line="240" w:lineRule="auto" w:before="22"/>
        <w:ind w:left="154" w:right="0"/>
        <w:jc w:val="left"/>
      </w:pP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1.2</w:t>
      </w:r>
      <w:r>
        <w:rPr/>
        <w:t>元（含税），共计派发</w:t>
      </w:r>
      <w:r>
        <w:rPr>
          <w:rFonts w:ascii="Times New Roman" w:hAnsi="Times New Roman" w:cs="Times New Roman" w:eastAsia="Times New Roman" w:hint="default"/>
        </w:rPr>
        <w:t>37,094,400</w:t>
      </w:r>
      <w:r>
        <w:rPr/>
        <w:t>元，剩余未分配利润结转至下一年度。</w:t>
      </w:r>
    </w:p>
    <w:p>
      <w:pPr>
        <w:pStyle w:val="BodyText"/>
        <w:spacing w:line="240" w:lineRule="auto" w:before="59"/>
        <w:ind w:left="57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年度利润分配方案：公司拟以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309,120,000</w:t>
      </w:r>
      <w:r>
        <w:rPr/>
        <w:t>为基数，向全体股东按每</w:t>
      </w:r>
    </w:p>
    <w:p>
      <w:pPr>
        <w:pStyle w:val="BodyText"/>
        <w:spacing w:line="240" w:lineRule="auto" w:before="22"/>
        <w:ind w:left="154" w:right="0"/>
        <w:jc w:val="left"/>
      </w:pP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1.2</w:t>
      </w:r>
      <w:r>
        <w:rPr/>
        <w:t>元（含税），共计派发</w:t>
      </w:r>
      <w:r>
        <w:rPr>
          <w:rFonts w:ascii="Times New Roman" w:hAnsi="Times New Roman" w:cs="Times New Roman" w:eastAsia="Times New Roman" w:hint="default"/>
        </w:rPr>
        <w:t>37,094,400</w:t>
      </w:r>
      <w:r>
        <w:rPr/>
        <w:t>元，剩余未分配利润结转至下一年度。</w:t>
      </w:r>
    </w:p>
    <w:p>
      <w:pPr>
        <w:pStyle w:val="BodyText"/>
        <w:spacing w:line="256" w:lineRule="auto" w:before="61"/>
        <w:ind w:right="1130" w:firstLine="42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年度利润分配方案：公司拟以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355,596,251</w:t>
      </w:r>
      <w:r>
        <w:rPr/>
        <w:t>为基数，向全体股东按每 </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1.2</w:t>
      </w:r>
      <w:r>
        <w:rPr>
          <w:spacing w:val="-1"/>
        </w:rPr>
        <w:t>元（含税），共计派发</w:t>
      </w:r>
      <w:r>
        <w:rPr>
          <w:rFonts w:ascii="Times New Roman" w:hAnsi="Times New Roman" w:cs="Times New Roman" w:eastAsia="Times New Roman" w:hint="default"/>
          <w:spacing w:val="-1"/>
        </w:rPr>
        <w:t>42,671,550.12</w:t>
      </w:r>
      <w:r>
        <w:rPr>
          <w:spacing w:val="-1"/>
        </w:rPr>
        <w:t>元，同时以资本公积向全体股东每</w:t>
      </w:r>
      <w:r>
        <w:rPr>
          <w:rFonts w:ascii="Times New Roman" w:hAnsi="Times New Roman" w:cs="Times New Roman" w:eastAsia="Times New Roman" w:hint="default"/>
          <w:spacing w:val="-1"/>
        </w:rPr>
        <w:t>10</w:t>
      </w:r>
      <w:r>
        <w:rPr>
          <w:spacing w:val="-1"/>
        </w:rPr>
        <w:t>股转</w:t>
      </w:r>
      <w:r>
        <w:rPr>
          <w:spacing w:val="-81"/>
        </w:rPr>
        <w:t> </w:t>
      </w:r>
      <w:r>
        <w:rPr>
          <w:spacing w:val="-1"/>
        </w:rPr>
        <w:t>增</w:t>
      </w:r>
      <w:r>
        <w:rPr>
          <w:rFonts w:ascii="Times New Roman" w:hAnsi="Times New Roman" w:cs="Times New Roman" w:eastAsia="Times New Roman" w:hint="default"/>
          <w:spacing w:val="-1"/>
        </w:rPr>
        <w:t>20</w:t>
      </w:r>
      <w:r>
        <w:rPr>
          <w:spacing w:val="-1"/>
        </w:rPr>
        <w:t>股，剩余未分配利润结转至下一年度。本利润分配方案尚需经公司</w:t>
      </w:r>
      <w:r>
        <w:rPr>
          <w:rFonts w:ascii="Times New Roman" w:hAnsi="Times New Roman" w:cs="Times New Roman" w:eastAsia="Times New Roman" w:hint="default"/>
          <w:spacing w:val="-1"/>
        </w:rPr>
        <w:t>2015</w:t>
      </w:r>
      <w:r>
        <w:rPr>
          <w:spacing w:val="-1"/>
        </w:rPr>
        <w:t>年度股东大会审议通过方可实</w:t>
      </w:r>
      <w:r>
        <w:rPr>
          <w:spacing w:val="-81"/>
        </w:rPr>
        <w:t> </w:t>
      </w:r>
      <w:r>
        <w:rPr>
          <w:spacing w:val="-81"/>
        </w:rPr>
      </w:r>
      <w:r>
        <w:rPr/>
        <w:t>施。</w:t>
      </w:r>
    </w:p>
    <w:p>
      <w:pPr>
        <w:spacing w:before="87"/>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0" w:right="1141" w:firstLine="0"/>
        <w:jc w:val="right"/>
        <w:rPr>
          <w:rFonts w:ascii="宋体" w:hAnsi="宋体" w:cs="宋体" w:eastAsia="宋体" w:hint="default"/>
          <w:sz w:val="18"/>
          <w:szCs w:val="18"/>
        </w:rPr>
      </w:pPr>
      <w:r>
        <w:rPr/>
        <w:pict>
          <v:shape style="position:absolute;margin-left:57.029999pt;margin-top:-24.248274pt;width:478.55pt;height:112.1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5"/>
                    <w:gridCol w:w="1914"/>
                    <w:gridCol w:w="1914"/>
                    <w:gridCol w:w="1700"/>
                    <w:gridCol w:w="1419"/>
                    <w:gridCol w:w="1344"/>
                  </w:tblGrid>
                  <w:tr>
                    <w:trPr>
                      <w:trHeight w:val="161" w:hRule="exact"/>
                    </w:trPr>
                    <w:tc>
                      <w:tcPr>
                        <w:tcW w:w="1265" w:type="dxa"/>
                        <w:vMerge w:val="restart"/>
                        <w:tcBorders>
                          <w:top w:val="single" w:sz="4" w:space="0" w:color="000000"/>
                          <w:left w:val="single" w:sz="4" w:space="0" w:color="000000"/>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属于上市公司普通股股 东的净利润</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bottom w:val="nil" w:sz="6" w:space="0" w:color="auto"/>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3" w:right="75" w:hanging="181"/>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36" w:firstLine="13"/>
                          <w:jc w:val="left"/>
                          <w:rPr>
                            <w:rFonts w:ascii="Times New Roman" w:hAnsi="Times New Roman" w:cs="Times New Roman" w:eastAsia="Times New Roman" w:hint="default"/>
                            <w:sz w:val="18"/>
                            <w:szCs w:val="18"/>
                          </w:rPr>
                        </w:pPr>
                        <w:r>
                          <w:rPr>
                            <w:rFonts w:ascii="宋体" w:hAnsi="宋体" w:cs="宋体" w:eastAsia="宋体" w:hint="default"/>
                            <w:sz w:val="18"/>
                            <w:szCs w:val="18"/>
                          </w:rPr>
                          <w:t>以其他方式现金 </w:t>
                        </w:r>
                        <w:r>
                          <w:rPr>
                            <w:rFonts w:ascii="宋体" w:hAnsi="宋体" w:cs="宋体" w:eastAsia="宋体" w:hint="default"/>
                            <w:spacing w:val="-5"/>
                            <w:sz w:val="18"/>
                            <w:szCs w:val="18"/>
                          </w:rPr>
                          <w:t>分红的比例（</w:t>
                        </w:r>
                        <w:r>
                          <w:rPr>
                            <w:rFonts w:ascii="Times New Roman" w:hAnsi="Times New Roman" w:cs="Times New Roman" w:eastAsia="Times New Roman" w:hint="default"/>
                            <w:spacing w:val="-5"/>
                            <w:sz w:val="18"/>
                            <w:szCs w:val="18"/>
                          </w:rPr>
                          <w:t>%</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9"/>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914"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right w:val="single" w:sz="4" w:space="0" w:color="000000"/>
                        </w:tcBorders>
                        <w:shd w:val="clear" w:color="auto" w:fill="D2D2D2"/>
                      </w:tcPr>
                      <w:p>
                        <w:pPr/>
                      </w:p>
                    </w:tc>
                  </w:tr>
                  <w:tr>
                    <w:trPr>
                      <w:trHeight w:val="155"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1914" w:type="dxa"/>
                        <w:vMerge w:val="restart"/>
                        <w:tcBorders>
                          <w:top w:val="nil" w:sz="6" w:space="0" w:color="auto"/>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34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42,671,550.12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360,995,723.54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37,094,400.00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382,047,507.19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37,094,400.00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359,633,268.51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79" w:top="1100" w:bottom="1160" w:left="980" w:right="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3"/>
      <w:bookmarkEnd w:id="63"/>
      <w:r>
        <w:rPr>
          <w:b w:val="0"/>
          <w:bCs w:val="0"/>
        </w:rPr>
      </w:r>
      <w:r>
        <w:rPr/>
        <w:t>二、本报告期利润分配及资本公积金转增股本预案</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355,596,251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1,890,410,306.15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0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0" w:right="0"/>
              <w:jc w:val="center"/>
              <w:rPr>
                <w:rFonts w:ascii="宋体" w:hAnsi="宋体" w:cs="宋体" w:eastAsia="宋体" w:hint="default"/>
                <w:sz w:val="18"/>
                <w:szCs w:val="18"/>
              </w:rPr>
            </w:pPr>
            <w:r>
              <w:rPr>
                <w:rFonts w:ascii="宋体" w:hAnsi="宋体" w:cs="宋体" w:eastAsia="宋体" w:hint="default"/>
                <w:spacing w:val="-3"/>
                <w:sz w:val="18"/>
                <w:szCs w:val="18"/>
              </w:rPr>
              <w:t>经瑞华会计师事务所（特殊普通合伙）审计，公司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年度归属于母公司股东净利润为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360,995,723.54</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元，加上年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1,571,672,670.09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37,094,400.00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年度提取的盈余公积</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5,163,687.48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元，加之其他调整减少的留存收益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年度可供全体股东分配的利润为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1,890,410,306.15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382" w:right="-50"/>
              <w:jc w:val="center"/>
              <w:rPr>
                <w:rFonts w:ascii="宋体" w:hAnsi="宋体" w:cs="宋体" w:eastAsia="宋体" w:hint="default"/>
                <w:sz w:val="18"/>
                <w:szCs w:val="18"/>
              </w:rPr>
            </w:pPr>
            <w:r>
              <w:rPr>
                <w:rFonts w:ascii="宋体" w:hAnsi="宋体" w:cs="宋体" w:eastAsia="宋体" w:hint="default"/>
                <w:sz w:val="18"/>
                <w:szCs w:val="18"/>
              </w:rPr>
              <w:t>公司拟以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355,596,251 </w:t>
            </w:r>
            <w:r>
              <w:rPr>
                <w:rFonts w:ascii="宋体" w:hAnsi="宋体" w:cs="宋体" w:eastAsia="宋体" w:hint="default"/>
                <w:sz w:val="18"/>
                <w:szCs w:val="18"/>
              </w:rPr>
              <w:t>为基数，向全体股东按每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p>
          <w:p>
            <w:pPr>
              <w:pStyle w:val="TableParagraph"/>
              <w:spacing w:line="302" w:lineRule="auto" w:before="63"/>
              <w:ind w:left="22" w:right="41"/>
              <w:jc w:val="left"/>
              <w:rPr>
                <w:rFonts w:ascii="宋体" w:hAnsi="宋体" w:cs="宋体" w:eastAsia="宋体" w:hint="default"/>
                <w:sz w:val="18"/>
                <w:szCs w:val="18"/>
              </w:rPr>
            </w:pPr>
            <w:r>
              <w:rPr>
                <w:rFonts w:ascii="宋体" w:hAnsi="宋体" w:cs="宋体" w:eastAsia="宋体" w:hint="default"/>
                <w:sz w:val="18"/>
                <w:szCs w:val="18"/>
              </w:rPr>
              <w:t>共计派发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42,671,550.12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元，同时以资本公积向全体股东每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股，剩余未分配利润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1,847,738,756.03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元结转至下 一年度。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4"/>
      <w:bookmarkEnd w:id="64"/>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left="153" w:right="0"/>
        <w:jc w:val="left"/>
        <w:rPr>
          <w:b w:val="0"/>
          <w:bCs w:val="0"/>
        </w:rPr>
      </w:pPr>
      <w:bookmarkStart w:name="1、公司、股东、实际控制人、收购人、董事、监事、高级管理人员或其他关联方在报告期" w:id="65"/>
      <w:bookmarkEnd w:id="65"/>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276"/>
        <w:gridCol w:w="1961"/>
        <w:gridCol w:w="1017"/>
        <w:gridCol w:w="992"/>
        <w:gridCol w:w="1345"/>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922"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15" w:right="19"/>
              <w:jc w:val="left"/>
              <w:rPr>
                <w:rFonts w:ascii="宋体" w:hAnsi="宋体" w:cs="宋体" w:eastAsia="宋体" w:hint="default"/>
                <w:sz w:val="18"/>
                <w:szCs w:val="18"/>
              </w:rPr>
            </w:pPr>
            <w:r>
              <w:rPr>
                <w:rFonts w:ascii="宋体" w:hAnsi="宋体" w:cs="宋体" w:eastAsia="宋体" w:hint="default"/>
                <w:sz w:val="18"/>
                <w:szCs w:val="18"/>
              </w:rPr>
              <w:t>公司董事长、 控股股东李 仲初先生</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961"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如由于中电器件位于北 京市海淀区复兴路甲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 </w:t>
            </w:r>
            <w:r>
              <w:rPr>
                <w:rFonts w:ascii="宋体" w:hAnsi="宋体" w:cs="宋体" w:eastAsia="宋体" w:hint="default"/>
                <w:sz w:val="18"/>
                <w:szCs w:val="18"/>
              </w:rPr>
              <w:t>号的房产以及北京市朝 阳区新源街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号楼院的 土地和房产权属证明在 预期办理期限内未能办 </w:t>
            </w:r>
            <w:r>
              <w:rPr>
                <w:rFonts w:ascii="宋体" w:hAnsi="宋体" w:cs="宋体" w:eastAsia="宋体" w:hint="default"/>
                <w:spacing w:val="-7"/>
                <w:sz w:val="18"/>
                <w:szCs w:val="18"/>
              </w:rPr>
              <w:t>理完毕，或由于与上述房</w:t>
            </w:r>
          </w:p>
        </w:tc>
        <w:tc>
          <w:tcPr>
            <w:tcW w:w="10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13"/>
                <w:sz w:val="18"/>
                <w:szCs w:val="18"/>
              </w:rPr>
              <w:t>日，中电器</w:t>
            </w:r>
            <w:r>
              <w:rPr>
                <w:rFonts w:ascii="宋体" w:hAnsi="宋体" w:cs="宋体" w:eastAsia="宋体" w:hint="default"/>
                <w:sz w:val="18"/>
                <w:szCs w:val="18"/>
              </w:rPr>
              <w:t> 件位于北京市海 淀区复兴路甲</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65 </w:t>
            </w:r>
            <w:r>
              <w:rPr>
                <w:rFonts w:ascii="宋体" w:hAnsi="宋体" w:cs="宋体" w:eastAsia="宋体" w:hint="default"/>
                <w:sz w:val="18"/>
                <w:szCs w:val="18"/>
              </w:rPr>
              <w:t>号的房产已不存 在瑕疵或潜在纠 纷，其余相关土</w:t>
            </w:r>
          </w:p>
        </w:tc>
      </w:tr>
      <w:tr>
        <w:trPr>
          <w:trHeight w:val="391"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4" w:type="dxa"/>
            <w:vMerge/>
            <w:tcBorders>
              <w:left w:val="single" w:sz="10"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961" w:type="dxa"/>
            <w:vMerge/>
            <w:tcBorders>
              <w:left w:val="single" w:sz="4" w:space="0" w:color="000000"/>
              <w:right w:val="single" w:sz="4" w:space="0" w:color="000000"/>
            </w:tcBorders>
          </w:tcPr>
          <w:p>
            <w:pPr/>
          </w:p>
        </w:tc>
        <w:tc>
          <w:tcPr>
            <w:tcW w:w="101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922"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10"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961" w:type="dxa"/>
            <w:vMerge/>
            <w:tcBorders>
              <w:left w:val="single" w:sz="4" w:space="0" w:color="000000"/>
              <w:bottom w:val="single" w:sz="4" w:space="0" w:color="000000"/>
              <w:right w:val="single" w:sz="4" w:space="0" w:color="000000"/>
            </w:tcBorders>
          </w:tcPr>
          <w:p>
            <w:pPr/>
          </w:p>
        </w:tc>
        <w:tc>
          <w:tcPr>
            <w:tcW w:w="101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368.799988pt;margin-top:424.719971pt;width:48.1pt;height:17.650pt;mso-position-horizontal-relative:page;mso-position-vertical-relative:page;z-index:-944296" coordorigin="7376,8494" coordsize="962,353">
            <v:shape style="position:absolute;left:7376;top:8494;width:962;height:353" coordorigin="7376,8494" coordsize="962,353" path="m7376,8847l8338,8847,8338,8494,7376,8494,7376,8847xe" filled="true" fillcolor="#ffffff" stroked="false">
              <v:path arrowok="t"/>
              <v:fill type="solid"/>
            </v:shape>
            <w10:wrap type="none"/>
          </v:group>
        </w:pict>
      </w:r>
      <w:r>
        <w:rPr/>
        <w:pict>
          <v:group style="position:absolute;margin-left:367.660004pt;margin-top:703.169983pt;width:49.25pt;height:36.4pt;mso-position-horizontal-relative:page;mso-position-vertical-relative:page;z-index:-944272" coordorigin="7353,14063" coordsize="985,728">
            <v:group style="position:absolute;left:7365;top:14075;width:2;height:705" coordorigin="7365,14075" coordsize="2,705">
              <v:shape style="position:absolute;left:7365;top:14075;width:2;height:705" coordorigin="7365,14075" coordsize="0,705" path="m7365,14075l7365,14779e" filled="false" stroked="true" strokeweight="1.140pt" strokecolor="#ffffff">
                <v:path arrowok="t"/>
              </v:shape>
            </v:group>
            <v:group style="position:absolute;left:7376;top:14075;width:962;height:353" coordorigin="7376,14075" coordsize="962,353">
              <v:shape style="position:absolute;left:7376;top:14075;width:962;height:353" coordorigin="7376,14075" coordsize="962,353" path="m7376,14428l8338,14428,8338,14075,7376,14075,7376,14428xe" filled="true" fillcolor="#ffffff" stroked="false">
                <v:path arrowok="t"/>
                <v:fill type="solid"/>
              </v:shape>
            </v:group>
            <v:group style="position:absolute;left:7376;top:14428;width:962;height:352" coordorigin="7376,14428" coordsize="962,352">
              <v:shape style="position:absolute;left:7376;top:14428;width:962;height:352" coordorigin="7376,14428" coordsize="962,352" path="m7376,14779l8338,14779,8338,14428,7376,14428,7376,1477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844"/>
        <w:gridCol w:w="1134"/>
        <w:gridCol w:w="1276"/>
        <w:gridCol w:w="1961"/>
        <w:gridCol w:w="1017"/>
        <w:gridCol w:w="992"/>
        <w:gridCol w:w="1345"/>
      </w:tblGrid>
      <w:tr>
        <w:trPr>
          <w:trHeight w:val="2235"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产相关的任何潜在债权 债务关系或任何形式的 纠纷在本次交易完成后 对中电器件或石基信息 </w:t>
            </w:r>
            <w:r>
              <w:rPr>
                <w:rFonts w:ascii="宋体" w:hAnsi="宋体" w:cs="宋体" w:eastAsia="宋体" w:hint="default"/>
                <w:spacing w:val="-7"/>
                <w:sz w:val="18"/>
                <w:szCs w:val="18"/>
              </w:rPr>
              <w:t>造成任何损失，本人愿意</w:t>
            </w:r>
            <w:r>
              <w:rPr>
                <w:rFonts w:ascii="宋体" w:hAnsi="宋体" w:cs="宋体" w:eastAsia="宋体" w:hint="default"/>
                <w:sz w:val="18"/>
                <w:szCs w:val="18"/>
              </w:rPr>
              <w:t> 以现金补偿的方式承担 补偿责任。</w:t>
            </w:r>
          </w:p>
        </w:tc>
        <w:tc>
          <w:tcPr>
            <w:tcW w:w="10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0"/>
              <w:jc w:val="both"/>
              <w:rPr>
                <w:rFonts w:ascii="宋体" w:hAnsi="宋体" w:cs="宋体" w:eastAsia="宋体" w:hint="default"/>
                <w:sz w:val="18"/>
                <w:szCs w:val="18"/>
              </w:rPr>
            </w:pPr>
            <w:r>
              <w:rPr>
                <w:rFonts w:ascii="宋体" w:hAnsi="宋体" w:cs="宋体" w:eastAsia="宋体" w:hint="default"/>
                <w:sz w:val="18"/>
                <w:szCs w:val="18"/>
              </w:rPr>
              <w:t>地及房产损失事 项未有发生，承 诺方严格遵守承 诺但无需承担经 济补偿责任。</w:t>
            </w:r>
          </w:p>
        </w:tc>
      </w:tr>
      <w:tr>
        <w:trPr>
          <w:trHeight w:val="3834" w:hRule="exact"/>
        </w:trPr>
        <w:tc>
          <w:tcPr>
            <w:tcW w:w="1844"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公司董事长、 控股股东李 仲初先生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如未来中国电子器件工 业有限公司或其子公司 中国电子器件工业海南 有限公司因香港精密模 具有限公司</w:t>
            </w:r>
          </w:p>
          <w:p>
            <w:pPr>
              <w:pStyle w:val="TableParagraph"/>
              <w:spacing w:line="300"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KINGSWELL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MOULDS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）投</w:t>
            </w:r>
          </w:p>
          <w:p>
            <w:pPr>
              <w:pStyle w:val="TableParagraph"/>
              <w:spacing w:line="319" w:lineRule="auto" w:before="13"/>
              <w:ind w:left="22" w:right="23"/>
              <w:jc w:val="left"/>
              <w:rPr>
                <w:rFonts w:ascii="宋体" w:hAnsi="宋体" w:cs="宋体" w:eastAsia="宋体" w:hint="default"/>
                <w:sz w:val="18"/>
                <w:szCs w:val="18"/>
              </w:rPr>
            </w:pPr>
            <w:r>
              <w:rPr>
                <w:rFonts w:ascii="宋体" w:hAnsi="宋体" w:cs="宋体" w:eastAsia="宋体" w:hint="default"/>
                <w:sz w:val="18"/>
                <w:szCs w:val="18"/>
              </w:rPr>
              <w:t>资主体登记与境外公司 股东登记不一致受到行 </w:t>
            </w:r>
            <w:r>
              <w:rPr>
                <w:rFonts w:ascii="宋体" w:hAnsi="宋体" w:cs="宋体" w:eastAsia="宋体" w:hint="default"/>
                <w:spacing w:val="-7"/>
                <w:sz w:val="18"/>
                <w:szCs w:val="18"/>
              </w:rPr>
              <w:t>政处罚或其他损失，本人</w:t>
            </w:r>
            <w:r>
              <w:rPr>
                <w:rFonts w:ascii="宋体" w:hAnsi="宋体" w:cs="宋体" w:eastAsia="宋体" w:hint="default"/>
                <w:sz w:val="18"/>
                <w:szCs w:val="18"/>
              </w:rPr>
              <w:t> 愿意以现金补偿的方式 承担补偿责任。</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13"/>
                <w:sz w:val="18"/>
                <w:szCs w:val="18"/>
              </w:rPr>
              <w:t>日，损失事</w:t>
            </w:r>
            <w:r>
              <w:rPr>
                <w:rFonts w:ascii="宋体" w:hAnsi="宋体" w:cs="宋体" w:eastAsia="宋体" w:hint="default"/>
                <w:sz w:val="18"/>
                <w:szCs w:val="18"/>
              </w:rPr>
              <w:t> 项未有发生，承 诺方严格遵守承 诺但无需承担经 济补偿责任。</w:t>
            </w:r>
          </w:p>
        </w:tc>
      </w:tr>
      <w:tr>
        <w:trPr>
          <w:trHeight w:val="196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9"/>
              <w:jc w:val="left"/>
              <w:rPr>
                <w:rFonts w:ascii="宋体" w:hAnsi="宋体" w:cs="宋体" w:eastAsia="宋体" w:hint="default"/>
                <w:sz w:val="18"/>
                <w:szCs w:val="18"/>
              </w:rPr>
            </w:pPr>
            <w:r>
              <w:rPr>
                <w:rFonts w:ascii="宋体" w:hAnsi="宋体" w:cs="宋体" w:eastAsia="宋体" w:hint="default"/>
                <w:sz w:val="18"/>
                <w:szCs w:val="18"/>
              </w:rPr>
              <w:t>公司董事长、 控股股东李 仲初先生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961"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如深圳京宝实业有限公 司需承担任何形式的负 债</w:t>
            </w:r>
            <w:r>
              <w:rPr>
                <w:rFonts w:ascii="Times New Roman" w:hAnsi="Times New Roman" w:cs="Times New Roman" w:eastAsia="Times New Roman" w:hint="default"/>
                <w:sz w:val="18"/>
                <w:szCs w:val="18"/>
              </w:rPr>
              <w:t>/</w:t>
            </w:r>
            <w:r>
              <w:rPr>
                <w:rFonts w:ascii="宋体" w:hAnsi="宋体" w:cs="宋体" w:eastAsia="宋体" w:hint="default"/>
                <w:sz w:val="18"/>
                <w:szCs w:val="18"/>
              </w:rPr>
              <w:t>或有负债，对中电器 件或石基信息造成损失 本人愿意以现金补偿的 方式承担补偿责任。</w:t>
            </w:r>
          </w:p>
        </w:tc>
        <w:tc>
          <w:tcPr>
            <w:tcW w:w="101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50" w:right="0"/>
              <w:jc w:val="left"/>
              <w:rPr>
                <w:rFonts w:ascii="宋体" w:hAnsi="宋体" w:cs="宋体" w:eastAsia="宋体" w:hint="default"/>
                <w:sz w:val="18"/>
                <w:szCs w:val="18"/>
              </w:rPr>
            </w:pPr>
            <w:r>
              <w:rPr>
                <w:rFonts w:ascii="宋体" w:hAnsi="宋体" w:cs="宋体" w:eastAsia="宋体" w:hint="default"/>
                <w:spacing w:val="-10"/>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13"/>
                <w:sz w:val="18"/>
                <w:szCs w:val="18"/>
              </w:rPr>
              <w:t>日，损失事</w:t>
            </w:r>
            <w:r>
              <w:rPr>
                <w:rFonts w:ascii="宋体" w:hAnsi="宋体" w:cs="宋体" w:eastAsia="宋体" w:hint="default"/>
                <w:sz w:val="18"/>
                <w:szCs w:val="18"/>
              </w:rPr>
              <w:t> 项未有发生，承 诺方严格遵守承 诺但无需承担经 济补偿责任。</w:t>
            </w:r>
          </w:p>
        </w:tc>
      </w:tr>
      <w:tr>
        <w:trPr>
          <w:trHeight w:val="4146"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发行前股东、 公司董事长、 控股股东李 仲初先生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自本公司股票上市之日 </w:t>
            </w:r>
            <w:r>
              <w:rPr>
                <w:rFonts w:ascii="宋体" w:hAnsi="宋体" w:cs="宋体" w:eastAsia="宋体" w:hint="default"/>
                <w:spacing w:val="-7"/>
                <w:sz w:val="18"/>
                <w:szCs w:val="18"/>
              </w:rPr>
              <w:t>起三十六个月内，不转让</w:t>
            </w:r>
            <w:r>
              <w:rPr>
                <w:rFonts w:ascii="宋体" w:hAnsi="宋体" w:cs="宋体" w:eastAsia="宋体" w:hint="default"/>
                <w:sz w:val="18"/>
                <w:szCs w:val="18"/>
              </w:rPr>
              <w:t> 或者委托他人管理其持 </w:t>
            </w:r>
            <w:r>
              <w:rPr>
                <w:rFonts w:ascii="宋体" w:hAnsi="宋体" w:cs="宋体" w:eastAsia="宋体" w:hint="default"/>
                <w:spacing w:val="-7"/>
                <w:sz w:val="18"/>
                <w:szCs w:val="18"/>
              </w:rPr>
              <w:t>有的发行人股份，也不由</w:t>
            </w:r>
            <w:r>
              <w:rPr>
                <w:rFonts w:ascii="宋体" w:hAnsi="宋体" w:cs="宋体" w:eastAsia="宋体" w:hint="default"/>
                <w:sz w:val="18"/>
                <w:szCs w:val="18"/>
              </w:rPr>
              <w:t> 发行人回购其持有的股 </w:t>
            </w:r>
            <w:r>
              <w:rPr>
                <w:rFonts w:ascii="宋体" w:hAnsi="宋体" w:cs="宋体" w:eastAsia="宋体" w:hint="default"/>
                <w:spacing w:val="-8"/>
                <w:sz w:val="18"/>
                <w:szCs w:val="18"/>
              </w:rPr>
              <w:t>份。三十六个月后，任职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期间每年转让的股份不 得超过其所持有本公司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 后半年内不转让其所持 </w:t>
            </w:r>
            <w:r>
              <w:rPr>
                <w:rFonts w:ascii="宋体" w:hAnsi="宋体" w:cs="宋体" w:eastAsia="宋体" w:hint="default"/>
                <w:spacing w:val="-7"/>
                <w:sz w:val="18"/>
                <w:szCs w:val="18"/>
              </w:rPr>
              <w:t>有的本公司股份，其后一</w:t>
            </w:r>
            <w:r>
              <w:rPr>
                <w:rFonts w:ascii="宋体" w:hAnsi="宋体" w:cs="宋体" w:eastAsia="宋体" w:hint="default"/>
                <w:sz w:val="18"/>
                <w:szCs w:val="18"/>
              </w:rPr>
              <w:t> 年转让不超过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的所 持有本公司股份。</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13"/>
                <w:sz w:val="18"/>
                <w:szCs w:val="18"/>
              </w:rPr>
              <w:t>日，股东李</w:t>
            </w:r>
            <w:r>
              <w:rPr>
                <w:rFonts w:ascii="宋体" w:hAnsi="宋体" w:cs="宋体" w:eastAsia="宋体" w:hint="default"/>
                <w:sz w:val="18"/>
                <w:szCs w:val="18"/>
              </w:rPr>
              <w:t> 仲初信守承诺， 没有转让或委托 他人管理其持有 的公司股份，也 没有由公司回购 该股份。</w:t>
            </w:r>
          </w:p>
        </w:tc>
      </w:tr>
      <w:tr>
        <w:trPr>
          <w:trHeight w:val="161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22" w:right="19"/>
              <w:jc w:val="left"/>
              <w:rPr>
                <w:rFonts w:ascii="宋体" w:hAnsi="宋体" w:cs="宋体" w:eastAsia="宋体" w:hint="default"/>
                <w:sz w:val="18"/>
                <w:szCs w:val="18"/>
              </w:rPr>
            </w:pPr>
            <w:r>
              <w:rPr>
                <w:rFonts w:ascii="宋体" w:hAnsi="宋体" w:cs="宋体" w:eastAsia="宋体" w:hint="default"/>
                <w:sz w:val="18"/>
                <w:szCs w:val="18"/>
              </w:rPr>
              <w:t>淘宝（中国） 软件有限公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淘宝（中国）软件有限公</w:t>
            </w:r>
            <w:r>
              <w:rPr>
                <w:rFonts w:ascii="宋体" w:hAnsi="宋体" w:cs="宋体" w:eastAsia="宋体" w:hint="default"/>
                <w:sz w:val="18"/>
                <w:szCs w:val="18"/>
              </w:rPr>
              <w:t> 司认购的股票自上市首 日起六十个月内不转让 可上市流通时间为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pacing w:val="-13"/>
                <w:sz w:val="18"/>
                <w:szCs w:val="18"/>
              </w:rPr>
              <w:t>日（非交易日</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1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150"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该承诺正在履行 中，截止本报告 期末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0" w:lineRule="auto"/>
              <w:ind w:left="22" w:right="2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13"/>
                <w:sz w:val="18"/>
                <w:szCs w:val="18"/>
              </w:rPr>
              <w:t>日，股东淘</w:t>
            </w:r>
            <w:r>
              <w:rPr>
                <w:rFonts w:ascii="宋体" w:hAnsi="宋体" w:cs="宋体" w:eastAsia="宋体" w:hint="default"/>
                <w:sz w:val="18"/>
                <w:szCs w:val="18"/>
              </w:rPr>
              <w:t> 宝（中国）软件</w:t>
            </w:r>
          </w:p>
        </w:tc>
      </w:tr>
    </w:tbl>
    <w:p>
      <w:pPr>
        <w:spacing w:after="0" w:line="300" w:lineRule="auto"/>
        <w:jc w:val="both"/>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276"/>
        <w:gridCol w:w="1961"/>
        <w:gridCol w:w="1017"/>
        <w:gridCol w:w="992"/>
        <w:gridCol w:w="1345"/>
      </w:tblGrid>
      <w:tr>
        <w:trPr>
          <w:trHeight w:val="986"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顺延）。</w:t>
            </w:r>
          </w:p>
        </w:tc>
        <w:tc>
          <w:tcPr>
            <w:tcW w:w="10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0"/>
              <w:jc w:val="both"/>
              <w:rPr>
                <w:rFonts w:ascii="宋体" w:hAnsi="宋体" w:cs="宋体" w:eastAsia="宋体" w:hint="default"/>
                <w:sz w:val="18"/>
                <w:szCs w:val="18"/>
              </w:rPr>
            </w:pPr>
            <w:r>
              <w:rPr>
                <w:rFonts w:ascii="宋体" w:hAnsi="宋体" w:cs="宋体" w:eastAsia="宋体" w:hint="default"/>
                <w:sz w:val="18"/>
                <w:szCs w:val="18"/>
              </w:rPr>
              <w:t>有限公司不存在 违反承诺的任何 情形。</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本公司主要 股东以及作 为股东的董 事、监事、高 级管理人员</w:t>
            </w: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8"/>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占用方面的承</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诺</w:t>
            </w:r>
          </w:p>
        </w:tc>
        <w:tc>
          <w:tcPr>
            <w:tcW w:w="1961"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承诺将不会直接或间接 </w:t>
            </w:r>
            <w:r>
              <w:rPr>
                <w:rFonts w:ascii="宋体" w:hAnsi="宋体" w:cs="宋体" w:eastAsia="宋体" w:hint="default"/>
                <w:spacing w:val="-7"/>
                <w:sz w:val="18"/>
                <w:szCs w:val="18"/>
              </w:rPr>
              <w:t>从事与本公司相同、相似</w:t>
            </w:r>
            <w:r>
              <w:rPr>
                <w:rFonts w:ascii="宋体" w:hAnsi="宋体" w:cs="宋体" w:eastAsia="宋体" w:hint="default"/>
                <w:sz w:val="18"/>
                <w:szCs w:val="18"/>
              </w:rPr>
              <w:t> </w:t>
            </w:r>
            <w:r>
              <w:rPr>
                <w:rFonts w:ascii="宋体" w:hAnsi="宋体" w:cs="宋体" w:eastAsia="宋体" w:hint="default"/>
                <w:spacing w:val="-7"/>
                <w:sz w:val="18"/>
                <w:szCs w:val="18"/>
              </w:rPr>
              <w:t>的业务，也不在与本公司</w:t>
            </w:r>
            <w:r>
              <w:rPr>
                <w:rFonts w:ascii="宋体" w:hAnsi="宋体" w:cs="宋体" w:eastAsia="宋体" w:hint="default"/>
                <w:sz w:val="18"/>
                <w:szCs w:val="18"/>
              </w:rPr>
              <w:t> </w:t>
            </w:r>
            <w:r>
              <w:rPr>
                <w:rFonts w:ascii="宋体" w:hAnsi="宋体" w:cs="宋体" w:eastAsia="宋体" w:hint="default"/>
                <w:spacing w:val="-7"/>
                <w:sz w:val="18"/>
                <w:szCs w:val="18"/>
              </w:rPr>
              <w:t>有相同、相似业务的其他</w:t>
            </w:r>
            <w:r>
              <w:rPr>
                <w:rFonts w:ascii="宋体" w:hAnsi="宋体" w:cs="宋体" w:eastAsia="宋体" w:hint="default"/>
                <w:sz w:val="18"/>
                <w:szCs w:val="18"/>
              </w:rPr>
              <w:t> 企业任职。</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2"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13"/>
                <w:sz w:val="18"/>
                <w:szCs w:val="18"/>
              </w:rPr>
              <w:t>日，承诺方</w:t>
            </w:r>
            <w:r>
              <w:rPr>
                <w:rFonts w:ascii="宋体" w:hAnsi="宋体" w:cs="宋体" w:eastAsia="宋体" w:hint="default"/>
                <w:sz w:val="18"/>
                <w:szCs w:val="18"/>
              </w:rPr>
              <w:t> 严格遵守承诺。</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控股股东及其关联方对上市公司的非经营性占用资金情况" w:id="67"/>
      <w:bookmarkEnd w:id="67"/>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与上年度财务报告相比，会计政策、会计估计和核算方法发生变化的情况说明" w:id="69"/>
      <w:bookmarkEnd w:id="69"/>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left="633" w:right="6913"/>
        <w:jc w:val="left"/>
      </w:pPr>
      <w:r>
        <w:rPr/>
        <w:t>（</w:t>
      </w:r>
      <w:r>
        <w:rPr>
          <w:rFonts w:ascii="Times New Roman" w:hAnsi="Times New Roman" w:cs="Times New Roman" w:eastAsia="Times New Roman" w:hint="default"/>
        </w:rPr>
        <w:t>1</w:t>
      </w:r>
      <w:r>
        <w:rPr/>
        <w:t>）会计政策变更 本公司在报告期无会计政策变更事项</w:t>
      </w:r>
    </w:p>
    <w:p>
      <w:pPr>
        <w:pStyle w:val="BodyText"/>
        <w:spacing w:line="256" w:lineRule="auto" w:before="22"/>
        <w:ind w:left="633" w:right="1121"/>
        <w:jc w:val="left"/>
      </w:pPr>
      <w:r>
        <w:rPr/>
        <w:t>（</w:t>
      </w:r>
      <w:r>
        <w:rPr>
          <w:rFonts w:ascii="Times New Roman" w:hAnsi="Times New Roman" w:cs="Times New Roman" w:eastAsia="Times New Roman" w:hint="default"/>
        </w:rPr>
        <w:t>2</w:t>
      </w:r>
      <w:r>
        <w:rPr/>
        <w:t>）会计估计变更 </w:t>
      </w:r>
      <w:r>
        <w:rPr>
          <w:spacing w:val="-2"/>
        </w:rPr>
        <w:t>根据《中华人民共和国企业所得税法》（以下简称《企业所得税法》）及其实施条例、《财政部国家</w:t>
      </w:r>
    </w:p>
    <w:p>
      <w:pPr>
        <w:pStyle w:val="BodyText"/>
        <w:spacing w:line="264" w:lineRule="auto" w:before="22"/>
        <w:ind w:right="1130"/>
        <w:jc w:val="both"/>
      </w:pPr>
      <w:r>
        <w:rPr>
          <w:spacing w:val="-1"/>
        </w:rPr>
        <w:t>税务总局关于完善固定资产加速折旧企业所得税政策的通知》（财税〔</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75</w:t>
      </w:r>
      <w:r>
        <w:rPr>
          <w:spacing w:val="-1"/>
        </w:rPr>
        <w:t>号）及国家税务总局《关</w:t>
      </w:r>
      <w:r>
        <w:rPr>
          <w:spacing w:val="-81"/>
        </w:rPr>
        <w:t> </w:t>
      </w:r>
      <w:r>
        <w:rPr>
          <w:spacing w:val="-81"/>
        </w:rPr>
      </w:r>
      <w:r>
        <w:rPr>
          <w:spacing w:val="-1"/>
        </w:rPr>
        <w:t>于固定资产加速折旧税收政策有关问题的公告》（国家税务总局公告</w:t>
      </w:r>
      <w:r>
        <w:rPr>
          <w:rFonts w:ascii="Times New Roman" w:hAnsi="Times New Roman" w:cs="Times New Roman" w:eastAsia="Times New Roman" w:hint="default"/>
          <w:spacing w:val="-1"/>
        </w:rPr>
        <w:t>2014</w:t>
      </w:r>
      <w:r>
        <w:rPr>
          <w:spacing w:val="-1"/>
        </w:rPr>
        <w:t>年第</w:t>
      </w:r>
      <w:r>
        <w:rPr>
          <w:rFonts w:ascii="Times New Roman" w:hAnsi="Times New Roman" w:cs="Times New Roman" w:eastAsia="Times New Roman" w:hint="default"/>
          <w:spacing w:val="-1"/>
        </w:rPr>
        <w:t>64</w:t>
      </w:r>
      <w:r>
        <w:rPr>
          <w:spacing w:val="-1"/>
        </w:rPr>
        <w:t>号）的相关规定，公司结</w:t>
      </w:r>
      <w:r>
        <w:rPr>
          <w:spacing w:val="-83"/>
        </w:rPr>
        <w:t> </w:t>
      </w:r>
      <w:r>
        <w:rPr>
          <w:spacing w:val="-83"/>
        </w:rPr>
      </w:r>
      <w:r>
        <w:rPr>
          <w:spacing w:val="-1"/>
        </w:rPr>
        <w:t>合自身情况，拟对公司目前的固定资产折旧方法进行会计估计变更，采用加速折旧的方法对固定资产计提</w:t>
      </w:r>
      <w:r>
        <w:rPr>
          <w:spacing w:val="-81"/>
        </w:rPr>
        <w:t> </w:t>
      </w:r>
      <w:r>
        <w:rPr>
          <w:spacing w:val="-81"/>
        </w:rPr>
      </w:r>
      <w:r>
        <w:rPr>
          <w:spacing w:val="-1"/>
        </w:rPr>
        <w:t>折旧；同时公司拟调整计算机应用及服务业务应收款项采用账龄分析法计提坏账准备的会计估计变更，更</w:t>
      </w:r>
      <w:r>
        <w:rPr>
          <w:spacing w:val="-81"/>
        </w:rPr>
        <w:t> </w:t>
      </w:r>
      <w:r>
        <w:rPr>
          <w:spacing w:val="-81"/>
        </w:rPr>
      </w:r>
      <w:r>
        <w:rPr/>
        <w:t>加客观公正的反映公司财务状况和经营成果。</w:t>
      </w:r>
    </w:p>
    <w:p>
      <w:pPr>
        <w:pStyle w:val="BodyText"/>
        <w:spacing w:line="240" w:lineRule="auto" w:before="16"/>
        <w:ind w:left="634" w:right="0"/>
        <w:jc w:val="left"/>
      </w:pPr>
      <w:r>
        <w:rPr/>
        <w:t>其中：</w:t>
      </w:r>
    </w:p>
    <w:p>
      <w:pPr>
        <w:pStyle w:val="BodyText"/>
        <w:spacing w:line="240" w:lineRule="auto" w:before="37"/>
        <w:ind w:left="634" w:right="0"/>
        <w:jc w:val="left"/>
      </w:pPr>
      <w:r>
        <w:rPr/>
        <w:t>①固定资产折旧方法会计估计变更前后情况如下：</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left="634" w:right="1124"/>
        <w:jc w:val="left"/>
      </w:pPr>
      <w:r>
        <w:rPr/>
        <w:t>变更前：公司的固定资产折旧方法为年限平均法。 </w:t>
      </w:r>
      <w:r>
        <w:rPr>
          <w:spacing w:val="-2"/>
        </w:rPr>
        <w:t>变更后：单位价值不超过</w:t>
      </w:r>
      <w:r>
        <w:rPr>
          <w:rFonts w:ascii="Times New Roman" w:hAnsi="Times New Roman" w:cs="Times New Roman" w:eastAsia="Times New Roman" w:hint="default"/>
          <w:spacing w:val="-2"/>
        </w:rPr>
        <w:t>5000</w:t>
      </w:r>
      <w:r>
        <w:rPr>
          <w:spacing w:val="-2"/>
        </w:rPr>
        <w:t>元的固定资产，参照固定资产标准管理，但会计处理一次性计入当期费</w:t>
      </w:r>
    </w:p>
    <w:p>
      <w:pPr>
        <w:pStyle w:val="BodyText"/>
        <w:spacing w:line="256" w:lineRule="auto" w:before="0"/>
        <w:ind w:right="1198"/>
        <w:jc w:val="left"/>
      </w:pPr>
      <w:r>
        <w:rPr/>
        <w:t>用。在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日后购进并专门用于研发活动的仪器、设备，单位价值不超过</w:t>
      </w:r>
      <w:r>
        <w:rPr>
          <w:rFonts w:ascii="Times New Roman" w:hAnsi="Times New Roman" w:cs="Times New Roman" w:eastAsia="Times New Roman" w:hint="default"/>
        </w:rPr>
        <w:t>100</w:t>
      </w:r>
      <w:r>
        <w:rPr/>
        <w:t>万元的，一次性计入 成本费用；单位价值超过</w:t>
      </w:r>
      <w:r>
        <w:rPr>
          <w:rFonts w:ascii="Times New Roman" w:hAnsi="Times New Roman" w:cs="Times New Roman" w:eastAsia="Times New Roman" w:hint="default"/>
        </w:rPr>
        <w:t>100</w:t>
      </w:r>
      <w:r>
        <w:rPr/>
        <w:t>万元的，按不低于企业所得税法规定折旧年限的</w:t>
      </w:r>
      <w:r>
        <w:rPr>
          <w:rFonts w:ascii="Times New Roman" w:hAnsi="Times New Roman" w:cs="Times New Roman" w:eastAsia="Times New Roman" w:hint="default"/>
        </w:rPr>
        <w:t>60%</w:t>
      </w:r>
      <w:r>
        <w:rPr/>
        <w:t>缩短折旧年限。</w:t>
      </w:r>
    </w:p>
    <w:p>
      <w:pPr>
        <w:pStyle w:val="BodyText"/>
        <w:spacing w:line="240" w:lineRule="auto" w:before="5"/>
        <w:ind w:left="633" w:right="0"/>
        <w:jc w:val="left"/>
      </w:pPr>
      <w:r>
        <w:rPr/>
        <w:t>②计算机应用及服务业务应收款项坏账准备计提比例的会计估计变更前后情况如下：</w:t>
      </w:r>
    </w:p>
    <w:p>
      <w:pPr>
        <w:spacing w:line="240" w:lineRule="auto" w:before="13"/>
        <w:rPr>
          <w:rFonts w:ascii="宋体" w:hAnsi="宋体" w:cs="宋体" w:eastAsia="宋体" w:hint="default"/>
          <w:sz w:val="3"/>
          <w:szCs w:val="3"/>
        </w:rPr>
      </w:pPr>
    </w:p>
    <w:tbl>
      <w:tblPr>
        <w:tblW w:w="0" w:type="auto"/>
        <w:jc w:val="left"/>
        <w:tblInd w:w="425" w:type="dxa"/>
        <w:tblLayout w:type="fixed"/>
        <w:tblCellMar>
          <w:top w:w="0" w:type="dxa"/>
          <w:left w:w="0" w:type="dxa"/>
          <w:bottom w:w="0" w:type="dxa"/>
          <w:right w:w="0" w:type="dxa"/>
        </w:tblCellMar>
        <w:tblLook w:val="01E0"/>
      </w:tblPr>
      <w:tblGrid>
        <w:gridCol w:w="964"/>
        <w:gridCol w:w="1740"/>
        <w:gridCol w:w="1845"/>
        <w:gridCol w:w="850"/>
        <w:gridCol w:w="1702"/>
        <w:gridCol w:w="1982"/>
      </w:tblGrid>
      <w:tr>
        <w:trPr>
          <w:trHeight w:val="347" w:hRule="exact"/>
        </w:trPr>
        <w:tc>
          <w:tcPr>
            <w:tcW w:w="45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原计提比例</w:t>
            </w:r>
          </w:p>
        </w:tc>
        <w:tc>
          <w:tcPr>
            <w:tcW w:w="45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新计提比例</w:t>
            </w:r>
          </w:p>
        </w:tc>
      </w:tr>
      <w:tr>
        <w:trPr>
          <w:trHeight w:val="347"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4"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3"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47"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r>
      <w:tr>
        <w:trPr>
          <w:trHeight w:val="348"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10%</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10%</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w:t>
            </w:r>
          </w:p>
        </w:tc>
      </w:tr>
      <w:tr>
        <w:trPr>
          <w:trHeight w:val="347"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20%</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w:t>
            </w:r>
          </w:p>
        </w:tc>
      </w:tr>
      <w:tr>
        <w:trPr>
          <w:trHeight w:val="347"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30%</w:t>
            </w:r>
            <w:r>
              <w:rPr>
                <w:rFonts w:ascii="Times New Roman"/>
                <w:sz w:val="18"/>
              </w:rPr>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30%</w:t>
            </w:r>
            <w:r>
              <w:rPr>
                <w:rFonts w:ascii="Times New Roman"/>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80%</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80%</w:t>
            </w:r>
          </w:p>
        </w:tc>
      </w:tr>
      <w:tr>
        <w:trPr>
          <w:trHeight w:val="348" w:hRule="exact"/>
        </w:trPr>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0"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76" w:lineRule="exact" w:before="0"/>
        <w:ind w:right="0" w:firstLine="480"/>
        <w:jc w:val="both"/>
      </w:pPr>
      <w:r>
        <w:rPr/>
        <w:t>根据《企业会计准则第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会计政策、变更会计估计和差错更正》的相关规定，采用未来适用法</w:t>
      </w:r>
    </w:p>
    <w:p>
      <w:pPr>
        <w:pStyle w:val="BodyText"/>
        <w:spacing w:line="273" w:lineRule="auto" w:before="21"/>
        <w:ind w:right="0"/>
        <w:jc w:val="left"/>
      </w:pPr>
      <w:r>
        <w:rPr>
          <w:spacing w:val="-1"/>
        </w:rPr>
        <w:t>对上述会计估计进行调整，故不会对以往各年度财务状况和经营成果产生影响。对公司已披露的财务报表</w:t>
      </w:r>
      <w:r>
        <w:rPr>
          <w:spacing w:val="-81"/>
        </w:rPr>
        <w:t> </w:t>
      </w:r>
      <w:r>
        <w:rPr>
          <w:spacing w:val="-81"/>
        </w:rPr>
      </w:r>
      <w:r>
        <w:rPr/>
        <w:t>不会产生影响，因此本次会计估计变更无需对已披露的财务报告进行追溯调整。</w:t>
      </w:r>
    </w:p>
    <w:p>
      <w:pPr>
        <w:pStyle w:val="BodyText"/>
        <w:spacing w:line="256" w:lineRule="auto"/>
        <w:ind w:right="1130" w:firstLine="480"/>
        <w:jc w:val="both"/>
      </w:pPr>
      <w:r>
        <w:rPr>
          <w:spacing w:val="-2"/>
        </w:rPr>
        <w:t>本次会计估计变更对公司</w:t>
      </w:r>
      <w:r>
        <w:rPr>
          <w:rFonts w:ascii="Times New Roman" w:hAnsi="Times New Roman" w:cs="Times New Roman" w:eastAsia="Times New Roman" w:hint="default"/>
          <w:spacing w:val="-2"/>
        </w:rPr>
        <w:t>2014</w:t>
      </w:r>
      <w:r>
        <w:rPr>
          <w:spacing w:val="-2"/>
        </w:rPr>
        <w:t>年度财务状况和经营成果不产生影响。固定资产折旧方法变更减少</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t>年度公司净利润</w:t>
      </w:r>
      <w:r>
        <w:rPr>
          <w:rFonts w:ascii="Times New Roman" w:hAnsi="Times New Roman" w:cs="Times New Roman" w:eastAsia="Times New Roman" w:hint="default"/>
        </w:rPr>
        <w:t>129.57</w:t>
      </w:r>
      <w:r>
        <w:rPr/>
        <w:t>万元；计算机应用及服务业务应收款项坏账计提比例变更减少</w:t>
      </w:r>
      <w:r>
        <w:rPr>
          <w:rFonts w:ascii="Times New Roman" w:hAnsi="Times New Roman" w:cs="Times New Roman" w:eastAsia="Times New Roman" w:hint="default"/>
        </w:rPr>
        <w:t>2015</w:t>
      </w:r>
      <w:r>
        <w:rPr/>
        <w:t>年度公司净利润 </w:t>
      </w:r>
      <w:r>
        <w:rPr>
          <w:rFonts w:ascii="Times New Roman" w:hAnsi="Times New Roman" w:cs="Times New Roman" w:eastAsia="Times New Roman" w:hint="default"/>
        </w:rPr>
        <w:t>575.37</w:t>
      </w:r>
      <w:r>
        <w:rPr/>
        <w:t>万元。上述两项会计估计的调整不会对公司损益构成重大影响。</w:t>
      </w:r>
    </w:p>
    <w:p>
      <w:pPr>
        <w:pStyle w:val="BodyText"/>
        <w:spacing w:line="240" w:lineRule="auto" w:before="5"/>
        <w:ind w:left="633" w:right="0"/>
        <w:jc w:val="left"/>
      </w:pPr>
      <w:r>
        <w:rPr/>
        <w:t>以上会计估计变更已经公司第五届董事会</w:t>
      </w:r>
      <w:r>
        <w:rPr>
          <w:rFonts w:ascii="Times New Roman" w:hAnsi="Times New Roman" w:cs="Times New Roman" w:eastAsia="Times New Roman" w:hint="default"/>
        </w:rPr>
        <w:t>2015</w:t>
      </w:r>
      <w:r>
        <w:rPr/>
        <w:t>年第一次临时会议审议通过。</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报告期内发生重大会计差错更正需追溯重述的情况说明" w:id="70"/>
      <w:bookmarkEnd w:id="70"/>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1"/>
      <w:bookmarkEnd w:id="71"/>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4"/>
        <w:spacing w:line="240" w:lineRule="auto" w:before="77"/>
        <w:ind w:left="636"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pStyle w:val="BodyText"/>
        <w:spacing w:line="240" w:lineRule="auto" w:before="21"/>
        <w:ind w:left="633" w:right="0"/>
        <w:jc w:val="left"/>
      </w:pPr>
      <w:r>
        <w:rPr/>
        <w:t>（</w:t>
      </w:r>
      <w:r>
        <w:rPr>
          <w:rFonts w:ascii="Times New Roman" w:hAnsi="Times New Roman" w:cs="Times New Roman" w:eastAsia="Times New Roman" w:hint="default"/>
        </w:rPr>
        <w:t>1</w:t>
      </w:r>
      <w:r>
        <w:rPr/>
        <w:t>）本年发生的非同一控制下企业合并</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052"/>
        <w:gridCol w:w="952"/>
        <w:gridCol w:w="1488"/>
        <w:gridCol w:w="862"/>
        <w:gridCol w:w="720"/>
        <w:gridCol w:w="1152"/>
        <w:gridCol w:w="1963"/>
      </w:tblGrid>
      <w:tr>
        <w:trPr>
          <w:trHeight w:val="654"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80" w:right="19"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23" w:firstLine="61"/>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3" w:right="84"/>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购买日的确定依据</w:t>
            </w:r>
          </w:p>
        </w:tc>
      </w:tr>
      <w:tr>
        <w:trPr>
          <w:trHeight w:val="654"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7"/>
              <w:jc w:val="left"/>
              <w:rPr>
                <w:rFonts w:ascii="宋体" w:hAnsi="宋体" w:cs="宋体" w:eastAsia="宋体" w:hint="default"/>
                <w:sz w:val="18"/>
                <w:szCs w:val="18"/>
              </w:rPr>
            </w:pPr>
            <w:r>
              <w:rPr>
                <w:rFonts w:ascii="宋体" w:hAnsi="宋体" w:cs="宋体" w:eastAsia="宋体" w:hint="default"/>
                <w:sz w:val="18"/>
                <w:szCs w:val="18"/>
              </w:rPr>
              <w:t>浩华管理顾问（亚太）有 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2015-9-16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万美元</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5" w:right="0"/>
              <w:jc w:val="left"/>
              <w:rPr>
                <w:rFonts w:ascii="Times New Roman" w:hAnsi="Times New Roman" w:cs="Times New Roman" w:eastAsia="Times New Roman" w:hint="default"/>
                <w:sz w:val="18"/>
                <w:szCs w:val="18"/>
              </w:rPr>
            </w:pPr>
            <w:r>
              <w:rPr>
                <w:rFonts w:ascii="Times New Roman"/>
                <w:sz w:val="18"/>
              </w:rPr>
              <w:t>2015-9-16</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4"/>
                <w:sz w:val="18"/>
                <w:szCs w:val="18"/>
              </w:rPr>
              <w:t>已经股东会批准、股权价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款已经支付大部分</w:t>
            </w:r>
          </w:p>
        </w:tc>
      </w:tr>
      <w:tr>
        <w:trPr>
          <w:trHeight w:val="654"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宋体" w:hAnsi="宋体" w:cs="宋体" w:eastAsia="宋体" w:hint="default"/>
                <w:sz w:val="18"/>
                <w:szCs w:val="18"/>
              </w:rPr>
              <w:t>万元人民币</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9" w:right="0"/>
              <w:jc w:val="left"/>
              <w:rPr>
                <w:rFonts w:ascii="Times New Roman" w:hAnsi="Times New Roman" w:cs="Times New Roman" w:eastAsia="Times New Roman" w:hint="default"/>
                <w:sz w:val="18"/>
                <w:szCs w:val="18"/>
              </w:rPr>
            </w:pPr>
            <w:r>
              <w:rPr>
                <w:rFonts w:ascii="Times New Roman"/>
                <w:sz w:val="18"/>
              </w:rPr>
              <w:t>2015-7-2</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4"/>
                <w:sz w:val="18"/>
                <w:szCs w:val="18"/>
              </w:rPr>
              <w:t>已经股东会批准、股权价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款已经支付大部分</w:t>
            </w:r>
          </w:p>
        </w:tc>
      </w:tr>
      <w:tr>
        <w:trPr>
          <w:trHeight w:val="654"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2015-9-30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420</w:t>
            </w:r>
            <w:r>
              <w:rPr>
                <w:rFonts w:ascii="宋体" w:hAnsi="宋体" w:cs="宋体" w:eastAsia="宋体" w:hint="default"/>
                <w:sz w:val="18"/>
                <w:szCs w:val="18"/>
              </w:rPr>
              <w:t>万元人民币</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95" w:right="0"/>
              <w:jc w:val="left"/>
              <w:rPr>
                <w:rFonts w:ascii="Times New Roman" w:hAnsi="Times New Roman" w:cs="Times New Roman" w:eastAsia="Times New Roman" w:hint="default"/>
                <w:sz w:val="18"/>
                <w:szCs w:val="18"/>
              </w:rPr>
            </w:pPr>
            <w:r>
              <w:rPr>
                <w:rFonts w:ascii="Times New Roman"/>
                <w:sz w:val="18"/>
              </w:rPr>
              <w:t>2015-9-30</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4"/>
                <w:sz w:val="18"/>
                <w:szCs w:val="18"/>
              </w:rPr>
              <w:t>已经股东会批准、股权价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款已经支付大部分</w:t>
            </w:r>
          </w:p>
        </w:tc>
      </w:tr>
    </w:tbl>
    <w:p>
      <w:pPr>
        <w:pStyle w:val="BodyText"/>
        <w:spacing w:line="260" w:lineRule="exact" w:before="0"/>
        <w:ind w:left="634" w:right="0"/>
        <w:jc w:val="left"/>
      </w:pPr>
      <w:r>
        <w:rPr/>
        <w:t>（续）</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071"/>
        <w:gridCol w:w="3071"/>
        <w:gridCol w:w="3072"/>
      </w:tblGrid>
      <w:tr>
        <w:trPr>
          <w:trHeight w:val="342"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90"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1" w:right="0"/>
              <w:jc w:val="left"/>
              <w:rPr>
                <w:rFonts w:ascii="宋体" w:hAnsi="宋体" w:cs="宋体" w:eastAsia="宋体" w:hint="default"/>
                <w:sz w:val="18"/>
                <w:szCs w:val="18"/>
              </w:rPr>
            </w:pPr>
            <w:r>
              <w:rPr>
                <w:rFonts w:ascii="宋体" w:hAnsi="宋体" w:cs="宋体" w:eastAsia="宋体" w:hint="default"/>
                <w:sz w:val="18"/>
                <w:szCs w:val="18"/>
              </w:rPr>
              <w:t>购买日至年末被购买方的收入（元）</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sz w:val="18"/>
                <w:szCs w:val="18"/>
              </w:rPr>
              <w:t>购买日至年末被购买方的净利润（元）</w:t>
            </w:r>
          </w:p>
        </w:tc>
      </w:tr>
      <w:tr>
        <w:trPr>
          <w:trHeight w:val="342"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23" w:right="0"/>
              <w:jc w:val="left"/>
              <w:rPr>
                <w:rFonts w:ascii="Times New Roman" w:hAnsi="Times New Roman" w:cs="Times New Roman" w:eastAsia="Times New Roman" w:hint="default"/>
                <w:sz w:val="18"/>
                <w:szCs w:val="18"/>
              </w:rPr>
            </w:pPr>
            <w:r>
              <w:rPr>
                <w:rFonts w:ascii="Times New Roman"/>
                <w:sz w:val="18"/>
              </w:rPr>
              <w:t>12,984,897.16</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-2,281,079.70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071"/>
        <w:gridCol w:w="3071"/>
        <w:gridCol w:w="3072"/>
      </w:tblGrid>
      <w:tr>
        <w:trPr>
          <w:trHeight w:val="342"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12,916,830.00</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-45,777.00</w:t>
            </w:r>
            <w:r>
              <w:rPr>
                <w:rFonts w:ascii="Times New Roman"/>
                <w:sz w:val="18"/>
              </w:rPr>
            </w:r>
          </w:p>
        </w:tc>
      </w:tr>
      <w:tr>
        <w:trPr>
          <w:trHeight w:val="342"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334,368.94</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-228,425.05</w:t>
            </w:r>
            <w:r>
              <w:rPr>
                <w:rFonts w:ascii="Times New Roman"/>
                <w:sz w:val="18"/>
              </w:rPr>
            </w:r>
          </w:p>
        </w:tc>
      </w:tr>
    </w:tbl>
    <w:p>
      <w:pPr>
        <w:pStyle w:val="BodyText"/>
        <w:spacing w:line="260" w:lineRule="exact" w:before="0"/>
        <w:ind w:left="634" w:right="0"/>
        <w:jc w:val="left"/>
      </w:pPr>
      <w:r>
        <w:rPr/>
        <w:t>（</w:t>
      </w:r>
      <w:r>
        <w:rPr>
          <w:rFonts w:ascii="宋体" w:hAnsi="宋体" w:cs="宋体" w:eastAsia="宋体" w:hint="default"/>
        </w:rPr>
        <w:t>2</w:t>
      </w:r>
      <w:r>
        <w:rPr/>
        <w:t>）合并成本及商誉</w:t>
      </w:r>
    </w:p>
    <w:p>
      <w:pPr>
        <w:pStyle w:val="BodyText"/>
        <w:spacing w:line="240" w:lineRule="auto" w:before="37"/>
        <w:ind w:left="0" w:right="1637"/>
        <w:jc w:val="right"/>
      </w:pPr>
      <w:r>
        <w:rPr/>
        <w:t>单位：元</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829"/>
        <w:gridCol w:w="1702"/>
        <w:gridCol w:w="1842"/>
        <w:gridCol w:w="1842"/>
      </w:tblGrid>
      <w:tr>
        <w:trPr>
          <w:trHeight w:val="65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84" w:right="95" w:hanging="480"/>
              <w:jc w:val="left"/>
              <w:rPr>
                <w:rFonts w:ascii="宋体" w:hAnsi="宋体" w:cs="宋体" w:eastAsia="宋体" w:hint="default"/>
                <w:sz w:val="18"/>
                <w:szCs w:val="18"/>
              </w:rPr>
            </w:pPr>
            <w:r>
              <w:rPr>
                <w:rFonts w:ascii="宋体" w:hAnsi="宋体" w:cs="宋体" w:eastAsia="宋体" w:hint="default"/>
                <w:spacing w:val="-4"/>
                <w:sz w:val="18"/>
                <w:szCs w:val="18"/>
              </w:rPr>
              <w:t>浩华管理顾问（亚太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21"/>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5" w:right="0"/>
              <w:jc w:val="left"/>
              <w:rPr>
                <w:rFonts w:ascii="宋体" w:hAnsi="宋体" w:cs="宋体" w:eastAsia="宋体" w:hint="default"/>
                <w:sz w:val="18"/>
                <w:szCs w:val="18"/>
              </w:rPr>
            </w:pPr>
            <w:r>
              <w:rPr>
                <w:rFonts w:ascii="宋体" w:hAnsi="宋体" w:cs="宋体" w:eastAsia="宋体" w:hint="default"/>
                <w:sz w:val="18"/>
                <w:szCs w:val="18"/>
              </w:rPr>
              <w:t>万达控股有限公司公司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z w:val="18"/>
                <w:szCs w:val="18"/>
              </w:rPr>
              <w:t>杭州连边科技有限公司</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45,456,514.60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53,750,000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19,480,800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21,250,000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64,937,314.60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75,000,000.00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34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8,421,106.68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-4,090,040.70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2,866,857.24</w:t>
            </w:r>
          </w:p>
        </w:tc>
      </w:tr>
      <w:tr>
        <w:trPr>
          <w:trHeight w:val="655"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63"/>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 值份额的金额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56,516,207.92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79,090,040.70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1,333,142.76</w:t>
            </w:r>
          </w:p>
        </w:tc>
      </w:tr>
    </w:tbl>
    <w:p>
      <w:pPr>
        <w:pStyle w:val="BodyText"/>
        <w:spacing w:line="276" w:lineRule="exact" w:before="0"/>
        <w:ind w:left="634" w:right="0"/>
        <w:jc w:val="left"/>
      </w:pPr>
      <w:r>
        <w:rPr/>
        <w:t>（</w:t>
      </w:r>
      <w:r>
        <w:rPr>
          <w:rFonts w:ascii="Times New Roman" w:hAnsi="Times New Roman" w:cs="Times New Roman" w:eastAsia="Times New Roman" w:hint="default"/>
        </w:rPr>
        <w:t>3</w:t>
      </w:r>
      <w:r>
        <w:rPr/>
        <w:t>）被购买方于购买日可辨认资产、负债</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276"/>
        <w:gridCol w:w="1276"/>
        <w:gridCol w:w="1418"/>
        <w:gridCol w:w="1418"/>
        <w:gridCol w:w="1134"/>
      </w:tblGrid>
      <w:tr>
        <w:trPr>
          <w:trHeight w:val="654"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浩华管理顾问（亚太）有限公司</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（单位：美元）</w:t>
            </w:r>
          </w:p>
        </w:tc>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161" w:right="3" w:hanging="1157"/>
              <w:jc w:val="left"/>
              <w:rPr>
                <w:rFonts w:ascii="宋体" w:hAnsi="宋体" w:cs="宋体" w:eastAsia="宋体" w:hint="default"/>
                <w:sz w:val="18"/>
                <w:szCs w:val="18"/>
              </w:rPr>
            </w:pPr>
            <w:r>
              <w:rPr>
                <w:rFonts w:ascii="宋体" w:hAnsi="宋体" w:cs="宋体" w:eastAsia="宋体" w:hint="default"/>
                <w:spacing w:val="-2"/>
                <w:sz w:val="18"/>
                <w:szCs w:val="18"/>
              </w:rPr>
              <w:t>万达控股有限公司（单位：人民币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20" w:right="10" w:hanging="811"/>
              <w:jc w:val="left"/>
              <w:rPr>
                <w:rFonts w:ascii="宋体" w:hAnsi="宋体" w:cs="宋体" w:eastAsia="宋体" w:hint="default"/>
                <w:sz w:val="18"/>
                <w:szCs w:val="18"/>
              </w:rPr>
            </w:pPr>
            <w:r>
              <w:rPr>
                <w:rFonts w:ascii="宋体" w:hAnsi="宋体" w:cs="宋体" w:eastAsia="宋体" w:hint="default"/>
                <w:sz w:val="18"/>
                <w:szCs w:val="18"/>
              </w:rPr>
              <w:t>杭州连边科技有限公司（单位： 人民币元）</w:t>
            </w:r>
          </w:p>
        </w:tc>
      </w:tr>
      <w:tr>
        <w:trPr>
          <w:trHeight w:val="654" w:hRule="exact"/>
        </w:trPr>
        <w:tc>
          <w:tcPr>
            <w:tcW w:w="1560"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72" w:right="271"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73" w:right="270"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72" w:right="271"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44" w:right="342"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43" w:right="342"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01" w:right="200"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2,437,695.00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2,437,695.00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1,777,356.56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1,777,356.56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3,173,655.36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3,173,655.36</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600,506.00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600,506.00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1,439,743.69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1,439,743.69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109,821.90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109,821.90</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195,671.00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195,671.00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163,015.16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163,015.16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13,951.57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13,951.57</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141,570.00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141,570.00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1,347,535.82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1,347,535.82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111,872.24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111,872.24</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363,473.76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363,473.76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25,374.00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25,374.00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700,000.00</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204,300.00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204,300.00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51,623.00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51,623.00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424,020.67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424,020.67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76,751.25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76,751.25</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1,860,034.27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1,860,034.27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809,025.26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809,025.26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31,305.40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31,305.40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1,255.93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1,255.93</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3,656,739.00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3,656,739.00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8,215,510.59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8,215,510.59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4,187,308.25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4,187,308.25</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169,850.05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169,850.05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618,372.00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618,372.00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9,879,615.05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9,879,615.05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1,600.00</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1,240,375.97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1,240,375.97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84,063.00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84,063.00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276"/>
        <w:gridCol w:w="1276"/>
        <w:gridCol w:w="1418"/>
        <w:gridCol w:w="1418"/>
        <w:gridCol w:w="1134"/>
      </w:tblGrid>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34,212.00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34,212.00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597,895.09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597,895.09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6,134.91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6,134.91</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275,096.00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275,096.00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417,815.13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417,815.13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1,927,680.00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1,927,680.00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12,305,551.29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12,305,551.29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91,797.91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91,797.91</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1,729,059.00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1,729,059.00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-4,090,040.70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-4,090,040.70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4,095,510.34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4,095,510.34</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432,264.75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432,264.75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1,228,653.10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1,228,653.10</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1,296,794.25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1,296,794.25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-4,090,040.70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-4,090,040.70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2,866,857.24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2,866,857.24</w:t>
            </w:r>
          </w:p>
        </w:tc>
      </w:tr>
    </w:tbl>
    <w:p>
      <w:pPr>
        <w:pStyle w:val="BodyText"/>
        <w:spacing w:line="276" w:lineRule="exact" w:before="0"/>
        <w:ind w:left="634" w:right="0"/>
        <w:jc w:val="left"/>
      </w:pPr>
      <w:r>
        <w:rPr/>
        <w:t>（</w:t>
      </w:r>
      <w:r>
        <w:rPr>
          <w:rFonts w:ascii="Times New Roman" w:hAnsi="Times New Roman" w:cs="Times New Roman" w:eastAsia="Times New Roman" w:hint="default"/>
        </w:rPr>
        <w:t>4</w:t>
      </w:r>
      <w:r>
        <w:rPr/>
        <w:t>）购买日或合并当年年末无法合理确定合并对价或被购买方可辨认净资产、负债公允价值的相关</w:t>
      </w:r>
    </w:p>
    <w:p>
      <w:pPr>
        <w:pStyle w:val="BodyText"/>
        <w:spacing w:line="240" w:lineRule="auto" w:before="21"/>
        <w:ind w:left="154" w:right="0"/>
        <w:jc w:val="left"/>
      </w:pPr>
      <w:r>
        <w:rPr/>
        <w:t>说明</w:t>
      </w:r>
    </w:p>
    <w:p>
      <w:pPr>
        <w:pStyle w:val="BodyText"/>
        <w:spacing w:line="240" w:lineRule="auto" w:before="37"/>
        <w:ind w:left="634" w:right="0"/>
        <w:jc w:val="left"/>
      </w:pPr>
      <w:r>
        <w:rPr/>
        <w:t>①公司本年收购浩华管理顾问（亚太）有限公司</w:t>
      </w:r>
      <w:r>
        <w:rPr>
          <w:rFonts w:ascii="Times New Roman" w:hAnsi="Times New Roman" w:cs="Times New Roman" w:eastAsia="Times New Roman" w:hint="default"/>
        </w:rPr>
        <w:t>75%</w:t>
      </w:r>
      <w:r>
        <w:rPr/>
        <w:t>股权的协议中，对支付对价的约定如下</w:t>
      </w:r>
      <w:r>
        <w:rPr>
          <w:rFonts w:ascii="Times New Roman" w:hAnsi="Times New Roman" w:cs="Times New Roman" w:eastAsia="Times New Roman" w:hint="default"/>
        </w:rPr>
        <w:t>“</w:t>
      </w:r>
      <w:r>
        <w:rPr/>
        <w:t>对价包</w:t>
      </w:r>
    </w:p>
    <w:p>
      <w:pPr>
        <w:pStyle w:val="BodyText"/>
        <w:spacing w:line="256" w:lineRule="auto" w:before="21"/>
        <w:ind w:left="154" w:right="1027"/>
        <w:jc w:val="both"/>
      </w:pPr>
      <w:r>
        <w:rPr/>
        <w:t>含完成时应支付的首笔</w:t>
      </w:r>
      <w:r>
        <w:rPr>
          <w:rFonts w:ascii="Times New Roman" w:hAnsi="Times New Roman" w:cs="Times New Roman" w:eastAsia="Times New Roman" w:hint="default"/>
        </w:rPr>
        <w:t>7,000,000.00</w:t>
      </w:r>
      <w:r>
        <w:rPr/>
        <w:t>美元的款项（</w:t>
      </w:r>
      <w:r>
        <w:rPr>
          <w:rFonts w:ascii="Times New Roman" w:hAnsi="Times New Roman" w:cs="Times New Roman" w:eastAsia="Times New Roman" w:hint="default"/>
        </w:rPr>
        <w:t>“</w:t>
      </w:r>
      <w:r>
        <w:rPr/>
        <w:t>第一笔付款</w:t>
      </w:r>
      <w:r>
        <w:rPr>
          <w:rFonts w:ascii="Times New Roman" w:hAnsi="Times New Roman" w:cs="Times New Roman" w:eastAsia="Times New Roman" w:hint="default"/>
        </w:rPr>
        <w:t>”</w:t>
      </w:r>
      <w:r>
        <w:rPr/>
        <w:t>）和三笔后续付款（</w:t>
      </w:r>
      <w:r>
        <w:rPr>
          <w:rFonts w:ascii="Times New Roman" w:hAnsi="Times New Roman" w:cs="Times New Roman" w:eastAsia="Times New Roman" w:hint="default"/>
        </w:rPr>
        <w:t>“</w:t>
      </w:r>
      <w:r>
        <w:rPr/>
        <w:t>第二笔付款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第三</w:t>
      </w:r>
      <w:r>
        <w:rPr>
          <w:spacing w:val="-22"/>
        </w:rPr>
        <w:t> </w:t>
      </w:r>
      <w:r>
        <w:rPr/>
        <w:t>笔付款</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第四笔付款</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后续付款</w:t>
      </w:r>
      <w:r>
        <w:rPr>
          <w:rFonts w:ascii="Times New Roman" w:hAnsi="Times New Roman" w:cs="Times New Roman" w:eastAsia="Times New Roman" w:hint="default"/>
        </w:rPr>
        <w:t>”</w:t>
      </w:r>
      <w:r>
        <w:rPr/>
        <w:t>），每笔款项的金额为</w:t>
      </w:r>
      <w:r>
        <w:rPr>
          <w:rFonts w:ascii="Times New Roman" w:hAnsi="Times New Roman" w:cs="Times New Roman" w:eastAsia="Times New Roman" w:hint="default"/>
        </w:rPr>
        <w:t>1,000,000.00</w:t>
      </w:r>
      <w:r>
        <w:rPr/>
        <w:t>美元，但应以达到第</w:t>
      </w:r>
      <w:r>
        <w:rPr>
          <w:rFonts w:ascii="Times New Roman" w:hAnsi="Times New Roman" w:cs="Times New Roman" w:eastAsia="Times New Roman" w:hint="default"/>
        </w:rPr>
        <w:t>3.2</w:t>
      </w:r>
      <w:r>
        <w:rPr/>
        <w:t>条所</w:t>
      </w:r>
      <w:r>
        <w:rPr>
          <w:spacing w:val="-72"/>
        </w:rPr>
        <w:t> </w:t>
      </w:r>
      <w:r>
        <w:rPr/>
        <w:t>列若干财政目标为条件。</w:t>
      </w:r>
      <w:r>
        <w:rPr>
          <w:rFonts w:ascii="Times New Roman" w:hAnsi="Times New Roman" w:cs="Times New Roman" w:eastAsia="Times New Roman" w:hint="default"/>
        </w:rPr>
        <w:t>”</w:t>
      </w:r>
      <w:r>
        <w:rPr/>
        <w:t>协议中</w:t>
      </w:r>
      <w:r>
        <w:rPr>
          <w:rFonts w:ascii="Times New Roman" w:hAnsi="Times New Roman" w:cs="Times New Roman" w:eastAsia="Times New Roman" w:hint="default"/>
        </w:rPr>
        <w:t>3.2</w:t>
      </w:r>
      <w:r>
        <w:rPr/>
        <w:t>条所列若干财政目标分别对</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年度的经营成</w:t>
      </w:r>
      <w:r>
        <w:rPr>
          <w:spacing w:val="-70"/>
        </w:rPr>
        <w:t> </w:t>
      </w:r>
      <w:r>
        <w:rPr>
          <w:spacing w:val="-70"/>
        </w:rPr>
      </w:r>
      <w:r>
        <w:rPr>
          <w:spacing w:val="-3"/>
        </w:rPr>
        <w:t>果做了要求，公司根据预计的未来经营状况及价款支付的期限，将可能支付的合并对价列示在长期应付款。</w:t>
      </w:r>
    </w:p>
    <w:p>
      <w:pPr>
        <w:pStyle w:val="BodyText"/>
        <w:spacing w:line="256" w:lineRule="auto" w:before="22"/>
        <w:ind w:right="1104" w:firstLine="480"/>
        <w:jc w:val="both"/>
      </w:pPr>
      <w:r>
        <w:rPr>
          <w:spacing w:val="8"/>
        </w:rPr>
        <w:t>②公司本年收购万达控股有限公司</w:t>
      </w:r>
      <w:r>
        <w:rPr>
          <w:rFonts w:ascii="Times New Roman" w:hAnsi="Times New Roman" w:cs="Times New Roman" w:eastAsia="Times New Roman" w:hint="default"/>
          <w:spacing w:val="8"/>
        </w:rPr>
        <w:t>100%</w:t>
      </w:r>
      <w:r>
        <w:rPr>
          <w:spacing w:val="8"/>
        </w:rPr>
        <w:t>股权的协议中，对支付对价的约定如下</w:t>
      </w:r>
      <w:r>
        <w:rPr>
          <w:rFonts w:ascii="Times New Roman" w:hAnsi="Times New Roman" w:cs="Times New Roman" w:eastAsia="Times New Roman" w:hint="default"/>
          <w:spacing w:val="8"/>
        </w:rPr>
        <w:t>“</w:t>
      </w:r>
      <w:r>
        <w:rPr>
          <w:spacing w:val="8"/>
        </w:rPr>
        <w:t>除预付的人民币</w:t>
      </w:r>
      <w:r>
        <w:rPr/>
        <w:t> </w:t>
      </w:r>
      <w:r>
        <w:rPr>
          <w:rFonts w:ascii="Times New Roman" w:hAnsi="Times New Roman" w:cs="Times New Roman" w:eastAsia="Times New Roman" w:hint="default"/>
          <w:spacing w:val="-7"/>
        </w:rPr>
        <w:t>2,250.00</w:t>
      </w:r>
      <w:r>
        <w:rPr>
          <w:spacing w:val="-7"/>
        </w:rPr>
        <w:t>万元外，于本协议之交割日后</w:t>
      </w:r>
      <w:r>
        <w:rPr>
          <w:rFonts w:ascii="Times New Roman" w:hAnsi="Times New Roman" w:cs="Times New Roman" w:eastAsia="Times New Roman" w:hint="default"/>
          <w:spacing w:val="-7"/>
        </w:rPr>
        <w:t>10</w:t>
      </w:r>
      <w:r>
        <w:rPr>
          <w:spacing w:val="-7"/>
        </w:rPr>
        <w:t>个工作日内，买方向卖方支付人民币</w:t>
      </w:r>
      <w:r>
        <w:rPr>
          <w:rFonts w:ascii="Times New Roman" w:hAnsi="Times New Roman" w:cs="Times New Roman" w:eastAsia="Times New Roman" w:hint="default"/>
          <w:spacing w:val="-7"/>
        </w:rPr>
        <w:t>3,125.00</w:t>
      </w:r>
      <w:r>
        <w:rPr>
          <w:spacing w:val="-7"/>
        </w:rPr>
        <w:t>万元（</w:t>
      </w:r>
      <w:r>
        <w:rPr>
          <w:rFonts w:ascii="Times New Roman" w:hAnsi="Times New Roman" w:cs="Times New Roman" w:eastAsia="Times New Roman" w:hint="default"/>
          <w:spacing w:val="-7"/>
        </w:rPr>
        <w:t>“</w:t>
      </w:r>
      <w:r>
        <w:rPr>
          <w:spacing w:val="-7"/>
        </w:rPr>
        <w:t>第一笔对价</w:t>
      </w:r>
      <w:r>
        <w:rPr>
          <w:rFonts w:ascii="Times New Roman" w:hAnsi="Times New Roman" w:cs="Times New Roman" w:eastAsia="Times New Roman" w:hint="default"/>
          <w:spacing w:val="-7"/>
        </w:rPr>
        <w:t>”</w:t>
      </w:r>
      <w:r>
        <w:rPr>
          <w:spacing w:val="-7"/>
        </w:rPr>
        <w:t>）；</w:t>
      </w:r>
      <w:r>
        <w:rPr>
          <w:spacing w:val="-87"/>
        </w:rPr>
        <w:t> </w:t>
      </w:r>
      <w:r>
        <w:rPr/>
        <w:t>于本协议之交割日后至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日，买方依据业务考核情况分期向卖方支付剩余的股权转让款即人民 </w:t>
      </w:r>
      <w:r>
        <w:rPr>
          <w:spacing w:val="-4"/>
        </w:rPr>
        <w:t>币</w:t>
      </w:r>
      <w:r>
        <w:rPr>
          <w:rFonts w:ascii="Times New Roman" w:hAnsi="Times New Roman" w:cs="Times New Roman" w:eastAsia="Times New Roman" w:hint="default"/>
          <w:spacing w:val="-4"/>
        </w:rPr>
        <w:t>2,125.00</w:t>
      </w:r>
      <w:r>
        <w:rPr>
          <w:spacing w:val="-4"/>
        </w:rPr>
        <w:t>万元。</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
        </w:rPr>
        <w:t> </w:t>
      </w:r>
      <w:r>
        <w:rPr/>
        <w:t>公司根据预计的未来经营状况以及价款支付的期限，将可能支付的合并对价列示在其他 流动负债。</w:t>
      </w:r>
    </w:p>
    <w:p>
      <w:pPr>
        <w:pStyle w:val="Heading4"/>
        <w:spacing w:line="240" w:lineRule="auto" w:before="22"/>
        <w:ind w:left="636" w:right="0"/>
        <w:jc w:val="left"/>
        <w:rPr>
          <w:b w:val="0"/>
          <w:bCs w:val="0"/>
        </w:rPr>
      </w:pPr>
      <w:r>
        <w:rPr>
          <w:rFonts w:ascii="Times New Roman" w:hAnsi="Times New Roman" w:cs="Times New Roman" w:eastAsia="Times New Roman" w:hint="default"/>
        </w:rPr>
        <w:t>2</w:t>
      </w:r>
      <w:r>
        <w:rPr/>
        <w:t>、本年未发生同一控制下企业合并事项</w:t>
      </w:r>
      <w:r>
        <w:rPr>
          <w:b w:val="0"/>
          <w:bCs w:val="0"/>
        </w:rPr>
      </w:r>
    </w:p>
    <w:p>
      <w:pPr>
        <w:pStyle w:val="Heading4"/>
        <w:spacing w:line="240" w:lineRule="auto" w:before="21"/>
        <w:ind w:left="636" w:right="0"/>
        <w:jc w:val="left"/>
        <w:rPr>
          <w:b w:val="0"/>
          <w:bCs w:val="0"/>
        </w:rPr>
      </w:pPr>
      <w:r>
        <w:rPr>
          <w:rFonts w:ascii="Times New Roman" w:hAnsi="Times New Roman" w:cs="Times New Roman" w:eastAsia="Times New Roman" w:hint="default"/>
        </w:rPr>
        <w:t>3</w:t>
      </w:r>
      <w:r>
        <w:rPr/>
        <w:t>、本年未发生反向购买事项</w:t>
      </w:r>
      <w:r>
        <w:rPr>
          <w:b w:val="0"/>
          <w:bCs w:val="0"/>
        </w:rPr>
      </w:r>
    </w:p>
    <w:p>
      <w:pPr>
        <w:pStyle w:val="Heading4"/>
        <w:spacing w:line="240" w:lineRule="auto" w:before="21"/>
        <w:ind w:left="636" w:right="0"/>
        <w:jc w:val="left"/>
        <w:rPr>
          <w:b w:val="0"/>
          <w:bCs w:val="0"/>
        </w:rPr>
      </w:pPr>
      <w:r>
        <w:rPr>
          <w:rFonts w:ascii="Times New Roman" w:hAnsi="Times New Roman" w:cs="Times New Roman" w:eastAsia="Times New Roman" w:hint="default"/>
        </w:rPr>
        <w:t>4</w:t>
      </w:r>
      <w:r>
        <w:rPr/>
        <w:t>、处置子公司</w:t>
      </w:r>
      <w:r>
        <w:rPr>
          <w:b w:val="0"/>
          <w:bCs w:val="0"/>
        </w:rPr>
      </w:r>
    </w:p>
    <w:p>
      <w:pPr>
        <w:pStyle w:val="BodyText"/>
        <w:spacing w:line="240" w:lineRule="auto" w:before="21"/>
        <w:ind w:left="634" w:right="0"/>
        <w:jc w:val="left"/>
      </w:pPr>
      <w:r>
        <w:rPr/>
        <w:t>（</w:t>
      </w:r>
      <w:r>
        <w:rPr>
          <w:rFonts w:ascii="Times New Roman" w:hAnsi="Times New Roman" w:cs="Times New Roman" w:eastAsia="Times New Roman" w:hint="default"/>
        </w:rPr>
        <w:t>1</w:t>
      </w:r>
      <w:r>
        <w:rPr/>
        <w:t>）单次处置对子公司投资即丧失控制权的情形</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1276"/>
        <w:gridCol w:w="708"/>
        <w:gridCol w:w="1134"/>
        <w:gridCol w:w="1419"/>
        <w:gridCol w:w="2125"/>
      </w:tblGrid>
      <w:tr>
        <w:trPr>
          <w:trHeight w:val="96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股权处置价款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股权处置比例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78" w:right="78"/>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381" w:right="20" w:hanging="360"/>
              <w:jc w:val="left"/>
              <w:rPr>
                <w:rFonts w:ascii="宋体" w:hAnsi="宋体" w:cs="宋体" w:eastAsia="宋体" w:hint="default"/>
                <w:sz w:val="18"/>
                <w:szCs w:val="18"/>
              </w:rPr>
            </w:pPr>
            <w:r>
              <w:rPr>
                <w:rFonts w:ascii="宋体" w:hAnsi="宋体" w:cs="宋体" w:eastAsia="宋体" w:hint="default"/>
                <w:sz w:val="18"/>
                <w:szCs w:val="18"/>
              </w:rPr>
              <w:t>丧失控制权的 时点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53" w:right="75" w:hanging="180"/>
              <w:jc w:val="left"/>
              <w:rPr>
                <w:rFonts w:ascii="宋体" w:hAnsi="宋体" w:cs="宋体" w:eastAsia="宋体" w:hint="default"/>
                <w:sz w:val="18"/>
                <w:szCs w:val="18"/>
              </w:rPr>
            </w:pPr>
            <w:r>
              <w:rPr>
                <w:rFonts w:ascii="宋体" w:hAnsi="宋体" w:cs="宋体" w:eastAsia="宋体" w:hint="default"/>
                <w:sz w:val="18"/>
                <w:szCs w:val="18"/>
              </w:rPr>
              <w:t>丧失控制权时点 的确定依据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7" w:right="66"/>
              <w:jc w:val="both"/>
              <w:rPr>
                <w:rFonts w:ascii="宋体" w:hAnsi="宋体" w:cs="宋体" w:eastAsia="宋体" w:hint="default"/>
                <w:sz w:val="18"/>
                <w:szCs w:val="18"/>
              </w:rPr>
            </w:pPr>
            <w:r>
              <w:rPr>
                <w:rFonts w:ascii="宋体" w:hAnsi="宋体" w:cs="宋体" w:eastAsia="宋体" w:hint="default"/>
                <w:sz w:val="18"/>
                <w:szCs w:val="18"/>
              </w:rPr>
              <w:t>处置价款与处置投资对应 的合并报表层面享有该子 公司净资产份额的差额</w:t>
            </w:r>
          </w:p>
        </w:tc>
      </w:tr>
      <w:tr>
        <w:trPr>
          <w:trHeight w:val="65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2"/>
              <w:jc w:val="left"/>
              <w:rPr>
                <w:rFonts w:ascii="宋体" w:hAnsi="宋体" w:cs="宋体" w:eastAsia="宋体" w:hint="default"/>
                <w:sz w:val="18"/>
                <w:szCs w:val="18"/>
              </w:rPr>
            </w:pPr>
            <w:r>
              <w:rPr>
                <w:rFonts w:ascii="宋体" w:hAnsi="宋体" w:cs="宋体" w:eastAsia="宋体" w:hint="default"/>
                <w:sz w:val="18"/>
                <w:szCs w:val="18"/>
              </w:rPr>
              <w:t>北京中电创新科 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6,131,171.04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5" w:right="0"/>
              <w:jc w:val="lef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2015-10-30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3" w:right="0"/>
              <w:jc w:val="left"/>
              <w:rPr>
                <w:rFonts w:ascii="宋体" w:hAnsi="宋体" w:cs="宋体" w:eastAsia="宋体" w:hint="default"/>
                <w:sz w:val="18"/>
                <w:szCs w:val="18"/>
              </w:rPr>
            </w:pPr>
            <w:r>
              <w:rPr>
                <w:rFonts w:ascii="宋体" w:hAnsi="宋体" w:cs="宋体" w:eastAsia="宋体" w:hint="default"/>
                <w:sz w:val="18"/>
                <w:szCs w:val="18"/>
              </w:rPr>
              <w:t>股权已转让</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6" w:right="0"/>
              <w:jc w:val="left"/>
              <w:rPr>
                <w:rFonts w:ascii="Times New Roman" w:hAnsi="Times New Roman" w:cs="Times New Roman" w:eastAsia="Times New Roman" w:hint="default"/>
                <w:sz w:val="18"/>
                <w:szCs w:val="18"/>
              </w:rPr>
            </w:pPr>
            <w:r>
              <w:rPr>
                <w:rFonts w:ascii="Times New Roman"/>
                <w:sz w:val="18"/>
              </w:rPr>
              <w:t>1,500,839.69</w:t>
            </w:r>
          </w:p>
        </w:tc>
      </w:tr>
    </w:tbl>
    <w:p>
      <w:pPr>
        <w:pStyle w:val="BodyText"/>
        <w:spacing w:line="260" w:lineRule="exact" w:before="0"/>
        <w:ind w:left="634" w:right="0"/>
        <w:jc w:val="left"/>
      </w:pPr>
      <w:r>
        <w:rPr/>
        <w:t>（续）</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1134"/>
        <w:gridCol w:w="1101"/>
        <w:gridCol w:w="1134"/>
        <w:gridCol w:w="1702"/>
        <w:gridCol w:w="1591"/>
      </w:tblGrid>
      <w:tr>
        <w:trPr>
          <w:trHeight w:val="12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1" w:right="20"/>
              <w:jc w:val="both"/>
              <w:rPr>
                <w:rFonts w:ascii="宋体" w:hAnsi="宋体" w:cs="宋体" w:eastAsia="宋体" w:hint="default"/>
                <w:sz w:val="18"/>
                <w:szCs w:val="18"/>
              </w:rPr>
            </w:pPr>
            <w:r>
              <w:rPr>
                <w:rFonts w:ascii="宋体" w:hAnsi="宋体" w:cs="宋体" w:eastAsia="宋体" w:hint="default"/>
                <w:sz w:val="18"/>
                <w:szCs w:val="18"/>
              </w:rPr>
              <w:t>丧失控制权之 日剩余股权的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1" w:right="20"/>
              <w:jc w:val="center"/>
              <w:rPr>
                <w:rFonts w:ascii="宋体" w:hAnsi="宋体" w:cs="宋体" w:eastAsia="宋体" w:hint="default"/>
                <w:sz w:val="18"/>
                <w:szCs w:val="18"/>
              </w:rPr>
            </w:pPr>
            <w:r>
              <w:rPr>
                <w:rFonts w:ascii="宋体" w:hAnsi="宋体" w:cs="宋体" w:eastAsia="宋体" w:hint="default"/>
                <w:sz w:val="18"/>
                <w:szCs w:val="18"/>
              </w:rPr>
              <w:t>丧失控制权之 日剩余股权的 账面价值</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4" w:right="4"/>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2" w:right="19"/>
              <w:jc w:val="center"/>
              <w:rPr>
                <w:rFonts w:ascii="宋体" w:hAnsi="宋体" w:cs="宋体" w:eastAsia="宋体" w:hint="default"/>
                <w:sz w:val="18"/>
                <w:szCs w:val="18"/>
              </w:rPr>
            </w:pPr>
            <w:r>
              <w:rPr>
                <w:rFonts w:ascii="宋体" w:hAnsi="宋体" w:cs="宋体" w:eastAsia="宋体" w:hint="default"/>
                <w:sz w:val="18"/>
                <w:szCs w:val="18"/>
              </w:rPr>
              <w:t>按照公允价值 重新计量剩余 股权产生的利 得或损失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35" w:right="34"/>
              <w:jc w:val="center"/>
              <w:rPr>
                <w:rFonts w:ascii="宋体" w:hAnsi="宋体" w:cs="宋体" w:eastAsia="宋体" w:hint="default"/>
                <w:sz w:val="18"/>
                <w:szCs w:val="18"/>
              </w:rPr>
            </w:pPr>
            <w:r>
              <w:rPr>
                <w:rFonts w:ascii="宋体" w:hAnsi="宋体" w:cs="宋体" w:eastAsia="宋体" w:hint="default"/>
                <w:sz w:val="18"/>
                <w:szCs w:val="18"/>
              </w:rPr>
              <w:t>丧失控制权之日剩余 股权公允价值的确定 方法及主要假设</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0" w:right="68"/>
              <w:jc w:val="center"/>
              <w:rPr>
                <w:rFonts w:ascii="宋体" w:hAnsi="宋体" w:cs="宋体" w:eastAsia="宋体" w:hint="default"/>
                <w:sz w:val="18"/>
                <w:szCs w:val="18"/>
              </w:rPr>
            </w:pPr>
            <w:r>
              <w:rPr>
                <w:rFonts w:ascii="宋体" w:hAnsi="宋体" w:cs="宋体" w:eastAsia="宋体" w:hint="default"/>
                <w:sz w:val="18"/>
                <w:szCs w:val="18"/>
              </w:rPr>
              <w:t>与原子公司股权投 资相关的其他综合 收益转入投资损益 的金额</w:t>
            </w:r>
          </w:p>
        </w:tc>
      </w:tr>
      <w:tr>
        <w:trPr>
          <w:trHeight w:val="65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2"/>
              <w:jc w:val="left"/>
              <w:rPr>
                <w:rFonts w:ascii="宋体" w:hAnsi="宋体" w:cs="宋体" w:eastAsia="宋体" w:hint="default"/>
                <w:sz w:val="18"/>
                <w:szCs w:val="18"/>
              </w:rPr>
            </w:pPr>
            <w:r>
              <w:rPr>
                <w:rFonts w:ascii="宋体" w:hAnsi="宋体" w:cs="宋体" w:eastAsia="宋体" w:hint="default"/>
                <w:sz w:val="18"/>
                <w:szCs w:val="18"/>
              </w:rPr>
              <w:t>北京中电创新科 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九、聘任、解聘会计师事务所情况" w:id="72"/>
      <w:bookmarkEnd w:id="72"/>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332" w:hRule="exact"/>
        </w:trPr>
        <w:tc>
          <w:tcPr>
            <w:tcW w:w="3886" w:type="dxa"/>
            <w:tcBorders>
              <w:top w:val="nil" w:sz="6" w:space="0" w:color="auto"/>
              <w:left w:val="nil" w:sz="6" w:space="0" w:color="auto"/>
              <w:bottom w:val="single" w:sz="4" w:space="0" w:color="000000"/>
              <w:right w:val="nil" w:sz="6" w:space="0" w:color="auto"/>
            </w:tcBorders>
          </w:tcPr>
          <w:p>
            <w:pPr/>
          </w:p>
        </w:tc>
        <w:tc>
          <w:tcPr>
            <w:tcW w:w="5682"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杨春盛、李之洋</w:t>
            </w:r>
          </w:p>
        </w:tc>
      </w:tr>
    </w:tbl>
    <w:p>
      <w:pPr>
        <w:spacing w:before="51"/>
        <w:ind w:left="154" w:right="0" w:firstLine="0"/>
        <w:jc w:val="left"/>
        <w:rPr>
          <w:rFonts w:ascii="宋体" w:hAnsi="宋体" w:cs="宋体" w:eastAsia="宋体" w:hint="default"/>
          <w:sz w:val="18"/>
          <w:szCs w:val="18"/>
        </w:rPr>
      </w:pPr>
      <w:r>
        <w:rPr/>
        <w:pict>
          <v:group style="position:absolute;margin-left:55.200001pt;margin-top:-36.978271pt;width:485pt;height:.1pt;mso-position-horizontal-relative:page;mso-position-vertical-relative:paragraph;z-index:-944248" coordorigin="1104,-740" coordsize="9700,2">
            <v:shape style="position:absolute;left:1104;top:-740;width:9700;height:2" coordorigin="1104,-740" coordsize="9700,0" path="m1104,-740l10804,-740e" filled="false" stroked="true" strokeweight=".72pt" strokecolor="#000000">
              <v:path arrowok="t"/>
            </v:shape>
            <w10:wrap type="none"/>
          </v:group>
        </w:pict>
      </w:r>
      <w:r>
        <w:rPr>
          <w:rFonts w:ascii="宋体" w:hAnsi="宋体" w:cs="宋体" w:eastAsia="宋体" w:hint="default"/>
          <w:sz w:val="18"/>
          <w:szCs w:val="18"/>
        </w:rPr>
        <w:t>当期是否改聘会计师事务所</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是否在审计期间改聘会计师事务所</w:t>
      </w:r>
    </w:p>
    <w:p>
      <w:pPr>
        <w:spacing w:line="338" w:lineRule="auto" w:before="43"/>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更换会计师事务所是否履行审批程序</w:t>
      </w:r>
    </w:p>
    <w:p>
      <w:pPr>
        <w:spacing w:line="340" w:lineRule="auto" w:before="42"/>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对改聘、变更会计师事务所情况的详细说明</w:t>
      </w:r>
    </w:p>
    <w:p>
      <w:pPr>
        <w:spacing w:line="307" w:lineRule="auto" w:before="39"/>
        <w:ind w:left="153" w:right="1033" w:firstLine="360"/>
        <w:jc w:val="left"/>
        <w:rPr>
          <w:rFonts w:ascii="宋体" w:hAnsi="宋体" w:cs="宋体" w:eastAsia="宋体" w:hint="default"/>
          <w:sz w:val="18"/>
          <w:szCs w:val="18"/>
        </w:rPr>
      </w:pPr>
      <w:r>
        <w:rPr>
          <w:rFonts w:ascii="宋体" w:hAnsi="宋体" w:cs="宋体" w:eastAsia="宋体" w:hint="default"/>
          <w:spacing w:val="-2"/>
          <w:sz w:val="18"/>
          <w:szCs w:val="18"/>
        </w:rPr>
        <w:t>公司聘请瑞华会计师事务所（特殊普通合伙）担任公司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年度审计机构完成公司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年度全部审计工作，因公司与该</w:t>
      </w:r>
      <w:r>
        <w:rPr>
          <w:rFonts w:ascii="宋体" w:hAnsi="宋体" w:cs="宋体" w:eastAsia="宋体" w:hint="default"/>
          <w:sz w:val="18"/>
          <w:szCs w:val="18"/>
        </w:rPr>
        <w:t> </w:t>
      </w:r>
      <w:r>
        <w:rPr>
          <w:rFonts w:ascii="宋体" w:hAnsi="宋体" w:cs="宋体" w:eastAsia="宋体" w:hint="default"/>
          <w:spacing w:val="-2"/>
          <w:sz w:val="18"/>
          <w:szCs w:val="18"/>
        </w:rPr>
        <w:t>审计机构初始合作同时公司处于经营业务快速发展期，公司尚未决定</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年度为公司提供审计服务的审计机构，故公司将暂</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不对本年度审计机构瑞华会计师事务所进行续聘，同时公司承诺将尽快确定审计机构，并召开董事会及股东大会进行审议， 履行聘请审计机构完备的审批程序及信息披露义务。</w:t>
      </w:r>
    </w:p>
    <w:p>
      <w:pPr>
        <w:spacing w:before="67"/>
        <w:ind w:left="154" w:right="0"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3"/>
      <w:bookmarkEnd w:id="73"/>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4"/>
      <w:bookmarkEnd w:id="74"/>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5"/>
      <w:bookmarkEnd w:id="75"/>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6"/>
      <w:bookmarkEnd w:id="76"/>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7"/>
      <w:bookmarkEnd w:id="77"/>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line="328" w:lineRule="auto"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报告期内，公司及其控股股东、实际控制人诚信状况良好，不存在任何未履行的法院生效判决，不存在所负数额较大的债务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到期未清偿等情况。</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十五、公司股权激励计划、员工持股计划或其他员工激励措施的实施情况" w:id="78"/>
      <w:bookmarkEnd w:id="78"/>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公司报告期无股权激励计划、员工持股计划或其他员工激励措施及其实施情况。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六、重大关联交易" w:id="79"/>
      <w:bookmarkEnd w:id="79"/>
      <w:r>
        <w:rPr>
          <w:b w:val="0"/>
          <w:bCs w:val="0"/>
        </w:rPr>
      </w:r>
      <w:r>
        <w:rPr/>
        <w:t>十六、重大关联交易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5"/>
      <w:bookmarkEnd w:id="85"/>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after="0" w:line="338"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4"/>
        <w:spacing w:line="240" w:lineRule="auto"/>
        <w:ind w:left="153"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3"/>
        <w:rPr>
          <w:rFonts w:ascii="宋体" w:hAnsi="宋体" w:cs="宋体" w:eastAsia="宋体" w:hint="default"/>
          <w:sz w:val="20"/>
          <w:szCs w:val="20"/>
        </w:rPr>
      </w:pPr>
    </w:p>
    <w:p>
      <w:pPr>
        <w:pStyle w:val="Heading4"/>
        <w:spacing w:line="240" w:lineRule="auto"/>
        <w:ind w:left="153"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5"/>
      <w:bookmarkEnd w:id="95"/>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90" w:lineRule="auto" w:before="78"/>
        <w:ind w:left="57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）公司向淘宝（中国）软件有限公司非公开发行股份完成股份上市</w:t>
      </w:r>
      <w:r>
        <w:rPr>
          <w:rFonts w:ascii="宋体" w:hAnsi="宋体" w:cs="宋体" w:eastAsia="宋体" w:hint="default"/>
          <w:b/>
          <w:bCs/>
          <w:w w:val="99"/>
          <w:sz w:val="21"/>
          <w:szCs w:val="21"/>
        </w:rPr>
        <w:t> </w:t>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日就公司</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年度非公开发行</w:t>
      </w: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股股票认购相关事宜与淘宝（中国）软件有限公司</w:t>
      </w:r>
    </w:p>
    <w:p>
      <w:pPr>
        <w:pStyle w:val="BodyText"/>
        <w:spacing w:line="263" w:lineRule="exact" w:before="0"/>
        <w:ind w:right="0"/>
        <w:jc w:val="left"/>
      </w:pPr>
      <w:r>
        <w:rPr/>
        <w:t>达成一致意见并签署附条件生效的《股份认购协议》，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日经公司</w:t>
      </w:r>
      <w:r>
        <w:rPr>
          <w:rFonts w:ascii="Times New Roman" w:hAnsi="Times New Roman" w:cs="Times New Roman" w:eastAsia="Times New Roman" w:hint="default"/>
        </w:rPr>
        <w:t>2014</w:t>
      </w:r>
      <w:r>
        <w:rPr/>
        <w:t>年第二次临时股东大会</w:t>
      </w:r>
    </w:p>
    <w:p>
      <w:pPr>
        <w:pStyle w:val="BodyText"/>
        <w:spacing w:line="259" w:lineRule="auto" w:before="21"/>
        <w:ind w:right="1122"/>
        <w:jc w:val="left"/>
      </w:pPr>
      <w:r>
        <w:rPr/>
        <w:t>审议通过，公司以非公开发行股份的方式引入淘宝（中国）软件作为公司战略投资者。详见公司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 </w:t>
      </w:r>
      <w:r>
        <w:rPr>
          <w:spacing w:val="-1"/>
        </w:rPr>
        <w:t>月</w:t>
      </w:r>
      <w:r>
        <w:rPr>
          <w:rFonts w:ascii="Times New Roman" w:hAnsi="Times New Roman" w:cs="Times New Roman" w:eastAsia="Times New Roman" w:hint="default"/>
          <w:spacing w:val="-1"/>
        </w:rPr>
        <w:t>29</w:t>
      </w:r>
      <w:r>
        <w:rPr>
          <w:spacing w:val="-1"/>
        </w:rPr>
        <w:t>日刊登于《中国证券报》及巨潮资讯网</w:t>
      </w:r>
      <w:hyperlink r:id="rId22">
        <w:r>
          <w:rPr>
            <w:rFonts w:ascii="Times New Roman" w:hAnsi="Times New Roman" w:cs="Times New Roman" w:eastAsia="Times New Roman" w:hint="default"/>
            <w:spacing w:val="-1"/>
          </w:rPr>
          <w:t>www.cninfo.com.cn</w:t>
        </w:r>
        <w:r>
          <w:rPr>
            <w:spacing w:val="-1"/>
          </w:rPr>
          <w:t>的《</w:t>
        </w:r>
      </w:hyperlink>
      <w:r>
        <w:rPr>
          <w:rFonts w:ascii="Times New Roman" w:hAnsi="Times New Roman" w:cs="Times New Roman" w:eastAsia="Times New Roman" w:hint="default"/>
          <w:spacing w:val="-1"/>
        </w:rPr>
        <w:t>2014</w:t>
      </w:r>
      <w:r>
        <w:rPr>
          <w:spacing w:val="-1"/>
        </w:rPr>
        <w:t>年度非公开发行股票预案》等全部</w:t>
      </w:r>
      <w:r>
        <w:rPr/>
        <w:t> 公告文件。</w:t>
      </w:r>
    </w:p>
    <w:p>
      <w:pPr>
        <w:pStyle w:val="BodyText"/>
        <w:spacing w:line="264" w:lineRule="auto" w:before="58"/>
        <w:ind w:left="154" w:right="111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日，综合考虑公司的实际状况和资本市场情况，公司召开第五届董事会</w:t>
      </w:r>
      <w:r>
        <w:rPr>
          <w:rFonts w:ascii="Times New Roman" w:hAnsi="Times New Roman" w:cs="Times New Roman" w:eastAsia="Times New Roman" w:hint="default"/>
        </w:rPr>
        <w:t>2015</w:t>
      </w:r>
      <w:r>
        <w:rPr/>
        <w:t>年第八次临 时会议审议通过对公司原非公开发行股票方案及预案进行的修订、补充和细化，不构成对原方案的调整。 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日刊登于《中国证券报》及巨潮资讯网</w:t>
      </w:r>
      <w:hyperlink r:id="rId22">
        <w:r>
          <w:rPr>
            <w:rFonts w:ascii="Times New Roman" w:hAnsi="Times New Roman" w:cs="Times New Roman" w:eastAsia="Times New Roman" w:hint="default"/>
          </w:rPr>
          <w:t>www.cninfo.com.cn</w:t>
        </w:r>
        <w:r>
          <w:rPr/>
          <w:t>的《关于</w:t>
        </w:r>
      </w:hyperlink>
      <w:r>
        <w:rPr/>
        <w:t>修订和补充非公开发</w:t>
      </w:r>
      <w:r>
        <w:rPr/>
        <w:t> 行股票预案的公告》（公告编号：</w:t>
      </w:r>
      <w:r>
        <w:rPr>
          <w:rFonts w:ascii="Times New Roman" w:hAnsi="Times New Roman" w:cs="Times New Roman" w:eastAsia="Times New Roman" w:hint="default"/>
        </w:rPr>
        <w:t>2015-43</w:t>
      </w:r>
      <w:r>
        <w:rPr/>
        <w:t>）等相关公告。</w:t>
      </w:r>
    </w:p>
    <w:p>
      <w:pPr>
        <w:pStyle w:val="BodyText"/>
        <w:spacing w:line="256" w:lineRule="auto" w:before="37"/>
        <w:ind w:right="1130" w:firstLine="42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25</w:t>
      </w:r>
      <w:r>
        <w:rPr>
          <w:spacing w:val="-3"/>
        </w:rPr>
        <w:t>日，上述非公开发行事项经中国证券监督管理委员会发行审核委员会审核通过，并于</w:t>
      </w:r>
      <w:r>
        <w:rPr>
          <w:rFonts w:ascii="Times New Roman" w:hAnsi="Times New Roman" w:cs="Times New Roman" w:eastAsia="Times New Roman" w:hint="default"/>
          <w:spacing w:val="-3"/>
        </w:rPr>
        <w:t>2015</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日完成上述非公开发行事项的股份上市等全部实施工作。详见</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17</w:t>
      </w:r>
      <w:r>
        <w:rPr>
          <w:spacing w:val="-1"/>
        </w:rPr>
        <w:t>日刊登于《中国证券</w:t>
      </w:r>
      <w:r>
        <w:rPr>
          <w:spacing w:val="-81"/>
        </w:rPr>
        <w:t> </w:t>
      </w:r>
      <w:r>
        <w:rPr>
          <w:spacing w:val="-81"/>
        </w:rPr>
      </w:r>
      <w:r>
        <w:rPr>
          <w:spacing w:val="-2"/>
        </w:rPr>
        <w:t>报》及巨潮资讯网</w:t>
      </w:r>
      <w:hyperlink r:id="rId22">
        <w:r>
          <w:rPr>
            <w:rFonts w:ascii="Times New Roman" w:hAnsi="Times New Roman" w:cs="Times New Roman" w:eastAsia="Times New Roman" w:hint="default"/>
            <w:spacing w:val="-2"/>
          </w:rPr>
          <w:t>www.cninfo.com.cn</w:t>
        </w:r>
        <w:r>
          <w:rPr>
            <w:spacing w:val="-2"/>
          </w:rPr>
          <w:t>的</w:t>
        </w:r>
      </w:hyperlink>
      <w:r>
        <w:rPr>
          <w:spacing w:val="-2"/>
        </w:rPr>
        <w:t>《非公开发行股票新增股份变动报告及上市公告书摘要》（公告编</w:t>
      </w:r>
      <w:r>
        <w:rPr>
          <w:spacing w:val="-56"/>
        </w:rPr>
        <w:t> </w:t>
      </w:r>
      <w:r>
        <w:rPr>
          <w:spacing w:val="-56"/>
        </w:rPr>
      </w:r>
      <w:r>
        <w:rPr/>
        <w:t>号：</w:t>
      </w:r>
      <w:r>
        <w:rPr>
          <w:rFonts w:ascii="Times New Roman" w:hAnsi="Times New Roman" w:cs="Times New Roman" w:eastAsia="Times New Roman" w:hint="default"/>
        </w:rPr>
        <w:t>2015-69</w:t>
      </w:r>
      <w:r>
        <w:rPr/>
        <w:t>）。</w:t>
      </w:r>
    </w:p>
    <w:p>
      <w:pPr>
        <w:spacing w:after="0" w:line="256" w:lineRule="auto"/>
        <w:jc w:val="both"/>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573" w:right="0"/>
        <w:jc w:val="left"/>
        <w:rPr>
          <w:b w:val="0"/>
          <w:bCs w:val="0"/>
        </w:rPr>
      </w:pPr>
      <w:r>
        <w:rPr/>
        <w:t>（</w:t>
      </w:r>
      <w:r>
        <w:rPr>
          <w:rFonts w:ascii="Times New Roman" w:hAnsi="Times New Roman" w:cs="Times New Roman" w:eastAsia="Times New Roman" w:hint="default"/>
        </w:rPr>
        <w:t>2</w:t>
      </w:r>
      <w:r>
        <w:rPr/>
        <w:t>）公司与北京首旅酒店（集团）股份有限公司签署《石基信息</w:t>
      </w:r>
      <w:r>
        <w:rPr>
          <w:rFonts w:ascii="Times New Roman" w:hAnsi="Times New Roman" w:cs="Times New Roman" w:eastAsia="Times New Roman" w:hint="default"/>
        </w:rPr>
        <w:t>—</w:t>
      </w:r>
      <w:r>
        <w:rPr/>
        <w:t>首旅酒店集团战略合作协议》</w:t>
      </w:r>
      <w:r>
        <w:rPr>
          <w:b w:val="0"/>
          <w:bCs w:val="0"/>
        </w:rPr>
      </w:r>
    </w:p>
    <w:p>
      <w:pPr>
        <w:pStyle w:val="BodyText"/>
        <w:spacing w:line="264" w:lineRule="auto" w:before="59"/>
        <w:ind w:right="0" w:firstLine="42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5</w:t>
      </w:r>
      <w:r>
        <w:rPr>
          <w:spacing w:val="-1"/>
        </w:rPr>
        <w:t>日，公司与北京首旅酒店（集团）股份有限公司签署《石基信息</w:t>
      </w:r>
      <w:r>
        <w:rPr>
          <w:rFonts w:ascii="Times New Roman" w:hAnsi="Times New Roman" w:cs="Times New Roman" w:eastAsia="Times New Roman" w:hint="default"/>
          <w:spacing w:val="-1"/>
        </w:rPr>
        <w:t>—</w:t>
      </w:r>
      <w:r>
        <w:rPr>
          <w:spacing w:val="-1"/>
        </w:rPr>
        <w:t>首旅酒店集团战略合作</w:t>
      </w:r>
      <w:r>
        <w:rPr/>
        <w:t> </w:t>
      </w:r>
      <w:r>
        <w:rPr>
          <w:spacing w:val="-1"/>
        </w:rPr>
        <w:t>协议》，就集团酒店领域与餐饮领域展开全面合作，并建立长期的战略合作关系。本次合作所涉及内容不</w:t>
      </w:r>
      <w:r>
        <w:rPr>
          <w:spacing w:val="-86"/>
        </w:rPr>
        <w:t> </w:t>
      </w:r>
      <w:r>
        <w:rPr>
          <w:spacing w:val="-86"/>
        </w:rPr>
      </w:r>
      <w:r>
        <w:rPr/>
        <w:t>构成关联交易和重大资产重组。详见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日刊登于《中国证券报》、《证券时报》及巨潮资讯网 </w:t>
      </w:r>
      <w:hyperlink r:id="rId22">
        <w:r>
          <w:rPr>
            <w:rFonts w:ascii="Times New Roman" w:hAnsi="Times New Roman" w:cs="Times New Roman" w:eastAsia="Times New Roman" w:hint="default"/>
          </w:rPr>
          <w:t>www.cninfo.com.cn</w:t>
        </w:r>
        <w:r>
          <w:rPr/>
          <w:t>的《关于与首旅酒店集团签署</w:t>
        </w:r>
      </w:hyperlink>
      <w:r>
        <w:rPr>
          <w:rFonts w:ascii="Times New Roman" w:hAnsi="Times New Roman" w:cs="Times New Roman" w:eastAsia="Times New Roman" w:hint="default"/>
        </w:rPr>
        <w:t>&lt;</w:t>
      </w:r>
      <w:r>
        <w:rPr/>
        <w:t>战略合作协议</w:t>
      </w:r>
      <w:r>
        <w:rPr>
          <w:rFonts w:ascii="Times New Roman" w:hAnsi="Times New Roman" w:cs="Times New Roman" w:eastAsia="Times New Roman" w:hint="default"/>
        </w:rPr>
        <w:t>&gt;</w:t>
      </w:r>
      <w:r>
        <w:rPr/>
        <w:t>的公告</w:t>
      </w:r>
      <w:r>
        <w:rPr>
          <w:spacing w:val="-29"/>
        </w:rPr>
        <w:t> </w:t>
      </w:r>
      <w:r>
        <w:rPr/>
        <w:t>》（公告编号：</w:t>
      </w:r>
      <w:r>
        <w:rPr>
          <w:rFonts w:ascii="Times New Roman" w:hAnsi="Times New Roman" w:cs="Times New Roman" w:eastAsia="Times New Roman" w:hint="default"/>
        </w:rPr>
        <w:t>2015-19</w:t>
      </w:r>
      <w:r>
        <w:rPr/>
        <w:t>）。</w:t>
      </w:r>
    </w:p>
    <w:p>
      <w:pPr>
        <w:pStyle w:val="Heading4"/>
        <w:spacing w:line="256" w:lineRule="auto" w:before="37"/>
        <w:ind w:left="153" w:right="1130" w:firstLine="420"/>
        <w:jc w:val="left"/>
        <w:rPr>
          <w:b w:val="0"/>
          <w:bCs w:val="0"/>
        </w:rPr>
      </w:pPr>
      <w:r>
        <w:rPr>
          <w:w w:val="95"/>
        </w:rPr>
        <w:t>（</w:t>
      </w:r>
      <w:r>
        <w:rPr>
          <w:rFonts w:ascii="Times New Roman" w:hAnsi="Times New Roman" w:cs="Times New Roman" w:eastAsia="Times New Roman" w:hint="default"/>
          <w:w w:val="95"/>
        </w:rPr>
        <w:t>3</w:t>
      </w:r>
      <w:r>
        <w:rPr>
          <w:w w:val="95"/>
        </w:rPr>
        <w:t>）公司与北京首旅酒店（集团）股份有限公司、浙江去啊网络技术有限公司签署《首旅酒店集团</w:t>
      </w:r>
      <w:r>
        <w:rPr>
          <w:rFonts w:ascii="Times New Roman" w:hAnsi="Times New Roman" w:cs="Times New Roman" w:eastAsia="Times New Roman" w:hint="default"/>
          <w:w w:val="95"/>
        </w:rPr>
        <w:t>-</w:t>
      </w:r>
      <w:r>
        <w:rPr>
          <w:rFonts w:ascii="Times New Roman" w:hAnsi="Times New Roman" w:cs="Times New Roman" w:eastAsia="Times New Roman" w:hint="default"/>
          <w:spacing w:val="-34"/>
          <w:w w:val="95"/>
        </w:rPr>
        <w:t> </w:t>
      </w:r>
      <w:r>
        <w:rPr/>
        <w:t>石基信息</w:t>
      </w:r>
      <w:r>
        <w:rPr>
          <w:rFonts w:ascii="Times New Roman" w:hAnsi="Times New Roman" w:cs="Times New Roman" w:eastAsia="Times New Roman" w:hint="default"/>
        </w:rPr>
        <w:t>-</w:t>
      </w:r>
      <w:r>
        <w:rPr/>
        <w:t>阿里旅行战略合作协议》</w:t>
      </w:r>
      <w:r>
        <w:rPr>
          <w:b w:val="0"/>
          <w:bCs w:val="0"/>
        </w:rPr>
      </w:r>
    </w:p>
    <w:p>
      <w:pPr>
        <w:pStyle w:val="BodyText"/>
        <w:spacing w:line="256" w:lineRule="auto" w:before="46"/>
        <w:ind w:right="1102"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日，公司与北京首旅酒店（集团）股份有限公司、浙江去啊网络技术有限公司签署《首 旅酒店集团</w:t>
      </w:r>
      <w:r>
        <w:rPr>
          <w:rFonts w:ascii="Times New Roman" w:hAnsi="Times New Roman" w:cs="Times New Roman" w:eastAsia="Times New Roman" w:hint="default"/>
        </w:rPr>
        <w:t>-</w:t>
      </w:r>
      <w:r>
        <w:rPr/>
        <w:t>石基信息</w:t>
      </w:r>
      <w:r>
        <w:rPr>
          <w:rFonts w:ascii="Times New Roman" w:hAnsi="Times New Roman" w:cs="Times New Roman" w:eastAsia="Times New Roman" w:hint="default"/>
        </w:rPr>
        <w:t>-</w:t>
      </w:r>
      <w:r>
        <w:rPr/>
        <w:t>阿里旅行战略合作协议》，建立全面长期的战略合作关系，本次战略合作不构成关 联交易和重大资产重组。详见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日刊登于《中国证券报》、《证券时报》及巨潮资讯网 </w:t>
      </w:r>
      <w:hyperlink r:id="rId22">
        <w:r>
          <w:rPr>
            <w:rFonts w:ascii="Times New Roman" w:hAnsi="Times New Roman" w:cs="Times New Roman" w:eastAsia="Times New Roman" w:hint="default"/>
            <w:spacing w:val="-9"/>
            <w:w w:val="99"/>
          </w:rPr>
          <w:t>www.cninfo.com.cn</w:t>
        </w:r>
        <w:r>
          <w:rPr>
            <w:spacing w:val="-9"/>
            <w:w w:val="99"/>
          </w:rPr>
          <w:t>的</w:t>
        </w:r>
      </w:hyperlink>
      <w:r>
        <w:rPr>
          <w:spacing w:val="-9"/>
          <w:w w:val="99"/>
        </w:rPr>
        <w:t>《关于与首旅酒店集团、阿里旅行签署</w:t>
      </w:r>
      <w:r>
        <w:rPr>
          <w:rFonts w:ascii="Times New Roman" w:hAnsi="Times New Roman" w:cs="Times New Roman" w:eastAsia="Times New Roman" w:hint="default"/>
          <w:spacing w:val="-9"/>
          <w:w w:val="99"/>
        </w:rPr>
        <w:t>&lt;</w:t>
      </w:r>
      <w:r>
        <w:rPr>
          <w:spacing w:val="-9"/>
          <w:w w:val="99"/>
        </w:rPr>
        <w:t>战略合作协议</w:t>
      </w:r>
      <w:r>
        <w:rPr>
          <w:rFonts w:ascii="Times New Roman" w:hAnsi="Times New Roman" w:cs="Times New Roman" w:eastAsia="Times New Roman" w:hint="default"/>
          <w:spacing w:val="-9"/>
          <w:w w:val="99"/>
        </w:rPr>
        <w:t>&gt;</w:t>
      </w:r>
      <w:r>
        <w:rPr>
          <w:spacing w:val="-9"/>
          <w:w w:val="99"/>
        </w:rPr>
        <w:t>的公告》（公告编号：</w:t>
      </w:r>
      <w:r>
        <w:rPr>
          <w:rFonts w:ascii="Times New Roman" w:hAnsi="Times New Roman" w:cs="Times New Roman" w:eastAsia="Times New Roman" w:hint="default"/>
          <w:spacing w:val="-9"/>
          <w:w w:val="99"/>
        </w:rPr>
        <w:t>2015-21</w:t>
      </w:r>
      <w:r>
        <w:rPr>
          <w:spacing w:val="-9"/>
          <w:w w:val="99"/>
        </w:rPr>
        <w:t>）。</w:t>
      </w:r>
      <w:r>
        <w:rPr/>
      </w:r>
    </w:p>
    <w:p>
      <w:pPr>
        <w:pStyle w:val="Heading4"/>
        <w:spacing w:line="240" w:lineRule="auto" w:before="43"/>
        <w:ind w:left="573" w:right="0"/>
        <w:jc w:val="left"/>
        <w:rPr>
          <w:b w:val="0"/>
          <w:bCs w:val="0"/>
        </w:rPr>
      </w:pPr>
      <w:r>
        <w:rPr/>
        <w:t>（</w:t>
      </w:r>
      <w:r>
        <w:rPr>
          <w:rFonts w:ascii="Times New Roman" w:hAnsi="Times New Roman" w:cs="Times New Roman" w:eastAsia="Times New Roman" w:hint="default"/>
        </w:rPr>
        <w:t>4</w:t>
      </w:r>
      <w:r>
        <w:rPr/>
        <w:t>）公司与阿里云计算有限公司签署《战略合作协议》</w:t>
      </w:r>
      <w:r>
        <w:rPr>
          <w:b w:val="0"/>
          <w:bCs w:val="0"/>
        </w:rPr>
      </w:r>
    </w:p>
    <w:p>
      <w:pPr>
        <w:pStyle w:val="BodyText"/>
        <w:spacing w:line="264" w:lineRule="auto" w:before="62"/>
        <w:ind w:left="154" w:right="1132"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日，公司与阿里云计算有限公司签署《战略合作协议》，拟在云计算基础业务方面、酒 </w:t>
      </w:r>
      <w:r>
        <w:rPr>
          <w:spacing w:val="-1"/>
        </w:rPr>
        <w:t>店餐饮行业市场方面及共同探索的其他业务方面进行深入合作。本次战略合作不构成关联交易和重大资产</w:t>
      </w:r>
      <w:r>
        <w:rPr>
          <w:spacing w:val="-81"/>
        </w:rPr>
        <w:t> </w:t>
      </w:r>
      <w:r>
        <w:rPr>
          <w:spacing w:val="-81"/>
        </w:rPr>
      </w:r>
      <w:r>
        <w:rPr/>
        <w:t>重组。详见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日刊登于《中国证券报》、《证券时报》及巨潮资讯网</w:t>
      </w:r>
      <w:hyperlink r:id="rId22">
        <w:r>
          <w:rPr>
            <w:rFonts w:ascii="Times New Roman" w:hAnsi="Times New Roman" w:cs="Times New Roman" w:eastAsia="Times New Roman" w:hint="default"/>
          </w:rPr>
          <w:t>www.cninfo.com.cn</w:t>
        </w:r>
        <w:r>
          <w:rPr/>
          <w:t>的《关</w:t>
        </w:r>
      </w:hyperlink>
      <w:r>
        <w:rPr/>
        <w:t> 于与阿里云计算有限公司签署</w:t>
      </w:r>
      <w:r>
        <w:rPr>
          <w:rFonts w:ascii="Times New Roman" w:hAnsi="Times New Roman" w:cs="Times New Roman" w:eastAsia="Times New Roman" w:hint="default"/>
        </w:rPr>
        <w:t>&lt;</w:t>
      </w:r>
      <w:r>
        <w:rPr/>
        <w:t>战略合作协议</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2015-23</w:t>
      </w:r>
      <w:r>
        <w:rPr/>
        <w:t>）。</w:t>
      </w:r>
    </w:p>
    <w:p>
      <w:pPr>
        <w:pStyle w:val="Heading4"/>
        <w:spacing w:line="240" w:lineRule="auto" w:before="37"/>
        <w:ind w:left="573" w:right="0"/>
        <w:jc w:val="left"/>
        <w:rPr>
          <w:b w:val="0"/>
          <w:bCs w:val="0"/>
        </w:rPr>
      </w:pPr>
      <w:r>
        <w:rPr/>
        <w:t>（</w:t>
      </w:r>
      <w:r>
        <w:rPr>
          <w:rFonts w:ascii="Times New Roman" w:hAnsi="Times New Roman" w:cs="Times New Roman" w:eastAsia="Times New Roman" w:hint="default"/>
        </w:rPr>
        <w:t>5</w:t>
      </w:r>
      <w:r>
        <w:rPr/>
        <w:t>）公司与北京泰能软件有限公司签署《石基信息</w:t>
      </w:r>
      <w:r>
        <w:rPr>
          <w:rFonts w:ascii="Times New Roman" w:hAnsi="Times New Roman" w:cs="Times New Roman" w:eastAsia="Times New Roman" w:hint="default"/>
        </w:rPr>
        <w:t>-</w:t>
      </w:r>
      <w:r>
        <w:rPr/>
        <w:t>泰能软件技术合作协议》</w:t>
      </w:r>
      <w:r>
        <w:rPr>
          <w:b w:val="0"/>
          <w:bCs w:val="0"/>
        </w:rPr>
      </w:r>
    </w:p>
    <w:p>
      <w:pPr>
        <w:pStyle w:val="BodyText"/>
        <w:spacing w:line="256" w:lineRule="auto" w:before="59"/>
        <w:ind w:right="1130" w:firstLine="42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日，公司与北京泰能软件有限公司签署《石基信息</w:t>
      </w:r>
      <w:r>
        <w:rPr>
          <w:rFonts w:ascii="Times New Roman" w:hAnsi="Times New Roman" w:cs="Times New Roman" w:eastAsia="Times New Roman" w:hint="default"/>
          <w:spacing w:val="-2"/>
        </w:rPr>
        <w:t>-</w:t>
      </w:r>
      <w:r>
        <w:rPr>
          <w:spacing w:val="-2"/>
        </w:rPr>
        <w:t>泰能软件技术合作协议》，拟就购买泰</w:t>
      </w:r>
      <w:r>
        <w:rPr/>
        <w:t> </w:t>
      </w:r>
      <w:r>
        <w:rPr>
          <w:spacing w:val="-1"/>
        </w:rPr>
        <w:t>能软件相关产品、畅联渠道的连接及其他多个方面进行合作，总合作费用不超过</w:t>
      </w:r>
      <w:r>
        <w:rPr>
          <w:rFonts w:ascii="Times New Roman" w:hAnsi="Times New Roman" w:cs="Times New Roman" w:eastAsia="Times New Roman" w:hint="default"/>
          <w:spacing w:val="-1"/>
        </w:rPr>
        <w:t>5000</w:t>
      </w:r>
      <w:r>
        <w:rPr>
          <w:spacing w:val="-1"/>
        </w:rPr>
        <w:t>万元人民币。本次合</w:t>
      </w:r>
      <w:r>
        <w:rPr>
          <w:spacing w:val="-82"/>
        </w:rPr>
        <w:t> </w:t>
      </w:r>
      <w:r>
        <w:rPr>
          <w:spacing w:val="-82"/>
        </w:rPr>
      </w:r>
      <w:r>
        <w:rPr>
          <w:spacing w:val="-1"/>
        </w:rPr>
        <w:t>作使用公司自有资金，不构成关联交易及重大资产重组。本次交易已经公司第五届董事会</w:t>
      </w:r>
      <w:r>
        <w:rPr>
          <w:rFonts w:ascii="Times New Roman" w:hAnsi="Times New Roman" w:cs="Times New Roman" w:eastAsia="Times New Roman" w:hint="default"/>
          <w:spacing w:val="-1"/>
        </w:rPr>
        <w:t>2015</w:t>
      </w:r>
      <w:r>
        <w:rPr>
          <w:spacing w:val="-1"/>
        </w:rPr>
        <w:t>年第七次临</w:t>
      </w:r>
      <w:r>
        <w:rPr>
          <w:spacing w:val="-78"/>
        </w:rPr>
        <w:t> </w:t>
      </w:r>
      <w:r>
        <w:rPr>
          <w:spacing w:val="-5"/>
          <w:w w:val="99"/>
        </w:rPr>
        <w:t>时会议审议通过，详见</w:t>
      </w:r>
      <w:r>
        <w:rPr>
          <w:rFonts w:ascii="Times New Roman" w:hAnsi="Times New Roman" w:cs="Times New Roman" w:eastAsia="Times New Roman" w:hint="default"/>
          <w:spacing w:val="-5"/>
          <w:w w:val="99"/>
        </w:rPr>
        <w:t>2015</w:t>
      </w:r>
      <w:r>
        <w:rPr>
          <w:spacing w:val="-5"/>
          <w:w w:val="99"/>
        </w:rPr>
        <w:t>年</w:t>
      </w:r>
      <w:r>
        <w:rPr>
          <w:rFonts w:ascii="Times New Roman" w:hAnsi="Times New Roman" w:cs="Times New Roman" w:eastAsia="Times New Roman" w:hint="default"/>
          <w:spacing w:val="-5"/>
          <w:w w:val="99"/>
        </w:rPr>
        <w:t>7</w:t>
      </w:r>
      <w:r>
        <w:rPr>
          <w:spacing w:val="-5"/>
          <w:w w:val="99"/>
        </w:rPr>
        <w:t>月</w:t>
      </w:r>
      <w:r>
        <w:rPr>
          <w:rFonts w:ascii="Times New Roman" w:hAnsi="Times New Roman" w:cs="Times New Roman" w:eastAsia="Times New Roman" w:hint="default"/>
          <w:spacing w:val="-5"/>
          <w:w w:val="99"/>
        </w:rPr>
        <w:t>3</w:t>
      </w:r>
      <w:r>
        <w:rPr>
          <w:spacing w:val="-5"/>
          <w:w w:val="99"/>
        </w:rPr>
        <w:t>日刊登于《中国证券报》、《证券时报》及巨潮资讯网</w:t>
      </w:r>
      <w:hyperlink r:id="rId12">
        <w:r>
          <w:rPr>
            <w:rFonts w:ascii="Times New Roman" w:hAnsi="Times New Roman" w:cs="Times New Roman" w:eastAsia="Times New Roman" w:hint="default"/>
            <w:spacing w:val="-5"/>
            <w:w w:val="99"/>
          </w:rPr>
          <w:t>www.cninfo.com.cn</w:t>
        </w:r>
      </w:hyperlink>
      <w:r>
        <w:rPr>
          <w:rFonts w:ascii="Times New Roman" w:hAnsi="Times New Roman" w:cs="Times New Roman" w:eastAsia="Times New Roman" w:hint="default"/>
          <w:spacing w:val="-29"/>
          <w:w w:val="99"/>
        </w:rPr>
        <w:t> </w:t>
      </w:r>
      <w:r>
        <w:rPr>
          <w:rFonts w:ascii="Times New Roman" w:hAnsi="Times New Roman" w:cs="Times New Roman" w:eastAsia="Times New Roman" w:hint="default"/>
          <w:spacing w:val="-29"/>
          <w:w w:val="99"/>
        </w:rPr>
      </w:r>
      <w:r>
        <w:rPr/>
        <w:t>的《关于拟签署</w:t>
      </w:r>
      <w:r>
        <w:rPr>
          <w:rFonts w:ascii="Times New Roman" w:hAnsi="Times New Roman" w:cs="Times New Roman" w:eastAsia="Times New Roman" w:hint="default"/>
        </w:rPr>
        <w:t>&lt;</w:t>
      </w:r>
      <w:r>
        <w:rPr/>
        <w:t>石基信息</w:t>
      </w:r>
      <w:r>
        <w:rPr>
          <w:rFonts w:ascii="Times New Roman" w:hAnsi="Times New Roman" w:cs="Times New Roman" w:eastAsia="Times New Roman" w:hint="default"/>
        </w:rPr>
        <w:t>-</w:t>
      </w:r>
      <w:r>
        <w:rPr/>
        <w:t>泰能软件技术合作协议</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2015-32</w:t>
      </w:r>
      <w:r>
        <w:rPr/>
        <w:t>）。</w:t>
      </w:r>
    </w:p>
    <w:p>
      <w:pPr>
        <w:pStyle w:val="Heading4"/>
        <w:spacing w:line="240" w:lineRule="auto" w:before="46"/>
        <w:ind w:left="782" w:right="0"/>
        <w:jc w:val="left"/>
        <w:rPr>
          <w:b w:val="0"/>
          <w:bCs w:val="0"/>
        </w:rPr>
      </w:pPr>
      <w:r>
        <w:rPr/>
        <w:t>（</w:t>
      </w:r>
      <w:r>
        <w:rPr>
          <w:rFonts w:ascii="Times New Roman" w:hAnsi="Times New Roman" w:cs="Times New Roman" w:eastAsia="Times New Roman" w:hint="default"/>
        </w:rPr>
        <w:t>6</w:t>
      </w:r>
      <w:r>
        <w:rPr/>
        <w:t>）公司收购北京长京益康信息科技有限公司</w:t>
      </w:r>
      <w:r>
        <w:rPr>
          <w:rFonts w:ascii="Times New Roman" w:hAnsi="Times New Roman" w:cs="Times New Roman" w:eastAsia="Times New Roman" w:hint="default"/>
        </w:rPr>
        <w:t>100%?</w:t>
      </w:r>
      <w:r>
        <w:rPr/>
        <w:t>权</w:t>
      </w:r>
      <w:r>
        <w:rPr>
          <w:b w:val="0"/>
          <w:bCs w:val="0"/>
        </w:rPr>
      </w:r>
    </w:p>
    <w:p>
      <w:pPr>
        <w:pStyle w:val="BodyText"/>
        <w:spacing w:line="256" w:lineRule="auto" w:before="59"/>
        <w:ind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日，公司与北京长京益康信息科技有限公司三位自然人股东签署《北京长京益康信息科 技有限公司</w:t>
      </w:r>
      <w:r>
        <w:rPr>
          <w:rFonts w:ascii="Times New Roman" w:hAnsi="Times New Roman" w:cs="Times New Roman" w:eastAsia="Times New Roman" w:hint="default"/>
        </w:rPr>
        <w:t>100%</w:t>
      </w:r>
      <w:r>
        <w:rPr/>
        <w:t>股权转让框架协议》，公司拟以现金方式共计</w:t>
      </w:r>
      <w:r>
        <w:rPr>
          <w:rFonts w:ascii="Times New Roman" w:hAnsi="Times New Roman" w:cs="Times New Roman" w:eastAsia="Times New Roman" w:hint="default"/>
        </w:rPr>
        <w:t>6.3</w:t>
      </w:r>
      <w:r>
        <w:rPr/>
        <w:t>亿元人民币购买曹国兴、宋清、周智钢 </w:t>
      </w:r>
      <w:r>
        <w:rPr>
          <w:spacing w:val="-2"/>
        </w:rPr>
        <w:t>合计持有的长益科技</w:t>
      </w:r>
      <w:r>
        <w:rPr>
          <w:rFonts w:ascii="Times New Roman" w:hAnsi="Times New Roman" w:cs="Times New Roman" w:eastAsia="Times New Roman" w:hint="default"/>
          <w:spacing w:val="-2"/>
        </w:rPr>
        <w:t>100%</w:t>
      </w:r>
      <w:r>
        <w:rPr>
          <w:spacing w:val="-2"/>
        </w:rPr>
        <w:t>股权。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日，公司就上述收购事项与长益科技股东达成正式股权转让</w:t>
      </w:r>
      <w:r>
        <w:rPr>
          <w:spacing w:val="-98"/>
        </w:rPr>
        <w:t> </w:t>
      </w:r>
      <w:r>
        <w:rPr>
          <w:spacing w:val="-98"/>
        </w:rPr>
      </w:r>
      <w:r>
        <w:rPr>
          <w:spacing w:val="-3"/>
        </w:rPr>
        <w:t>协议。截至本报告披露日，长益科技办理完成</w:t>
      </w:r>
      <w:r>
        <w:rPr>
          <w:rFonts w:ascii="Times New Roman" w:hAnsi="Times New Roman" w:cs="Times New Roman" w:eastAsia="Times New Roman" w:hint="default"/>
          <w:spacing w:val="-3"/>
        </w:rPr>
        <w:t>100%</w:t>
      </w:r>
      <w:r>
        <w:rPr>
          <w:spacing w:val="-3"/>
        </w:rPr>
        <w:t>股权转让的工商变更登记手续，长益科技成为公司全资</w:t>
      </w:r>
      <w:r>
        <w:rPr>
          <w:spacing w:val="-58"/>
        </w:rPr>
        <w:t> </w:t>
      </w:r>
      <w:r>
        <w:rPr>
          <w:spacing w:val="-58"/>
        </w:rPr>
      </w:r>
      <w:r>
        <w:rPr>
          <w:spacing w:val="-1"/>
        </w:rPr>
        <w:t>子公司。本次收购使用公司自有资金，不构成关联交易及重大资产重组。详见公司分别于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w:t>
      </w:r>
      <w:r>
        <w:rPr>
          <w:spacing w:val="-83"/>
        </w:rPr>
        <w:t> </w:t>
      </w:r>
      <w:r>
        <w:rPr>
          <w:rFonts w:ascii="Times New Roman" w:hAnsi="Times New Roman" w:cs="Times New Roman" w:eastAsia="Times New Roman" w:hint="default"/>
          <w:spacing w:val="-5"/>
          <w:w w:val="99"/>
        </w:rPr>
        <w:t>2015</w:t>
      </w:r>
      <w:r>
        <w:rPr>
          <w:spacing w:val="-5"/>
          <w:w w:val="99"/>
        </w:rPr>
        <w:t>年</w:t>
      </w:r>
      <w:r>
        <w:rPr>
          <w:rFonts w:ascii="Times New Roman" w:hAnsi="Times New Roman" w:cs="Times New Roman" w:eastAsia="Times New Roman" w:hint="default"/>
          <w:spacing w:val="-5"/>
          <w:w w:val="99"/>
        </w:rPr>
        <w:t>12</w:t>
      </w:r>
      <w:r>
        <w:rPr>
          <w:spacing w:val="-5"/>
          <w:w w:val="99"/>
        </w:rPr>
        <w:t>月</w:t>
      </w:r>
      <w:r>
        <w:rPr>
          <w:rFonts w:ascii="Times New Roman" w:hAnsi="Times New Roman" w:cs="Times New Roman" w:eastAsia="Times New Roman" w:hint="default"/>
          <w:spacing w:val="-5"/>
          <w:w w:val="99"/>
        </w:rPr>
        <w:t>19</w:t>
      </w:r>
      <w:r>
        <w:rPr>
          <w:spacing w:val="-5"/>
          <w:w w:val="99"/>
        </w:rPr>
        <w:t>日和</w:t>
      </w:r>
      <w:r>
        <w:rPr>
          <w:rFonts w:ascii="Times New Roman" w:hAnsi="Times New Roman" w:cs="Times New Roman" w:eastAsia="Times New Roman" w:hint="default"/>
          <w:spacing w:val="-5"/>
          <w:w w:val="99"/>
        </w:rPr>
        <w:t>2016</w:t>
      </w:r>
      <w:r>
        <w:rPr>
          <w:spacing w:val="-5"/>
          <w:w w:val="99"/>
        </w:rPr>
        <w:t>年</w:t>
      </w:r>
      <w:r>
        <w:rPr>
          <w:rFonts w:ascii="Times New Roman" w:hAnsi="Times New Roman" w:cs="Times New Roman" w:eastAsia="Times New Roman" w:hint="default"/>
          <w:spacing w:val="-5"/>
          <w:w w:val="99"/>
        </w:rPr>
        <w:t>1</w:t>
      </w:r>
      <w:r>
        <w:rPr>
          <w:spacing w:val="-5"/>
          <w:w w:val="99"/>
        </w:rPr>
        <w:t>月</w:t>
      </w:r>
      <w:r>
        <w:rPr>
          <w:rFonts w:ascii="Times New Roman" w:hAnsi="Times New Roman" w:cs="Times New Roman" w:eastAsia="Times New Roman" w:hint="default"/>
          <w:spacing w:val="-5"/>
          <w:w w:val="99"/>
        </w:rPr>
        <w:t>5</w:t>
      </w:r>
      <w:r>
        <w:rPr>
          <w:spacing w:val="-5"/>
          <w:w w:val="99"/>
        </w:rPr>
        <w:t>日刊登于《中国证券报》、《证券时报》及巨潮资讯网</w:t>
      </w:r>
      <w:hyperlink r:id="rId12">
        <w:r>
          <w:rPr>
            <w:rFonts w:ascii="Times New Roman" w:hAnsi="Times New Roman" w:cs="Times New Roman" w:eastAsia="Times New Roman" w:hint="default"/>
            <w:spacing w:val="-5"/>
            <w:w w:val="99"/>
          </w:rPr>
          <w:t>www.cninfo.com.cn</w:t>
        </w:r>
      </w:hyperlink>
      <w:r>
        <w:rPr>
          <w:spacing w:val="-5"/>
          <w:w w:val="99"/>
        </w:rPr>
        <w:t>《关</w:t>
      </w:r>
      <w:r>
        <w:rPr>
          <w:spacing w:val="-65"/>
          <w:w w:val="99"/>
        </w:rPr>
        <w:t> </w:t>
      </w:r>
      <w:r>
        <w:rPr/>
        <w:t>于签署</w:t>
      </w:r>
      <w:r>
        <w:rPr>
          <w:rFonts w:ascii="Times New Roman" w:hAnsi="Times New Roman" w:cs="Times New Roman" w:eastAsia="Times New Roman" w:hint="default"/>
        </w:rPr>
        <w:t>&lt;</w:t>
      </w:r>
      <w:r>
        <w:rPr/>
        <w:t>北京长京益康信息科技有限公司</w:t>
      </w:r>
      <w:r>
        <w:rPr>
          <w:rFonts w:ascii="Times New Roman" w:hAnsi="Times New Roman" w:cs="Times New Roman" w:eastAsia="Times New Roman" w:hint="default"/>
        </w:rPr>
        <w:t>100%</w:t>
      </w:r>
      <w:r>
        <w:rPr/>
        <w:t>股权转让框架协议</w:t>
      </w:r>
      <w:r>
        <w:rPr>
          <w:rFonts w:ascii="Times New Roman" w:hAnsi="Times New Roman" w:cs="Times New Roman" w:eastAsia="Times New Roman" w:hint="default"/>
        </w:rPr>
        <w:t>&gt;</w:t>
      </w:r>
      <w:r>
        <w:rPr/>
        <w:t>及相关事项的公告》（公告编号：</w:t>
      </w:r>
    </w:p>
    <w:p>
      <w:pPr>
        <w:pStyle w:val="BodyText"/>
        <w:spacing w:line="259" w:lineRule="auto" w:before="5"/>
        <w:ind w:right="1152"/>
        <w:jc w:val="both"/>
      </w:pPr>
      <w:r>
        <w:rPr>
          <w:rFonts w:ascii="Times New Roman" w:hAnsi="Times New Roman" w:cs="Times New Roman" w:eastAsia="Times New Roman" w:hint="default"/>
        </w:rPr>
        <w:t>2015-67</w:t>
      </w:r>
      <w:r>
        <w:rPr/>
        <w:t>）、《关于签署</w:t>
      </w:r>
      <w:r>
        <w:rPr>
          <w:rFonts w:ascii="Times New Roman" w:hAnsi="Times New Roman" w:cs="Times New Roman" w:eastAsia="Times New Roman" w:hint="default"/>
        </w:rPr>
        <w:t>&lt;</w:t>
      </w:r>
      <w:r>
        <w:rPr/>
        <w:t>北京长京益康信息科技有限公司</w:t>
      </w:r>
      <w:r>
        <w:rPr>
          <w:rFonts w:ascii="Times New Roman" w:hAnsi="Times New Roman" w:cs="Times New Roman" w:eastAsia="Times New Roman" w:hint="default"/>
        </w:rPr>
        <w:t>100%</w:t>
      </w:r>
      <w:r>
        <w:rPr/>
        <w:t>股权转让协议</w:t>
      </w:r>
      <w:r>
        <w:rPr>
          <w:rFonts w:ascii="Times New Roman" w:hAnsi="Times New Roman" w:cs="Times New Roman" w:eastAsia="Times New Roman" w:hint="default"/>
        </w:rPr>
        <w:t>&gt;</w:t>
      </w:r>
      <w:r>
        <w:rPr/>
        <w:t>的交易进展公告》（公告编 号：</w:t>
      </w:r>
      <w:r>
        <w:rPr>
          <w:rFonts w:ascii="Times New Roman" w:hAnsi="Times New Roman" w:cs="Times New Roman" w:eastAsia="Times New Roman" w:hint="default"/>
        </w:rPr>
        <w:t>2015-70</w:t>
      </w:r>
      <w:r>
        <w:rPr/>
        <w:t>）以及《关于收购北京长京益康信息科技有限公司</w:t>
      </w:r>
      <w:r>
        <w:rPr>
          <w:rFonts w:ascii="Times New Roman" w:hAnsi="Times New Roman" w:cs="Times New Roman" w:eastAsia="Times New Roman" w:hint="default"/>
        </w:rPr>
        <w:t>100%</w:t>
      </w:r>
      <w:r>
        <w:rPr/>
        <w:t>股权完成工商变更登记的交易进展公 告》（公告编号：</w:t>
      </w:r>
      <w:r>
        <w:rPr>
          <w:rFonts w:ascii="Times New Roman" w:hAnsi="Times New Roman" w:cs="Times New Roman" w:eastAsia="Times New Roman" w:hint="default"/>
        </w:rPr>
        <w:t>2016-01</w:t>
      </w:r>
      <w:r>
        <w:rPr/>
        <w:t>）。</w:t>
      </w:r>
    </w:p>
    <w:p>
      <w:pPr>
        <w:pStyle w:val="Heading4"/>
        <w:spacing w:line="240" w:lineRule="auto" w:before="42"/>
        <w:ind w:left="574" w:right="0"/>
        <w:jc w:val="left"/>
        <w:rPr>
          <w:b w:val="0"/>
          <w:bCs w:val="0"/>
        </w:rPr>
      </w:pPr>
      <w:r>
        <w:rPr/>
        <w:t>（</w:t>
      </w:r>
      <w:r>
        <w:rPr>
          <w:rFonts w:ascii="Times New Roman" w:hAnsi="Times New Roman" w:cs="Times New Roman" w:eastAsia="Times New Roman" w:hint="default"/>
        </w:rPr>
        <w:t>7</w:t>
      </w:r>
      <w:r>
        <w:rPr/>
        <w:t>）公司与航天信息股份有限公司签署《战略合作框架协议》</w:t>
      </w:r>
      <w:r>
        <w:rPr>
          <w:b w:val="0"/>
          <w:bCs w:val="0"/>
        </w:rPr>
      </w:r>
    </w:p>
    <w:p>
      <w:pPr>
        <w:pStyle w:val="BodyText"/>
        <w:spacing w:line="256" w:lineRule="auto" w:before="61"/>
        <w:ind w:right="1111"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日，公司与航天信息股份有限公司签署《战略合作框架协议》，拟深化原有合作业务， </w:t>
      </w:r>
      <w:r>
        <w:rPr>
          <w:spacing w:val="-1"/>
        </w:rPr>
        <w:t>开拓新合作领域及进行其他方面的战略合作。本次战略合作不构成关联交易及重大资产重组。详见</w:t>
      </w:r>
      <w:r>
        <w:rPr>
          <w:rFonts w:ascii="Times New Roman" w:hAnsi="Times New Roman" w:cs="Times New Roman" w:eastAsia="Times New Roman" w:hint="default"/>
          <w:spacing w:val="-1"/>
        </w:rPr>
        <w:t>2015</w:t>
      </w:r>
      <w:r>
        <w:rPr>
          <w:spacing w:val="-1"/>
        </w:rPr>
        <w:t>年</w:t>
      </w:r>
      <w:r>
        <w:rPr>
          <w:spacing w:val="-78"/>
        </w:rPr>
        <w:t>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日刊登于《中国证券报》、《证券时报》及巨潮资讯网</w:t>
      </w:r>
      <w:hyperlink r:id="rId22">
        <w:r>
          <w:rPr>
            <w:rFonts w:ascii="Times New Roman" w:hAnsi="Times New Roman" w:cs="Times New Roman" w:eastAsia="Times New Roman" w:hint="default"/>
            <w:spacing w:val="-2"/>
          </w:rPr>
          <w:t>www.cninfo.com.cn</w:t>
        </w:r>
        <w:r>
          <w:rPr>
            <w:spacing w:val="-2"/>
          </w:rPr>
          <w:t>的</w:t>
        </w:r>
      </w:hyperlink>
      <w:r>
        <w:rPr>
          <w:spacing w:val="-2"/>
        </w:rPr>
        <w:t>《关于与航天信息股份</w:t>
      </w:r>
      <w:r>
        <w:rPr>
          <w:spacing w:val="-51"/>
        </w:rPr>
        <w:t> </w:t>
      </w:r>
      <w:r>
        <w:rPr>
          <w:spacing w:val="-51"/>
        </w:rPr>
      </w:r>
      <w:r>
        <w:rPr/>
        <w:t>有限公司签署</w:t>
      </w:r>
      <w:r>
        <w:rPr>
          <w:rFonts w:ascii="Times New Roman" w:hAnsi="Times New Roman" w:cs="Times New Roman" w:eastAsia="Times New Roman" w:hint="default"/>
        </w:rPr>
        <w:t>&lt;</w:t>
      </w:r>
      <w:r>
        <w:rPr/>
        <w:t>战略合作框架协议</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2015-71</w:t>
      </w:r>
      <w:r>
        <w:rPr/>
        <w:t>）。</w:t>
      </w:r>
    </w:p>
    <w:p>
      <w:pPr>
        <w:pStyle w:val="Heading4"/>
        <w:spacing w:line="240" w:lineRule="auto" w:before="44"/>
        <w:ind w:left="574" w:right="0"/>
        <w:jc w:val="left"/>
        <w:rPr>
          <w:b w:val="0"/>
          <w:bCs w:val="0"/>
        </w:rPr>
      </w:pPr>
      <w:r>
        <w:rPr/>
        <w:t>（</w:t>
      </w:r>
      <w:r>
        <w:rPr>
          <w:rFonts w:ascii="Times New Roman" w:hAnsi="Times New Roman" w:cs="Times New Roman" w:eastAsia="Times New Roman" w:hint="default"/>
        </w:rPr>
        <w:t>8</w:t>
      </w:r>
      <w:r>
        <w:rPr/>
        <w:t>）公司与湖南湘投阳光集团有限公司签署《战略合作协议》</w:t>
      </w:r>
      <w:r>
        <w:rPr>
          <w:b w:val="0"/>
          <w:bCs w:val="0"/>
        </w:rPr>
      </w:r>
    </w:p>
    <w:p>
      <w:pPr>
        <w:pStyle w:val="BodyText"/>
        <w:spacing w:line="261" w:lineRule="auto" w:before="60"/>
        <w:ind w:right="0"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日，公司与湖南湘投阳光集团有限公司签署《战略合作协议》，拟就公司向湘投阳光集 </w:t>
      </w:r>
      <w:r>
        <w:rPr>
          <w:spacing w:val="-1"/>
        </w:rPr>
        <w:t>团旗下各成员酒店提供信息系统及其他软件、服务等方面展开全面合作，并建立长期的战略合作关系。本</w:t>
      </w:r>
      <w:r>
        <w:rPr>
          <w:spacing w:val="-83"/>
        </w:rPr>
        <w:t> </w:t>
      </w:r>
      <w:r>
        <w:rPr>
          <w:spacing w:val="-83"/>
        </w:rPr>
      </w:r>
      <w:r>
        <w:rPr/>
        <w:t>次战略合作不构成关联交易及重大资产重组。详见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日刊登于《中国证券报》、《证券时报》 </w:t>
      </w:r>
      <w:r>
        <w:rPr>
          <w:spacing w:val="-2"/>
        </w:rPr>
        <w:t>及巨潮资讯网</w:t>
      </w:r>
      <w:hyperlink r:id="rId22">
        <w:r>
          <w:rPr>
            <w:rFonts w:ascii="Times New Roman" w:hAnsi="Times New Roman" w:cs="Times New Roman" w:eastAsia="Times New Roman" w:hint="default"/>
            <w:spacing w:val="-2"/>
          </w:rPr>
          <w:t>www.cninfo.com.cn</w:t>
        </w:r>
        <w:r>
          <w:rPr>
            <w:spacing w:val="-2"/>
          </w:rPr>
          <w:t>的</w:t>
        </w:r>
      </w:hyperlink>
      <w:r>
        <w:rPr>
          <w:spacing w:val="-2"/>
        </w:rPr>
        <w:t>《关于与湖南湘投阳光集团有限公司签署</w:t>
      </w:r>
      <w:r>
        <w:rPr>
          <w:rFonts w:ascii="Times New Roman" w:hAnsi="Times New Roman" w:cs="Times New Roman" w:eastAsia="Times New Roman" w:hint="default"/>
          <w:spacing w:val="-2"/>
        </w:rPr>
        <w:t>&lt;</w:t>
      </w:r>
      <w:r>
        <w:rPr>
          <w:spacing w:val="-2"/>
        </w:rPr>
        <w:t>战略合作协议</w:t>
      </w:r>
      <w:r>
        <w:rPr>
          <w:rFonts w:ascii="Times New Roman" w:hAnsi="Times New Roman" w:cs="Times New Roman" w:eastAsia="Times New Roman" w:hint="default"/>
          <w:spacing w:val="-2"/>
        </w:rPr>
        <w:t>&gt;</w:t>
      </w:r>
      <w:r>
        <w:rPr>
          <w:spacing w:val="-2"/>
        </w:rPr>
        <w:t>的公告》（公</w:t>
      </w:r>
    </w:p>
    <w:p>
      <w:pPr>
        <w:spacing w:after="0" w:line="261" w:lineRule="auto"/>
        <w:jc w:val="left"/>
        <w:sectPr>
          <w:pgSz w:w="11910" w:h="16840"/>
          <w:pgMar w:header="0"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r>
        <w:rPr/>
        <w:t>告编号：</w:t>
      </w:r>
      <w:r>
        <w:rPr>
          <w:rFonts w:ascii="Times New Roman" w:hAnsi="Times New Roman" w:cs="Times New Roman" w:eastAsia="Times New Roman" w:hint="default"/>
        </w:rPr>
        <w:t>2016-04</w:t>
      </w:r>
      <w:r>
        <w:rPr/>
        <w:t>）。</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九、公司子公司重大事项" w:id="96"/>
      <w:bookmarkEnd w:id="96"/>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56" w:lineRule="auto" w:before="75"/>
        <w:ind w:left="574" w:right="0" w:hanging="7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）公司全资子公司参股</w:t>
      </w:r>
      <w:r>
        <w:rPr>
          <w:rFonts w:ascii="Times New Roman" w:hAnsi="Times New Roman" w:cs="Times New Roman" w:eastAsia="Times New Roman" w:hint="default"/>
          <w:b/>
          <w:bCs/>
          <w:sz w:val="21"/>
          <w:szCs w:val="21"/>
        </w:rPr>
        <w:t>SnapShot GmbH</w:t>
      </w:r>
      <w:r>
        <w:rPr>
          <w:rFonts w:ascii="Times New Roman" w:hAnsi="Times New Roman" w:cs="Times New Roman" w:eastAsia="Times New Roman" w:hint="default"/>
          <w:b/>
          <w:bCs/>
          <w:spacing w:val="-2"/>
          <w:sz w:val="21"/>
          <w:szCs w:val="21"/>
        </w:rPr>
        <w:t> </w:t>
      </w:r>
      <w:r>
        <w:rPr>
          <w:rFonts w:ascii="Times New Roman" w:hAnsi="Times New Roman" w:cs="Times New Roman" w:eastAsia="Times New Roman" w:hint="default"/>
          <w:b/>
          <w:bCs/>
          <w:sz w:val="21"/>
          <w:szCs w:val="21"/>
        </w:rPr>
        <w:t>38.83%</w:t>
      </w:r>
      <w:r>
        <w:rPr>
          <w:rFonts w:ascii="宋体" w:hAnsi="宋体" w:cs="宋体" w:eastAsia="宋体" w:hint="default"/>
          <w:b/>
          <w:bCs/>
          <w:sz w:val="21"/>
          <w:szCs w:val="21"/>
        </w:rPr>
        <w:t>股权</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全资子公司焦点信息技术（香港）有限公司（本报告期内改名为石基（香港）有限公司）在本报告期</w:t>
      </w:r>
    </w:p>
    <w:p>
      <w:pPr>
        <w:pStyle w:val="BodyText"/>
        <w:spacing w:line="240" w:lineRule="auto" w:before="22"/>
        <w:ind w:left="154" w:right="0"/>
        <w:jc w:val="left"/>
      </w:pPr>
      <w:r>
        <w:rPr/>
        <w:t>初持有</w:t>
      </w:r>
      <w:r>
        <w:rPr>
          <w:rFonts w:ascii="Times New Roman" w:hAnsi="Times New Roman" w:cs="Times New Roman" w:eastAsia="Times New Roman" w:hint="default"/>
        </w:rPr>
        <w:t>SnapShot</w:t>
      </w:r>
      <w:r>
        <w:rPr/>
        <w:t>公司</w:t>
      </w:r>
      <w:r>
        <w:rPr>
          <w:rFonts w:ascii="Times New Roman" w:hAnsi="Times New Roman" w:cs="Times New Roman" w:eastAsia="Times New Roman" w:hint="default"/>
        </w:rPr>
        <w:t>12.5%</w:t>
      </w:r>
      <w:r>
        <w:rPr/>
        <w:t>股权。</w:t>
      </w:r>
    </w:p>
    <w:p>
      <w:pPr>
        <w:pStyle w:val="BodyText"/>
        <w:spacing w:line="256" w:lineRule="auto" w:before="21"/>
        <w:ind w:right="1124" w:firstLine="42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日，焦点信息与</w:t>
      </w:r>
      <w:r>
        <w:rPr>
          <w:rFonts w:ascii="Times New Roman" w:hAnsi="Times New Roman" w:cs="Times New Roman" w:eastAsia="Times New Roman" w:hint="default"/>
          <w:spacing w:val="2"/>
        </w:rPr>
        <w:t>SnapShot</w:t>
      </w:r>
      <w:r>
        <w:rPr>
          <w:spacing w:val="2"/>
        </w:rPr>
        <w:t>公司签署《投资与股权收购协议》，焦点信息拟分步分阶段对</w:t>
      </w:r>
      <w:r>
        <w:rPr/>
        <w:t> </w:t>
      </w:r>
      <w:r>
        <w:rPr>
          <w:rFonts w:ascii="Times New Roman" w:hAnsi="Times New Roman" w:cs="Times New Roman" w:eastAsia="Times New Roman" w:hint="default"/>
          <w:spacing w:val="3"/>
        </w:rPr>
        <w:t>SnapShot</w:t>
      </w:r>
      <w:r>
        <w:rPr>
          <w:spacing w:val="3"/>
        </w:rPr>
        <w:t>公司进行投资并购买其新发行的股份，第一阶段投资拟以</w:t>
      </w:r>
      <w:r>
        <w:rPr>
          <w:rFonts w:ascii="Times New Roman" w:hAnsi="Times New Roman" w:cs="Times New Roman" w:eastAsia="Times New Roman" w:hint="default"/>
          <w:spacing w:val="3"/>
        </w:rPr>
        <w:t>4945.03</w:t>
      </w:r>
      <w:r>
        <w:rPr>
          <w:spacing w:val="3"/>
        </w:rPr>
        <w:t>万元认购</w:t>
      </w:r>
      <w:r>
        <w:rPr>
          <w:rFonts w:ascii="Times New Roman" w:hAnsi="Times New Roman" w:cs="Times New Roman" w:eastAsia="Times New Roman" w:hint="default"/>
          <w:spacing w:val="3"/>
        </w:rPr>
        <w:t>SnapShot</w:t>
      </w:r>
      <w:r>
        <w:rPr>
          <w:spacing w:val="3"/>
        </w:rPr>
        <w:t>公司发行的</w:t>
      </w:r>
      <w:r>
        <w:rPr>
          <w:spacing w:val="-91"/>
        </w:rPr>
        <w:t> </w:t>
      </w:r>
      <w:r>
        <w:rPr>
          <w:rFonts w:ascii="Times New Roman" w:hAnsi="Times New Roman" w:cs="Times New Roman" w:eastAsia="Times New Roman" w:hint="default"/>
        </w:rPr>
        <w:t>21,519</w:t>
      </w:r>
      <w:r>
        <w:rPr/>
        <w:t>股，持股比例为</w:t>
      </w:r>
      <w:r>
        <w:rPr>
          <w:rFonts w:ascii="Times New Roman" w:hAnsi="Times New Roman" w:cs="Times New Roman" w:eastAsia="Times New Roman" w:hint="default"/>
        </w:rPr>
        <w:t>26.33%</w:t>
      </w:r>
      <w:r>
        <w:rPr/>
        <w:t>；交易完成后石基香港持有</w:t>
      </w:r>
      <w:r>
        <w:rPr>
          <w:rFonts w:ascii="Times New Roman" w:hAnsi="Times New Roman" w:cs="Times New Roman" w:eastAsia="Times New Roman" w:hint="default"/>
        </w:rPr>
        <w:t>SnapShot</w:t>
      </w:r>
      <w:r>
        <w:rPr/>
        <w:t>公司</w:t>
      </w:r>
      <w:r>
        <w:rPr>
          <w:rFonts w:ascii="Times New Roman" w:hAnsi="Times New Roman" w:cs="Times New Roman" w:eastAsia="Times New Roman" w:hint="default"/>
        </w:rPr>
        <w:t>38.83%</w:t>
      </w:r>
      <w:r>
        <w:rPr/>
        <w:t>股份。报告期内，石基（香</w:t>
      </w:r>
      <w:r>
        <w:rPr>
          <w:spacing w:val="-82"/>
        </w:rPr>
        <w:t> </w:t>
      </w:r>
      <w:r>
        <w:rPr>
          <w:spacing w:val="-82"/>
        </w:rPr>
      </w:r>
      <w:r>
        <w:rPr/>
        <w:t>港）已完成持有</w:t>
      </w:r>
      <w:r>
        <w:rPr>
          <w:rFonts w:ascii="Times New Roman" w:hAnsi="Times New Roman" w:cs="Times New Roman" w:eastAsia="Times New Roman" w:hint="default"/>
        </w:rPr>
        <w:t>SnapShot</w:t>
      </w:r>
      <w:r>
        <w:rPr/>
        <w:t>公司</w:t>
      </w:r>
      <w:r>
        <w:rPr>
          <w:rFonts w:ascii="Times New Roman" w:hAnsi="Times New Roman" w:cs="Times New Roman" w:eastAsia="Times New Roman" w:hint="default"/>
        </w:rPr>
        <w:t>38.83%</w:t>
      </w:r>
      <w:r>
        <w:rPr/>
        <w:t>股权的工商变更登记手续。本次收购使用石基（香港）自有资金，不 </w:t>
      </w:r>
      <w:r>
        <w:rPr>
          <w:spacing w:val="3"/>
        </w:rPr>
        <w:t>构成关联交易及重大资产重组，本次投资已经公司第五届董事会</w:t>
      </w:r>
      <w:r>
        <w:rPr>
          <w:rFonts w:ascii="Times New Roman" w:hAnsi="Times New Roman" w:cs="Times New Roman" w:eastAsia="Times New Roman" w:hint="default"/>
          <w:spacing w:val="3"/>
        </w:rPr>
        <w:t>2015</w:t>
      </w:r>
      <w:r>
        <w:rPr>
          <w:spacing w:val="3"/>
        </w:rPr>
        <w:t>年第二次临时会议审议通过，详见</w:t>
      </w:r>
      <w:r>
        <w:rPr>
          <w:spacing w:val="-84"/>
        </w:rPr>
        <w:t> </w:t>
      </w:r>
      <w:r>
        <w:rPr>
          <w:spacing w:val="-84"/>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日刊登于《中国证券报》、《证券时报》及巨潮资讯网</w:t>
      </w:r>
      <w:hyperlink r:id="rId22">
        <w:r>
          <w:rPr>
            <w:rFonts w:ascii="Times New Roman" w:hAnsi="Times New Roman" w:cs="Times New Roman" w:eastAsia="Times New Roman" w:hint="default"/>
          </w:rPr>
          <w:t>www.cninfo.com.cn</w:t>
        </w:r>
        <w:r>
          <w:rPr/>
          <w:t>的《关于全资子公</w:t>
        </w:r>
      </w:hyperlink>
      <w:r>
        <w:rPr>
          <w:spacing w:val="-61"/>
        </w:rPr>
        <w:t> </w:t>
      </w:r>
      <w:r>
        <w:rPr>
          <w:spacing w:val="-61"/>
        </w:rPr>
      </w:r>
      <w:r>
        <w:rPr/>
        <w:t>司对外投资参股</w:t>
      </w:r>
      <w:r>
        <w:rPr>
          <w:rFonts w:ascii="Times New Roman" w:hAnsi="Times New Roman" w:cs="Times New Roman" w:eastAsia="Times New Roman" w:hint="default"/>
        </w:rPr>
        <w:t>SnapShot</w:t>
      </w:r>
      <w:r>
        <w:rPr>
          <w:rFonts w:ascii="Times New Roman" w:hAnsi="Times New Roman" w:cs="Times New Roman" w:eastAsia="Times New Roman" w:hint="default"/>
          <w:spacing w:val="-6"/>
        </w:rPr>
        <w:t> </w:t>
      </w:r>
      <w:r>
        <w:rPr>
          <w:rFonts w:ascii="Times New Roman" w:hAnsi="Times New Roman" w:cs="Times New Roman" w:eastAsia="Times New Roman" w:hint="default"/>
        </w:rPr>
        <w:t>GmbH</w:t>
      </w:r>
      <w:r>
        <w:rPr/>
        <w:t>公司股权的公告》（公告编号：</w:t>
      </w:r>
      <w:r>
        <w:rPr>
          <w:rFonts w:ascii="Times New Roman" w:hAnsi="Times New Roman" w:cs="Times New Roman" w:eastAsia="Times New Roman" w:hint="default"/>
        </w:rPr>
        <w:t>2015-07</w:t>
      </w:r>
      <w:r>
        <w:rPr/>
        <w:t>）。</w:t>
      </w:r>
    </w:p>
    <w:p>
      <w:pPr>
        <w:pStyle w:val="Heading4"/>
        <w:spacing w:line="240" w:lineRule="auto" w:before="5"/>
        <w:ind w:left="489" w:right="0"/>
        <w:jc w:val="left"/>
        <w:rPr>
          <w:b w:val="0"/>
          <w:bCs w:val="0"/>
        </w:rPr>
      </w:pPr>
      <w:r>
        <w:rPr/>
        <w:t>（</w:t>
      </w:r>
      <w:r>
        <w:rPr>
          <w:rFonts w:ascii="Times New Roman" w:hAnsi="Times New Roman" w:cs="Times New Roman" w:eastAsia="Times New Roman" w:hint="default"/>
        </w:rPr>
        <w:t>2</w:t>
      </w:r>
      <w:r>
        <w:rPr/>
        <w:t>）公司之全资子公司参股</w:t>
      </w:r>
      <w:r>
        <w:rPr>
          <w:rFonts w:ascii="Times New Roman" w:hAnsi="Times New Roman" w:cs="Times New Roman" w:eastAsia="Times New Roman" w:hint="default"/>
        </w:rPr>
        <w:t>Galasys</w:t>
      </w:r>
      <w:r>
        <w:rPr>
          <w:rFonts w:ascii="Times New Roman" w:hAnsi="Times New Roman" w:cs="Times New Roman" w:eastAsia="Times New Roman" w:hint="default"/>
          <w:spacing w:val="-7"/>
        </w:rPr>
        <w:t> </w:t>
      </w:r>
      <w:r>
        <w:rPr>
          <w:rFonts w:ascii="Times New Roman" w:hAnsi="Times New Roman" w:cs="Times New Roman" w:eastAsia="Times New Roman" w:hint="default"/>
        </w:rPr>
        <w:t>PLC</w:t>
      </w:r>
      <w:r>
        <w:rPr/>
        <w:t>公司</w:t>
      </w:r>
      <w:r>
        <w:rPr>
          <w:rFonts w:ascii="Times New Roman" w:hAnsi="Times New Roman" w:cs="Times New Roman" w:eastAsia="Times New Roman" w:hint="default"/>
        </w:rPr>
        <w:t>20%</w:t>
      </w:r>
      <w:r>
        <w:rPr/>
        <w:t>股权</w:t>
      </w:r>
      <w:r>
        <w:rPr>
          <w:b w:val="0"/>
          <w:bCs w:val="0"/>
        </w:rPr>
      </w:r>
    </w:p>
    <w:p>
      <w:pPr>
        <w:pStyle w:val="BodyText"/>
        <w:spacing w:line="259" w:lineRule="auto" w:before="21"/>
        <w:ind w:right="1063"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日，公司之全资子公司石基（香港）有限公司与</w:t>
      </w:r>
      <w:r>
        <w:rPr>
          <w:rFonts w:ascii="Times New Roman" w:hAnsi="Times New Roman" w:cs="Times New Roman" w:eastAsia="Times New Roman" w:hint="default"/>
        </w:rPr>
        <w:t>Galasys</w:t>
      </w:r>
      <w:r>
        <w:rPr>
          <w:rFonts w:ascii="Times New Roman" w:hAnsi="Times New Roman" w:cs="Times New Roman" w:eastAsia="Times New Roman" w:hint="default"/>
          <w:spacing w:val="27"/>
        </w:rPr>
        <w:t> </w:t>
      </w:r>
      <w:r>
        <w:rPr>
          <w:rFonts w:ascii="Times New Roman" w:hAnsi="Times New Roman" w:cs="Times New Roman" w:eastAsia="Times New Roman" w:hint="default"/>
        </w:rPr>
        <w:t>PLC</w:t>
      </w:r>
      <w:r>
        <w:rPr/>
        <w:t>公司及其原股东达成一致意 </w:t>
      </w:r>
      <w:r>
        <w:rPr>
          <w:spacing w:val="-1"/>
        </w:rPr>
        <w:t>见以自有资金合计</w:t>
      </w:r>
      <w:r>
        <w:rPr>
          <w:rFonts w:ascii="Times New Roman" w:hAnsi="Times New Roman" w:cs="Times New Roman" w:eastAsia="Times New Roman" w:hint="default"/>
          <w:spacing w:val="-1"/>
        </w:rPr>
        <w:t>4416.22</w:t>
      </w:r>
      <w:r>
        <w:rPr>
          <w:spacing w:val="-1"/>
        </w:rPr>
        <w:t>万元购买原股东持有股票及认购新发行股票合计持有</w:t>
      </w:r>
      <w:r>
        <w:rPr>
          <w:rFonts w:ascii="Times New Roman" w:hAnsi="Times New Roman" w:cs="Times New Roman" w:eastAsia="Times New Roman" w:hint="default"/>
          <w:spacing w:val="-1"/>
        </w:rPr>
        <w:t>15,311,340</w:t>
      </w:r>
      <w:r>
        <w:rPr>
          <w:rFonts w:ascii="Times New Roman" w:hAnsi="Times New Roman" w:cs="Times New Roman" w:eastAsia="Times New Roman" w:hint="default"/>
        </w:rPr>
        <w:t> </w:t>
      </w:r>
      <w:r>
        <w:rPr>
          <w:spacing w:val="-9"/>
          <w:w w:val="99"/>
        </w:rPr>
        <w:t>股，约占</w:t>
      </w:r>
      <w:r>
        <w:rPr>
          <w:rFonts w:ascii="Times New Roman" w:hAnsi="Times New Roman" w:cs="Times New Roman" w:eastAsia="Times New Roman" w:hint="default"/>
          <w:spacing w:val="-9"/>
          <w:w w:val="99"/>
        </w:rPr>
        <w:t>Galasys</w:t>
      </w:r>
      <w:r>
        <w:rPr>
          <w:rFonts w:ascii="Times New Roman" w:hAnsi="Times New Roman" w:cs="Times New Roman" w:eastAsia="Times New Roman" w:hint="default"/>
          <w:spacing w:val="-19"/>
          <w:w w:val="99"/>
        </w:rPr>
        <w:t> </w:t>
      </w:r>
      <w:r>
        <w:rPr>
          <w:rFonts w:ascii="Times New Roman" w:hAnsi="Times New Roman" w:cs="Times New Roman" w:eastAsia="Times New Roman" w:hint="default"/>
          <w:spacing w:val="-19"/>
          <w:w w:val="99"/>
        </w:rPr>
      </w:r>
      <w:r>
        <w:rPr/>
        <w:t>公司新发行股票后</w:t>
      </w:r>
      <w:r>
        <w:rPr>
          <w:rFonts w:ascii="Times New Roman" w:hAnsi="Times New Roman" w:cs="Times New Roman" w:eastAsia="Times New Roman" w:hint="default"/>
        </w:rPr>
        <w:t>20%</w:t>
      </w:r>
      <w:r>
        <w:rPr/>
        <w:t>的股份。报告期内，石基（香港）已完成持有</w:t>
      </w:r>
      <w:r>
        <w:rPr>
          <w:rFonts w:ascii="Times New Roman" w:hAnsi="Times New Roman" w:cs="Times New Roman" w:eastAsia="Times New Roman" w:hint="default"/>
        </w:rPr>
        <w:t>Galasys</w:t>
      </w:r>
      <w:r>
        <w:rPr>
          <w:rFonts w:ascii="Times New Roman" w:hAnsi="Times New Roman" w:cs="Times New Roman" w:eastAsia="Times New Roman" w:hint="default"/>
          <w:spacing w:val="-7"/>
        </w:rPr>
        <w:t> </w:t>
      </w:r>
      <w:r>
        <w:rPr>
          <w:rFonts w:ascii="Times New Roman" w:hAnsi="Times New Roman" w:cs="Times New Roman" w:eastAsia="Times New Roman" w:hint="default"/>
        </w:rPr>
        <w:t>PLC</w:t>
      </w:r>
      <w:r>
        <w:rPr/>
        <w:t>公司</w:t>
      </w:r>
      <w:r>
        <w:rPr>
          <w:rFonts w:ascii="Times New Roman" w:hAnsi="Times New Roman" w:cs="Times New Roman" w:eastAsia="Times New Roman" w:hint="default"/>
        </w:rPr>
        <w:t>20%</w:t>
      </w:r>
      <w:r>
        <w:rPr/>
        <w:t>股权的工商变更 登记手续。本次收购使用石基（香港）自有资金，不构成关联交易及重大资产重组，本次投资已经公司第 五届董事会</w:t>
      </w:r>
      <w:r>
        <w:rPr>
          <w:rFonts w:ascii="Times New Roman" w:hAnsi="Times New Roman" w:cs="Times New Roman" w:eastAsia="Times New Roman" w:hint="default"/>
        </w:rPr>
        <w:t>2015</w:t>
      </w:r>
      <w:r>
        <w:rPr/>
        <w:t>年第三次临时会议审议通过，详见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日刊登于《中国证券报》、《证券时报》</w:t>
      </w:r>
      <w:r>
        <w:rPr>
          <w:spacing w:val="-32"/>
        </w:rPr>
        <w:t> </w:t>
      </w:r>
      <w:r>
        <w:rPr>
          <w:spacing w:val="-32"/>
        </w:rPr>
      </w:r>
      <w:r>
        <w:rPr/>
        <w:t>及巨潮资讯网</w:t>
      </w:r>
      <w:hyperlink r:id="rId22">
        <w:r>
          <w:rPr>
            <w:rFonts w:ascii="Times New Roman" w:hAnsi="Times New Roman" w:cs="Times New Roman" w:eastAsia="Times New Roman" w:hint="default"/>
          </w:rPr>
          <w:t>www.cninfo.com.cn</w:t>
        </w:r>
        <w:r>
          <w:rPr/>
          <w:t>的《</w:t>
        </w:r>
      </w:hyperlink>
      <w:r>
        <w:rPr/>
        <w:t>关于全资子公司参股</w:t>
      </w:r>
      <w:r>
        <w:rPr>
          <w:rFonts w:ascii="Times New Roman" w:hAnsi="Times New Roman" w:cs="Times New Roman" w:eastAsia="Times New Roman" w:hint="default"/>
        </w:rPr>
        <w:t>Galasys</w:t>
      </w:r>
      <w:r>
        <w:rPr>
          <w:rFonts w:ascii="Times New Roman" w:hAnsi="Times New Roman" w:cs="Times New Roman" w:eastAsia="Times New Roman" w:hint="default"/>
          <w:spacing w:val="-8"/>
        </w:rPr>
        <w:t> </w:t>
      </w:r>
      <w:r>
        <w:rPr>
          <w:rFonts w:ascii="Times New Roman" w:hAnsi="Times New Roman" w:cs="Times New Roman" w:eastAsia="Times New Roman" w:hint="default"/>
        </w:rPr>
        <w:t>PLC</w:t>
      </w:r>
      <w:r>
        <w:rPr/>
        <w:t>公司</w:t>
      </w:r>
      <w:r>
        <w:rPr>
          <w:rFonts w:ascii="Times New Roman" w:hAnsi="Times New Roman" w:cs="Times New Roman" w:eastAsia="Times New Roman" w:hint="default"/>
        </w:rPr>
        <w:t>20%</w:t>
      </w:r>
      <w:r>
        <w:rPr/>
        <w:t>股权的公告》（公告编号： </w:t>
      </w:r>
      <w:r>
        <w:rPr>
          <w:rFonts w:ascii="Times New Roman" w:hAnsi="Times New Roman" w:cs="Times New Roman" w:eastAsia="Times New Roman" w:hint="default"/>
        </w:rPr>
        <w:t>2015-16</w:t>
      </w:r>
      <w:r>
        <w:rPr/>
        <w:t>）。</w:t>
      </w:r>
    </w:p>
    <w:p>
      <w:pPr>
        <w:spacing w:line="256" w:lineRule="auto" w:before="2"/>
        <w:ind w:left="57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）公司全资子公司对外投资</w:t>
      </w:r>
      <w:r>
        <w:rPr>
          <w:rFonts w:ascii="Times New Roman" w:hAnsi="Times New Roman" w:cs="Times New Roman" w:eastAsia="Times New Roman" w:hint="default"/>
          <w:b/>
          <w:bCs/>
          <w:sz w:val="21"/>
          <w:szCs w:val="21"/>
        </w:rPr>
        <w:t>10,000</w:t>
      </w:r>
      <w:r>
        <w:rPr>
          <w:rFonts w:ascii="宋体" w:hAnsi="宋体" w:cs="宋体" w:eastAsia="宋体" w:hint="default"/>
          <w:b/>
          <w:bCs/>
          <w:sz w:val="21"/>
          <w:szCs w:val="21"/>
        </w:rPr>
        <w:t>万元设立银石科技有限公司</w:t>
      </w:r>
      <w:r>
        <w:rPr>
          <w:rFonts w:ascii="宋体" w:hAnsi="宋体" w:cs="宋体" w:eastAsia="宋体" w:hint="default"/>
          <w:b/>
          <w:bCs/>
          <w:w w:val="99"/>
          <w:sz w:val="21"/>
          <w:szCs w:val="21"/>
        </w:rPr>
        <w:t> </w:t>
      </w:r>
      <w:r>
        <w:rPr>
          <w:rFonts w:ascii="宋体" w:hAnsi="宋体" w:cs="宋体" w:eastAsia="宋体" w:hint="default"/>
          <w:sz w:val="21"/>
          <w:szCs w:val="21"/>
        </w:rPr>
        <w:t>公司之全资子公司北海石基信息技术有限公司（以下简称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北海石基</w:t>
      </w:r>
      <w:r>
        <w:rPr>
          <w:rFonts w:ascii="Times New Roman" w:hAnsi="Times New Roman" w:cs="Times New Roman" w:eastAsia="Times New Roman" w:hint="default"/>
          <w:sz w:val="21"/>
          <w:szCs w:val="21"/>
        </w:rPr>
        <w:t>”</w:t>
      </w:r>
      <w:r>
        <w:rPr>
          <w:rFonts w:ascii="宋体" w:hAnsi="宋体" w:cs="宋体" w:eastAsia="宋体" w:hint="default"/>
          <w:sz w:val="21"/>
          <w:szCs w:val="21"/>
        </w:rPr>
        <w:t>）投资</w:t>
      </w:r>
      <w:r>
        <w:rPr>
          <w:rFonts w:ascii="Times New Roman" w:hAnsi="Times New Roman" w:cs="Times New Roman" w:eastAsia="Times New Roman" w:hint="default"/>
          <w:sz w:val="21"/>
          <w:szCs w:val="21"/>
        </w:rPr>
        <w:t>10,000</w:t>
      </w:r>
      <w:r>
        <w:rPr>
          <w:rFonts w:ascii="宋体" w:hAnsi="宋体" w:cs="宋体" w:eastAsia="宋体" w:hint="default"/>
          <w:sz w:val="21"/>
          <w:szCs w:val="21"/>
        </w:rPr>
        <w:t>万元在北海设立其</w:t>
      </w:r>
    </w:p>
    <w:p>
      <w:pPr>
        <w:pStyle w:val="BodyText"/>
        <w:spacing w:line="261" w:lineRule="auto" w:before="5"/>
        <w:ind w:right="1026"/>
        <w:jc w:val="left"/>
      </w:pPr>
      <w:r>
        <w:rPr/>
        <w:t>全资子公司银石科技有限公司，报告期内银石科技有限公司已完成登记注册的工商审批手续。本次投资使 用北海石基自有资金，不构成关联交易及重大资产重组。本次投资已经公司第五届董事会</w:t>
      </w:r>
      <w:r>
        <w:rPr>
          <w:rFonts w:ascii="Times New Roman" w:hAnsi="Times New Roman" w:cs="Times New Roman" w:eastAsia="Times New Roman" w:hint="default"/>
        </w:rPr>
        <w:t>2015</w:t>
      </w:r>
      <w:r>
        <w:rPr/>
        <w:t>年第五次临 </w:t>
      </w:r>
      <w:r>
        <w:rPr>
          <w:spacing w:val="-8"/>
          <w:w w:val="99"/>
        </w:rPr>
        <w:t>时会议审议通过，详见</w:t>
      </w:r>
      <w:r>
        <w:rPr>
          <w:rFonts w:ascii="Times New Roman" w:hAnsi="Times New Roman" w:cs="Times New Roman" w:eastAsia="Times New Roman" w:hint="default"/>
          <w:spacing w:val="-8"/>
          <w:w w:val="99"/>
        </w:rPr>
        <w:t>2015</w:t>
      </w:r>
      <w:r>
        <w:rPr>
          <w:spacing w:val="-8"/>
          <w:w w:val="99"/>
        </w:rPr>
        <w:t>年</w:t>
      </w:r>
      <w:r>
        <w:rPr>
          <w:rFonts w:ascii="Times New Roman" w:hAnsi="Times New Roman" w:cs="Times New Roman" w:eastAsia="Times New Roman" w:hint="default"/>
          <w:spacing w:val="-8"/>
          <w:w w:val="99"/>
        </w:rPr>
        <w:t>6</w:t>
      </w:r>
      <w:r>
        <w:rPr>
          <w:spacing w:val="-8"/>
          <w:w w:val="99"/>
        </w:rPr>
        <w:t>月</w:t>
      </w:r>
      <w:r>
        <w:rPr>
          <w:rFonts w:ascii="Times New Roman" w:hAnsi="Times New Roman" w:cs="Times New Roman" w:eastAsia="Times New Roman" w:hint="default"/>
          <w:spacing w:val="-8"/>
          <w:w w:val="99"/>
        </w:rPr>
        <w:t>10</w:t>
      </w:r>
      <w:r>
        <w:rPr>
          <w:spacing w:val="-8"/>
          <w:w w:val="99"/>
        </w:rPr>
        <w:t>日刊登于《中国证券报》、《证券时报》及巨潮资讯网</w:t>
      </w:r>
      <w:hyperlink r:id="rId12">
        <w:r>
          <w:rPr>
            <w:rFonts w:ascii="Times New Roman" w:hAnsi="Times New Roman" w:cs="Times New Roman" w:eastAsia="Times New Roman" w:hint="default"/>
            <w:spacing w:val="-8"/>
            <w:w w:val="99"/>
          </w:rPr>
          <w:t>www.cninfo.com.cn</w:t>
        </w:r>
      </w:hyperlink>
      <w:r>
        <w:rPr>
          <w:spacing w:val="-8"/>
          <w:w w:val="99"/>
        </w:rPr>
        <w:t>）</w:t>
      </w:r>
      <w:r>
        <w:rPr>
          <w:spacing w:val="-96"/>
          <w:w w:val="99"/>
        </w:rPr>
        <w:t> </w:t>
      </w:r>
      <w:r>
        <w:rPr/>
        <w:t>的《关于全资子公司对外投资设立银石科技有限公司的公告》（公告编号：</w:t>
      </w:r>
      <w:r>
        <w:rPr>
          <w:rFonts w:ascii="Times New Roman" w:hAnsi="Times New Roman" w:cs="Times New Roman" w:eastAsia="Times New Roman" w:hint="default"/>
        </w:rPr>
        <w:t>2015-26</w:t>
      </w:r>
      <w:r>
        <w:rPr/>
        <w:t>）。</w:t>
      </w:r>
    </w:p>
    <w:p>
      <w:pPr>
        <w:pStyle w:val="Heading4"/>
        <w:spacing w:line="240" w:lineRule="auto"/>
        <w:ind w:left="512" w:right="0"/>
        <w:jc w:val="left"/>
        <w:rPr>
          <w:b w:val="0"/>
          <w:bCs w:val="0"/>
        </w:rPr>
      </w:pPr>
      <w:r>
        <w:rPr/>
        <w:t>（</w:t>
      </w:r>
      <w:r>
        <w:rPr>
          <w:rFonts w:ascii="Times New Roman" w:hAnsi="Times New Roman" w:cs="Times New Roman" w:eastAsia="Times New Roman" w:hint="default"/>
        </w:rPr>
        <w:t>4</w:t>
      </w:r>
      <w:r>
        <w:rPr/>
        <w:t>）公司全资子公司银石科技有限公司购买南京银石计算机系统有限公司</w:t>
      </w:r>
      <w:r>
        <w:rPr>
          <w:rFonts w:ascii="Times New Roman" w:hAnsi="Times New Roman" w:cs="Times New Roman" w:eastAsia="Times New Roman" w:hint="default"/>
        </w:rPr>
        <w:t>100%</w:t>
      </w:r>
      <w:r>
        <w:rPr/>
        <w:t>股权</w:t>
      </w:r>
      <w:r>
        <w:rPr>
          <w:b w:val="0"/>
          <w:bCs w:val="0"/>
        </w:rPr>
      </w:r>
    </w:p>
    <w:p>
      <w:pPr>
        <w:pStyle w:val="BodyText"/>
        <w:spacing w:line="256" w:lineRule="auto" w:before="21"/>
        <w:ind w:right="1027" w:firstLine="336"/>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日，公司与公司全资子公司银石科技有限公司（以下简称</w:t>
      </w:r>
      <w:r>
        <w:rPr>
          <w:rFonts w:ascii="Times New Roman" w:hAnsi="Times New Roman" w:cs="Times New Roman" w:eastAsia="Times New Roman" w:hint="default"/>
        </w:rPr>
        <w:t>“</w:t>
      </w:r>
      <w:r>
        <w:rPr/>
        <w:t>银石科技</w:t>
      </w:r>
      <w:r>
        <w:rPr>
          <w:rFonts w:ascii="Times New Roman" w:hAnsi="Times New Roman" w:cs="Times New Roman" w:eastAsia="Times New Roman" w:hint="default"/>
        </w:rPr>
        <w:t>”</w:t>
      </w:r>
      <w:r>
        <w:rPr/>
        <w:t>）达成一致，将公司 原全资一级子公司南京银石科技计算机系统有限公司以</w:t>
      </w:r>
      <w:r>
        <w:rPr>
          <w:rFonts w:ascii="Times New Roman" w:hAnsi="Times New Roman" w:cs="Times New Roman" w:eastAsia="Times New Roman" w:hint="default"/>
        </w:rPr>
        <w:t>8500</w:t>
      </w:r>
      <w:r>
        <w:rPr/>
        <w:t>万元转让予银石科技，该股权转让属于公司内 </w:t>
      </w:r>
      <w:r>
        <w:rPr>
          <w:spacing w:val="-3"/>
        </w:rPr>
        <w:t>部为股权转让，不构成关联交易及重大资产重组。详见</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w:t>
      </w:r>
      <w:r>
        <w:rPr>
          <w:spacing w:val="-3"/>
        </w:rPr>
        <w:t>日刊登于《中国证券报》、《证券时报》</w:t>
      </w:r>
      <w:r>
        <w:rPr>
          <w:spacing w:val="-88"/>
        </w:rPr>
        <w:t> </w:t>
      </w:r>
      <w:r>
        <w:rPr>
          <w:spacing w:val="-88"/>
        </w:rPr>
      </w:r>
      <w:r>
        <w:rPr>
          <w:spacing w:val="6"/>
        </w:rPr>
        <w:t>及巨潮资讯网</w:t>
      </w:r>
      <w:hyperlink r:id="rId12">
        <w:r>
          <w:rPr>
            <w:rFonts w:ascii="Times New Roman" w:hAnsi="Times New Roman" w:cs="Times New Roman" w:eastAsia="Times New Roman" w:hint="default"/>
            <w:spacing w:val="6"/>
          </w:rPr>
          <w:t>www.cninfo.com.cn</w:t>
        </w:r>
      </w:hyperlink>
      <w:r>
        <w:rPr>
          <w:spacing w:val="6"/>
        </w:rPr>
        <w:t>）的《第五届董事会</w:t>
      </w:r>
      <w:r>
        <w:rPr>
          <w:rFonts w:ascii="Times New Roman" w:hAnsi="Times New Roman" w:cs="Times New Roman" w:eastAsia="Times New Roman" w:hint="default"/>
          <w:spacing w:val="6"/>
        </w:rPr>
        <w:t>2015</w:t>
      </w:r>
      <w:r>
        <w:rPr>
          <w:spacing w:val="6"/>
        </w:rPr>
        <w:t>年第七次临时会议决议公告》（公告编号：</w:t>
      </w:r>
      <w:r>
        <w:rPr>
          <w:spacing w:val="-92"/>
        </w:rPr>
        <w:t> </w:t>
      </w:r>
      <w:r>
        <w:rPr>
          <w:spacing w:val="-92"/>
        </w:rPr>
      </w:r>
      <w:r>
        <w:rPr>
          <w:rFonts w:ascii="Times New Roman" w:hAnsi="Times New Roman" w:cs="Times New Roman" w:eastAsia="Times New Roman" w:hint="default"/>
        </w:rPr>
        <w:t>2015-30</w:t>
      </w:r>
      <w:r>
        <w:rPr/>
        <w:t>）。</w:t>
      </w:r>
    </w:p>
    <w:p>
      <w:pPr>
        <w:pStyle w:val="Heading4"/>
        <w:spacing w:line="240" w:lineRule="auto" w:before="5"/>
        <w:ind w:left="573" w:right="0"/>
        <w:jc w:val="left"/>
        <w:rPr>
          <w:b w:val="0"/>
          <w:bCs w:val="0"/>
        </w:rPr>
      </w:pPr>
      <w:r>
        <w:rPr/>
        <w:t>（</w:t>
      </w:r>
      <w:r>
        <w:rPr>
          <w:rFonts w:ascii="Times New Roman" w:hAnsi="Times New Roman" w:cs="Times New Roman" w:eastAsia="Times New Roman" w:hint="default"/>
        </w:rPr>
        <w:t>5</w:t>
      </w:r>
      <w:r>
        <w:rPr/>
        <w:t>）公司之全资子公司收购万达控股有限公司</w:t>
      </w:r>
      <w:r>
        <w:rPr>
          <w:rFonts w:ascii="Times New Roman" w:hAnsi="Times New Roman" w:cs="Times New Roman" w:eastAsia="Times New Roman" w:hint="default"/>
        </w:rPr>
        <w:t>100%</w:t>
      </w:r>
      <w:r>
        <w:rPr/>
        <w:t>股权</w:t>
      </w:r>
      <w:r>
        <w:rPr>
          <w:b w:val="0"/>
          <w:bCs w:val="0"/>
        </w:rPr>
      </w:r>
    </w:p>
    <w:p>
      <w:pPr>
        <w:pStyle w:val="BodyText"/>
        <w:spacing w:line="259" w:lineRule="auto" w:before="21"/>
        <w:ind w:right="1026"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日，公司之全资子公司石基（香港）有限公司（以下简称</w:t>
      </w:r>
      <w:r>
        <w:rPr>
          <w:rFonts w:ascii="Times New Roman" w:hAnsi="Times New Roman" w:cs="Times New Roman" w:eastAsia="Times New Roman" w:hint="default"/>
        </w:rPr>
        <w:t>“</w:t>
      </w:r>
      <w:r>
        <w:rPr/>
        <w:t>石基（香港）</w:t>
      </w:r>
      <w:r>
        <w:rPr>
          <w:rFonts w:ascii="Times New Roman" w:hAnsi="Times New Roman" w:cs="Times New Roman" w:eastAsia="Times New Roman" w:hint="default"/>
        </w:rPr>
        <w:t>”</w:t>
      </w:r>
      <w:r>
        <w:rPr/>
        <w:t>）与万达控股有 </w:t>
      </w:r>
      <w:r>
        <w:rPr>
          <w:spacing w:val="-5"/>
        </w:rPr>
        <w:t>限公司（以下简称</w:t>
      </w:r>
      <w:r>
        <w:rPr>
          <w:rFonts w:ascii="Times New Roman" w:hAnsi="Times New Roman" w:cs="Times New Roman" w:eastAsia="Times New Roman" w:hint="default"/>
          <w:spacing w:val="-5"/>
        </w:rPr>
        <w:t>“</w:t>
      </w:r>
      <w:r>
        <w:rPr>
          <w:spacing w:val="-5"/>
        </w:rPr>
        <w:t>万达控股</w:t>
      </w:r>
      <w:r>
        <w:rPr>
          <w:rFonts w:ascii="Times New Roman" w:hAnsi="Times New Roman" w:cs="Times New Roman" w:eastAsia="Times New Roman" w:hint="default"/>
          <w:spacing w:val="-5"/>
        </w:rPr>
        <w:t>”</w:t>
      </w:r>
      <w:r>
        <w:rPr>
          <w:spacing w:val="-5"/>
        </w:rPr>
        <w:t>）四位股东签署《万达控股有限公司的股份买卖协议》，以现金方式共计</w:t>
      </w:r>
      <w:r>
        <w:rPr>
          <w:rFonts w:ascii="Times New Roman" w:hAnsi="Times New Roman" w:cs="Times New Roman" w:eastAsia="Times New Roman" w:hint="default"/>
          <w:spacing w:val="-5"/>
        </w:rPr>
        <w:t>7500</w:t>
      </w:r>
      <w:r>
        <w:rPr>
          <w:rFonts w:ascii="Times New Roman" w:hAnsi="Times New Roman" w:cs="Times New Roman" w:eastAsia="Times New Roman" w:hint="default"/>
          <w:spacing w:val="-13"/>
        </w:rPr>
        <w:t> </w:t>
      </w:r>
      <w:r>
        <w:rPr/>
        <w:t>万元人民币购买万达控股合计</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日，石基（香港）办理完成万达控股</w:t>
      </w:r>
      <w:r>
        <w:rPr>
          <w:rFonts w:ascii="Times New Roman" w:hAnsi="Times New Roman" w:cs="Times New Roman" w:eastAsia="Times New Roman" w:hint="default"/>
        </w:rPr>
        <w:t>100%</w:t>
      </w:r>
      <w:r>
        <w:rPr/>
        <w:t>股权转让</w:t>
      </w:r>
      <w:r>
        <w:rPr>
          <w:spacing w:val="-64"/>
        </w:rPr>
        <w:t> </w:t>
      </w:r>
      <w:r>
        <w:rPr/>
        <w:t>的工商变更登记手续。本次收购使用石基（香港）自有资金，不构成关联交易及重大资产重组。本次投资</w:t>
      </w:r>
      <w:r>
        <w:rPr/>
        <w:t> 已经公司第五届董事会</w:t>
      </w:r>
      <w:r>
        <w:rPr>
          <w:rFonts w:ascii="Times New Roman" w:hAnsi="Times New Roman" w:cs="Times New Roman" w:eastAsia="Times New Roman" w:hint="default"/>
        </w:rPr>
        <w:t>2015</w:t>
      </w:r>
      <w:r>
        <w:rPr/>
        <w:t>年第七次临时会议审议通过；详见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日刊登于《中国证券报》、《证 </w:t>
      </w:r>
      <w:r>
        <w:rPr>
          <w:spacing w:val="-2"/>
        </w:rPr>
        <w:t>券时报》及巨潮资讯网</w:t>
      </w:r>
      <w:hyperlink r:id="rId22">
        <w:r>
          <w:rPr>
            <w:rFonts w:ascii="Times New Roman" w:hAnsi="Times New Roman" w:cs="Times New Roman" w:eastAsia="Times New Roman" w:hint="default"/>
            <w:spacing w:val="-2"/>
          </w:rPr>
          <w:t>www.cninfo.com.cn</w:t>
        </w:r>
        <w:r>
          <w:rPr>
            <w:spacing w:val="-2"/>
          </w:rPr>
          <w:t>的</w:t>
        </w:r>
      </w:hyperlink>
      <w:r>
        <w:rPr>
          <w:spacing w:val="-2"/>
        </w:rPr>
        <w:t>《关于签署</w:t>
      </w:r>
      <w:r>
        <w:rPr>
          <w:rFonts w:ascii="Times New Roman" w:hAnsi="Times New Roman" w:cs="Times New Roman" w:eastAsia="Times New Roman" w:hint="default"/>
          <w:spacing w:val="-2"/>
        </w:rPr>
        <w:t>&lt;</w:t>
      </w:r>
      <w:r>
        <w:rPr>
          <w:spacing w:val="-2"/>
        </w:rPr>
        <w:t>万达控股有限公司的股份买卖协议</w:t>
      </w:r>
      <w:r>
        <w:rPr>
          <w:rFonts w:ascii="Times New Roman" w:hAnsi="Times New Roman" w:cs="Times New Roman" w:eastAsia="Times New Roman" w:hint="default"/>
          <w:spacing w:val="-2"/>
        </w:rPr>
        <w:t>&gt;</w:t>
      </w:r>
      <w:r>
        <w:rPr>
          <w:spacing w:val="-2"/>
        </w:rPr>
        <w:t>及相关事项的</w:t>
      </w:r>
      <w:r>
        <w:rPr>
          <w:spacing w:val="-74"/>
        </w:rPr>
        <w:t> </w:t>
      </w:r>
      <w:r>
        <w:rPr/>
        <w:t>公告》</w:t>
      </w:r>
      <w:r>
        <w:rPr>
          <w:rFonts w:ascii="Times New Roman" w:hAnsi="Times New Roman" w:cs="Times New Roman" w:eastAsia="Times New Roman" w:hint="default"/>
        </w:rPr>
        <w:t>(2015-31)</w:t>
      </w:r>
      <w:r>
        <w:rPr/>
        <w:t>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日刊登于《中国证券报》、《证券时报》及巨潮资讯网</w:t>
      </w:r>
      <w:hyperlink r:id="rId12">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5"/>
        </w:rPr>
        <w:t>的《公司全资子公司石基（香港）有限公司关于收购万达控股有限公司</w:t>
      </w:r>
      <w:r>
        <w:rPr>
          <w:rFonts w:ascii="Times New Roman" w:hAnsi="Times New Roman" w:cs="Times New Roman" w:eastAsia="Times New Roman" w:hint="default"/>
          <w:spacing w:val="-5"/>
        </w:rPr>
        <w:t>100%</w:t>
      </w:r>
      <w:r>
        <w:rPr>
          <w:spacing w:val="-5"/>
        </w:rPr>
        <w:t>股权完成工商变更登记的公告》</w:t>
      </w:r>
    </w:p>
    <w:p>
      <w:pPr>
        <w:spacing w:after="0" w:line="259" w:lineRule="auto"/>
        <w:jc w:val="both"/>
        <w:sectPr>
          <w:pgSz w:w="11910" w:h="16840"/>
          <w:pgMar w:header="0"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（公告编号：</w:t>
      </w:r>
      <w:r>
        <w:rPr>
          <w:rFonts w:ascii="Times New Roman" w:hAnsi="Times New Roman" w:cs="Times New Roman" w:eastAsia="Times New Roman" w:hint="default"/>
        </w:rPr>
        <w:t>2015-38</w:t>
      </w:r>
      <w:r>
        <w:rPr/>
        <w:t>）。</w:t>
      </w:r>
    </w:p>
    <w:p>
      <w:pPr>
        <w:pStyle w:val="Heading4"/>
        <w:spacing w:line="240" w:lineRule="auto" w:before="21"/>
        <w:ind w:left="573" w:right="0"/>
        <w:jc w:val="left"/>
        <w:rPr>
          <w:b w:val="0"/>
          <w:bCs w:val="0"/>
        </w:rPr>
      </w:pPr>
      <w:r>
        <w:rPr/>
        <w:t>（</w:t>
      </w:r>
      <w:r>
        <w:rPr>
          <w:rFonts w:ascii="Times New Roman" w:hAnsi="Times New Roman" w:cs="Times New Roman" w:eastAsia="Times New Roman" w:hint="default"/>
        </w:rPr>
        <w:t>6</w:t>
      </w:r>
      <w:r>
        <w:rPr/>
        <w:t>）公司全资子公司收购科传计算机科技控股有限公司</w:t>
      </w:r>
      <w:r>
        <w:rPr>
          <w:rFonts w:ascii="Times New Roman" w:hAnsi="Times New Roman" w:cs="Times New Roman" w:eastAsia="Times New Roman" w:hint="default"/>
        </w:rPr>
        <w:t>30%</w:t>
      </w:r>
      <w:r>
        <w:rPr/>
        <w:t>股权</w:t>
      </w:r>
      <w:r>
        <w:rPr>
          <w:b w:val="0"/>
          <w:bCs w:val="0"/>
        </w:rPr>
      </w:r>
    </w:p>
    <w:p>
      <w:pPr>
        <w:pStyle w:val="BodyText"/>
        <w:spacing w:line="256" w:lineRule="auto" w:before="21"/>
        <w:ind w:left="154" w:right="1131" w:firstLine="420"/>
        <w:jc w:val="both"/>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22</w:t>
      </w:r>
      <w:r>
        <w:rPr>
          <w:spacing w:val="-5"/>
        </w:rPr>
        <w:t>日，公司全资子公司焦点信息技术（香港）有限公司与科传计算机科技控股有限公司（以</w:t>
      </w:r>
      <w:r>
        <w:rPr/>
        <w:t> 下简称</w:t>
      </w:r>
      <w:r>
        <w:rPr>
          <w:rFonts w:ascii="Times New Roman" w:hAnsi="Times New Roman" w:cs="Times New Roman" w:eastAsia="Times New Roman" w:hint="default"/>
        </w:rPr>
        <w:t>“</w:t>
      </w:r>
      <w:r>
        <w:rPr/>
        <w:t>科传控股</w:t>
      </w:r>
      <w:r>
        <w:rPr>
          <w:rFonts w:ascii="Times New Roman" w:hAnsi="Times New Roman" w:cs="Times New Roman" w:eastAsia="Times New Roman" w:hint="default"/>
        </w:rPr>
        <w:t>”</w:t>
      </w:r>
      <w:r>
        <w:rPr/>
        <w:t>）五位股东签署《股权转让框架协议》，拟以</w:t>
      </w:r>
      <w:r>
        <w:rPr>
          <w:rFonts w:ascii="Times New Roman" w:hAnsi="Times New Roman" w:cs="Times New Roman" w:eastAsia="Times New Roman" w:hint="default"/>
        </w:rPr>
        <w:t>8,174.7</w:t>
      </w:r>
      <w:r>
        <w:rPr/>
        <w:t>万元收购五位股东持有的科传控股 合计</w:t>
      </w:r>
      <w:r>
        <w:rPr>
          <w:rFonts w:ascii="Times New Roman" w:hAnsi="Times New Roman" w:cs="Times New Roman" w:eastAsia="Times New Roman" w:hint="default"/>
        </w:rPr>
        <w:t>30%</w:t>
      </w:r>
      <w:r>
        <w:rPr/>
        <w:t>股权。</w:t>
      </w:r>
    </w:p>
    <w:p>
      <w:pPr>
        <w:pStyle w:val="BodyText"/>
        <w:spacing w:line="259" w:lineRule="auto" w:before="5"/>
        <w:ind w:right="1110"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日，上述交易各方达成正式股权转让协议；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日，石基（香港）办理完成本次 股权转让的工商变更登记手续；公司本次收购使用的是公司自有资金，不构成关联交易和重大资产重组。 </w:t>
      </w:r>
      <w:r>
        <w:rPr>
          <w:spacing w:val="3"/>
        </w:rPr>
        <w:t>该交易已经公司第五届董事会</w:t>
      </w:r>
      <w:r>
        <w:rPr>
          <w:rFonts w:ascii="Times New Roman" w:hAnsi="Times New Roman" w:cs="Times New Roman" w:eastAsia="Times New Roman" w:hint="default"/>
          <w:spacing w:val="3"/>
        </w:rPr>
        <w:t>2014</w:t>
      </w:r>
      <w:r>
        <w:rPr>
          <w:spacing w:val="3"/>
        </w:rPr>
        <w:t>年第五次临时会议审议通过，详见</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23</w:t>
      </w:r>
      <w:r>
        <w:rPr>
          <w:spacing w:val="3"/>
        </w:rPr>
        <w:t>日刊登于《中国证券</w:t>
      </w:r>
      <w:r>
        <w:rPr>
          <w:spacing w:val="-93"/>
        </w:rPr>
        <w:t> </w:t>
      </w:r>
      <w:r>
        <w:rPr>
          <w:spacing w:val="-93"/>
        </w:rPr>
      </w:r>
      <w:r>
        <w:rPr/>
        <w:t>报》、《证券时报》及巨潮资讯网</w:t>
      </w:r>
      <w:hyperlink r:id="rId22">
        <w:r>
          <w:rPr>
            <w:rFonts w:ascii="Times New Roman" w:hAnsi="Times New Roman" w:cs="Times New Roman" w:eastAsia="Times New Roman" w:hint="default"/>
          </w:rPr>
          <w:t>www.cninfo.com.cn</w:t>
        </w:r>
        <w:r>
          <w:rPr/>
          <w:t>的《关于拟签署</w:t>
        </w:r>
      </w:hyperlink>
      <w:r>
        <w:rPr>
          <w:rFonts w:ascii="Times New Roman" w:hAnsi="Times New Roman" w:cs="Times New Roman" w:eastAsia="Times New Roman" w:hint="default"/>
        </w:rPr>
        <w:t>&lt;</w:t>
      </w:r>
      <w:r>
        <w:rPr/>
        <w:t>科传计算机科技控股有限公司之股</w:t>
      </w:r>
      <w:r>
        <w:rPr>
          <w:spacing w:val="-74"/>
        </w:rPr>
        <w:t> </w:t>
      </w:r>
      <w:r>
        <w:rPr>
          <w:spacing w:val="-74"/>
        </w:rPr>
      </w:r>
      <w:r>
        <w:rPr/>
        <w:t>权转让框架协议</w:t>
      </w:r>
      <w:r>
        <w:rPr>
          <w:rFonts w:ascii="Times New Roman" w:hAnsi="Times New Roman" w:cs="Times New Roman" w:eastAsia="Times New Roman" w:hint="default"/>
        </w:rPr>
        <w:t>&gt;</w:t>
      </w:r>
      <w:r>
        <w:rPr/>
        <w:t>及相关事项的公告》（</w:t>
      </w:r>
      <w:r>
        <w:rPr>
          <w:rFonts w:ascii="Times New Roman" w:hAnsi="Times New Roman" w:cs="Times New Roman" w:eastAsia="Times New Roman" w:hint="default"/>
        </w:rPr>
        <w:t>2014-71</w:t>
      </w:r>
      <w:r>
        <w:rPr/>
        <w:t>）及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日刊登于《中国证券报》、《证券时报》</w:t>
      </w:r>
      <w:r>
        <w:rPr>
          <w:w w:val="99"/>
        </w:rPr>
        <w:t> </w:t>
      </w:r>
      <w:r>
        <w:rPr/>
        <w:t>及巨潮资讯网</w:t>
      </w:r>
      <w:hyperlink r:id="rId22">
        <w:r>
          <w:rPr>
            <w:rFonts w:ascii="Times New Roman" w:hAnsi="Times New Roman" w:cs="Times New Roman" w:eastAsia="Times New Roman" w:hint="default"/>
          </w:rPr>
          <w:t>www.cninfo.com.cn</w:t>
        </w:r>
        <w:r>
          <w:rPr/>
          <w:t>的</w:t>
        </w:r>
      </w:hyperlink>
      <w:r>
        <w:rPr/>
        <w:t>《公司全资子公司关于收购科传计算机科技控股有限公司</w:t>
      </w:r>
      <w:r>
        <w:rPr>
          <w:rFonts w:ascii="Times New Roman" w:hAnsi="Times New Roman" w:cs="Times New Roman" w:eastAsia="Times New Roman" w:hint="default"/>
        </w:rPr>
        <w:t>30%</w:t>
      </w:r>
      <w:r>
        <w:rPr/>
        <w:t>股权完成</w:t>
      </w:r>
      <w:r>
        <w:rPr>
          <w:w w:val="99"/>
        </w:rPr>
        <w:t> </w:t>
      </w:r>
      <w:r>
        <w:rPr/>
        <w:t>工商变更登记的公告》（公告编号：</w:t>
      </w:r>
      <w:r>
        <w:rPr>
          <w:rFonts w:ascii="Times New Roman" w:hAnsi="Times New Roman" w:cs="Times New Roman" w:eastAsia="Times New Roman" w:hint="default"/>
        </w:rPr>
        <w:t>2015-33</w:t>
      </w:r>
      <w:r>
        <w:rPr/>
        <w:t>）。</w:t>
      </w:r>
    </w:p>
    <w:p>
      <w:pPr>
        <w:pStyle w:val="Heading4"/>
        <w:spacing w:line="240" w:lineRule="auto" w:before="2"/>
        <w:ind w:left="573" w:right="0"/>
        <w:jc w:val="left"/>
        <w:rPr>
          <w:b w:val="0"/>
          <w:bCs w:val="0"/>
        </w:rPr>
      </w:pPr>
      <w:r>
        <w:rPr/>
        <w:t>（</w:t>
      </w:r>
      <w:r>
        <w:rPr>
          <w:rFonts w:ascii="Times New Roman" w:hAnsi="Times New Roman" w:cs="Times New Roman" w:eastAsia="Times New Roman" w:hint="default"/>
        </w:rPr>
        <w:t>7</w:t>
      </w:r>
      <w:r>
        <w:rPr/>
        <w:t>）公司全资子公司杭州西软科技有限公司收购杭州连边科技有限公司</w:t>
      </w:r>
      <w:r>
        <w:rPr>
          <w:rFonts w:ascii="Times New Roman" w:hAnsi="Times New Roman" w:cs="Times New Roman" w:eastAsia="Times New Roman" w:hint="default"/>
        </w:rPr>
        <w:t>70%</w:t>
      </w:r>
      <w:r>
        <w:rPr/>
        <w:t>股权</w:t>
      </w:r>
      <w:r>
        <w:rPr>
          <w:b w:val="0"/>
          <w:bCs w:val="0"/>
        </w:rPr>
      </w:r>
    </w:p>
    <w:p>
      <w:pPr>
        <w:pStyle w:val="BodyText"/>
        <w:spacing w:line="256" w:lineRule="auto" w:before="21"/>
        <w:ind w:right="1131" w:firstLine="420"/>
        <w:jc w:val="both"/>
      </w:pP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8</w:t>
      </w:r>
      <w:r>
        <w:rPr>
          <w:spacing w:val="-7"/>
        </w:rPr>
        <w:t>月，公司之全资子公司杭州西软科技有限公司（简称</w:t>
      </w:r>
      <w:r>
        <w:rPr>
          <w:rFonts w:ascii="Times New Roman" w:hAnsi="Times New Roman" w:cs="Times New Roman" w:eastAsia="Times New Roman" w:hint="default"/>
          <w:spacing w:val="-7"/>
        </w:rPr>
        <w:t>“</w:t>
      </w:r>
      <w:r>
        <w:rPr>
          <w:spacing w:val="-7"/>
        </w:rPr>
        <w:t>杭州西软</w:t>
      </w:r>
      <w:r>
        <w:rPr>
          <w:rFonts w:ascii="Times New Roman" w:hAnsi="Times New Roman" w:cs="Times New Roman" w:eastAsia="Times New Roman" w:hint="default"/>
          <w:spacing w:val="-7"/>
        </w:rPr>
        <w:t>”</w:t>
      </w:r>
      <w:r>
        <w:rPr>
          <w:spacing w:val="-7"/>
        </w:rPr>
        <w:t>）与杭州连边科技有限公司（以</w:t>
      </w:r>
      <w:r>
        <w:rPr/>
        <w:t> </w:t>
      </w:r>
      <w:r>
        <w:rPr>
          <w:spacing w:val="-3"/>
        </w:rPr>
        <w:t>下简称</w:t>
      </w:r>
      <w:r>
        <w:rPr>
          <w:rFonts w:ascii="Times New Roman" w:hAnsi="Times New Roman" w:cs="Times New Roman" w:eastAsia="Times New Roman" w:hint="default"/>
          <w:spacing w:val="-3"/>
        </w:rPr>
        <w:t>“</w:t>
      </w:r>
      <w:r>
        <w:rPr>
          <w:spacing w:val="-3"/>
        </w:rPr>
        <w:t>连边科技</w:t>
      </w:r>
      <w:r>
        <w:rPr>
          <w:rFonts w:ascii="Times New Roman" w:hAnsi="Times New Roman" w:cs="Times New Roman" w:eastAsia="Times New Roman" w:hint="default"/>
          <w:spacing w:val="-3"/>
        </w:rPr>
        <w:t>”</w:t>
      </w:r>
      <w:r>
        <w:rPr>
          <w:spacing w:val="-3"/>
        </w:rPr>
        <w:t>）股东浙江嘉航投资有限公司达成《股权转让协议》，杭州西软以自有资金</w:t>
      </w:r>
      <w:r>
        <w:rPr>
          <w:rFonts w:ascii="Times New Roman" w:hAnsi="Times New Roman" w:cs="Times New Roman" w:eastAsia="Times New Roman" w:hint="default"/>
          <w:spacing w:val="-3"/>
        </w:rPr>
        <w:t>420</w:t>
      </w:r>
      <w:r>
        <w:rPr>
          <w:spacing w:val="-3"/>
        </w:rPr>
        <w:t>万元购买</w:t>
      </w:r>
      <w:r>
        <w:rPr>
          <w:spacing w:val="-66"/>
        </w:rPr>
        <w:t> </w:t>
      </w:r>
      <w:r>
        <w:rPr/>
        <w:t>浙江嘉航投资有限公司持有的连边科技</w:t>
      </w:r>
      <w:r>
        <w:rPr>
          <w:rFonts w:ascii="Times New Roman" w:hAnsi="Times New Roman" w:cs="Times New Roman" w:eastAsia="Times New Roman" w:hint="default"/>
        </w:rPr>
        <w:t>70%</w:t>
      </w:r>
      <w:r>
        <w:rPr/>
        <w:t>股权；报告期内，该股权转让已完成工商变更登记手续，连边</w:t>
      </w:r>
      <w:r>
        <w:rPr>
          <w:spacing w:val="-98"/>
        </w:rPr>
        <w:t> </w:t>
      </w:r>
      <w:r>
        <w:rPr>
          <w:spacing w:val="-98"/>
        </w:rPr>
      </w:r>
      <w:r>
        <w:rPr/>
        <w:t>科技为杭州西软控股子公司。本次投资已经杭州西软董事会审议通过。</w:t>
      </w:r>
    </w:p>
    <w:p>
      <w:pPr>
        <w:pStyle w:val="Heading4"/>
        <w:spacing w:line="240" w:lineRule="auto" w:before="22"/>
        <w:ind w:left="573" w:right="0"/>
        <w:jc w:val="left"/>
        <w:rPr>
          <w:b w:val="0"/>
          <w:bCs w:val="0"/>
        </w:rPr>
      </w:pPr>
      <w:r>
        <w:rPr/>
        <w:t>（</w:t>
      </w:r>
      <w:r>
        <w:rPr>
          <w:rFonts w:ascii="Times New Roman" w:hAnsi="Times New Roman" w:cs="Times New Roman" w:eastAsia="Times New Roman" w:hint="default"/>
        </w:rPr>
        <w:t>8</w:t>
      </w:r>
      <w:r>
        <w:rPr/>
        <w:t>）公司全资子公司石基（香港）有限公司收购浩华管理顾问（亚太）有限公司</w:t>
      </w:r>
      <w:r>
        <w:rPr>
          <w:rFonts w:ascii="Times New Roman" w:hAnsi="Times New Roman" w:cs="Times New Roman" w:eastAsia="Times New Roman" w:hint="default"/>
        </w:rPr>
        <w:t>75%</w:t>
      </w:r>
      <w:r>
        <w:rPr/>
        <w:t>股权</w:t>
      </w:r>
      <w:r>
        <w:rPr>
          <w:b w:val="0"/>
          <w:bCs w:val="0"/>
        </w:rPr>
      </w:r>
    </w:p>
    <w:p>
      <w:pPr>
        <w:pStyle w:val="BodyText"/>
        <w:spacing w:line="256" w:lineRule="auto" w:before="21"/>
        <w:ind w:right="1130"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日，公司之全资子公司石基（香港）有限公司与浩华管理顾问（亚太）有限公司（以下 简称</w:t>
      </w:r>
      <w:r>
        <w:rPr>
          <w:rFonts w:ascii="Times New Roman" w:hAnsi="Times New Roman" w:cs="Times New Roman" w:eastAsia="Times New Roman" w:hint="default"/>
        </w:rPr>
        <w:t>“</w:t>
      </w:r>
      <w:r>
        <w:rPr/>
        <w:t>浩华</w:t>
      </w:r>
      <w:r>
        <w:rPr>
          <w:rFonts w:ascii="Times New Roman" w:hAnsi="Times New Roman" w:cs="Times New Roman" w:eastAsia="Times New Roman" w:hint="default"/>
        </w:rPr>
        <w:t>”</w:t>
      </w:r>
      <w:r>
        <w:rPr/>
        <w:t>）股东</w:t>
      </w:r>
      <w:r>
        <w:rPr>
          <w:rFonts w:ascii="Times New Roman" w:hAnsi="Times New Roman" w:cs="Times New Roman" w:eastAsia="Times New Roman" w:hint="default"/>
        </w:rPr>
        <w:t>SEXTANT INVESTMENTS</w:t>
      </w:r>
      <w:r>
        <w:rPr>
          <w:rFonts w:ascii="Times New Roman" w:hAnsi="Times New Roman" w:cs="Times New Roman" w:eastAsia="Times New Roman" w:hint="default"/>
          <w:spacing w:val="10"/>
        </w:rPr>
        <w:t> </w:t>
      </w:r>
      <w:r>
        <w:rPr>
          <w:rFonts w:ascii="Times New Roman" w:hAnsi="Times New Roman" w:cs="Times New Roman" w:eastAsia="Times New Roman" w:hint="default"/>
        </w:rPr>
        <w:t>LIMITED</w:t>
      </w:r>
      <w:r>
        <w:rPr/>
        <w:t>签署《浩华管理顾问（亚太）有限公司</w:t>
      </w:r>
      <w:r>
        <w:rPr>
          <w:rFonts w:ascii="Times New Roman" w:hAnsi="Times New Roman" w:cs="Times New Roman" w:eastAsia="Times New Roman" w:hint="default"/>
        </w:rPr>
        <w:t>75%</w:t>
      </w:r>
      <w:r>
        <w:rPr/>
        <w:t>已发行 </w:t>
      </w:r>
      <w:r>
        <w:rPr>
          <w:spacing w:val="-3"/>
        </w:rPr>
        <w:t>股本的买卖协议》，石基（香港）拟以现金方式共计</w:t>
      </w:r>
      <w:r>
        <w:rPr>
          <w:rFonts w:ascii="Times New Roman" w:hAnsi="Times New Roman" w:cs="Times New Roman" w:eastAsia="Times New Roman" w:hint="default"/>
          <w:spacing w:val="-3"/>
        </w:rPr>
        <w:t>1,000</w:t>
      </w:r>
      <w:r>
        <w:rPr>
          <w:spacing w:val="-3"/>
        </w:rPr>
        <w:t>万美元购买</w:t>
      </w:r>
      <w:r>
        <w:rPr>
          <w:rFonts w:ascii="Times New Roman" w:hAnsi="Times New Roman" w:cs="Times New Roman" w:eastAsia="Times New Roman" w:hint="default"/>
          <w:spacing w:val="-3"/>
        </w:rPr>
        <w:t>SEXTANT </w:t>
      </w:r>
      <w:r>
        <w:rPr>
          <w:rFonts w:ascii="Times New Roman" w:hAnsi="Times New Roman" w:cs="Times New Roman" w:eastAsia="Times New Roman" w:hint="default"/>
        </w:rPr>
        <w:t>INVESTMENTS LIMITED</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持有的浩华</w:t>
      </w:r>
      <w:r>
        <w:rPr>
          <w:rFonts w:ascii="Times New Roman" w:hAnsi="Times New Roman" w:cs="Times New Roman" w:eastAsia="Times New Roman" w:hint="default"/>
        </w:rPr>
        <w:t>75%</w:t>
      </w:r>
      <w:r>
        <w:rPr/>
        <w:t>股权。本次交易使用子公司自有资金，不构成关联交易，不构成《上市公司重大资产重组</w:t>
      </w:r>
      <w:r>
        <w:rPr>
          <w:spacing w:val="-96"/>
        </w:rPr>
        <w:t> </w:t>
      </w:r>
      <w:r>
        <w:rPr>
          <w:spacing w:val="-96"/>
        </w:rPr>
      </w:r>
      <w:r>
        <w:rPr>
          <w:spacing w:val="-1"/>
        </w:rPr>
        <w:t>管理办法》规定的重大资产重组。本次投资已经公司第五届董事会</w:t>
      </w:r>
      <w:r>
        <w:rPr>
          <w:rFonts w:ascii="Times New Roman" w:hAnsi="Times New Roman" w:cs="Times New Roman" w:eastAsia="Times New Roman" w:hint="default"/>
          <w:spacing w:val="-1"/>
        </w:rPr>
        <w:t>2015</w:t>
      </w:r>
      <w:r>
        <w:rPr>
          <w:spacing w:val="-1"/>
        </w:rPr>
        <w:t>年第九次临时会议审议通过，详见</w:t>
      </w:r>
      <w:r>
        <w:rPr>
          <w:spacing w:val="-83"/>
        </w:rPr>
        <w:t> </w:t>
      </w:r>
      <w:r>
        <w:rPr>
          <w:spacing w:val="-83"/>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日刊登于《中国证券报》、《证券时报》及巨潮资讯网</w:t>
      </w:r>
      <w:hyperlink r:id="rId22">
        <w:r>
          <w:rPr>
            <w:rFonts w:ascii="Times New Roman" w:hAnsi="Times New Roman" w:cs="Times New Roman" w:eastAsia="Times New Roman" w:hint="default"/>
          </w:rPr>
          <w:t>www.cninfo.com.cn</w:t>
        </w:r>
        <w:r>
          <w:rPr/>
          <w:t>的《公司全资子公</w:t>
        </w:r>
      </w:hyperlink>
      <w:r>
        <w:rPr>
          <w:spacing w:val="-61"/>
        </w:rPr>
        <w:t> </w:t>
      </w:r>
      <w:r>
        <w:rPr>
          <w:spacing w:val="-61"/>
        </w:rPr>
      </w:r>
      <w:r>
        <w:rPr/>
        <w:t>司石基（香港）有限公司关于签署浩华管理顾问（亚太）有限公司</w:t>
      </w:r>
      <w:r>
        <w:rPr>
          <w:rFonts w:ascii="Times New Roman" w:hAnsi="Times New Roman" w:cs="Times New Roman" w:eastAsia="Times New Roman" w:hint="default"/>
        </w:rPr>
        <w:t>75%</w:t>
      </w:r>
      <w:r>
        <w:rPr/>
        <w:t>已发行股本的买卖协议及相关事项</w:t>
      </w:r>
      <w:r>
        <w:rPr>
          <w:spacing w:val="-97"/>
        </w:rPr>
        <w:t> </w:t>
      </w:r>
      <w:r>
        <w:rPr>
          <w:spacing w:val="-97"/>
        </w:rPr>
      </w:r>
      <w:r>
        <w:rPr/>
        <w:t>的公告》</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2015-51)</w:t>
      </w:r>
      <w:r>
        <w:rPr/>
        <w:t>。</w:t>
      </w:r>
    </w:p>
    <w:p>
      <w:pPr>
        <w:spacing w:line="256" w:lineRule="auto" w:before="5"/>
        <w:ind w:left="507" w:right="1127" w:firstLine="4"/>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）公司全资子公司石基（香港）有限公司收购 </w:t>
      </w:r>
      <w:r>
        <w:rPr>
          <w:rFonts w:ascii="Times New Roman" w:hAnsi="Times New Roman" w:cs="Times New Roman" w:eastAsia="Times New Roman" w:hint="default"/>
          <w:b/>
          <w:bCs/>
          <w:sz w:val="21"/>
          <w:szCs w:val="21"/>
        </w:rPr>
        <w:t>eFuture Information Technology</w:t>
      </w:r>
      <w:r>
        <w:rPr>
          <w:rFonts w:ascii="Times New Roman" w:hAnsi="Times New Roman" w:cs="Times New Roman" w:eastAsia="Times New Roman" w:hint="default"/>
          <w:b/>
          <w:bCs/>
          <w:spacing w:val="-17"/>
          <w:sz w:val="21"/>
          <w:szCs w:val="21"/>
        </w:rPr>
        <w:t> </w:t>
      </w:r>
      <w:r>
        <w:rPr>
          <w:rFonts w:ascii="Times New Roman" w:hAnsi="Times New Roman" w:cs="Times New Roman" w:eastAsia="Times New Roman" w:hint="default"/>
          <w:b/>
          <w:bCs/>
          <w:sz w:val="21"/>
          <w:szCs w:val="21"/>
        </w:rPr>
        <w:t>Inc.</w:t>
      </w:r>
      <w:r>
        <w:rPr>
          <w:rFonts w:ascii="宋体" w:hAnsi="宋体" w:cs="宋体" w:eastAsia="宋体" w:hint="default"/>
          <w:b/>
          <w:bCs/>
          <w:sz w:val="21"/>
          <w:szCs w:val="21"/>
        </w:rPr>
        <w:t>股权</w:t>
      </w:r>
      <w:r>
        <w:rPr>
          <w:rFonts w:ascii="宋体" w:hAnsi="宋体" w:cs="宋体" w:eastAsia="宋体" w:hint="default"/>
          <w:b/>
          <w:bCs/>
          <w:spacing w:val="1"/>
          <w:w w:val="99"/>
          <w:sz w:val="21"/>
          <w:szCs w:val="21"/>
        </w:rPr>
        <w:t> </w:t>
      </w:r>
      <w:r>
        <w:rPr>
          <w:rFonts w:ascii="宋体" w:hAnsi="宋体" w:cs="宋体" w:eastAsia="宋体" w:hint="default"/>
          <w:spacing w:val="14"/>
          <w:sz w:val="21"/>
          <w:szCs w:val="21"/>
        </w:rPr>
        <w:t>公司之全资子公司石基（香港）有限公司通过美国全国证券交易商协会自动报价系统（</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National</w:t>
      </w:r>
    </w:p>
    <w:p>
      <w:pPr>
        <w:pStyle w:val="BodyText"/>
        <w:spacing w:line="256" w:lineRule="auto" w:before="5"/>
        <w:ind w:right="1129"/>
        <w:jc w:val="both"/>
      </w:pPr>
      <w:r>
        <w:rPr>
          <w:rFonts w:ascii="Times New Roman" w:hAnsi="Times New Roman" w:cs="Times New Roman" w:eastAsia="Times New Roman" w:hint="default"/>
        </w:rPr>
        <w:t>Association of Securities Dealers Automated</w:t>
      </w:r>
      <w:r>
        <w:rPr>
          <w:rFonts w:ascii="Times New Roman" w:hAnsi="Times New Roman" w:cs="Times New Roman" w:eastAsia="Times New Roman" w:hint="default"/>
          <w:spacing w:val="7"/>
        </w:rPr>
        <w:t> </w:t>
      </w:r>
      <w:r>
        <w:rPr>
          <w:rFonts w:ascii="Times New Roman" w:hAnsi="Times New Roman" w:cs="Times New Roman" w:eastAsia="Times New Roman" w:hint="default"/>
        </w:rPr>
        <w:t>Quotations</w:t>
      </w:r>
      <w:r>
        <w:rPr/>
        <w:t>）（简称</w:t>
      </w:r>
      <w:r>
        <w:rPr>
          <w:rFonts w:ascii="Times New Roman" w:hAnsi="Times New Roman" w:cs="Times New Roman" w:eastAsia="Times New Roman" w:hint="default"/>
        </w:rPr>
        <w:t>“</w:t>
      </w:r>
      <w:r>
        <w:rPr/>
        <w:t>纳斯达克</w:t>
      </w:r>
      <w:r>
        <w:rPr>
          <w:rFonts w:ascii="Times New Roman" w:hAnsi="Times New Roman" w:cs="Times New Roman" w:eastAsia="Times New Roman" w:hint="default"/>
        </w:rPr>
        <w:t>”</w:t>
      </w:r>
      <w:r>
        <w:rPr/>
        <w:t>或</w:t>
      </w:r>
      <w:r>
        <w:rPr>
          <w:rFonts w:ascii="Times New Roman" w:hAnsi="Times New Roman" w:cs="Times New Roman" w:eastAsia="Times New Roman" w:hint="default"/>
        </w:rPr>
        <w:t>“NASDAQ”</w:t>
      </w:r>
      <w:r>
        <w:rPr/>
        <w:t>）以二级市场价格 购买 </w:t>
      </w:r>
      <w:r>
        <w:rPr>
          <w:rFonts w:ascii="Times New Roman" w:hAnsi="Times New Roman" w:cs="Times New Roman" w:eastAsia="Times New Roman" w:hint="default"/>
        </w:rPr>
        <w:t>eFuture Information Technology</w:t>
      </w:r>
      <w:r>
        <w:rPr>
          <w:rFonts w:ascii="Times New Roman" w:hAnsi="Times New Roman" w:cs="Times New Roman" w:eastAsia="Times New Roman" w:hint="default"/>
          <w:spacing w:val="36"/>
        </w:rPr>
        <w:t> </w:t>
      </w:r>
      <w:r>
        <w:rPr>
          <w:rFonts w:ascii="Times New Roman" w:hAnsi="Times New Roman" w:cs="Times New Roman" w:eastAsia="Times New Roman" w:hint="default"/>
        </w:rPr>
        <w:t>Inc.</w:t>
      </w:r>
      <w:r>
        <w:rPr/>
        <w:t>（以下简称</w:t>
      </w:r>
      <w:r>
        <w:rPr>
          <w:rFonts w:ascii="Times New Roman" w:hAnsi="Times New Roman" w:cs="Times New Roman" w:eastAsia="Times New Roman" w:hint="default"/>
        </w:rPr>
        <w:t>“eFuture</w:t>
      </w:r>
      <w:r>
        <w:rPr/>
        <w:t>公司</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EFUT</w:t>
      </w:r>
      <w:r>
        <w:rPr/>
        <w:t>）不低于</w:t>
      </w:r>
      <w:r>
        <w:rPr>
          <w:rFonts w:ascii="Times New Roman" w:hAnsi="Times New Roman" w:cs="Times New Roman" w:eastAsia="Times New Roman" w:hint="default"/>
        </w:rPr>
        <w:t>30%</w:t>
      </w:r>
      <w:r>
        <w:rPr/>
        <w:t>股权</w:t>
      </w:r>
      <w:r>
        <w:rPr>
          <w:spacing w:val="-2"/>
        </w:rPr>
        <w:t> </w:t>
      </w:r>
      <w:r>
        <w:rPr/>
        <w:t>且本次股权收购拟持有三年以上。截止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日，公司以合计</w:t>
      </w:r>
      <w:r>
        <w:rPr>
          <w:rFonts w:ascii="Times New Roman" w:hAnsi="Times New Roman" w:cs="Times New Roman" w:eastAsia="Times New Roman" w:hint="default"/>
        </w:rPr>
        <w:t>16,750,509.61</w:t>
      </w:r>
      <w:r>
        <w:rPr/>
        <w:t>美元（包含交易佣金及</w:t>
      </w:r>
      <w:r>
        <w:rPr>
          <w:spacing w:val="-81"/>
        </w:rPr>
        <w:t> </w:t>
      </w:r>
      <w:r>
        <w:rPr>
          <w:spacing w:val="-81"/>
        </w:rPr>
      </w:r>
      <w:r>
        <w:rPr>
          <w:spacing w:val="-16"/>
        </w:rPr>
        <w:t>费用）购买 </w:t>
      </w:r>
      <w:r>
        <w:rPr>
          <w:rFonts w:ascii="Times New Roman" w:hAnsi="Times New Roman" w:cs="Times New Roman" w:eastAsia="Times New Roman" w:hint="default"/>
        </w:rPr>
        <w:t>eFuture </w:t>
      </w:r>
      <w:r>
        <w:rPr>
          <w:spacing w:val="-4"/>
        </w:rPr>
        <w:t>公司</w:t>
      </w:r>
      <w:r>
        <w:rPr>
          <w:rFonts w:ascii="Times New Roman" w:hAnsi="Times New Roman" w:cs="Times New Roman" w:eastAsia="Times New Roman" w:hint="default"/>
          <w:spacing w:val="-4"/>
        </w:rPr>
        <w:t>2,453,966</w:t>
      </w:r>
      <w:r>
        <w:rPr>
          <w:spacing w:val="-4"/>
        </w:rPr>
        <w:t>股普通股股票，占</w:t>
      </w:r>
      <w:r>
        <w:rPr>
          <w:rFonts w:ascii="Times New Roman" w:hAnsi="Times New Roman" w:cs="Times New Roman" w:eastAsia="Times New Roman" w:hint="default"/>
          <w:spacing w:val="-4"/>
        </w:rPr>
        <w:t>eFuture </w:t>
      </w:r>
      <w:r>
        <w:rPr/>
        <w:t>公司截止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日的总股本 </w:t>
      </w:r>
      <w:r>
        <w:rPr>
          <w:rFonts w:ascii="Times New Roman" w:hAnsi="Times New Roman" w:cs="Times New Roman" w:eastAsia="Times New Roman" w:hint="default"/>
        </w:rPr>
        <w:t>4,858,651</w:t>
      </w:r>
      <w:r>
        <w:rPr>
          <w:rFonts w:ascii="Times New Roman" w:hAnsi="Times New Roman" w:cs="Times New Roman" w:eastAsia="Times New Roman" w:hint="default"/>
          <w:spacing w:val="-7"/>
        </w:rPr>
        <w:t> </w:t>
      </w:r>
      <w:r>
        <w:rPr/>
        <w:t>股 的</w:t>
      </w:r>
      <w:r>
        <w:rPr>
          <w:spacing w:val="-20"/>
        </w:rPr>
        <w:t> </w:t>
      </w:r>
      <w:r>
        <w:rPr>
          <w:rFonts w:ascii="Times New Roman" w:hAnsi="Times New Roman" w:cs="Times New Roman" w:eastAsia="Times New Roman" w:hint="default"/>
          <w:spacing w:val="-2"/>
        </w:rPr>
        <w:t>50.51%</w:t>
      </w:r>
      <w:r>
        <w:rPr>
          <w:spacing w:val="-2"/>
        </w:rPr>
        <w:t>，本次交易完成后，公司将持有</w:t>
      </w:r>
      <w:r>
        <w:rPr>
          <w:rFonts w:ascii="Times New Roman" w:hAnsi="Times New Roman" w:cs="Times New Roman" w:eastAsia="Times New Roman" w:hint="default"/>
          <w:spacing w:val="-2"/>
        </w:rPr>
        <w:t>eFuture</w:t>
      </w:r>
      <w:r>
        <w:rPr>
          <w:spacing w:val="-2"/>
        </w:rPr>
        <w:t>公司不低于</w:t>
      </w:r>
      <w:r>
        <w:rPr>
          <w:rFonts w:ascii="Times New Roman" w:hAnsi="Times New Roman" w:cs="Times New Roman" w:eastAsia="Times New Roman" w:hint="default"/>
          <w:spacing w:val="-2"/>
        </w:rPr>
        <w:t>30%</w:t>
      </w:r>
      <w:r>
        <w:rPr>
          <w:spacing w:val="-2"/>
        </w:rPr>
        <w:t>的股权，且该交易不构成重大资产重组及</w:t>
      </w:r>
      <w:r>
        <w:rPr/>
        <w:t> 关联交易；截止本报告期末，公司占</w:t>
      </w:r>
      <w:r>
        <w:rPr>
          <w:rFonts w:ascii="Times New Roman" w:hAnsi="Times New Roman" w:cs="Times New Roman" w:eastAsia="Times New Roman" w:hint="default"/>
        </w:rPr>
        <w:t>eFuture</w:t>
      </w:r>
      <w:r>
        <w:rPr/>
        <w:t>公司截止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日的总股本</w:t>
      </w:r>
      <w:r>
        <w:rPr>
          <w:spacing w:val="-51"/>
        </w:rPr>
        <w:t> </w:t>
      </w:r>
      <w:r>
        <w:rPr>
          <w:rFonts w:ascii="Times New Roman" w:hAnsi="Times New Roman" w:cs="Times New Roman" w:eastAsia="Times New Roman" w:hint="default"/>
        </w:rPr>
        <w:t>4,858,651</w:t>
      </w:r>
      <w:r>
        <w:rPr/>
        <w:t>股的</w:t>
      </w:r>
      <w:r>
        <w:rPr>
          <w:rFonts w:ascii="Times New Roman" w:hAnsi="Times New Roman" w:cs="Times New Roman" w:eastAsia="Times New Roman" w:hint="default"/>
        </w:rPr>
        <w:t>56.49%</w:t>
      </w:r>
      <w:r>
        <w:rPr/>
        <w:t>，详见 </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26</w:t>
      </w:r>
      <w:r>
        <w:rPr>
          <w:spacing w:val="-1"/>
        </w:rPr>
        <w:t>日刊登于《中国证券报》、《证券时报》及巨潮资讯网</w:t>
      </w:r>
      <w:hyperlink r:id="rId22">
        <w:r>
          <w:rPr>
            <w:rFonts w:ascii="Times New Roman" w:hAnsi="Times New Roman" w:cs="Times New Roman" w:eastAsia="Times New Roman" w:hint="default"/>
            <w:spacing w:val="-1"/>
          </w:rPr>
          <w:t>www.cninfo.com.cn</w:t>
        </w:r>
        <w:r>
          <w:rPr>
            <w:spacing w:val="-1"/>
          </w:rPr>
          <w:t>的</w:t>
        </w:r>
      </w:hyperlink>
      <w:r>
        <w:rPr>
          <w:spacing w:val="-1"/>
        </w:rPr>
        <w:t>《关于全资子公</w:t>
      </w:r>
      <w:r>
        <w:rPr/>
        <w:t> 司收购</w:t>
      </w:r>
      <w:r>
        <w:rPr>
          <w:rFonts w:ascii="Times New Roman" w:hAnsi="Times New Roman" w:cs="Times New Roman" w:eastAsia="Times New Roman" w:hint="default"/>
        </w:rPr>
        <w:t>eFuture Information Technology</w:t>
      </w:r>
      <w:r>
        <w:rPr>
          <w:rFonts w:ascii="Times New Roman" w:hAnsi="Times New Roman" w:cs="Times New Roman" w:eastAsia="Times New Roman" w:hint="default"/>
          <w:spacing w:val="-6"/>
        </w:rPr>
        <w:t> </w:t>
      </w:r>
      <w:r>
        <w:rPr>
          <w:rFonts w:ascii="Times New Roman" w:hAnsi="Times New Roman" w:cs="Times New Roman" w:eastAsia="Times New Roman" w:hint="default"/>
        </w:rPr>
        <w:t>Inc.</w:t>
      </w:r>
      <w:r>
        <w:rPr/>
        <w:t>股权的公告》（公告编号：</w:t>
      </w:r>
      <w:r>
        <w:rPr>
          <w:rFonts w:ascii="Times New Roman" w:hAnsi="Times New Roman" w:cs="Times New Roman" w:eastAsia="Times New Roman" w:hint="default"/>
        </w:rPr>
        <w:t>2015-63</w:t>
      </w:r>
      <w:r>
        <w:rPr/>
        <w:t>）。</w:t>
      </w:r>
    </w:p>
    <w:p>
      <w:pPr>
        <w:pStyle w:val="Heading4"/>
        <w:spacing w:line="240" w:lineRule="auto" w:before="5"/>
        <w:ind w:left="512" w:right="0"/>
        <w:jc w:val="left"/>
        <w:rPr>
          <w:b w:val="0"/>
          <w:bCs w:val="0"/>
        </w:rPr>
      </w:pPr>
      <w:r>
        <w:rPr/>
        <w:t>（</w:t>
      </w:r>
      <w:r>
        <w:rPr>
          <w:rFonts w:ascii="Times New Roman" w:hAnsi="Times New Roman" w:cs="Times New Roman" w:eastAsia="Times New Roman" w:hint="default"/>
        </w:rPr>
        <w:t>10</w:t>
      </w:r>
      <w:r>
        <w:rPr/>
        <w:t>）公司全资子公司北海石基信息技术有限公司投资成立上海仁大商业保理有限公司</w:t>
      </w:r>
      <w:r>
        <w:rPr>
          <w:b w:val="0"/>
          <w:bCs w:val="0"/>
        </w:rPr>
      </w:r>
    </w:p>
    <w:p>
      <w:pPr>
        <w:pStyle w:val="BodyText"/>
        <w:spacing w:line="261" w:lineRule="auto" w:before="62"/>
        <w:ind w:left="154" w:right="1109"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月，公司之全资子公司北海石基信息技术有限公司与上海环迅电子商务有限公司、上海环汇</w:t>
      </w:r>
      <w:r>
        <w:rPr/>
        <w:t> </w:t>
      </w:r>
      <w:r>
        <w:rPr>
          <w:spacing w:val="-1"/>
        </w:rPr>
        <w:t>实业有限公司、上海禾地投资管理有限公司共同出资成立上海仁大商业保理有限公司，公司认缴及实缴出</w:t>
      </w:r>
      <w:r>
        <w:rPr>
          <w:spacing w:val="-81"/>
        </w:rPr>
        <w:t> </w:t>
      </w:r>
      <w:r>
        <w:rPr>
          <w:spacing w:val="-81"/>
        </w:rPr>
      </w:r>
      <w:r>
        <w:rPr/>
        <w:t>资额为</w:t>
      </w:r>
      <w:r>
        <w:rPr>
          <w:rFonts w:ascii="Times New Roman" w:hAnsi="Times New Roman" w:cs="Times New Roman" w:eastAsia="Times New Roman" w:hint="default"/>
        </w:rPr>
        <w:t>1150</w:t>
      </w:r>
      <w:r>
        <w:rPr/>
        <w:t>万元，持有上海仁大商业保理有限公司</w:t>
      </w:r>
      <w:r>
        <w:rPr>
          <w:rFonts w:ascii="Times New Roman" w:hAnsi="Times New Roman" w:cs="Times New Roman" w:eastAsia="Times New Roman" w:hint="default"/>
        </w:rPr>
        <w:t>22.5%</w:t>
      </w:r>
      <w:r>
        <w:rPr/>
        <w:t>股权。报告期内，该合资公司已完成工商登记注</w:t>
      </w:r>
      <w:r>
        <w:rPr>
          <w:spacing w:val="-53"/>
        </w:rPr>
        <w:t> </w:t>
      </w:r>
      <w:r>
        <w:rPr>
          <w:spacing w:val="-53"/>
        </w:rPr>
      </w:r>
      <w:r>
        <w:rPr/>
        <w:t>册。本次投资已经北海石基董事会审议通过，北海石基使用自有资金，不构成关联交易及重大资产重组。</w:t>
      </w:r>
    </w:p>
    <w:p>
      <w:pPr>
        <w:spacing w:after="0" w:line="261" w:lineRule="auto"/>
        <w:jc w:val="both"/>
        <w:sectPr>
          <w:pgSz w:w="11910" w:h="16840"/>
          <w:pgMar w:header="0"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十、社会责任情况" w:id="97"/>
      <w:bookmarkEnd w:id="97"/>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1120" w:firstLine="336"/>
        <w:jc w:val="left"/>
      </w:pPr>
      <w:r>
        <w:rPr>
          <w:spacing w:val="-1"/>
        </w:rPr>
        <w:t>公司已在《社会责任报告》中详细披露了公司积极履行社会责任的工作情况，详见公司于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rPr>
        <w:t> </w:t>
      </w:r>
      <w:r>
        <w:rPr/>
        <w:t>日披露的《</w:t>
      </w:r>
      <w:r>
        <w:rPr>
          <w:rFonts w:ascii="Times New Roman" w:hAnsi="Times New Roman" w:cs="Times New Roman" w:eastAsia="Times New Roman" w:hint="default"/>
        </w:rPr>
        <w:t>2015</w:t>
      </w:r>
      <w:r>
        <w:rPr/>
        <w:t>年度社会责任报告》，报告全文登载于巨潮资讯网（</w:t>
      </w:r>
      <w:hyperlink r:id="rId12">
        <w:r>
          <w:rPr>
            <w:rFonts w:ascii="Times New Roman" w:hAnsi="Times New Roman" w:cs="Times New Roman" w:eastAsia="Times New Roman" w:hint="default"/>
          </w:rPr>
          <w:t>www.cninfo.com.cn</w:t>
        </w:r>
      </w:hyperlink>
      <w:r>
        <w:rPr/>
        <w:t>）。</w:t>
      </w:r>
    </w:p>
    <w:p>
      <w:pPr>
        <w:spacing w:line="240" w:lineRule="auto" w:before="4"/>
        <w:rPr>
          <w:rFonts w:ascii="宋体" w:hAnsi="宋体" w:cs="宋体" w:eastAsia="宋体" w:hint="default"/>
          <w:sz w:val="29"/>
          <w:szCs w:val="2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二十一、公司债券相关情况" w:id="98"/>
      <w:bookmarkEnd w:id="98"/>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99"/>
      <w:bookmarkEnd w:id="99"/>
      <w:r>
        <w:rPr>
          <w:b w:val="0"/>
          <w:bCs w:val="0"/>
        </w:rPr>
      </w:r>
      <w:bookmarkStart w:name="_bookmark4" w:id="100"/>
      <w:bookmarkEnd w:id="10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1"/>
      <w:bookmarkEnd w:id="10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股份变动情况" w:id="102"/>
      <w:bookmarkEnd w:id="10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824"/>
        <w:gridCol w:w="947"/>
        <w:gridCol w:w="697"/>
        <w:gridCol w:w="1003"/>
        <w:gridCol w:w="568"/>
        <w:gridCol w:w="895"/>
        <w:gridCol w:w="1088"/>
        <w:gridCol w:w="709"/>
      </w:tblGrid>
      <w:tr>
        <w:trPr>
          <w:trHeight w:val="205"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901" w:type="dxa"/>
            <w:gridSpan w:val="2"/>
            <w:vMerge/>
            <w:tcBorders>
              <w:left w:val="single" w:sz="4" w:space="0" w:color="000000"/>
              <w:bottom w:val="single" w:sz="4" w:space="0" w:color="000000"/>
              <w:right w:val="single" w:sz="4" w:space="0" w:color="000000"/>
            </w:tcBorders>
            <w:shd w:val="clear" w:color="auto" w:fill="D2D2D2"/>
          </w:tcPr>
          <w:p>
            <w:pPr/>
          </w:p>
        </w:tc>
        <w:tc>
          <w:tcPr>
            <w:tcW w:w="4110" w:type="dxa"/>
            <w:gridSpan w:val="5"/>
            <w:vMerge/>
            <w:tcBorders>
              <w:left w:val="single" w:sz="4" w:space="0" w:color="000000"/>
              <w:bottom w:val="single" w:sz="4" w:space="0" w:color="000000"/>
              <w:right w:val="single" w:sz="4" w:space="0" w:color="000000"/>
            </w:tcBorders>
            <w:shd w:val="clear" w:color="auto" w:fill="D2D2D2"/>
          </w:tcPr>
          <w:p>
            <w:pPr/>
          </w:p>
        </w:tc>
        <w:tc>
          <w:tcPr>
            <w:tcW w:w="179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7"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947" w:type="dxa"/>
            <w:vMerge/>
            <w:tcBorders>
              <w:left w:val="single" w:sz="4" w:space="0" w:color="000000"/>
              <w:bottom w:val="single" w:sz="4" w:space="0" w:color="000000"/>
              <w:right w:val="single" w:sz="4" w:space="0" w:color="000000"/>
            </w:tcBorders>
            <w:shd w:val="clear" w:color="auto" w:fill="D2D2D2"/>
          </w:tcPr>
          <w:p>
            <w:pPr/>
          </w:p>
        </w:tc>
        <w:tc>
          <w:tcPr>
            <w:tcW w:w="697"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146,066,445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47.25%</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46,476,251</w:t>
            </w: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46,476,251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192,542,696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146,066,445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47.25%</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46,476,251</w:t>
            </w: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46,476,251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192,542,696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46,476,251</w:t>
            </w: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46,476,251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46,476,251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146,066,445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47.25%</w:t>
            </w:r>
          </w:p>
        </w:tc>
        <w:tc>
          <w:tcPr>
            <w:tcW w:w="94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146,066,445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163,053,555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52.75%</w:t>
            </w:r>
          </w:p>
        </w:tc>
        <w:tc>
          <w:tcPr>
            <w:tcW w:w="94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163,053,555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163,053,555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52.75%</w:t>
            </w:r>
          </w:p>
        </w:tc>
        <w:tc>
          <w:tcPr>
            <w:tcW w:w="94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163,053,555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4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309,120,000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46,476,251</w:t>
            </w:r>
          </w:p>
        </w:tc>
        <w:tc>
          <w:tcPr>
            <w:tcW w:w="697"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46,476,251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355,596,251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154" w:right="1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日，公司以非公开发行股份的方式引入淘宝（中国）软件有限公司作为公司战略投资者，公司本次股份变 动系公司实施</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股股票事宜所致。</w:t>
      </w:r>
    </w:p>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573" w:right="0" w:firstLine="0"/>
        <w:jc w:val="left"/>
        <w:rPr>
          <w:rFonts w:ascii="宋体" w:hAnsi="宋体" w:cs="宋体" w:eastAsia="宋体" w:hint="default"/>
          <w:sz w:val="18"/>
          <w:szCs w:val="18"/>
        </w:rPr>
      </w:pPr>
      <w:r>
        <w:rPr>
          <w:rFonts w:ascii="宋体" w:hAnsi="宋体" w:cs="宋体" w:eastAsia="宋体" w:hint="default"/>
          <w:sz w:val="18"/>
          <w:szCs w:val="18"/>
        </w:rPr>
        <w:t>公司非公开发行股票事项已经公司下列内部审批程序及外部审批程序审议通过：</w:t>
      </w:r>
    </w:p>
    <w:p>
      <w:pPr>
        <w:spacing w:before="76"/>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）内部审批</w:t>
      </w:r>
    </w:p>
    <w:p>
      <w:pPr>
        <w:spacing w:before="63"/>
        <w:ind w:left="57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日，公司召开第五届董事会第六次会议，审议通过了《关于公司向特定对象非公开发行股票方案的议案》、</w:t>
      </w:r>
    </w:p>
    <w:p>
      <w:pPr>
        <w:spacing w:line="300" w:lineRule="auto" w:before="6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《关于公司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年度非公开发行股票预案的议案》、《关于公司与特定发行对象签订附条件生效的股份认购协议的议案》等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关于本次非公开发行股票的相关议案。</w:t>
      </w:r>
    </w:p>
    <w:p>
      <w:pPr>
        <w:spacing w:before="31"/>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年第二次临时股东大会，审议通过了《关于公司向特定对象非公开发行股票方案的议</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案》、《关于公司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年度非公开发行股票预案的议案》、《关于公司与特定发行对象签订附条件生效的股份认购协议的议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案》等关于本次非公开发行股票的相关议案。</w:t>
      </w:r>
    </w:p>
    <w:p>
      <w:pPr>
        <w:spacing w:line="300" w:lineRule="auto" w:before="31"/>
        <w:ind w:left="153" w:right="1129" w:firstLine="49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日，公司第五届董事会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年第八次临时会议，审议通过了《关于修订公司向特定对象非公开发行股票</w:t>
      </w:r>
      <w:r>
        <w:rPr>
          <w:rFonts w:ascii="宋体" w:hAnsi="宋体" w:cs="宋体" w:eastAsia="宋体" w:hint="default"/>
          <w:spacing w:val="1"/>
          <w:sz w:val="18"/>
          <w:szCs w:val="18"/>
        </w:rPr>
        <w:t> </w:t>
      </w:r>
      <w:r>
        <w:rPr>
          <w:rFonts w:ascii="宋体" w:hAnsi="宋体" w:cs="宋体" w:eastAsia="宋体" w:hint="default"/>
          <w:spacing w:val="-2"/>
          <w:sz w:val="18"/>
          <w:szCs w:val="18"/>
        </w:rPr>
        <w:t>方案的议案》、《关于修订公司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年度非公开发行股票预案的议案》、《关于公司与特定对象签订附生效条件的股份认购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协议之补充协议的议案》等相关议案。</w:t>
      </w:r>
    </w:p>
    <w:p>
      <w:pPr>
        <w:spacing w:line="300" w:lineRule="auto" w:before="31"/>
        <w:ind w:left="154" w:right="1134"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年第一次临时股东大会，审议通过了《关于延长公司非公开发行股票股东大会决议有 效期的议案》、《关于延长公司非公开发行股票对董事会授权期限的议案》等关于本次非公开发行股票的相关议案。</w:t>
      </w:r>
    </w:p>
    <w:p>
      <w:pPr>
        <w:spacing w:line="300" w:lineRule="auto" w:before="31"/>
        <w:ind w:left="647" w:right="11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）外部审批 </w:t>
      </w:r>
      <w:r>
        <w:rPr>
          <w:rFonts w:ascii="宋体" w:hAnsi="宋体" w:cs="宋体" w:eastAsia="宋体" w:hint="default"/>
          <w:spacing w:val="-1"/>
          <w:sz w:val="18"/>
          <w:szCs w:val="18"/>
        </w:rPr>
        <w:t>公司本次非公开发行申请于</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日由中国证券监督管理委员会受理，于</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日获得中国证监会发行审</w:t>
      </w:r>
    </w:p>
    <w:p>
      <w:pPr>
        <w:spacing w:line="300" w:lineRule="auto" w:before="13"/>
        <w:ind w:left="154" w:right="1122" w:firstLine="0"/>
        <w:jc w:val="left"/>
        <w:rPr>
          <w:rFonts w:ascii="宋体" w:hAnsi="宋体" w:cs="宋体" w:eastAsia="宋体" w:hint="default"/>
          <w:sz w:val="18"/>
          <w:szCs w:val="18"/>
        </w:rPr>
      </w:pPr>
      <w:r>
        <w:rPr>
          <w:rFonts w:ascii="宋体" w:hAnsi="宋体" w:cs="宋体" w:eastAsia="宋体" w:hint="default"/>
          <w:sz w:val="18"/>
          <w:szCs w:val="18"/>
        </w:rPr>
        <w:t>核委员会审核通过。</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日，中国证券监督管理委员会核发《关于核准北京中长石基信息技术股份有限公司非公开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发行股票的批复》（证监许可【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2456</w:t>
      </w:r>
      <w:r>
        <w:rPr>
          <w:rFonts w:ascii="宋体" w:hAnsi="宋体" w:cs="宋体" w:eastAsia="宋体" w:hint="default"/>
          <w:sz w:val="18"/>
          <w:szCs w:val="18"/>
        </w:rPr>
        <w:t>号），核准公司非公开发行不超过</w:t>
      </w:r>
      <w:r>
        <w:rPr>
          <w:rFonts w:ascii="Times New Roman" w:hAnsi="Times New Roman" w:cs="Times New Roman" w:eastAsia="Times New Roman" w:hint="default"/>
          <w:sz w:val="18"/>
          <w:szCs w:val="18"/>
        </w:rPr>
        <w:t>46,476,251</w:t>
      </w:r>
      <w:r>
        <w:rPr>
          <w:rFonts w:ascii="宋体" w:hAnsi="宋体" w:cs="宋体" w:eastAsia="宋体" w:hint="default"/>
          <w:sz w:val="18"/>
          <w:szCs w:val="18"/>
        </w:rPr>
        <w:t>股新股。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38" w:lineRule="auto" w:before="116"/>
        <w:ind w:left="444" w:right="1192"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本次非公开发行事项已经完成全部股份登记及上市等实施工作，具体为：公司于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日在中国证券登记结算有</w:t>
      </w:r>
    </w:p>
    <w:p>
      <w:pPr>
        <w:spacing w:line="230"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限责任公司深圳分公司办理完毕登记托管相关事宜。</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日该非公开发行股份上市，但该股份为限售股份，因此</w:t>
      </w:r>
    </w:p>
    <w:p>
      <w:pPr>
        <w:spacing w:line="300" w:lineRule="auto" w:before="63"/>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自本次发行结束之日，淘宝（中国）软件有限公司认购的股票限售期为六十个月，可上市流通时间为</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日（非交</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易日顺延）。</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19" w:lineRule="auto" w:before="116"/>
        <w:ind w:left="153" w:right="116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公司非公开发行股份</w:t>
      </w:r>
      <w:r>
        <w:rPr>
          <w:rFonts w:ascii="Times New Roman" w:hAnsi="Times New Roman" w:cs="Times New Roman" w:eastAsia="Times New Roman" w:hint="default"/>
          <w:sz w:val="18"/>
          <w:szCs w:val="18"/>
        </w:rPr>
        <w:t>46,476,251</w:t>
      </w:r>
      <w:r>
        <w:rPr>
          <w:rFonts w:ascii="宋体" w:hAnsi="宋体" w:cs="宋体" w:eastAsia="宋体" w:hint="default"/>
          <w:sz w:val="18"/>
          <w:szCs w:val="18"/>
        </w:rPr>
        <w:t>股股票于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日上市，公司注册资本于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月由</w:t>
      </w:r>
      <w:r>
        <w:rPr>
          <w:rFonts w:ascii="Times New Roman" w:hAnsi="Times New Roman" w:cs="Times New Roman" w:eastAsia="Times New Roman" w:hint="default"/>
          <w:sz w:val="18"/>
          <w:szCs w:val="18"/>
        </w:rPr>
        <w:t>309,120,000</w:t>
      </w:r>
      <w:r>
        <w:rPr>
          <w:rFonts w:ascii="宋体" w:hAnsi="宋体" w:cs="宋体" w:eastAsia="宋体" w:hint="default"/>
          <w:sz w:val="18"/>
          <w:szCs w:val="18"/>
        </w:rPr>
        <w:t>股变更为 </w:t>
      </w:r>
      <w:r>
        <w:rPr>
          <w:rFonts w:ascii="Times New Roman" w:hAnsi="Times New Roman" w:cs="Times New Roman" w:eastAsia="Times New Roman" w:hint="default"/>
          <w:sz w:val="18"/>
          <w:szCs w:val="18"/>
        </w:rPr>
        <w:t>355,596,251</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根据企业会计准则等相关规定，公司本次股份变动对公司股份的加权平均数没有影响，因此对公司最近一年</w:t>
      </w:r>
    </w:p>
    <w:p>
      <w:pPr>
        <w:spacing w:line="233"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和最近一期基本每股收益和稀释每股收益、归属于公司普通股股东的每股净资产等财务指标均不构成影响。</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限售股份变动情况" w:id="103"/>
      <w:bookmarkEnd w:id="10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183"/>
        <w:gridCol w:w="1551"/>
        <w:gridCol w:w="1567"/>
        <w:gridCol w:w="1168"/>
        <w:gridCol w:w="1367"/>
        <w:gridCol w:w="1367"/>
      </w:tblGrid>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8"/>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7"/>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淘宝（中国）软 件有限公司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46,476,251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46,476,251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公司非公开发行 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46,476,251</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日拟解除限售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46,476,251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46,476,251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46,476,251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04"/>
      <w:bookmarkEnd w:id="10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证券发行（不含优先股）情况" w:id="105"/>
      <w:bookmarkEnd w:id="10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992"/>
        <w:gridCol w:w="1276"/>
        <w:gridCol w:w="992"/>
        <w:gridCol w:w="1559"/>
        <w:gridCol w:w="1560"/>
        <w:gridCol w:w="1205"/>
      </w:tblGrid>
      <w:tr>
        <w:trPr>
          <w:trHeight w:val="75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6"/>
              <w:ind w:left="18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46,476,251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46,476,251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9999-99-99</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357" w:lineRule="auto" w:before="51"/>
        <w:ind w:left="444" w:right="1217" w:hanging="291"/>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报告期内证券发行（不含优先股）情况的说明 公司本次非公开发行股份发行股票数量为</w:t>
      </w:r>
      <w:r>
        <w:rPr>
          <w:rFonts w:ascii="Times New Roman" w:hAnsi="Times New Roman" w:cs="Times New Roman" w:eastAsia="Times New Roman" w:hint="default"/>
          <w:sz w:val="18"/>
          <w:szCs w:val="18"/>
        </w:rPr>
        <w:t>46,476,251</w:t>
      </w:r>
      <w:r>
        <w:rPr>
          <w:rFonts w:ascii="宋体" w:hAnsi="宋体" w:cs="宋体" w:eastAsia="宋体" w:hint="default"/>
          <w:sz w:val="18"/>
          <w:szCs w:val="18"/>
        </w:rPr>
        <w:t>股；发行股票价格为</w:t>
      </w:r>
      <w:r>
        <w:rPr>
          <w:rFonts w:ascii="Times New Roman" w:hAnsi="Times New Roman" w:cs="Times New Roman" w:eastAsia="Times New Roman" w:hint="default"/>
          <w:sz w:val="18"/>
          <w:szCs w:val="18"/>
        </w:rPr>
        <w:t>51.40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30"/>
          <w:sz w:val="18"/>
          <w:szCs w:val="18"/>
        </w:rPr>
        <w:t> </w:t>
      </w:r>
      <w:r>
        <w:rPr>
          <w:rFonts w:ascii="宋体" w:hAnsi="宋体" w:cs="宋体" w:eastAsia="宋体" w:hint="default"/>
          <w:sz w:val="18"/>
          <w:szCs w:val="18"/>
        </w:rPr>
        <w:t>；募集资金总额为</w:t>
      </w:r>
      <w:r>
        <w:rPr>
          <w:rFonts w:ascii="Times New Roman" w:hAnsi="Times New Roman" w:cs="Times New Roman" w:eastAsia="Times New Roman" w:hint="default"/>
          <w:sz w:val="18"/>
          <w:szCs w:val="18"/>
        </w:rPr>
        <w:t>2,388,879,301.40</w:t>
      </w:r>
    </w:p>
    <w:p>
      <w:pPr>
        <w:spacing w:line="214" w:lineRule="exact" w:before="0"/>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元 ；募集资金净额为</w:t>
      </w:r>
      <w:r>
        <w:rPr>
          <w:rFonts w:ascii="Times New Roman" w:hAnsi="Times New Roman" w:cs="Times New Roman" w:eastAsia="Times New Roman" w:hint="default"/>
          <w:sz w:val="18"/>
          <w:szCs w:val="18"/>
        </w:rPr>
        <w:t>2,372,172,426.15</w:t>
      </w:r>
      <w:r>
        <w:rPr>
          <w:rFonts w:ascii="宋体" w:hAnsi="宋体" w:cs="宋体" w:eastAsia="宋体" w:hint="default"/>
          <w:sz w:val="18"/>
          <w:szCs w:val="18"/>
        </w:rPr>
        <w:t>元</w:t>
      </w:r>
      <w:r>
        <w:rPr>
          <w:rFonts w:ascii="宋体" w:hAnsi="宋体" w:cs="宋体" w:eastAsia="宋体" w:hint="default"/>
          <w:spacing w:val="-40"/>
          <w:sz w:val="18"/>
          <w:szCs w:val="18"/>
        </w:rPr>
        <w:t> </w:t>
      </w:r>
      <w:r>
        <w:rPr>
          <w:rFonts w:ascii="宋体" w:hAnsi="宋体" w:cs="宋体" w:eastAsia="宋体" w:hint="default"/>
          <w:sz w:val="18"/>
          <w:szCs w:val="18"/>
        </w:rPr>
        <w:t>，上述全部股份由淘宝（中国）软件有限公司认购；该股份上市时间为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p>
    <w:p>
      <w:pPr>
        <w:spacing w:line="300" w:lineRule="auto" w:before="63"/>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日，淘宝（中国）软件有限公司认购的股票自上市首日起六十个月内不转让，可上市流通时间为</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日（非交</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易日顺延）。</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bookmarkStart w:name="2、公司股份总数及股东结构的变动、公司资产和负债结构的变动情况说明" w:id="106"/>
      <w:bookmarkEnd w:id="10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line="338" w:lineRule="auto" w:before="0"/>
        <w:ind w:left="444" w:right="1024" w:hanging="29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本报告期内，公司进行非公开发行股票事项并完成全部发行上市的实施工作，本次非公开发行股份数量为</w:t>
      </w:r>
      <w:r>
        <w:rPr>
          <w:rFonts w:ascii="Times New Roman" w:hAnsi="Times New Roman" w:cs="Times New Roman" w:eastAsia="Times New Roman" w:hint="default"/>
          <w:spacing w:val="-1"/>
          <w:sz w:val="18"/>
          <w:szCs w:val="18"/>
        </w:rPr>
        <w:t>46,476,251</w:t>
      </w:r>
      <w:r>
        <w:rPr>
          <w:rFonts w:ascii="宋体" w:hAnsi="宋体" w:cs="宋体" w:eastAsia="宋体" w:hint="default"/>
          <w:spacing w:val="-1"/>
          <w:sz w:val="18"/>
          <w:szCs w:val="18"/>
        </w:rPr>
        <w:t>股，</w:t>
      </w:r>
    </w:p>
    <w:p>
      <w:pPr>
        <w:spacing w:line="230"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公司股份总数由</w:t>
      </w:r>
      <w:r>
        <w:rPr>
          <w:rFonts w:ascii="Times New Roman" w:hAnsi="Times New Roman" w:cs="Times New Roman" w:eastAsia="Times New Roman" w:hint="default"/>
          <w:sz w:val="18"/>
          <w:szCs w:val="18"/>
        </w:rPr>
        <w:t>309,120,000</w:t>
      </w:r>
      <w:r>
        <w:rPr>
          <w:rFonts w:ascii="宋体" w:hAnsi="宋体" w:cs="宋体" w:eastAsia="宋体" w:hint="default"/>
          <w:sz w:val="18"/>
          <w:szCs w:val="18"/>
        </w:rPr>
        <w:t>股增加至</w:t>
      </w:r>
      <w:r>
        <w:rPr>
          <w:rFonts w:ascii="Times New Roman" w:hAnsi="Times New Roman" w:cs="Times New Roman" w:eastAsia="Times New Roman" w:hint="default"/>
          <w:sz w:val="18"/>
          <w:szCs w:val="18"/>
        </w:rPr>
        <w:t>355,596,251</w:t>
      </w:r>
      <w:r>
        <w:rPr>
          <w:rFonts w:ascii="宋体" w:hAnsi="宋体" w:cs="宋体" w:eastAsia="宋体" w:hint="default"/>
          <w:sz w:val="18"/>
          <w:szCs w:val="18"/>
        </w:rPr>
        <w:t>股；本次非公开发行全部由淘宝（中国）软件有限公司认购，认购完成后淘</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宝（中国）持有公司</w:t>
      </w:r>
      <w:r>
        <w:rPr>
          <w:rFonts w:ascii="Times New Roman" w:hAnsi="Times New Roman" w:cs="Times New Roman" w:eastAsia="Times New Roman" w:hint="default"/>
          <w:sz w:val="18"/>
          <w:szCs w:val="18"/>
        </w:rPr>
        <w:t>13.07%</w:t>
      </w:r>
      <w:r>
        <w:rPr>
          <w:rFonts w:ascii="宋体" w:hAnsi="宋体" w:cs="宋体" w:eastAsia="宋体" w:hint="default"/>
          <w:sz w:val="18"/>
          <w:szCs w:val="18"/>
        </w:rPr>
        <w:t>股份，成为公司第二大股东，具体股东持股变动情况见下：</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764"/>
        <w:gridCol w:w="2356"/>
        <w:gridCol w:w="2597"/>
        <w:gridCol w:w="1659"/>
        <w:gridCol w:w="1324"/>
      </w:tblGrid>
      <w:tr>
        <w:trPr>
          <w:trHeight w:val="342"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限售情况</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持股数量（股）</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1"/>
              <w:jc w:val="righ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李仲初</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pacing w:val="-1"/>
                <w:sz w:val="18"/>
                <w:szCs w:val="18"/>
              </w:rPr>
              <w:t>其中</w:t>
            </w:r>
            <w:r>
              <w:rPr>
                <w:rFonts w:ascii="Times New Roman" w:hAnsi="Times New Roman" w:cs="Times New Roman" w:eastAsia="Times New Roman" w:hint="default"/>
                <w:spacing w:val="-1"/>
                <w:sz w:val="18"/>
                <w:szCs w:val="18"/>
              </w:rPr>
              <w:t>146,059,200</w:t>
            </w:r>
            <w:r>
              <w:rPr>
                <w:rFonts w:ascii="宋体" w:hAnsi="宋体" w:cs="宋体" w:eastAsia="宋体" w:hint="default"/>
                <w:spacing w:val="-1"/>
                <w:sz w:val="18"/>
                <w:szCs w:val="18"/>
              </w:rPr>
              <w:t>股为限售股</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194,745,600.00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54.77%</w:t>
            </w:r>
          </w:p>
        </w:tc>
      </w:tr>
      <w:tr>
        <w:trPr>
          <w:trHeight w:val="343"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淘宝（中国）软件有限公司</w:t>
            </w:r>
          </w:p>
        </w:tc>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pacing w:val="-1"/>
                <w:sz w:val="18"/>
                <w:szCs w:val="18"/>
              </w:rPr>
              <w:t>其中</w:t>
            </w:r>
            <w:r>
              <w:rPr>
                <w:rFonts w:ascii="Times New Roman" w:hAnsi="Times New Roman" w:cs="Times New Roman" w:eastAsia="Times New Roman" w:hint="default"/>
                <w:spacing w:val="-1"/>
                <w:sz w:val="18"/>
                <w:szCs w:val="18"/>
              </w:rPr>
              <w:t>46,476,251</w:t>
            </w:r>
            <w:r>
              <w:rPr>
                <w:rFonts w:ascii="宋体" w:hAnsi="宋体" w:cs="宋体" w:eastAsia="宋体" w:hint="default"/>
                <w:spacing w:val="-1"/>
                <w:sz w:val="18"/>
                <w:szCs w:val="18"/>
              </w:rPr>
              <w:t>股为限售股</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46,476,251.00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现存的内部职工股情况" w:id="107"/>
      <w:bookmarkEnd w:id="10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8"/>
      <w:bookmarkEnd w:id="10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公司股东数量及持股情况" w:id="109"/>
      <w:bookmarkEnd w:id="10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383.019989pt;margin-top:62.711712pt;width:32.3pt;height:23.4pt;mso-position-horizontal-relative:page;mso-position-vertical-relative:paragraph;z-index:-944200" coordorigin="7660,1254" coordsize="646,468">
            <v:shape style="position:absolute;left:7660;top:1254;width:646;height:468" coordorigin="7660,1254" coordsize="646,468" path="m7660,1722l8306,1722,8306,1254,7660,1254,7660,1722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790"/>
        <w:gridCol w:w="1559"/>
        <w:gridCol w:w="1240"/>
        <w:gridCol w:w="1738"/>
        <w:gridCol w:w="656"/>
        <w:gridCol w:w="1755"/>
        <w:gridCol w:w="639"/>
      </w:tblGrid>
      <w:tr>
        <w:trPr>
          <w:trHeight w:val="133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6,423</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4"/>
              <w:jc w:val="both"/>
              <w:rPr>
                <w:rFonts w:ascii="宋体" w:hAnsi="宋体" w:cs="宋体" w:eastAsia="宋体" w:hint="default"/>
                <w:sz w:val="18"/>
                <w:szCs w:val="18"/>
              </w:rPr>
            </w:pPr>
            <w:r>
              <w:rPr>
                <w:rFonts w:ascii="宋体" w:hAnsi="宋体" w:cs="宋体" w:eastAsia="宋体" w:hint="default"/>
                <w:sz w:val="18"/>
                <w:szCs w:val="18"/>
              </w:rPr>
              <w:t>年度报告披露日前 上一月末普通股股 东总数</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9" w:right="0"/>
              <w:jc w:val="left"/>
              <w:rPr>
                <w:rFonts w:ascii="Times New Roman" w:hAnsi="Times New Roman" w:cs="Times New Roman" w:eastAsia="Times New Roman" w:hint="default"/>
                <w:sz w:val="18"/>
                <w:szCs w:val="18"/>
              </w:rPr>
            </w:pPr>
            <w:r>
              <w:rPr>
                <w:rFonts w:ascii="Times New Roman"/>
                <w:sz w:val="18"/>
              </w:rPr>
              <w:t>13,011</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20"/>
              <w:ind w:left="22" w:right="-50"/>
              <w:jc w:val="left"/>
              <w:rPr>
                <w:rFonts w:ascii="宋体" w:hAnsi="宋体" w:cs="宋体" w:eastAsia="宋体" w:hint="default"/>
                <w:sz w:val="18"/>
                <w:szCs w:val="18"/>
              </w:rPr>
            </w:pPr>
            <w:r>
              <w:rPr>
                <w:rFonts w:ascii="宋体" w:hAnsi="宋体" w:cs="宋体" w:eastAsia="宋体" w:hint="default"/>
                <w:sz w:val="18"/>
                <w:szCs w:val="18"/>
              </w:rPr>
              <w:t>（如有）（参见注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pt;height:680.95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992"/>
                    <w:gridCol w:w="850"/>
                    <w:gridCol w:w="1134"/>
                    <w:gridCol w:w="993"/>
                    <w:gridCol w:w="141"/>
                    <w:gridCol w:w="1134"/>
                    <w:gridCol w:w="426"/>
                    <w:gridCol w:w="850"/>
                    <w:gridCol w:w="852"/>
                    <w:gridCol w:w="638"/>
                  </w:tblGrid>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4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194,745,600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146,059,200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48,686,400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淘宝（中国）软件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46,476,251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+46,476,251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46,476,521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12,900,240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12,900,240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北京业勤投资有限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-72,000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12,200,000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交通银行股份有限 公司－易方达科讯 混合型证券投资基 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7,600,000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中央汇金资产管理 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6,003,600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+6,003,600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6,003,600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中国银行股份有限 公司－富国改革动 力混合型证券投资 基金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6,000,000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中国建设银行股份 有限公司－融通领 先成长混合型证券 投资基金（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4,805,009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4,805,009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中国建设银行股份 有限公司－易方达 新丝路灵活配置混 合型证券投资基金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3,043,376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3,043,376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2,824,751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5" w:right="0"/>
                          <w:jc w:val="left"/>
                          <w:rPr>
                            <w:rFonts w:ascii="Times New Roman" w:hAnsi="Times New Roman" w:cs="Times New Roman" w:eastAsia="Times New Roman" w:hint="default"/>
                            <w:sz w:val="18"/>
                            <w:szCs w:val="18"/>
                          </w:rPr>
                        </w:pPr>
                        <w:r>
                          <w:rPr>
                            <w:rFonts w:ascii="Times New Roman"/>
                            <w:sz w:val="18"/>
                          </w:rPr>
                          <w:t>-528,998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2,824,751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5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18" w:type="dxa"/>
                        <w:gridSpan w:val="9"/>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淘宝（中国）软件有限公司为公司战略投资者，在公司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年度进行的非公开发行股份</w:t>
                        </w:r>
                      </w:p>
                      <w:p>
                        <w:pPr>
                          <w:pStyle w:val="TableParagraph"/>
                          <w:spacing w:line="309" w:lineRule="auto" w:before="63"/>
                          <w:ind w:left="15" w:right="54"/>
                          <w:jc w:val="both"/>
                          <w:rPr>
                            <w:rFonts w:ascii="宋体" w:hAnsi="宋体" w:cs="宋体" w:eastAsia="宋体" w:hint="default"/>
                            <w:sz w:val="18"/>
                            <w:szCs w:val="18"/>
                          </w:rPr>
                        </w:pPr>
                        <w:r>
                          <w:rPr>
                            <w:rFonts w:ascii="宋体" w:hAnsi="宋体" w:cs="宋体" w:eastAsia="宋体" w:hint="default"/>
                            <w:sz w:val="18"/>
                            <w:szCs w:val="18"/>
                          </w:rPr>
                          <w:t>中认购股份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46,476,251 </w:t>
                        </w:r>
                        <w:r>
                          <w:rPr>
                            <w:rFonts w:ascii="宋体" w:hAnsi="宋体" w:cs="宋体" w:eastAsia="宋体" w:hint="default"/>
                            <w:sz w:val="18"/>
                            <w:szCs w:val="18"/>
                          </w:rPr>
                          <w:t>股，该股份于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日上市发行，但该股份均为有限售 </w:t>
                        </w:r>
                        <w:r>
                          <w:rPr>
                            <w:rFonts w:ascii="宋体" w:hAnsi="宋体" w:cs="宋体" w:eastAsia="宋体" w:hint="default"/>
                            <w:spacing w:val="-4"/>
                            <w:sz w:val="18"/>
                            <w:szCs w:val="18"/>
                          </w:rPr>
                          <w:t>条件的流通股，淘宝（中国）软件有限公司认购的该股份自上市首日起六十个月内不转让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可上市流通时间为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日（非交易日顺延）。</w:t>
                        </w:r>
                      </w:p>
                    </w:tc>
                  </w:tr>
                  <w:tr>
                    <w:trPr>
                      <w:trHeight w:val="1016" w:hRule="exact"/>
                    </w:trPr>
                    <w:tc>
                      <w:tcPr>
                        <w:tcW w:w="255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18" w:type="dxa"/>
                        <w:gridSpan w:val="9"/>
                        <w:vMerge/>
                        <w:tcBorders>
                          <w:left w:val="single" w:sz="10" w:space="0" w:color="D2D2D2"/>
                          <w:right w:val="single" w:sz="4" w:space="0" w:color="000000"/>
                        </w:tcBorders>
                      </w:tcPr>
                      <w:p>
                        <w:pPr/>
                      </w:p>
                    </w:tc>
                  </w:tr>
                  <w:tr>
                    <w:trPr>
                      <w:trHeight w:val="161" w:hRule="exact"/>
                    </w:trPr>
                    <w:tc>
                      <w:tcPr>
                        <w:tcW w:w="25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18" w:type="dxa"/>
                        <w:gridSpan w:val="9"/>
                        <w:vMerge/>
                        <w:tcBorders>
                          <w:left w:val="single" w:sz="10" w:space="0" w:color="D2D2D2"/>
                          <w:bottom w:val="single" w:sz="4" w:space="0" w:color="000000"/>
                          <w:right w:val="single" w:sz="4" w:space="0" w:color="000000"/>
                        </w:tcBorders>
                      </w:tcPr>
                      <w:p>
                        <w:pPr/>
                      </w:p>
                    </w:tc>
                  </w:tr>
                  <w:tr>
                    <w:trPr>
                      <w:trHeight w:val="317" w:hRule="exact"/>
                    </w:trPr>
                    <w:tc>
                      <w:tcPr>
                        <w:tcW w:w="25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18" w:type="dxa"/>
                        <w:gridSpan w:val="9"/>
                        <w:vMerge w:val="restart"/>
                        <w:tcBorders>
                          <w:top w:val="single" w:sz="4" w:space="0" w:color="000000"/>
                          <w:left w:val="single" w:sz="10" w:space="0" w:color="D2D2D2"/>
                          <w:right w:val="single" w:sz="4" w:space="0" w:color="000000"/>
                        </w:tcBorders>
                      </w:tcPr>
                      <w:p>
                        <w:pPr>
                          <w:pStyle w:val="TableParagraph"/>
                          <w:spacing w:line="307" w:lineRule="auto" w:before="51"/>
                          <w:ind w:left="15" w:right="21"/>
                          <w:jc w:val="both"/>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54.77%</w:t>
                        </w:r>
                        <w:r>
                          <w:rPr>
                            <w:rFonts w:ascii="宋体" w:hAnsi="宋体" w:cs="宋体" w:eastAsia="宋体" w:hint="default"/>
                            <w:sz w:val="18"/>
                            <w:szCs w:val="18"/>
                          </w:rPr>
                          <w:t>的股份， 焦梅荣持有本公司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3.63%</w:t>
                        </w:r>
                        <w:r>
                          <w:rPr>
                            <w:rFonts w:ascii="宋体" w:hAnsi="宋体" w:cs="宋体" w:eastAsia="宋体" w:hint="default"/>
                            <w:sz w:val="18"/>
                            <w:szCs w:val="18"/>
                          </w:rPr>
                          <w:t>的股份。与有限售条件的其他股东之间不存在关联关系，也不属 </w:t>
                        </w:r>
                        <w:r>
                          <w:rPr>
                            <w:rFonts w:ascii="宋体" w:hAnsi="宋体" w:cs="宋体" w:eastAsia="宋体" w:hint="default"/>
                            <w:spacing w:val="-2"/>
                            <w:sz w:val="18"/>
                            <w:szCs w:val="18"/>
                          </w:rPr>
                          <w:t>于一致行动人。未知其他股东相互之间是否存在关联关系，也未知是否属于《上市公司信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息披露管理办法》中规定的一致行动人。</w:t>
                        </w:r>
                      </w:p>
                    </w:tc>
                  </w:tr>
                  <w:tr>
                    <w:trPr>
                      <w:trHeight w:val="704" w:hRule="exact"/>
                    </w:trPr>
                    <w:tc>
                      <w:tcPr>
                        <w:tcW w:w="255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8" w:type="dxa"/>
                        <w:gridSpan w:val="9"/>
                        <w:vMerge/>
                        <w:tcBorders>
                          <w:left w:val="single" w:sz="10" w:space="0" w:color="D2D2D2"/>
                          <w:right w:val="single" w:sz="4" w:space="0" w:color="000000"/>
                        </w:tcBorders>
                      </w:tcPr>
                      <w:p>
                        <w:pPr/>
                      </w:p>
                    </w:tc>
                  </w:tr>
                  <w:tr>
                    <w:trPr>
                      <w:trHeight w:val="317" w:hRule="exact"/>
                    </w:trPr>
                    <w:tc>
                      <w:tcPr>
                        <w:tcW w:w="25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18" w:type="dxa"/>
                        <w:gridSpan w:val="9"/>
                        <w:vMerge/>
                        <w:tcBorders>
                          <w:left w:val="single" w:sz="10" w:space="0" w:color="D2D2D2"/>
                          <w:bottom w:val="single" w:sz="4" w:space="0" w:color="000000"/>
                          <w:right w:val="single" w:sz="4" w:space="0" w:color="000000"/>
                        </w:tcBorders>
                      </w:tcPr>
                      <w:p>
                        <w:pPr/>
                      </w:p>
                    </w:tc>
                  </w:tr>
                  <w:tr>
                    <w:trPr>
                      <w:trHeight w:val="397"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7" w:hRule="exact"/>
                    </w:trPr>
                    <w:tc>
                      <w:tcPr>
                        <w:tcW w:w="553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7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报告期末持有无限售</w:t>
                        </w:r>
                      </w:p>
                    </w:tc>
                    <w:tc>
                      <w:tcPr>
                        <w:tcW w:w="23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530"/>
        <w:gridCol w:w="1701"/>
        <w:gridCol w:w="1276"/>
        <w:gridCol w:w="1064"/>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4" w:right="0"/>
              <w:jc w:val="left"/>
              <w:rPr>
                <w:rFonts w:ascii="宋体" w:hAnsi="宋体" w:cs="宋体" w:eastAsia="宋体" w:hint="default"/>
                <w:sz w:val="18"/>
                <w:szCs w:val="18"/>
              </w:rPr>
            </w:pPr>
            <w:r>
              <w:rPr>
                <w:rFonts w:ascii="宋体" w:hAnsi="宋体" w:cs="宋体" w:eastAsia="宋体" w:hint="default"/>
                <w:sz w:val="18"/>
                <w:szCs w:val="18"/>
              </w:rPr>
              <w:t>条件股份数量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48,686,400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48,686,400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12,900,240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12,900,240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北京业勤投资有限公司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交通银行股份有限公司－易方达科讯混合型证券投资基金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6,003,600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6,003,600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中国银行股份有限公司－富国改革动力混合型证券投资基金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中国建设银行股份有限公司－融通领先成长混合型证券投资基金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4,805,009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4,805,009</w:t>
            </w: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中国建设银行股份有限公司－易方达新丝路灵活配置混合型证券投资 基金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3,043,376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3,043,376</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2,824,751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2,824,751</w:t>
            </w: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中国建设银行股份有限公司－易方达创新驱动灵活配置混合型证券投 资基金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2,560,900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2,560,900</w:t>
            </w:r>
          </w:p>
        </w:tc>
      </w:tr>
      <w:tr>
        <w:trPr>
          <w:trHeight w:val="2274"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 母，李仲初持有本公司</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54.77%</w:t>
            </w:r>
            <w:r>
              <w:rPr>
                <w:rFonts w:ascii="宋体" w:hAnsi="宋体" w:cs="宋体" w:eastAsia="宋体" w:hint="default"/>
                <w:sz w:val="18"/>
                <w:szCs w:val="18"/>
              </w:rPr>
              <w:t>的股份，焦梅荣持有 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3.63%</w:t>
            </w:r>
            <w:r>
              <w:rPr>
                <w:rFonts w:ascii="宋体" w:hAnsi="宋体" w:cs="宋体" w:eastAsia="宋体" w:hint="default"/>
                <w:sz w:val="18"/>
                <w:szCs w:val="18"/>
              </w:rPr>
              <w:t>的股份。与有限售条件的其他股东之 间不存在关联关系，也不属于一致行动人。未知其 他股东相互之间是否存在关联关系，也未知是否属 于《上市公司信息披露管理办法》中规定的一致行 动人。</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40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公司控股股东情况" w:id="110"/>
      <w:bookmarkEnd w:id="11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本公司董事长兼总裁。</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after="0" w:line="338"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3、公司实际控制人情况" w:id="111"/>
      <w:bookmarkEnd w:id="11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本公司董事长兼总裁。</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除石基信息外，过去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年未曾控股其他的境内外上市公司。</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
        <w:rPr>
          <w:rFonts w:ascii="宋体" w:hAnsi="宋体" w:cs="宋体" w:eastAsia="宋体" w:hint="default"/>
          <w:sz w:val="9"/>
          <w:szCs w:val="9"/>
        </w:rPr>
      </w:pPr>
    </w:p>
    <w:p>
      <w:pPr>
        <w:spacing w:line="1995" w:lineRule="exact"/>
        <w:ind w:left="2985"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2522860" cy="12668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3" cstate="print"/>
                    <a:stretch>
                      <a:fillRect/>
                    </a:stretch>
                  </pic:blipFill>
                  <pic:spPr>
                    <a:xfrm>
                      <a:off x="0" y="0"/>
                      <a:ext cx="2522860" cy="1266825"/>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4"/>
        <w:rPr>
          <w:rFonts w:ascii="宋体" w:hAnsi="宋体" w:cs="宋体" w:eastAsia="宋体" w:hint="default"/>
          <w:sz w:val="23"/>
          <w:szCs w:val="2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其他持股在10%以上的法人股东" w:id="112"/>
      <w:bookmarkEnd w:id="11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2126"/>
        <w:gridCol w:w="1701"/>
        <w:gridCol w:w="1559"/>
        <w:gridCol w:w="2622"/>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2"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258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淘宝（中国）软件 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陆兆禧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375,000,000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美元</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6"/>
              <w:jc w:val="both"/>
              <w:rPr>
                <w:rFonts w:ascii="宋体" w:hAnsi="宋体" w:cs="宋体" w:eastAsia="宋体" w:hint="default"/>
                <w:sz w:val="18"/>
                <w:szCs w:val="18"/>
              </w:rPr>
            </w:pPr>
            <w:r>
              <w:rPr>
                <w:rFonts w:ascii="宋体" w:hAnsi="宋体" w:cs="宋体" w:eastAsia="宋体" w:hint="default"/>
                <w:sz w:val="18"/>
                <w:szCs w:val="18"/>
              </w:rPr>
              <w:t>研究、开发计算机软、硬件，网 络技术产品，多媒体产品；系统 集成的设计、调试及维护；销售 自身开发的产品；并提供计算机 技术咨询、服务，电子商务平台 支持；经济信息咨询（含商品中 介）（国家禁止和限制的除外， 凡涉及许可证制度的凭证经营）</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控股股东、实际控制人、重组方及其他承诺主体股份限制减持情况" w:id="113"/>
      <w:bookmarkEnd w:id="11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4"/>
      <w:bookmarkEnd w:id="114"/>
      <w:r>
        <w:rPr>
          <w:b w:val="0"/>
          <w:bCs w:val="0"/>
        </w:rPr>
      </w:r>
      <w:bookmarkStart w:name="_bookmark5" w:id="115"/>
      <w:bookmarkEnd w:id="11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6"/>
      <w:bookmarkEnd w:id="116"/>
      <w:r>
        <w:rPr>
          <w:b w:val="0"/>
          <w:bCs w:val="0"/>
        </w:rPr>
      </w:r>
      <w:bookmarkStart w:name="_bookmark6" w:id="117"/>
      <w:bookmarkEnd w:id="11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8"/>
      <w:bookmarkEnd w:id="11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1134"/>
        <w:gridCol w:w="548"/>
        <w:gridCol w:w="444"/>
        <w:gridCol w:w="426"/>
        <w:gridCol w:w="850"/>
        <w:gridCol w:w="851"/>
        <w:gridCol w:w="1134"/>
        <w:gridCol w:w="850"/>
        <w:gridCol w:w="852"/>
        <w:gridCol w:w="708"/>
        <w:gridCol w:w="1067"/>
      </w:tblGrid>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9" w:right="5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7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194,745,600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194,745,600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董事、副总 裁、财务总监</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郑大立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阎丽明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64"/>
              <w:jc w:val="left"/>
              <w:rPr>
                <w:rFonts w:ascii="Times New Roman" w:hAnsi="Times New Roman" w:cs="Times New Roman" w:eastAsia="Times New Roman" w:hint="default"/>
                <w:sz w:val="18"/>
                <w:szCs w:val="18"/>
              </w:rPr>
            </w:pPr>
            <w:r>
              <w:rPr>
                <w:rFonts w:ascii="Times New Roman"/>
                <w:sz w:val="18"/>
              </w:rPr>
              <w:t>Kevin Patrick King</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罗志明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9,660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9,660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  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副总裁兼董 事会秘书</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  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张广杰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王淑杰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194,755,260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194,755,260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二、公司董事、监事、高级管理人员变动情况" w:id="119"/>
      <w:bookmarkEnd w:id="119"/>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20"/>
      <w:bookmarkEnd w:id="12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373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公司现任董事、监事、高级管理人员最近</w:t>
      </w:r>
      <w:r>
        <w:rPr>
          <w:rFonts w:ascii="Times New Roman" w:hAnsi="Times New Roman" w:cs="Times New Roman" w:eastAsia="Times New Roman" w:hint="default"/>
          <w:sz w:val="18"/>
          <w:szCs w:val="18"/>
        </w:rPr>
        <w:t>5</w:t>
      </w:r>
      <w:r>
        <w:rPr>
          <w:rFonts w:ascii="宋体" w:hAnsi="宋体" w:cs="宋体" w:eastAsia="宋体" w:hint="default"/>
          <w:sz w:val="18"/>
          <w:szCs w:val="18"/>
        </w:rPr>
        <w:t>年的主要工作经历</w:t>
      </w:r>
    </w:p>
    <w:p>
      <w:pPr>
        <w:spacing w:line="316" w:lineRule="auto" w:before="1"/>
        <w:ind w:left="443" w:right="1118" w:hanging="290"/>
        <w:jc w:val="left"/>
        <w:rPr>
          <w:rFonts w:ascii="宋体" w:hAnsi="宋体" w:cs="宋体" w:eastAsia="宋体" w:hint="default"/>
          <w:sz w:val="18"/>
          <w:szCs w:val="18"/>
        </w:rPr>
      </w:pPr>
      <w:r>
        <w:rPr>
          <w:rFonts w:ascii="宋体" w:hAnsi="宋体" w:cs="宋体" w:eastAsia="宋体" w:hint="default"/>
          <w:b/>
          <w:bCs/>
          <w:sz w:val="18"/>
          <w:szCs w:val="18"/>
        </w:rPr>
        <w:t>（一）</w:t>
      </w:r>
      <w:r>
        <w:rPr>
          <w:rFonts w:ascii="宋体" w:hAnsi="宋体" w:cs="宋体" w:eastAsia="宋体" w:hint="default"/>
          <w:b/>
          <w:bCs/>
          <w:spacing w:val="-14"/>
          <w:sz w:val="18"/>
          <w:szCs w:val="18"/>
        </w:rPr>
        <w:t> </w:t>
      </w:r>
      <w:r>
        <w:rPr>
          <w:rFonts w:ascii="宋体" w:hAnsi="宋体" w:cs="宋体" w:eastAsia="宋体" w:hint="default"/>
          <w:b/>
          <w:bCs/>
          <w:sz w:val="18"/>
          <w:szCs w:val="18"/>
        </w:rPr>
        <w:t>董事</w:t>
      </w:r>
      <w:r>
        <w:rPr>
          <w:rFonts w:ascii="宋体" w:hAnsi="宋体" w:cs="宋体" w:eastAsia="宋体" w:hint="default"/>
          <w:b/>
          <w:bCs/>
          <w:spacing w:val="1"/>
          <w:w w:val="99"/>
          <w:sz w:val="18"/>
          <w:szCs w:val="18"/>
        </w:rPr>
        <w:t> </w:t>
      </w:r>
      <w:r>
        <w:rPr>
          <w:rFonts w:ascii="宋体" w:hAnsi="宋体" w:cs="宋体" w:eastAsia="宋体" w:hint="default"/>
          <w:b/>
          <w:bCs/>
          <w:spacing w:val="-1"/>
          <w:sz w:val="18"/>
          <w:szCs w:val="18"/>
        </w:rPr>
        <w:t>李仲初</w:t>
      </w:r>
      <w:r>
        <w:rPr>
          <w:rFonts w:ascii="宋体" w:hAnsi="宋体" w:cs="宋体" w:eastAsia="宋体" w:hint="default"/>
          <w:spacing w:val="-1"/>
          <w:sz w:val="18"/>
          <w:szCs w:val="18"/>
        </w:rPr>
        <w:t>，男，出生于</w:t>
      </w:r>
      <w:r>
        <w:rPr>
          <w:rFonts w:ascii="Times New Roman" w:hAnsi="Times New Roman" w:cs="Times New Roman" w:eastAsia="Times New Roman" w:hint="default"/>
          <w:spacing w:val="-1"/>
          <w:sz w:val="18"/>
          <w:szCs w:val="18"/>
        </w:rPr>
        <w:t>1963</w:t>
      </w:r>
      <w:r>
        <w:rPr>
          <w:rFonts w:ascii="宋体" w:hAnsi="宋体" w:cs="宋体" w:eastAsia="宋体" w:hint="default"/>
          <w:spacing w:val="-1"/>
          <w:sz w:val="18"/>
          <w:szCs w:val="18"/>
        </w:rPr>
        <w:t>年，中国公民，工学硕士，工程师，本公司创始人及控股股东，</w:t>
      </w:r>
      <w:r>
        <w:rPr>
          <w:rFonts w:ascii="Times New Roman" w:hAnsi="Times New Roman" w:cs="Times New Roman" w:eastAsia="Times New Roman" w:hint="default"/>
          <w:spacing w:val="-1"/>
          <w:sz w:val="18"/>
          <w:szCs w:val="18"/>
        </w:rPr>
        <w:t>1984</w:t>
      </w:r>
      <w:r>
        <w:rPr>
          <w:rFonts w:ascii="宋体" w:hAnsi="宋体" w:cs="宋体" w:eastAsia="宋体" w:hint="default"/>
          <w:spacing w:val="-1"/>
          <w:sz w:val="18"/>
          <w:szCs w:val="18"/>
        </w:rPr>
        <w:t>年毕业于武汉大学空间物</w:t>
      </w:r>
    </w:p>
    <w:p>
      <w:pPr>
        <w:spacing w:line="300"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理系，获得理学学士学位，</w:t>
      </w:r>
      <w:r>
        <w:rPr>
          <w:rFonts w:ascii="Times New Roman" w:hAnsi="Times New Roman" w:cs="Times New Roman" w:eastAsia="Times New Roman" w:hint="default"/>
          <w:spacing w:val="-2"/>
          <w:sz w:val="18"/>
          <w:szCs w:val="18"/>
        </w:rPr>
        <w:t>1987</w:t>
      </w:r>
      <w:r>
        <w:rPr>
          <w:rFonts w:ascii="宋体" w:hAnsi="宋体" w:cs="宋体" w:eastAsia="宋体" w:hint="default"/>
          <w:spacing w:val="-2"/>
          <w:sz w:val="18"/>
          <w:szCs w:val="18"/>
        </w:rPr>
        <w:t>年获得原国家航天部第二研究院光电技术专业工学硕士学位。曾先后任职于国家航天部某研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究所、国家某重点实验室。现任本公司第五届董事会董事、董事长兼总裁。</w:t>
      </w:r>
    </w:p>
    <w:p>
      <w:pPr>
        <w:spacing w:line="240" w:lineRule="auto" w:before="3"/>
        <w:rPr>
          <w:rFonts w:ascii="宋体" w:hAnsi="宋体" w:cs="宋体" w:eastAsia="宋体" w:hint="default"/>
          <w:sz w:val="26"/>
          <w:szCs w:val="26"/>
        </w:rPr>
      </w:pPr>
    </w:p>
    <w:p>
      <w:pPr>
        <w:spacing w:line="300" w:lineRule="auto" w:before="0"/>
        <w:ind w:left="153" w:right="0" w:firstLine="289"/>
        <w:jc w:val="left"/>
        <w:rPr>
          <w:rFonts w:ascii="宋体" w:hAnsi="宋体" w:cs="宋体" w:eastAsia="宋体" w:hint="default"/>
          <w:sz w:val="18"/>
          <w:szCs w:val="18"/>
        </w:rPr>
      </w:pPr>
      <w:r>
        <w:rPr>
          <w:rFonts w:ascii="宋体" w:hAnsi="宋体" w:cs="宋体" w:eastAsia="宋体" w:hint="default"/>
          <w:b/>
          <w:bCs/>
          <w:sz w:val="18"/>
          <w:szCs w:val="18"/>
        </w:rPr>
        <w:t>赖德源</w:t>
      </w:r>
      <w:r>
        <w:rPr>
          <w:rFonts w:ascii="宋体" w:hAnsi="宋体" w:cs="宋体" w:eastAsia="宋体" w:hint="default"/>
          <w:sz w:val="18"/>
          <w:szCs w:val="18"/>
        </w:rPr>
        <w:t>，男，出生于</w:t>
      </w:r>
      <w:r>
        <w:rPr>
          <w:rFonts w:ascii="Times New Roman" w:hAnsi="Times New Roman" w:cs="Times New Roman" w:eastAsia="Times New Roman" w:hint="default"/>
          <w:sz w:val="18"/>
          <w:szCs w:val="18"/>
        </w:rPr>
        <w:t>1963</w:t>
      </w:r>
      <w:r>
        <w:rPr>
          <w:rFonts w:ascii="宋体" w:hAnsi="宋体" w:cs="宋体" w:eastAsia="宋体" w:hint="default"/>
          <w:sz w:val="18"/>
          <w:szCs w:val="18"/>
        </w:rPr>
        <w:t>年，中华人民共和国香港特别行政区居民，本科学历，毕业于香港理工学院电子工程系。曾先 后任职于香港地下铁路有限公司、香港国辉电脑有限公司，</w:t>
      </w:r>
      <w:r>
        <w:rPr>
          <w:rFonts w:ascii="Times New Roman" w:hAnsi="Times New Roman" w:cs="Times New Roman" w:eastAsia="Times New Roman" w:hint="default"/>
          <w:sz w:val="18"/>
          <w:szCs w:val="18"/>
        </w:rPr>
        <w:t>1992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月先后担任富达自动化管理系统（上海） </w:t>
      </w:r>
      <w:r>
        <w:rPr>
          <w:rFonts w:ascii="宋体" w:hAnsi="宋体" w:cs="宋体" w:eastAsia="宋体" w:hint="default"/>
          <w:spacing w:val="-2"/>
          <w:sz w:val="18"/>
          <w:szCs w:val="18"/>
        </w:rPr>
        <w:t>有限公司（该公司为</w:t>
      </w:r>
      <w:r>
        <w:rPr>
          <w:rFonts w:ascii="Times New Roman" w:hAnsi="Times New Roman" w:cs="Times New Roman" w:eastAsia="Times New Roman" w:hint="default"/>
          <w:spacing w:val="-2"/>
          <w:sz w:val="18"/>
          <w:szCs w:val="18"/>
        </w:rPr>
        <w:t>MICROS</w:t>
      </w:r>
      <w:r>
        <w:rPr>
          <w:rFonts w:ascii="宋体" w:hAnsi="宋体" w:cs="宋体" w:eastAsia="宋体" w:hint="default"/>
          <w:spacing w:val="-2"/>
          <w:sz w:val="18"/>
          <w:szCs w:val="18"/>
        </w:rPr>
        <w:t>在中国设立的全资子公司）董事总经理、香港</w:t>
      </w:r>
      <w:r>
        <w:rPr>
          <w:rFonts w:ascii="Times New Roman" w:hAnsi="Times New Roman" w:cs="Times New Roman" w:eastAsia="Times New Roman" w:hint="default"/>
          <w:spacing w:val="-2"/>
          <w:sz w:val="18"/>
          <w:szCs w:val="18"/>
        </w:rPr>
        <w:t>MOVIELINK</w:t>
      </w:r>
      <w:r>
        <w:rPr>
          <w:rFonts w:ascii="宋体" w:hAnsi="宋体" w:cs="宋体" w:eastAsia="宋体" w:hint="default"/>
          <w:spacing w:val="-2"/>
          <w:sz w:val="18"/>
          <w:szCs w:val="18"/>
        </w:rPr>
        <w:t>公司总经理，至今担任本公司董事、</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副总裁、财务总监。</w:t>
      </w:r>
    </w:p>
    <w:p>
      <w:pPr>
        <w:spacing w:line="240" w:lineRule="auto" w:before="3"/>
        <w:rPr>
          <w:rFonts w:ascii="宋体" w:hAnsi="宋体" w:cs="宋体" w:eastAsia="宋体" w:hint="default"/>
          <w:sz w:val="26"/>
          <w:szCs w:val="26"/>
        </w:rPr>
      </w:pPr>
    </w:p>
    <w:p>
      <w:pPr>
        <w:spacing w:line="309" w:lineRule="auto" w:before="0"/>
        <w:ind w:left="154" w:right="1132" w:firstLine="289"/>
        <w:jc w:val="both"/>
        <w:rPr>
          <w:rFonts w:ascii="宋体" w:hAnsi="宋体" w:cs="宋体" w:eastAsia="宋体" w:hint="default"/>
          <w:sz w:val="18"/>
          <w:szCs w:val="18"/>
        </w:rPr>
      </w:pPr>
      <w:r>
        <w:rPr>
          <w:rFonts w:ascii="宋体" w:hAnsi="宋体" w:cs="宋体" w:eastAsia="宋体" w:hint="default"/>
          <w:b/>
          <w:bCs/>
          <w:spacing w:val="-1"/>
          <w:sz w:val="18"/>
          <w:szCs w:val="18"/>
        </w:rPr>
        <w:t>郑大立</w:t>
      </w:r>
      <w:r>
        <w:rPr>
          <w:rFonts w:ascii="宋体" w:hAnsi="宋体" w:cs="宋体" w:eastAsia="宋体" w:hint="default"/>
          <w:spacing w:val="-1"/>
          <w:sz w:val="18"/>
          <w:szCs w:val="18"/>
        </w:rPr>
        <w:t>，男，出生于</w:t>
      </w:r>
      <w:r>
        <w:rPr>
          <w:rFonts w:ascii="Times New Roman" w:hAnsi="Times New Roman" w:cs="Times New Roman" w:eastAsia="Times New Roman" w:hint="default"/>
          <w:spacing w:val="-1"/>
          <w:sz w:val="18"/>
          <w:szCs w:val="18"/>
        </w:rPr>
        <w:t>1971</w:t>
      </w:r>
      <w:r>
        <w:rPr>
          <w:rFonts w:ascii="宋体" w:hAnsi="宋体" w:cs="宋体" w:eastAsia="宋体" w:hint="default"/>
          <w:spacing w:val="-1"/>
          <w:sz w:val="18"/>
          <w:szCs w:val="18"/>
        </w:rPr>
        <w:t>年，中国公民，研究生学历。曾经任职于申银万国证券股份有限公司、上海格雷特投资管理有</w:t>
      </w:r>
      <w:r>
        <w:rPr>
          <w:rFonts w:ascii="宋体" w:hAnsi="宋体" w:cs="宋体" w:eastAsia="宋体" w:hint="default"/>
          <w:sz w:val="18"/>
          <w:szCs w:val="18"/>
        </w:rPr>
        <w:t> </w:t>
      </w:r>
      <w:r>
        <w:rPr>
          <w:rFonts w:ascii="宋体" w:hAnsi="宋体" w:cs="宋体" w:eastAsia="宋体" w:hint="default"/>
          <w:spacing w:val="-2"/>
          <w:sz w:val="18"/>
          <w:szCs w:val="18"/>
        </w:rPr>
        <w:t>限公司，曾任上海易积通电子商务有限公司董事。现任上海易积通电子商务有限公司董事长、上海唯图投资管理有限公司执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行董事及法定代表人、本公司董事。</w:t>
      </w:r>
    </w:p>
    <w:p>
      <w:pPr>
        <w:spacing w:line="240" w:lineRule="auto" w:before="9"/>
        <w:rPr>
          <w:rFonts w:ascii="宋体" w:hAnsi="宋体" w:cs="宋体" w:eastAsia="宋体" w:hint="default"/>
          <w:sz w:val="25"/>
          <w:szCs w:val="25"/>
        </w:rPr>
      </w:pPr>
    </w:p>
    <w:p>
      <w:pPr>
        <w:spacing w:line="307" w:lineRule="auto" w:before="0"/>
        <w:ind w:left="153" w:right="0" w:firstLine="361"/>
        <w:jc w:val="left"/>
        <w:rPr>
          <w:rFonts w:ascii="宋体" w:hAnsi="宋体" w:cs="宋体" w:eastAsia="宋体" w:hint="default"/>
          <w:sz w:val="18"/>
          <w:szCs w:val="18"/>
        </w:rPr>
      </w:pPr>
      <w:r>
        <w:rPr>
          <w:rFonts w:ascii="宋体" w:hAnsi="宋体" w:cs="宋体" w:eastAsia="宋体" w:hint="default"/>
          <w:b/>
          <w:bCs/>
          <w:spacing w:val="-2"/>
          <w:sz w:val="18"/>
          <w:szCs w:val="18"/>
        </w:rPr>
        <w:t>刘剑锋</w:t>
      </w:r>
      <w:r>
        <w:rPr>
          <w:rFonts w:ascii="宋体" w:hAnsi="宋体" w:cs="宋体" w:eastAsia="宋体" w:hint="default"/>
          <w:spacing w:val="-2"/>
          <w:sz w:val="18"/>
          <w:szCs w:val="18"/>
        </w:rPr>
        <w:t>，男，出生于</w:t>
      </w:r>
      <w:r>
        <w:rPr>
          <w:rFonts w:ascii="Times New Roman" w:hAnsi="Times New Roman" w:cs="Times New Roman" w:eastAsia="Times New Roman" w:hint="default"/>
          <w:spacing w:val="-2"/>
          <w:sz w:val="18"/>
          <w:szCs w:val="18"/>
        </w:rPr>
        <w:t>1969</w:t>
      </w:r>
      <w:r>
        <w:rPr>
          <w:rFonts w:ascii="宋体" w:hAnsi="宋体" w:cs="宋体" w:eastAsia="宋体" w:hint="default"/>
          <w:spacing w:val="-2"/>
          <w:sz w:val="18"/>
          <w:szCs w:val="18"/>
        </w:rPr>
        <w:t>年，中国公民，无永久境外居留权。澳大利亚新南威尔士大学金融专业商学硕士；合肥工业大</w:t>
      </w:r>
      <w:r>
        <w:rPr>
          <w:rFonts w:ascii="宋体" w:hAnsi="宋体" w:cs="宋体" w:eastAsia="宋体" w:hint="default"/>
          <w:sz w:val="18"/>
          <w:szCs w:val="18"/>
        </w:rPr>
        <w:t> </w:t>
      </w:r>
      <w:r>
        <w:rPr>
          <w:rFonts w:ascii="宋体" w:hAnsi="宋体" w:cs="宋体" w:eastAsia="宋体" w:hint="default"/>
          <w:spacing w:val="-2"/>
          <w:sz w:val="18"/>
          <w:szCs w:val="18"/>
        </w:rPr>
        <w:t>学工学学士；高级会计师、美国注册金融分析师（</w:t>
      </w:r>
      <w:r>
        <w:rPr>
          <w:rFonts w:ascii="Times New Roman" w:hAnsi="Times New Roman" w:cs="Times New Roman" w:eastAsia="Times New Roman" w:hint="default"/>
          <w:spacing w:val="-2"/>
          <w:sz w:val="18"/>
          <w:szCs w:val="18"/>
        </w:rPr>
        <w:t>CFA</w:t>
      </w:r>
      <w:r>
        <w:rPr>
          <w:rFonts w:ascii="宋体" w:hAnsi="宋体" w:cs="宋体" w:eastAsia="宋体" w:hint="default"/>
          <w:spacing w:val="-2"/>
          <w:sz w:val="18"/>
          <w:szCs w:val="18"/>
        </w:rPr>
        <w:t>）。曾任北京水泵厂财务处副处长、中软总公司北京富士通系统工程</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有限公司中方财务总监、北电网络通讯工程有限公司财务总监、沈阳北电通信有限公司财务总监、北电网络（中国）有限公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司高级财务分析师；现任现任上海科惠价值投资管理有限公司董事及总经理、北京北纬通信科技股份有限公司独立董事、上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海科祥股权投资中心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执行事务合伙人、索通发展股份有限公司监事、华新绿源环保股份有限公司董事、</w:t>
      </w:r>
      <w:r>
        <w:rPr>
          <w:rFonts w:ascii="宋体" w:hAnsi="宋体" w:cs="宋体" w:eastAsia="宋体" w:hint="default"/>
          <w:spacing w:val="-16"/>
          <w:sz w:val="18"/>
          <w:szCs w:val="18"/>
        </w:rPr>
        <w:t> </w:t>
      </w:r>
      <w:r>
        <w:rPr>
          <w:rFonts w:ascii="宋体" w:hAnsi="宋体" w:cs="宋体" w:eastAsia="宋体" w:hint="default"/>
          <w:sz w:val="18"/>
          <w:szCs w:val="18"/>
        </w:rPr>
        <w:t>伟本智</w:t>
      </w:r>
      <w:r>
        <w:rPr>
          <w:rFonts w:ascii="宋体" w:hAnsi="宋体" w:cs="宋体" w:eastAsia="宋体" w:hint="default"/>
          <w:sz w:val="18"/>
          <w:szCs w:val="18"/>
        </w:rPr>
        <w:t> 能机电（上海）股份有限公司独立董事。本公司独立董事。</w:t>
      </w:r>
    </w:p>
    <w:p>
      <w:pPr>
        <w:spacing w:line="240" w:lineRule="auto" w:before="11"/>
        <w:rPr>
          <w:rFonts w:ascii="宋体" w:hAnsi="宋体" w:cs="宋体" w:eastAsia="宋体" w:hint="default"/>
          <w:sz w:val="25"/>
          <w:szCs w:val="25"/>
        </w:rPr>
      </w:pPr>
    </w:p>
    <w:p>
      <w:pPr>
        <w:spacing w:line="312" w:lineRule="auto" w:before="0"/>
        <w:ind w:left="153" w:right="1033" w:firstLine="361"/>
        <w:jc w:val="left"/>
        <w:rPr>
          <w:rFonts w:ascii="宋体" w:hAnsi="宋体" w:cs="宋体" w:eastAsia="宋体" w:hint="default"/>
          <w:sz w:val="18"/>
          <w:szCs w:val="18"/>
        </w:rPr>
      </w:pPr>
      <w:r>
        <w:rPr>
          <w:rFonts w:ascii="宋体" w:hAnsi="宋体" w:cs="宋体" w:eastAsia="宋体" w:hint="default"/>
          <w:b/>
          <w:bCs/>
          <w:spacing w:val="-2"/>
          <w:sz w:val="18"/>
          <w:szCs w:val="18"/>
        </w:rPr>
        <w:t>阎丽明</w:t>
      </w:r>
      <w:r>
        <w:rPr>
          <w:rFonts w:ascii="宋体" w:hAnsi="宋体" w:cs="宋体" w:eastAsia="宋体" w:hint="default"/>
          <w:spacing w:val="-2"/>
          <w:sz w:val="18"/>
          <w:szCs w:val="18"/>
        </w:rPr>
        <w:t>，女，出生于</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年，中国公民，毕业于中国人民大学，会计学学士。具有注册会计师、注册税务师、注册评估</w:t>
      </w:r>
      <w:r>
        <w:rPr>
          <w:rFonts w:ascii="宋体" w:hAnsi="宋体" w:cs="宋体" w:eastAsia="宋体" w:hint="default"/>
          <w:sz w:val="18"/>
          <w:szCs w:val="18"/>
        </w:rPr>
        <w:t> 师、国际内部审计师和证券从业资格。曾任中国船舶总公司汾西机器厂成本核算科长、深圳奥克兰机械有限公司财务总监、 </w:t>
      </w:r>
      <w:r>
        <w:rPr>
          <w:rFonts w:ascii="宋体" w:hAnsi="宋体" w:cs="宋体" w:eastAsia="宋体" w:hint="default"/>
          <w:spacing w:val="-2"/>
          <w:sz w:val="18"/>
          <w:szCs w:val="18"/>
        </w:rPr>
        <w:t>太原会计师事务所部门经理、山西晋元会计师事务所合伙人、山西天元会计师事务所合伙人、中联会计师事务所有限公司合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伙人、副主任会计师。现任中兴财光华会计师事务所副主任会计师、本公司独立董事。</w:t>
      </w:r>
    </w:p>
    <w:p>
      <w:pPr>
        <w:spacing w:line="240" w:lineRule="auto" w:before="7"/>
        <w:rPr>
          <w:rFonts w:ascii="宋体" w:hAnsi="宋体" w:cs="宋体" w:eastAsia="宋体" w:hint="default"/>
          <w:sz w:val="25"/>
          <w:szCs w:val="25"/>
        </w:rPr>
      </w:pPr>
    </w:p>
    <w:p>
      <w:pPr>
        <w:spacing w:line="309" w:lineRule="auto" w:before="0"/>
        <w:ind w:left="154" w:right="1032" w:firstLine="379"/>
        <w:jc w:val="left"/>
        <w:rPr>
          <w:rFonts w:ascii="宋体" w:hAnsi="宋体" w:cs="宋体" w:eastAsia="宋体" w:hint="default"/>
          <w:sz w:val="18"/>
          <w:szCs w:val="18"/>
        </w:rPr>
      </w:pPr>
      <w:r>
        <w:rPr>
          <w:rFonts w:ascii="宋体" w:hAnsi="宋体" w:cs="宋体" w:eastAsia="宋体" w:hint="default"/>
          <w:b/>
          <w:bCs/>
          <w:sz w:val="18"/>
          <w:szCs w:val="18"/>
        </w:rPr>
        <w:t>邹小杰</w:t>
      </w:r>
      <w:r>
        <w:rPr>
          <w:rFonts w:ascii="宋体" w:hAnsi="宋体" w:cs="宋体" w:eastAsia="宋体" w:hint="default"/>
          <w:sz w:val="18"/>
          <w:szCs w:val="18"/>
        </w:rPr>
        <w:t>，男，出生于</w:t>
      </w:r>
      <w:r>
        <w:rPr>
          <w:rFonts w:ascii="Times New Roman" w:hAnsi="Times New Roman" w:cs="Times New Roman" w:eastAsia="Times New Roman" w:hint="default"/>
          <w:sz w:val="18"/>
          <w:szCs w:val="18"/>
        </w:rPr>
        <w:t>1964</w:t>
      </w:r>
      <w:r>
        <w:rPr>
          <w:rFonts w:ascii="宋体" w:hAnsi="宋体" w:cs="宋体" w:eastAsia="宋体" w:hint="default"/>
          <w:sz w:val="18"/>
          <w:szCs w:val="18"/>
        </w:rPr>
        <w:t>年，中国公民，毕业于北京经济学院（现为首都经济贸易大学）贸易经济系，经济学硕士。 先后就职于广播电视部无线局、电子工业部第三研究所和中国科学器材进出口总公司从事科研、技术贸易和经营管理工作， 现任北京广学文化教育开发中心主任，本公司独立董事。</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b/>
          <w:bCs/>
          <w:sz w:val="18"/>
          <w:szCs w:val="18"/>
        </w:rPr>
        <w:t>（二）监事</w:t>
      </w:r>
      <w:r>
        <w:rPr>
          <w:rFonts w:ascii="宋体" w:hAnsi="宋体" w:cs="宋体" w:eastAsia="宋体" w:hint="default"/>
          <w:sz w:val="18"/>
          <w:szCs w:val="18"/>
        </w:rPr>
      </w:r>
    </w:p>
    <w:p>
      <w:pPr>
        <w:spacing w:line="300" w:lineRule="auto" w:before="76"/>
        <w:ind w:left="153" w:right="1033" w:firstLine="379"/>
        <w:jc w:val="left"/>
        <w:rPr>
          <w:rFonts w:ascii="宋体" w:hAnsi="宋体" w:cs="宋体" w:eastAsia="宋体" w:hint="default"/>
          <w:sz w:val="18"/>
          <w:szCs w:val="18"/>
        </w:rPr>
      </w:pPr>
      <w:r>
        <w:rPr>
          <w:rFonts w:ascii="宋体" w:hAnsi="宋体" w:cs="宋体" w:eastAsia="宋体" w:hint="default"/>
          <w:b/>
          <w:bCs/>
          <w:sz w:val="18"/>
          <w:szCs w:val="18"/>
        </w:rPr>
        <w:t>郭明</w:t>
      </w:r>
      <w:r>
        <w:rPr>
          <w:rFonts w:ascii="宋体" w:hAnsi="宋体" w:cs="宋体" w:eastAsia="宋体" w:hint="default"/>
          <w:sz w:val="18"/>
          <w:szCs w:val="18"/>
        </w:rPr>
        <w:t>，男，出生于</w:t>
      </w:r>
      <w:r>
        <w:rPr>
          <w:rFonts w:ascii="Times New Roman" w:hAnsi="Times New Roman" w:cs="Times New Roman" w:eastAsia="Times New Roman" w:hint="default"/>
          <w:sz w:val="18"/>
          <w:szCs w:val="18"/>
        </w:rPr>
        <w:t>1956</w:t>
      </w:r>
      <w:r>
        <w:rPr>
          <w:rFonts w:ascii="宋体" w:hAnsi="宋体" w:cs="宋体" w:eastAsia="宋体" w:hint="default"/>
          <w:sz w:val="18"/>
          <w:szCs w:val="18"/>
        </w:rPr>
        <w:t>年，经济师，大专学历，毕业于长春职工大学。</w:t>
      </w:r>
      <w:r>
        <w:rPr>
          <w:rFonts w:ascii="Times New Roman" w:hAnsi="Times New Roman" w:cs="Times New Roman" w:eastAsia="Times New Roman" w:hint="default"/>
          <w:sz w:val="18"/>
          <w:szCs w:val="18"/>
        </w:rPr>
        <w:t>1977</w:t>
      </w:r>
      <w:r>
        <w:rPr>
          <w:rFonts w:ascii="宋体" w:hAnsi="宋体" w:cs="宋体" w:eastAsia="宋体" w:hint="default"/>
          <w:sz w:val="18"/>
          <w:szCs w:val="18"/>
        </w:rPr>
        <w:t>年起先后任职于长春市电车公司、长春市 </w:t>
      </w:r>
      <w:r>
        <w:rPr>
          <w:rFonts w:ascii="宋体" w:hAnsi="宋体" w:cs="宋体" w:eastAsia="宋体" w:hint="default"/>
          <w:spacing w:val="-2"/>
          <w:sz w:val="18"/>
          <w:szCs w:val="18"/>
        </w:rPr>
        <w:t>公共交通总公司、长春市煤气公司东郊煤气厂。自</w:t>
      </w:r>
      <w:r>
        <w:rPr>
          <w:rFonts w:ascii="Times New Roman" w:hAnsi="Times New Roman" w:cs="Times New Roman" w:eastAsia="Times New Roman" w:hint="default"/>
          <w:spacing w:val="-2"/>
          <w:sz w:val="18"/>
          <w:szCs w:val="18"/>
        </w:rPr>
        <w:t>1993</w:t>
      </w:r>
      <w:r>
        <w:rPr>
          <w:rFonts w:ascii="宋体" w:hAnsi="宋体" w:cs="宋体" w:eastAsia="宋体" w:hint="default"/>
          <w:spacing w:val="-2"/>
          <w:sz w:val="18"/>
          <w:szCs w:val="18"/>
        </w:rPr>
        <w:t>年起先后参与长春振兴实业股份有限公司、长春康达医疗器械股份有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限公司的股份制改造及上市工作，曾任董事会秘书、总经济师；</w:t>
      </w:r>
      <w:r>
        <w:rPr>
          <w:rFonts w:ascii="Times New Roman" w:hAnsi="Times New Roman" w:cs="Times New Roman" w:eastAsia="Times New Roman" w:hint="default"/>
          <w:sz w:val="18"/>
          <w:szCs w:val="18"/>
        </w:rPr>
        <w:t>1999</w:t>
      </w:r>
      <w:r>
        <w:rPr>
          <w:rFonts w:ascii="宋体" w:hAnsi="宋体" w:cs="宋体" w:eastAsia="宋体" w:hint="default"/>
          <w:sz w:val="18"/>
          <w:szCs w:val="18"/>
        </w:rPr>
        <w:t>年起任长春燃气股份有限公司董事、证券投资部经理， </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月历任本公司董事、副总经理、董事会秘书，现任本公司第五届监事会主席。</w:t>
      </w:r>
    </w:p>
    <w:p>
      <w:pPr>
        <w:spacing w:after="0" w:line="30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line="300" w:lineRule="auto" w:before="44"/>
        <w:ind w:left="153" w:right="1131" w:firstLine="289"/>
        <w:jc w:val="both"/>
        <w:rPr>
          <w:rFonts w:ascii="宋体" w:hAnsi="宋体" w:cs="宋体" w:eastAsia="宋体" w:hint="default"/>
          <w:sz w:val="18"/>
          <w:szCs w:val="18"/>
        </w:rPr>
      </w:pPr>
      <w:r>
        <w:rPr>
          <w:rFonts w:ascii="宋体" w:hAnsi="宋体" w:cs="宋体" w:eastAsia="宋体" w:hint="default"/>
          <w:b/>
          <w:bCs/>
          <w:spacing w:val="-1"/>
          <w:sz w:val="18"/>
          <w:szCs w:val="18"/>
        </w:rPr>
        <w:t>张广杰</w:t>
      </w:r>
      <w:r>
        <w:rPr>
          <w:rFonts w:ascii="宋体" w:hAnsi="宋体" w:cs="宋体" w:eastAsia="宋体" w:hint="default"/>
          <w:spacing w:val="-1"/>
          <w:sz w:val="18"/>
          <w:szCs w:val="18"/>
        </w:rPr>
        <w:t>，男，出生于</w:t>
      </w:r>
      <w:r>
        <w:rPr>
          <w:rFonts w:ascii="Times New Roman" w:hAnsi="Times New Roman" w:cs="Times New Roman" w:eastAsia="Times New Roman" w:hint="default"/>
          <w:spacing w:val="-1"/>
          <w:sz w:val="18"/>
          <w:szCs w:val="18"/>
        </w:rPr>
        <w:t>1960</w:t>
      </w:r>
      <w:r>
        <w:rPr>
          <w:rFonts w:ascii="宋体" w:hAnsi="宋体" w:cs="宋体" w:eastAsia="宋体" w:hint="default"/>
          <w:spacing w:val="-1"/>
          <w:sz w:val="18"/>
          <w:szCs w:val="18"/>
        </w:rPr>
        <w:t>年，毕业于首都师范大学数学系，先后就职于航天工业部第二研究院二零七所、北京香格里拉</w:t>
      </w:r>
      <w:r>
        <w:rPr>
          <w:rFonts w:ascii="宋体" w:hAnsi="宋体" w:cs="宋体" w:eastAsia="宋体" w:hint="default"/>
          <w:sz w:val="18"/>
          <w:szCs w:val="18"/>
        </w:rPr>
        <w:t> </w:t>
      </w:r>
      <w:r>
        <w:rPr>
          <w:rFonts w:ascii="宋体" w:hAnsi="宋体" w:cs="宋体" w:eastAsia="宋体" w:hint="default"/>
          <w:spacing w:val="-2"/>
          <w:sz w:val="18"/>
          <w:szCs w:val="18"/>
        </w:rPr>
        <w:t>大饭店，任助理工程师、电脑部经理。自</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年起在北京中长石基信息技术股份有限公司就职，现任本公司第五届监事会监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事。</w:t>
      </w:r>
    </w:p>
    <w:p>
      <w:pPr>
        <w:spacing w:line="240" w:lineRule="auto" w:before="4"/>
        <w:rPr>
          <w:rFonts w:ascii="宋体" w:hAnsi="宋体" w:cs="宋体" w:eastAsia="宋体" w:hint="default"/>
          <w:sz w:val="26"/>
          <w:szCs w:val="26"/>
        </w:rPr>
      </w:pPr>
    </w:p>
    <w:p>
      <w:pPr>
        <w:spacing w:line="300" w:lineRule="auto" w:before="0"/>
        <w:ind w:left="153" w:right="1130" w:firstLine="361"/>
        <w:jc w:val="both"/>
        <w:rPr>
          <w:rFonts w:ascii="宋体" w:hAnsi="宋体" w:cs="宋体" w:eastAsia="宋体" w:hint="default"/>
          <w:sz w:val="18"/>
          <w:szCs w:val="18"/>
        </w:rPr>
      </w:pPr>
      <w:r>
        <w:rPr>
          <w:rFonts w:ascii="宋体" w:hAnsi="宋体" w:cs="宋体" w:eastAsia="宋体" w:hint="default"/>
          <w:b/>
          <w:bCs/>
          <w:spacing w:val="-2"/>
          <w:sz w:val="18"/>
          <w:szCs w:val="18"/>
        </w:rPr>
        <w:t>王淑杰</w:t>
      </w:r>
      <w:r>
        <w:rPr>
          <w:rFonts w:ascii="宋体" w:hAnsi="宋体" w:cs="宋体" w:eastAsia="宋体" w:hint="default"/>
          <w:spacing w:val="-2"/>
          <w:sz w:val="18"/>
          <w:szCs w:val="18"/>
        </w:rPr>
        <w:t>，女，出生于</w:t>
      </w:r>
      <w:r>
        <w:rPr>
          <w:rFonts w:ascii="Times New Roman" w:hAnsi="Times New Roman" w:cs="Times New Roman" w:eastAsia="Times New Roman" w:hint="default"/>
          <w:spacing w:val="-2"/>
          <w:sz w:val="18"/>
          <w:szCs w:val="18"/>
        </w:rPr>
        <w:t>1968</w:t>
      </w:r>
      <w:r>
        <w:rPr>
          <w:rFonts w:ascii="宋体" w:hAnsi="宋体" w:cs="宋体" w:eastAsia="宋体" w:hint="default"/>
          <w:spacing w:val="-2"/>
          <w:sz w:val="18"/>
          <w:szCs w:val="18"/>
        </w:rPr>
        <w:t>年，硕士学位，</w:t>
      </w:r>
      <w:r>
        <w:rPr>
          <w:rFonts w:ascii="Times New Roman" w:hAnsi="Times New Roman" w:cs="Times New Roman" w:eastAsia="Times New Roman" w:hint="default"/>
          <w:spacing w:val="-2"/>
          <w:sz w:val="18"/>
          <w:szCs w:val="18"/>
        </w:rPr>
        <w:t>1991</w:t>
      </w:r>
      <w:r>
        <w:rPr>
          <w:rFonts w:ascii="宋体" w:hAnsi="宋体" w:cs="宋体" w:eastAsia="宋体" w:hint="default"/>
          <w:spacing w:val="-2"/>
          <w:sz w:val="18"/>
          <w:szCs w:val="18"/>
        </w:rPr>
        <w:t>年毕业于北京航空航天大学机械制造专业，获学学士学位。</w:t>
      </w:r>
      <w:r>
        <w:rPr>
          <w:rFonts w:ascii="Times New Roman" w:hAnsi="Times New Roman" w:cs="Times New Roman" w:eastAsia="Times New Roman" w:hint="default"/>
          <w:spacing w:val="-2"/>
          <w:sz w:val="18"/>
          <w:szCs w:val="18"/>
        </w:rPr>
        <w:t>1991</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1994</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年在中国航天工业总公司第二研究院从事机械设计工作，</w:t>
      </w:r>
      <w:r>
        <w:rPr>
          <w:rFonts w:ascii="Times New Roman" w:hAnsi="Times New Roman" w:cs="Times New Roman" w:eastAsia="Times New Roman" w:hint="default"/>
          <w:spacing w:val="-2"/>
          <w:sz w:val="18"/>
          <w:szCs w:val="18"/>
        </w:rPr>
        <w:t>1994</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1997</w:t>
      </w:r>
      <w:r>
        <w:rPr>
          <w:rFonts w:ascii="宋体" w:hAnsi="宋体" w:cs="宋体" w:eastAsia="宋体" w:hint="default"/>
          <w:spacing w:val="-2"/>
          <w:sz w:val="18"/>
          <w:szCs w:val="18"/>
        </w:rPr>
        <w:t>年工作于北京商品交易所，</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年在首都经</w:t>
      </w:r>
      <w:r>
        <w:rPr>
          <w:rFonts w:ascii="宋体" w:hAnsi="宋体" w:cs="宋体" w:eastAsia="宋体" w:hint="default"/>
          <w:spacing w:val="-47"/>
          <w:sz w:val="18"/>
          <w:szCs w:val="18"/>
        </w:rPr>
        <w:t> </w:t>
      </w:r>
      <w:r>
        <w:rPr>
          <w:rFonts w:ascii="宋体" w:hAnsi="宋体" w:cs="宋体" w:eastAsia="宋体" w:hint="default"/>
          <w:spacing w:val="-2"/>
          <w:sz w:val="18"/>
          <w:szCs w:val="18"/>
        </w:rPr>
        <w:t>济贸易大学经济系研究生班学习并毕业，自</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年起就职于本公司，从事客户服务工作。历任本公司第三届、第四届监事会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职工监事。现任本公司第五届监事会职工监事。</w:t>
      </w:r>
    </w:p>
    <w:p>
      <w:pPr>
        <w:spacing w:line="240" w:lineRule="auto" w:before="3"/>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（三）高级管理人员</w:t>
      </w:r>
      <w:r>
        <w:rPr>
          <w:rFonts w:ascii="宋体" w:hAnsi="宋体" w:cs="宋体" w:eastAsia="宋体" w:hint="default"/>
          <w:sz w:val="18"/>
          <w:szCs w:val="18"/>
        </w:rPr>
      </w:r>
    </w:p>
    <w:p>
      <w:pPr>
        <w:spacing w:line="300" w:lineRule="auto" w:before="76"/>
        <w:ind w:left="153" w:right="1132" w:firstLine="293"/>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Kevin</w:t>
      </w:r>
      <w:r>
        <w:rPr>
          <w:rFonts w:ascii="Times New Roman" w:hAnsi="Times New Roman" w:cs="Times New Roman" w:eastAsia="Times New Roman" w:hint="default"/>
          <w:b/>
          <w:bCs/>
          <w:spacing w:val="-24"/>
          <w:sz w:val="18"/>
          <w:szCs w:val="18"/>
        </w:rPr>
        <w:t> </w:t>
      </w:r>
      <w:r>
        <w:rPr>
          <w:rFonts w:ascii="Times New Roman" w:hAnsi="Times New Roman" w:cs="Times New Roman" w:eastAsia="Times New Roman" w:hint="default"/>
          <w:b/>
          <w:bCs/>
          <w:sz w:val="18"/>
          <w:szCs w:val="18"/>
        </w:rPr>
        <w:t>Patrick</w:t>
      </w:r>
      <w:r>
        <w:rPr>
          <w:rFonts w:ascii="Times New Roman" w:hAnsi="Times New Roman" w:cs="Times New Roman" w:eastAsia="Times New Roman" w:hint="default"/>
          <w:b/>
          <w:bCs/>
          <w:spacing w:val="-23"/>
          <w:sz w:val="18"/>
          <w:szCs w:val="18"/>
        </w:rPr>
        <w:t> </w:t>
      </w:r>
      <w:r>
        <w:rPr>
          <w:rFonts w:ascii="Times New Roman" w:hAnsi="Times New Roman" w:cs="Times New Roman" w:eastAsia="Times New Roman" w:hint="default"/>
          <w:b/>
          <w:bCs/>
          <w:sz w:val="18"/>
          <w:szCs w:val="18"/>
        </w:rPr>
        <w:t>King</w:t>
      </w:r>
      <w:r>
        <w:rPr>
          <w:rFonts w:ascii="宋体" w:hAnsi="宋体" w:cs="宋体" w:eastAsia="宋体" w:hint="default"/>
          <w:sz w:val="18"/>
          <w:szCs w:val="18"/>
        </w:rPr>
        <w:t>：中文名：金凯文，男，出生于</w:t>
      </w:r>
      <w:r>
        <w:rPr>
          <w:rFonts w:ascii="Times New Roman" w:hAnsi="Times New Roman" w:cs="Times New Roman" w:eastAsia="Times New Roman" w:hint="default"/>
          <w:sz w:val="18"/>
          <w:szCs w:val="18"/>
        </w:rPr>
        <w:t>1962</w:t>
      </w:r>
      <w:r>
        <w:rPr>
          <w:rFonts w:ascii="宋体" w:hAnsi="宋体" w:cs="宋体" w:eastAsia="宋体" w:hint="default"/>
          <w:sz w:val="18"/>
          <w:szCs w:val="18"/>
        </w:rPr>
        <w:t>年，国籍：澳大利亚，曾任职于</w:t>
      </w:r>
      <w:r>
        <w:rPr>
          <w:rFonts w:ascii="Times New Roman" w:hAnsi="Times New Roman" w:cs="Times New Roman" w:eastAsia="Times New Roman" w:hint="default"/>
          <w:sz w:val="18"/>
          <w:szCs w:val="18"/>
        </w:rPr>
        <w:t>MICROS</w:t>
      </w:r>
      <w:r>
        <w:rPr>
          <w:rFonts w:ascii="宋体" w:hAnsi="宋体" w:cs="宋体" w:eastAsia="宋体" w:hint="default"/>
          <w:sz w:val="18"/>
          <w:szCs w:val="18"/>
        </w:rPr>
        <w:t>公司亚太区副总裁以及 日本公司董事总经理并担任其中国公司和日本公司的法定代表人，现拟任公司首席运营官。</w:t>
      </w:r>
    </w:p>
    <w:p>
      <w:pPr>
        <w:spacing w:line="240" w:lineRule="auto" w:before="3"/>
        <w:rPr>
          <w:rFonts w:ascii="宋体" w:hAnsi="宋体" w:cs="宋体" w:eastAsia="宋体" w:hint="default"/>
          <w:sz w:val="26"/>
          <w:szCs w:val="26"/>
        </w:rPr>
      </w:pPr>
    </w:p>
    <w:p>
      <w:pPr>
        <w:spacing w:line="300" w:lineRule="auto" w:before="0"/>
        <w:ind w:left="153" w:right="1131" w:firstLine="289"/>
        <w:jc w:val="left"/>
        <w:rPr>
          <w:rFonts w:ascii="宋体" w:hAnsi="宋体" w:cs="宋体" w:eastAsia="宋体" w:hint="default"/>
          <w:sz w:val="18"/>
          <w:szCs w:val="18"/>
        </w:rPr>
      </w:pPr>
      <w:r>
        <w:rPr>
          <w:rFonts w:ascii="宋体" w:hAnsi="宋体" w:cs="宋体" w:eastAsia="宋体" w:hint="default"/>
          <w:b/>
          <w:bCs/>
          <w:spacing w:val="-1"/>
          <w:sz w:val="18"/>
          <w:szCs w:val="18"/>
        </w:rPr>
        <w:t>罗志明</w:t>
      </w:r>
      <w:r>
        <w:rPr>
          <w:rFonts w:ascii="宋体" w:hAnsi="宋体" w:cs="宋体" w:eastAsia="宋体" w:hint="default"/>
          <w:spacing w:val="-1"/>
          <w:sz w:val="18"/>
          <w:szCs w:val="18"/>
        </w:rPr>
        <w:t>，男，出生于</w:t>
      </w:r>
      <w:r>
        <w:rPr>
          <w:rFonts w:ascii="Times New Roman" w:hAnsi="Times New Roman" w:cs="Times New Roman" w:eastAsia="Times New Roman" w:hint="default"/>
          <w:spacing w:val="-1"/>
          <w:sz w:val="18"/>
          <w:szCs w:val="18"/>
        </w:rPr>
        <w:t>1964</w:t>
      </w:r>
      <w:r>
        <w:rPr>
          <w:rFonts w:ascii="宋体" w:hAnsi="宋体" w:cs="宋体" w:eastAsia="宋体" w:hint="default"/>
          <w:spacing w:val="-1"/>
          <w:sz w:val="18"/>
          <w:szCs w:val="18"/>
        </w:rPr>
        <w:t>年，学士学位，毕业于北京航空航天大学计算机软件专业。曾先后任职于北京市计算机中心和</w:t>
      </w:r>
      <w:r>
        <w:rPr>
          <w:rFonts w:ascii="宋体" w:hAnsi="宋体" w:cs="宋体" w:eastAsia="宋体" w:hint="default"/>
          <w:sz w:val="18"/>
          <w:szCs w:val="18"/>
        </w:rPr>
        <w:t> 北京王府饭店电脑部。</w:t>
      </w:r>
      <w:r>
        <w:rPr>
          <w:rFonts w:ascii="Times New Roman" w:hAnsi="Times New Roman" w:cs="Times New Roman" w:eastAsia="Times New Roman" w:hint="default"/>
          <w:sz w:val="18"/>
          <w:szCs w:val="18"/>
        </w:rPr>
        <w:t>1992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月担任酒店业资讯系统（</w:t>
      </w:r>
      <w:r>
        <w:rPr>
          <w:rFonts w:ascii="Times New Roman" w:hAnsi="Times New Roman" w:cs="Times New Roman" w:eastAsia="Times New Roman" w:hint="default"/>
          <w:sz w:val="18"/>
          <w:szCs w:val="18"/>
        </w:rPr>
        <w:t>HIS</w:t>
      </w:r>
      <w:r>
        <w:rPr>
          <w:rFonts w:ascii="宋体" w:hAnsi="宋体" w:cs="宋体" w:eastAsia="宋体" w:hint="default"/>
          <w:sz w:val="18"/>
          <w:szCs w:val="18"/>
        </w:rPr>
        <w:t>）北京办事处经理，</w:t>
      </w:r>
      <w:r>
        <w:rPr>
          <w:rFonts w:ascii="Times New Roman" w:hAnsi="Times New Roman" w:cs="Times New Roman" w:eastAsia="Times New Roman" w:hint="default"/>
          <w:sz w:val="18"/>
          <w:szCs w:val="18"/>
        </w:rPr>
        <w:t>1997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月担任 </w:t>
      </w:r>
      <w:r>
        <w:rPr>
          <w:rFonts w:ascii="Times New Roman" w:hAnsi="Times New Roman" w:cs="Times New Roman" w:eastAsia="Times New Roman" w:hint="default"/>
          <w:sz w:val="18"/>
          <w:szCs w:val="18"/>
        </w:rPr>
        <w:t>MICROS-FIDELIO(</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有限公司市场销售总监，</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月就职于本公司，</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月至今担任本公司副总裁。</w:t>
      </w:r>
    </w:p>
    <w:p>
      <w:pPr>
        <w:spacing w:line="240" w:lineRule="auto" w:before="11"/>
        <w:rPr>
          <w:rFonts w:ascii="宋体" w:hAnsi="宋体" w:cs="宋体" w:eastAsia="宋体" w:hint="default"/>
          <w:sz w:val="24"/>
          <w:szCs w:val="24"/>
        </w:rPr>
      </w:pPr>
    </w:p>
    <w:p>
      <w:pPr>
        <w:spacing w:line="300" w:lineRule="auto" w:before="0"/>
        <w:ind w:left="153" w:right="1130" w:firstLine="289"/>
        <w:jc w:val="both"/>
        <w:rPr>
          <w:rFonts w:ascii="宋体" w:hAnsi="宋体" w:cs="宋体" w:eastAsia="宋体" w:hint="default"/>
          <w:sz w:val="18"/>
          <w:szCs w:val="18"/>
        </w:rPr>
      </w:pPr>
      <w:r>
        <w:rPr>
          <w:rFonts w:ascii="宋体" w:hAnsi="宋体" w:cs="宋体" w:eastAsia="宋体" w:hint="default"/>
          <w:b/>
          <w:bCs/>
          <w:spacing w:val="-2"/>
          <w:sz w:val="18"/>
          <w:szCs w:val="18"/>
        </w:rPr>
        <w:t>关东玉</w:t>
      </w:r>
      <w:r>
        <w:rPr>
          <w:rFonts w:ascii="宋体" w:hAnsi="宋体" w:cs="宋体" w:eastAsia="宋体" w:hint="default"/>
          <w:spacing w:val="-2"/>
          <w:sz w:val="18"/>
          <w:szCs w:val="18"/>
        </w:rPr>
        <w:t>，男，出生于</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年，中国公民，学士学位，毕业于国防科技大学电子技术系。</w:t>
      </w:r>
      <w:r>
        <w:rPr>
          <w:rFonts w:ascii="Times New Roman" w:hAnsi="Times New Roman" w:cs="Times New Roman" w:eastAsia="Times New Roman" w:hint="default"/>
          <w:spacing w:val="-2"/>
          <w:sz w:val="18"/>
          <w:szCs w:val="18"/>
        </w:rPr>
        <w:t>1984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-1988</w:t>
      </w:r>
      <w:r>
        <w:rPr>
          <w:rFonts w:ascii="宋体" w:hAnsi="宋体" w:cs="宋体" w:eastAsia="宋体" w:hint="default"/>
          <w:spacing w:val="-2"/>
          <w:sz w:val="18"/>
          <w:szCs w:val="18"/>
        </w:rPr>
        <w:t>年任职于空军科研部</w:t>
      </w:r>
      <w:r>
        <w:rPr>
          <w:rFonts w:ascii="宋体" w:hAnsi="宋体" w:cs="宋体" w:eastAsia="宋体" w:hint="default"/>
          <w:sz w:val="18"/>
          <w:szCs w:val="18"/>
        </w:rPr>
        <w:t> </w:t>
      </w:r>
      <w:r>
        <w:rPr>
          <w:rFonts w:ascii="宋体" w:hAnsi="宋体" w:cs="宋体" w:eastAsia="宋体" w:hint="default"/>
          <w:spacing w:val="-2"/>
          <w:sz w:val="18"/>
          <w:szCs w:val="18"/>
        </w:rPr>
        <w:t>某研究所，</w:t>
      </w:r>
      <w:r>
        <w:rPr>
          <w:rFonts w:ascii="Times New Roman" w:hAnsi="Times New Roman" w:cs="Times New Roman" w:eastAsia="Times New Roman" w:hint="default"/>
          <w:spacing w:val="-2"/>
          <w:sz w:val="18"/>
          <w:szCs w:val="18"/>
        </w:rPr>
        <w:t>1988</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1997</w:t>
      </w:r>
      <w:r>
        <w:rPr>
          <w:rFonts w:ascii="宋体" w:hAnsi="宋体" w:cs="宋体" w:eastAsia="宋体" w:hint="default"/>
          <w:spacing w:val="-2"/>
          <w:sz w:val="18"/>
          <w:szCs w:val="18"/>
        </w:rPr>
        <w:t>年期间先后任北京丽都假日酒店电脑部工程师、香港锦标公司工程师及中国区经理、香港鑫宇公司</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中国区经理。</w:t>
      </w:r>
      <w:r>
        <w:rPr>
          <w:rFonts w:ascii="Times New Roman" w:hAnsi="Times New Roman" w:cs="Times New Roman" w:eastAsia="Times New Roman" w:hint="default"/>
          <w:spacing w:val="-2"/>
          <w:sz w:val="18"/>
          <w:szCs w:val="18"/>
        </w:rPr>
        <w:t>1997</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年任香港现化电脑系统有限公司中国区副总经理、香港现化电脑系统有限公司北京代表处首席代</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表，</w:t>
      </w:r>
      <w:r>
        <w:rPr>
          <w:rFonts w:ascii="Times New Roman" w:hAnsi="Times New Roman" w:cs="Times New Roman" w:eastAsia="Times New Roman" w:hint="default"/>
          <w:sz w:val="18"/>
          <w:szCs w:val="18"/>
        </w:rPr>
        <w:t>2008</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月任现化电脑系统（北京）有限公司副总裁，</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月至今担任公司副总裁。</w:t>
      </w:r>
    </w:p>
    <w:p>
      <w:pPr>
        <w:spacing w:line="240" w:lineRule="auto" w:before="11"/>
        <w:rPr>
          <w:rFonts w:ascii="宋体" w:hAnsi="宋体" w:cs="宋体" w:eastAsia="宋体" w:hint="default"/>
          <w:sz w:val="24"/>
          <w:szCs w:val="24"/>
        </w:rPr>
      </w:pPr>
    </w:p>
    <w:p>
      <w:pPr>
        <w:spacing w:line="300" w:lineRule="auto" w:before="0"/>
        <w:ind w:left="153" w:right="1130" w:firstLine="289"/>
        <w:jc w:val="both"/>
        <w:rPr>
          <w:rFonts w:ascii="宋体" w:hAnsi="宋体" w:cs="宋体" w:eastAsia="宋体" w:hint="default"/>
          <w:sz w:val="18"/>
          <w:szCs w:val="18"/>
        </w:rPr>
      </w:pPr>
      <w:r>
        <w:rPr>
          <w:rFonts w:ascii="宋体" w:hAnsi="宋体" w:cs="宋体" w:eastAsia="宋体" w:hint="default"/>
          <w:b/>
          <w:bCs/>
          <w:spacing w:val="-2"/>
          <w:sz w:val="18"/>
          <w:szCs w:val="18"/>
        </w:rPr>
        <w:t>王敏敏</w:t>
      </w:r>
      <w:r>
        <w:rPr>
          <w:rFonts w:ascii="宋体" w:hAnsi="宋体" w:cs="宋体" w:eastAsia="宋体" w:hint="default"/>
          <w:spacing w:val="-2"/>
          <w:sz w:val="18"/>
          <w:szCs w:val="18"/>
        </w:rPr>
        <w:t>，女，出生于</w:t>
      </w:r>
      <w:r>
        <w:rPr>
          <w:rFonts w:ascii="Times New Roman" w:hAnsi="Times New Roman" w:cs="Times New Roman" w:eastAsia="Times New Roman" w:hint="default"/>
          <w:spacing w:val="-2"/>
          <w:sz w:val="18"/>
          <w:szCs w:val="18"/>
        </w:rPr>
        <w:t>1962</w:t>
      </w:r>
      <w:r>
        <w:rPr>
          <w:rFonts w:ascii="宋体" w:hAnsi="宋体" w:cs="宋体" w:eastAsia="宋体" w:hint="default"/>
          <w:spacing w:val="-2"/>
          <w:sz w:val="18"/>
          <w:szCs w:val="18"/>
        </w:rPr>
        <w:t>年，中国公民，学士学位，</w:t>
      </w:r>
      <w:r>
        <w:rPr>
          <w:rFonts w:ascii="Times New Roman" w:hAnsi="Times New Roman" w:cs="Times New Roman" w:eastAsia="Times New Roman" w:hint="default"/>
          <w:spacing w:val="-2"/>
          <w:sz w:val="18"/>
          <w:szCs w:val="18"/>
        </w:rPr>
        <w:t>1983</w:t>
      </w:r>
      <w:r>
        <w:rPr>
          <w:rFonts w:ascii="宋体" w:hAnsi="宋体" w:cs="宋体" w:eastAsia="宋体" w:hint="default"/>
          <w:spacing w:val="-2"/>
          <w:sz w:val="18"/>
          <w:szCs w:val="18"/>
        </w:rPr>
        <w:t>年毕业于东北大学计算机科学系。</w:t>
      </w:r>
      <w:r>
        <w:rPr>
          <w:rFonts w:ascii="Times New Roman" w:hAnsi="Times New Roman" w:cs="Times New Roman" w:eastAsia="Times New Roman" w:hint="default"/>
          <w:spacing w:val="-2"/>
          <w:sz w:val="18"/>
          <w:szCs w:val="18"/>
        </w:rPr>
        <w:t>1983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-1997</w:t>
      </w:r>
      <w:r>
        <w:rPr>
          <w:rFonts w:ascii="宋体" w:hAnsi="宋体" w:cs="宋体" w:eastAsia="宋体" w:hint="default"/>
          <w:spacing w:val="-2"/>
          <w:sz w:val="18"/>
          <w:szCs w:val="18"/>
        </w:rPr>
        <w:t>年任职于浙江省</w:t>
      </w:r>
      <w:r>
        <w:rPr>
          <w:rFonts w:ascii="宋体" w:hAnsi="宋体" w:cs="宋体" w:eastAsia="宋体" w:hint="default"/>
          <w:sz w:val="18"/>
          <w:szCs w:val="18"/>
        </w:rPr>
        <w:t> 计算技术研究所，</w:t>
      </w:r>
      <w:r>
        <w:rPr>
          <w:rFonts w:ascii="Times New Roman" w:hAnsi="Times New Roman" w:cs="Times New Roman" w:eastAsia="Times New Roman" w:hint="default"/>
          <w:sz w:val="18"/>
          <w:szCs w:val="18"/>
        </w:rPr>
        <w:t>1998</w:t>
      </w:r>
      <w:r>
        <w:rPr>
          <w:rFonts w:ascii="宋体" w:hAnsi="宋体" w:cs="宋体" w:eastAsia="宋体" w:hint="default"/>
          <w:sz w:val="18"/>
          <w:szCs w:val="18"/>
        </w:rPr>
        <w:t>年至今先后任杭州西软科技有限公司常务副总经理、总经理。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月至今担任本公司副总裁。</w:t>
      </w:r>
    </w:p>
    <w:p>
      <w:pPr>
        <w:spacing w:line="240" w:lineRule="auto" w:before="11"/>
        <w:rPr>
          <w:rFonts w:ascii="宋体" w:hAnsi="宋体" w:cs="宋体" w:eastAsia="宋体" w:hint="default"/>
          <w:sz w:val="24"/>
          <w:szCs w:val="24"/>
        </w:rPr>
      </w:pPr>
    </w:p>
    <w:p>
      <w:pPr>
        <w:spacing w:line="300" w:lineRule="auto" w:before="0"/>
        <w:ind w:left="153" w:right="1131" w:firstLine="289"/>
        <w:jc w:val="both"/>
        <w:rPr>
          <w:rFonts w:ascii="宋体" w:hAnsi="宋体" w:cs="宋体" w:eastAsia="宋体" w:hint="default"/>
          <w:sz w:val="18"/>
          <w:szCs w:val="18"/>
        </w:rPr>
      </w:pPr>
      <w:r>
        <w:rPr>
          <w:rFonts w:ascii="宋体" w:hAnsi="宋体" w:cs="宋体" w:eastAsia="宋体" w:hint="default"/>
          <w:b/>
          <w:bCs/>
          <w:sz w:val="18"/>
          <w:szCs w:val="18"/>
        </w:rPr>
        <w:t>罗</w:t>
      </w:r>
      <w:r>
        <w:rPr>
          <w:rFonts w:ascii="宋体" w:hAnsi="宋体" w:cs="宋体" w:eastAsia="宋体" w:hint="default"/>
          <w:b/>
          <w:bCs/>
          <w:spacing w:val="61"/>
          <w:sz w:val="18"/>
          <w:szCs w:val="18"/>
        </w:rPr>
        <w:t> </w:t>
      </w:r>
      <w:r>
        <w:rPr>
          <w:rFonts w:ascii="宋体" w:hAnsi="宋体" w:cs="宋体" w:eastAsia="宋体" w:hint="default"/>
          <w:b/>
          <w:bCs/>
          <w:sz w:val="18"/>
          <w:szCs w:val="18"/>
        </w:rPr>
        <w:t>芳</w:t>
      </w:r>
      <w:r>
        <w:rPr>
          <w:rFonts w:ascii="宋体" w:hAnsi="宋体" w:cs="宋体" w:eastAsia="宋体" w:hint="default"/>
          <w:sz w:val="18"/>
          <w:szCs w:val="18"/>
        </w:rPr>
        <w:t>，女，出生于</w:t>
      </w:r>
      <w:r>
        <w:rPr>
          <w:rFonts w:ascii="Times New Roman" w:hAnsi="Times New Roman" w:cs="Times New Roman" w:eastAsia="Times New Roman" w:hint="default"/>
          <w:sz w:val="18"/>
          <w:szCs w:val="18"/>
        </w:rPr>
        <w:t>1978</w:t>
      </w:r>
      <w:r>
        <w:rPr>
          <w:rFonts w:ascii="宋体" w:hAnsi="宋体" w:cs="宋体" w:eastAsia="宋体" w:hint="default"/>
          <w:sz w:val="18"/>
          <w:szCs w:val="18"/>
        </w:rPr>
        <w:t>年，中国公民，理学、经济学双学士，副研究员。毕业于北京大学技术物理系应用化学专业、 </w:t>
      </w:r>
      <w:r>
        <w:rPr>
          <w:rFonts w:ascii="宋体" w:hAnsi="宋体" w:cs="宋体" w:eastAsia="宋体" w:hint="default"/>
          <w:spacing w:val="-2"/>
          <w:sz w:val="18"/>
          <w:szCs w:val="18"/>
        </w:rPr>
        <w:t>北京大学中国经济研究中心经济学专业。</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月就职于中国核科技信息与经济研究院，从事核科技情报研究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工作。</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月至今担任本公司副总裁、董事会秘书。</w:t>
      </w:r>
    </w:p>
    <w:p>
      <w:pPr>
        <w:spacing w:before="53"/>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349"/>
        <w:gridCol w:w="1770"/>
        <w:gridCol w:w="82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98" w:right="38"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4" w:right="4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郑大立</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上海易积通电子商务有限公司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郑大立</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上海唯图投资管理有限公司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执行董事、法定 代表人</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上海科惠价值投资管理有限公司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上海科祥股权投资中心（有限合伙）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索通发展股份有限公司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华新绿源环保股份有限公司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349"/>
        <w:gridCol w:w="1770"/>
        <w:gridCol w:w="82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北京北纬通信科技股份有限公司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伟本智能机电（上海）股份有限公司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阎丽明</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 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副主任会计师</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北京广学文化教育开发中心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1"/>
      <w:bookmarkEnd w:id="121"/>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68" w:lineRule="auto" w:before="89"/>
        <w:ind w:right="0" w:firstLine="420"/>
        <w:jc w:val="left"/>
      </w:pPr>
      <w:r>
        <w:rPr>
          <w:rFonts w:ascii="Times New Roman" w:hAnsi="Times New Roman" w:cs="Times New Roman" w:eastAsia="Times New Roman" w:hint="default"/>
        </w:rPr>
        <w:t>1</w:t>
      </w:r>
      <w:r>
        <w:rPr/>
        <w:t>、董事、监事、高级管理人员报酬的决策程序：公司设立董事会薪酬委员会，负责公司董事、监事 </w:t>
      </w:r>
      <w:r>
        <w:rPr>
          <w:spacing w:val="-1"/>
        </w:rPr>
        <w:t>和高级管理人员的薪酬考核工作。根据公司《董事会薪酬委员会工作细则》的规定，薪酬委员会提出公司</w:t>
      </w:r>
      <w:r>
        <w:rPr>
          <w:spacing w:val="-86"/>
        </w:rPr>
        <w:t> </w:t>
      </w:r>
      <w:r>
        <w:rPr>
          <w:spacing w:val="-86"/>
        </w:rPr>
      </w:r>
      <w:r>
        <w:rPr>
          <w:spacing w:val="-1"/>
        </w:rPr>
        <w:t>董事的薪酬政策、计划和方案报经董事会同意后，提交股东大会审议通过后方可实施；公司经理人员的薪</w:t>
      </w:r>
      <w:r>
        <w:rPr>
          <w:spacing w:val="-83"/>
        </w:rPr>
        <w:t> </w:t>
      </w:r>
      <w:r>
        <w:rPr>
          <w:spacing w:val="-83"/>
        </w:rPr>
      </w:r>
      <w:r>
        <w:rPr/>
        <w:t>酬分配方案报经董事会批准。独立董事津贴标准由本公司股东大会决议通过。</w:t>
      </w:r>
    </w:p>
    <w:p>
      <w:pPr>
        <w:pStyle w:val="BodyText"/>
        <w:spacing w:line="259" w:lineRule="auto" w:before="51"/>
        <w:ind w:right="1198" w:firstLine="420"/>
        <w:jc w:val="left"/>
      </w:pPr>
      <w:r>
        <w:rPr>
          <w:rFonts w:ascii="Times New Roman" w:hAnsi="Times New Roman" w:cs="Times New Roman" w:eastAsia="Times New Roman" w:hint="default"/>
        </w:rPr>
        <w:t>2</w:t>
      </w:r>
      <w:r>
        <w:rPr/>
        <w:t>、高级管理人员报酬确定依据：公司高级管理人员的报酬根据公司《高级管人员薪酬考核制度》的 规定执行。</w:t>
      </w:r>
    </w:p>
    <w:p>
      <w:pPr>
        <w:pStyle w:val="BodyText"/>
        <w:spacing w:line="259" w:lineRule="auto" w:before="58"/>
        <w:ind w:left="154" w:right="1197" w:firstLine="420"/>
        <w:jc w:val="left"/>
      </w:pPr>
      <w:r>
        <w:rPr>
          <w:rFonts w:ascii="Times New Roman" w:hAnsi="Times New Roman" w:cs="Times New Roman" w:eastAsia="Times New Roman" w:hint="default"/>
        </w:rPr>
        <w:t>3</w:t>
      </w:r>
      <w:r>
        <w:rPr/>
        <w:t>、董事、监事、高级管理人员报酬实际支付情况：</w:t>
      </w:r>
      <w:r>
        <w:rPr>
          <w:rFonts w:ascii="Times New Roman" w:hAnsi="Times New Roman" w:cs="Times New Roman" w:eastAsia="Times New Roman" w:hint="default"/>
        </w:rPr>
        <w:t>2015</w:t>
      </w:r>
      <w:r>
        <w:rPr/>
        <w:t>年度公司实际支付董事、监事、高级管理人 员的薪酬合计为</w:t>
      </w:r>
      <w:r>
        <w:rPr>
          <w:rFonts w:ascii="Times New Roman" w:hAnsi="Times New Roman" w:cs="Times New Roman" w:eastAsia="Times New Roman" w:hint="default"/>
        </w:rPr>
        <w:t>532.2</w:t>
      </w:r>
      <w:r>
        <w:rPr/>
        <w:t>万元；其中独立董事年度津贴为</w:t>
      </w:r>
      <w:r>
        <w:rPr>
          <w:rFonts w:ascii="Times New Roman" w:hAnsi="Times New Roman" w:cs="Times New Roman" w:eastAsia="Times New Roman" w:hint="default"/>
        </w:rPr>
        <w:t>5</w:t>
      </w:r>
      <w:r>
        <w:rPr/>
        <w:t>万元</w:t>
      </w:r>
      <w:r>
        <w:rPr>
          <w:rFonts w:ascii="Times New Roman" w:hAnsi="Times New Roman" w:cs="Times New Roman" w:eastAsia="Times New Roman" w:hint="default"/>
        </w:rPr>
        <w:t>/</w:t>
      </w:r>
      <w:r>
        <w:rPr/>
        <w:t>年。</w:t>
      </w:r>
    </w:p>
    <w:p>
      <w:pPr>
        <w:spacing w:line="240" w:lineRule="auto" w:before="10"/>
        <w:rPr>
          <w:rFonts w:ascii="宋体" w:hAnsi="宋体" w:cs="宋体" w:eastAsia="宋体" w:hint="default"/>
          <w:sz w:val="28"/>
          <w:szCs w:val="2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3167"/>
        <w:gridCol w:w="709"/>
        <w:gridCol w:w="709"/>
        <w:gridCol w:w="883"/>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赖德源</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董事、副总裁、财务总监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郑大立</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阎丽明</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38"/>
              <w:jc w:val="left"/>
              <w:rPr>
                <w:rFonts w:ascii="Times New Roman" w:hAnsi="Times New Roman" w:cs="Times New Roman" w:eastAsia="Times New Roman" w:hint="default"/>
                <w:sz w:val="18"/>
                <w:szCs w:val="18"/>
              </w:rPr>
            </w:pPr>
            <w:r>
              <w:rPr>
                <w:rFonts w:ascii="Times New Roman"/>
                <w:sz w:val="18"/>
              </w:rPr>
              <w:t>Kevin Patrick</w:t>
            </w:r>
            <w:r>
              <w:rPr>
                <w:rFonts w:ascii="Times New Roman"/>
                <w:w w:val="99"/>
                <w:sz w:val="18"/>
              </w:rPr>
              <w:t> </w:t>
            </w:r>
            <w:r>
              <w:rPr>
                <w:rFonts w:ascii="Times New Roman"/>
                <w:sz w:val="18"/>
              </w:rPr>
              <w:t>King</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罗志明</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关东玉</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王敏敏</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  芳</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3167"/>
        <w:gridCol w:w="709"/>
        <w:gridCol w:w="709"/>
        <w:gridCol w:w="883"/>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  明</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张广杰</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王淑杰</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2"/>
      <w:bookmarkEnd w:id="12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员工数量、专业构成及教育程度" w:id="123"/>
      <w:bookmarkEnd w:id="12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1,801</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4"/>
      <w:bookmarkEnd w:id="12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154" w:right="0" w:firstLine="336"/>
        <w:jc w:val="left"/>
      </w:pPr>
      <w:r>
        <w:rPr>
          <w:spacing w:val="-1"/>
        </w:rPr>
        <w:t>公司充分贯彻</w:t>
      </w:r>
      <w:r>
        <w:rPr>
          <w:rFonts w:ascii="Times New Roman" w:hAnsi="Times New Roman" w:cs="Times New Roman" w:eastAsia="Times New Roman" w:hint="default"/>
          <w:spacing w:val="-1"/>
        </w:rPr>
        <w:t>“</w:t>
      </w:r>
      <w:r>
        <w:rPr>
          <w:spacing w:val="-1"/>
        </w:rPr>
        <w:t>帮助员工成功</w:t>
      </w:r>
      <w:r>
        <w:rPr>
          <w:rFonts w:ascii="Times New Roman" w:hAnsi="Times New Roman" w:cs="Times New Roman" w:eastAsia="Times New Roman" w:hint="default"/>
          <w:spacing w:val="-1"/>
        </w:rPr>
        <w:t>”</w:t>
      </w:r>
      <w:r>
        <w:rPr>
          <w:spacing w:val="-1"/>
        </w:rPr>
        <w:t>的理念，秉承个人价值与薪酬体系紧密结合的原则，根据员工岗位职责、</w:t>
      </w:r>
      <w:r>
        <w:rPr/>
        <w:t> 工作表现、市场状况、政府有关规定等因素综合确定员工薪酬，使员工实现自身最大的潜在价值，持续提</w:t>
      </w:r>
    </w:p>
    <w:p>
      <w:pPr>
        <w:spacing w:after="0" w:line="256" w:lineRule="auto"/>
        <w:jc w:val="left"/>
        <w:sectPr>
          <w:pgSz w:w="11910" w:h="16840"/>
          <w:pgMar w:header="0"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高自身的专业技术和管理水平，不断开拓更大的发展空间。</w:t>
      </w:r>
    </w:p>
    <w:p>
      <w:pPr>
        <w:pStyle w:val="BodyText"/>
        <w:spacing w:line="590" w:lineRule="atLeast" w:before="39"/>
        <w:ind w:left="490" w:right="1118" w:hanging="336"/>
        <w:jc w:val="left"/>
      </w:pPr>
      <w:bookmarkStart w:name="3、培训计划" w:id="125"/>
      <w:bookmarkEnd w:id="125"/>
      <w:r>
        <w:rPr/>
      </w:r>
      <w:r>
        <w:rPr>
          <w:rFonts w:ascii="Times New Roman" w:hAnsi="Times New Roman" w:cs="Times New Roman" w:eastAsia="Times New Roman" w:hint="default"/>
          <w:b/>
          <w:bCs/>
        </w:rPr>
        <w:t>3</w:t>
      </w:r>
      <w:r>
        <w:rPr>
          <w:rFonts w:ascii="宋体" w:hAnsi="宋体" w:cs="宋体" w:eastAsia="宋体" w:hint="default"/>
          <w:b/>
          <w:bCs/>
        </w:rPr>
        <w:t>、培训计划</w:t>
      </w:r>
      <w:r>
        <w:rPr>
          <w:rFonts w:ascii="宋体" w:hAnsi="宋体" w:cs="宋体" w:eastAsia="宋体" w:hint="default"/>
          <w:b/>
          <w:bCs/>
          <w:w w:val="99"/>
        </w:rPr>
        <w:t> </w:t>
      </w:r>
      <w:r>
        <w:rPr/>
        <w:t>公司高度重视员工培训，旨在为企业发展提供合理的人才梯队及软性保障。为了鼓励员工持续进步，</w:t>
      </w:r>
    </w:p>
    <w:p>
      <w:pPr>
        <w:pStyle w:val="BodyText"/>
        <w:spacing w:line="273" w:lineRule="auto" w:before="37"/>
        <w:ind w:left="154" w:right="1131"/>
        <w:jc w:val="both"/>
      </w:pPr>
      <w:r>
        <w:rPr>
          <w:spacing w:val="-1"/>
        </w:rPr>
        <w:t>提升员工职业技能、岗位胜任能力及综合素质，公司将培训划分为内部培训、外部培训两大类。内部培训</w:t>
      </w:r>
      <w:r>
        <w:rPr>
          <w:spacing w:val="-86"/>
        </w:rPr>
        <w:t> </w:t>
      </w:r>
      <w:r>
        <w:rPr>
          <w:spacing w:val="-86"/>
        </w:rPr>
      </w:r>
      <w:r>
        <w:rPr>
          <w:spacing w:val="-1"/>
        </w:rPr>
        <w:t>包括入职培训、技术业务培训及部门间培训等；外部培训包括国家有关部门组织的各种培训，企业经理人</w:t>
      </w:r>
      <w:r>
        <w:rPr>
          <w:spacing w:val="-83"/>
        </w:rPr>
        <w:t> </w:t>
      </w:r>
      <w:r>
        <w:rPr>
          <w:spacing w:val="-83"/>
        </w:rPr>
      </w:r>
      <w:r>
        <w:rPr/>
        <w:t>培训等。</w:t>
      </w:r>
    </w:p>
    <w:p>
      <w:pPr>
        <w:spacing w:line="240" w:lineRule="auto" w:before="6"/>
        <w:rPr>
          <w:rFonts w:ascii="宋体" w:hAnsi="宋体" w:cs="宋体" w:eastAsia="宋体" w:hint="default"/>
          <w:sz w:val="23"/>
          <w:szCs w:val="23"/>
        </w:rPr>
      </w:pPr>
    </w:p>
    <w:p>
      <w:pPr>
        <w:pStyle w:val="Heading4"/>
        <w:spacing w:line="240" w:lineRule="auto"/>
        <w:ind w:left="153" w:right="0"/>
        <w:jc w:val="both"/>
        <w:rPr>
          <w:b w:val="0"/>
          <w:bCs w:val="0"/>
        </w:rPr>
      </w:pPr>
      <w:bookmarkStart w:name="4、劳务外包情况" w:id="126"/>
      <w:bookmarkEnd w:id="12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第九节 公司治理" w:id="127"/>
      <w:bookmarkEnd w:id="127"/>
      <w:r>
        <w:rPr>
          <w:b w:val="0"/>
          <w:bCs w:val="0"/>
        </w:rPr>
      </w:r>
      <w:bookmarkStart w:name="_bookmark7" w:id="128"/>
      <w:bookmarkEnd w:id="12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29"/>
      <w:bookmarkEnd w:id="12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033" w:firstLine="290"/>
        <w:jc w:val="left"/>
        <w:rPr>
          <w:rFonts w:ascii="宋体" w:hAnsi="宋体" w:cs="宋体" w:eastAsia="宋体" w:hint="default"/>
          <w:sz w:val="18"/>
          <w:szCs w:val="18"/>
        </w:rPr>
      </w:pPr>
      <w:r>
        <w:rPr>
          <w:rFonts w:ascii="宋体" w:hAnsi="宋体" w:cs="宋体" w:eastAsia="宋体" w:hint="default"/>
          <w:sz w:val="18"/>
          <w:szCs w:val="18"/>
        </w:rPr>
        <w:t>报告期内，根据新修订的《公司法》、《证券法》、《深圳证券交易所股票上市规则》、《深圳证券交易所中小企业板 </w:t>
      </w:r>
      <w:r>
        <w:rPr>
          <w:rFonts w:ascii="宋体" w:hAnsi="宋体" w:cs="宋体" w:eastAsia="宋体" w:hint="default"/>
          <w:spacing w:val="-4"/>
          <w:sz w:val="18"/>
          <w:szCs w:val="18"/>
        </w:rPr>
        <w:t>上市公司规范运作指引》等多部法律法规及部门规章，公司进行了内部治理的改进与提升，通过不断完善公司法人治理结构，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建立健全内部管理和控制制度，达到规范公司运作，提高公司治理水平的最终目标。目前公司结合自身经营特点，已建立较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为完整的涵盖经营管理、财务管理、信息披露等内容的内部控制制度，同时形成了股东会，董事会、监事会、经理层之间权</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责分明、各司其职、有效制衡、科学决策、协调运作的公司治理结构，尤其对公司报告期内发生的重大事项进行严格审议， 提高重大事项决策的规范运作水平。</w:t>
      </w:r>
    </w:p>
    <w:p>
      <w:pPr>
        <w:spacing w:line="309" w:lineRule="auto" w:before="19"/>
        <w:ind w:left="444" w:right="1118" w:firstLine="0"/>
        <w:jc w:val="left"/>
        <w:rPr>
          <w:rFonts w:ascii="宋体" w:hAnsi="宋体" w:cs="宋体" w:eastAsia="宋体" w:hint="default"/>
          <w:sz w:val="18"/>
          <w:szCs w:val="18"/>
        </w:rPr>
      </w:pPr>
      <w:r>
        <w:rPr>
          <w:rFonts w:ascii="宋体" w:hAnsi="宋体" w:cs="宋体" w:eastAsia="宋体" w:hint="default"/>
          <w:sz w:val="18"/>
          <w:szCs w:val="18"/>
        </w:rPr>
        <w:t>截至报告期末，本公司治理实际情况符合中国证监会发布的有关上市公司治理的规范性文件的要求。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、关于股东与股东大会</w:t>
      </w:r>
      <w:r>
        <w:rPr>
          <w:rFonts w:ascii="宋体" w:hAnsi="宋体" w:cs="宋体" w:eastAsia="宋体" w:hint="default"/>
          <w:b/>
          <w:bCs/>
          <w:w w:val="99"/>
          <w:sz w:val="18"/>
          <w:szCs w:val="18"/>
        </w:rPr>
        <w:t> </w:t>
      </w:r>
      <w:r>
        <w:rPr>
          <w:rFonts w:ascii="宋体" w:hAnsi="宋体" w:cs="宋体" w:eastAsia="宋体" w:hint="default"/>
          <w:spacing w:val="-1"/>
          <w:sz w:val="18"/>
          <w:szCs w:val="18"/>
        </w:rPr>
        <w:t>本公司严格按照《公司法》、《上市公司股东大会规则》、《公司章程》和《股东大会议事规则》等法律、法规及制度</w:t>
      </w:r>
    </w:p>
    <w:p>
      <w:pPr>
        <w:spacing w:line="316" w:lineRule="auto" w:before="24"/>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的要求，召集、召开股东大会，谨慎审议包括年度报告、非公开发行股票等重大事项；通过严格执行修订后的《深圳证券交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易所上市公司股东大会网络投票实施细则》，完善公司股东大会网络投票机制；对影响中小投资者利益的重大事项实行表决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单独计票，充分保障中小投资者股东权益；同时公司在股东大会召开期间，安排股东与管理层交流时间，能够确保所有股东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享有平等地位，充分行使自己的权利。</w:t>
      </w:r>
    </w:p>
    <w:p>
      <w:pPr>
        <w:spacing w:line="300" w:lineRule="auto" w:before="19"/>
        <w:ind w:left="444" w:right="0" w:firstLine="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、关于控股股东与上市公司的关系</w:t>
      </w:r>
      <w:r>
        <w:rPr>
          <w:rFonts w:ascii="宋体" w:hAnsi="宋体" w:cs="宋体" w:eastAsia="宋体" w:hint="default"/>
          <w:b/>
          <w:bCs/>
          <w:w w:val="99"/>
          <w:sz w:val="18"/>
          <w:szCs w:val="18"/>
        </w:rPr>
        <w:t> </w:t>
      </w:r>
      <w:r>
        <w:rPr>
          <w:rFonts w:ascii="宋体" w:hAnsi="宋体" w:cs="宋体" w:eastAsia="宋体" w:hint="default"/>
          <w:spacing w:val="-1"/>
          <w:sz w:val="18"/>
          <w:szCs w:val="18"/>
        </w:rPr>
        <w:t>公司拥有独立的业务和经营自主能力，在业务、人员、资产、机构、财务上独立于控股股东，公司董事会、监事会和内</w:t>
      </w:r>
    </w:p>
    <w:p>
      <w:pPr>
        <w:spacing w:line="319" w:lineRule="auto" w:before="31"/>
        <w:ind w:left="153" w:right="1133" w:firstLine="0"/>
        <w:jc w:val="both"/>
        <w:rPr>
          <w:rFonts w:ascii="宋体" w:hAnsi="宋体" w:cs="宋体" w:eastAsia="宋体" w:hint="default"/>
          <w:sz w:val="18"/>
          <w:szCs w:val="18"/>
        </w:rPr>
      </w:pPr>
      <w:r>
        <w:rPr>
          <w:rFonts w:ascii="宋体" w:hAnsi="宋体" w:cs="宋体" w:eastAsia="宋体" w:hint="default"/>
          <w:spacing w:val="-2"/>
          <w:sz w:val="18"/>
          <w:szCs w:val="18"/>
        </w:rPr>
        <w:t>部机构独立运作。本公司控股股东依法行使其股东权利并承担相应义务，没有超越股东大会授权范围行使职权，直接或间接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干预本公司的决策和生产经营活动。</w:t>
      </w:r>
    </w:p>
    <w:p>
      <w:pPr>
        <w:spacing w:line="300" w:lineRule="auto" w:before="17"/>
        <w:ind w:left="444" w:right="0" w:firstLine="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、关于董事与董事会</w:t>
      </w:r>
      <w:r>
        <w:rPr>
          <w:rFonts w:ascii="宋体" w:hAnsi="宋体" w:cs="宋体" w:eastAsia="宋体" w:hint="default"/>
          <w:b/>
          <w:bCs/>
          <w:w w:val="99"/>
          <w:sz w:val="18"/>
          <w:szCs w:val="18"/>
        </w:rPr>
        <w:t> </w:t>
      </w:r>
      <w:r>
        <w:rPr>
          <w:rFonts w:ascii="宋体" w:hAnsi="宋体" w:cs="宋体" w:eastAsia="宋体" w:hint="default"/>
          <w:spacing w:val="-1"/>
          <w:sz w:val="18"/>
          <w:szCs w:val="18"/>
        </w:rPr>
        <w:t>公司董事会严格按照《公司法》和《公司章程》和《董事会议事规则》等法律法规开展工作，董事选聘程序符合相关法</w:t>
      </w:r>
    </w:p>
    <w:p>
      <w:pPr>
        <w:spacing w:line="300" w:lineRule="auto" w:before="31"/>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律法规的要求，公司目前董事会成员</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人，其中独立董事</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人，董事会的人数及人员构成符合要求。全体董事认真出席公司董</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事会、股东大会会议并审议相关议案，积极参加有关培训，熟悉有关法律、法规，并按照相关规定依法履行董事职责。</w:t>
      </w:r>
    </w:p>
    <w:p>
      <w:pPr>
        <w:spacing w:line="316" w:lineRule="auto" w:before="31"/>
        <w:ind w:left="153" w:right="1103" w:firstLine="290"/>
        <w:jc w:val="left"/>
        <w:rPr>
          <w:rFonts w:ascii="宋体" w:hAnsi="宋体" w:cs="宋体" w:eastAsia="宋体" w:hint="default"/>
          <w:sz w:val="18"/>
          <w:szCs w:val="18"/>
        </w:rPr>
      </w:pPr>
      <w:r>
        <w:rPr>
          <w:rFonts w:ascii="宋体" w:hAnsi="宋体" w:cs="宋体" w:eastAsia="宋体" w:hint="default"/>
          <w:sz w:val="18"/>
          <w:szCs w:val="18"/>
        </w:rPr>
        <w:t>报告期内，公司第五届董事会成员切实履行忠实义务和勤勉义务，将上市公司相关制度规范转化为参与公司重大决策， 日常经营管理的行为准则，严格执行公司董事行为规范。</w:t>
      </w:r>
    </w:p>
    <w:p>
      <w:pPr>
        <w:spacing w:line="316" w:lineRule="auto" w:before="19"/>
        <w:ind w:left="154" w:right="1131" w:firstLine="290"/>
        <w:jc w:val="both"/>
        <w:rPr>
          <w:rFonts w:ascii="宋体" w:hAnsi="宋体" w:cs="宋体" w:eastAsia="宋体" w:hint="default"/>
          <w:sz w:val="18"/>
          <w:szCs w:val="18"/>
        </w:rPr>
      </w:pPr>
      <w:r>
        <w:rPr>
          <w:rFonts w:ascii="宋体" w:hAnsi="宋体" w:cs="宋体" w:eastAsia="宋体" w:hint="default"/>
          <w:spacing w:val="-1"/>
          <w:sz w:val="18"/>
          <w:szCs w:val="18"/>
        </w:rPr>
        <w:t>公司独立董事按照《公司章程》等法律、法规独立履行职责，对本公司非公开发行股票、公司重大投资等事项发表自己</w:t>
      </w:r>
      <w:r>
        <w:rPr>
          <w:rFonts w:ascii="宋体" w:hAnsi="宋体" w:cs="宋体" w:eastAsia="宋体" w:hint="default"/>
          <w:sz w:val="18"/>
          <w:szCs w:val="18"/>
        </w:rPr>
        <w:t> </w:t>
      </w:r>
      <w:r>
        <w:rPr>
          <w:rFonts w:ascii="宋体" w:hAnsi="宋体" w:cs="宋体" w:eastAsia="宋体" w:hint="default"/>
          <w:spacing w:val="-2"/>
          <w:sz w:val="18"/>
          <w:szCs w:val="18"/>
        </w:rPr>
        <w:t>的独立意见，保证了公司的规范运作。董事会下设提名、薪酬与审计三个专业委员会，各专业委员会根据相应的工作细则通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过召开会议、实地考察、面谈等方式履行职责，对公司重大投融资行为等事项提出意见并作出相关决议。</w:t>
      </w:r>
    </w:p>
    <w:p>
      <w:pPr>
        <w:spacing w:line="300" w:lineRule="auto" w:before="19"/>
        <w:ind w:left="44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、关于监事和监事会</w:t>
      </w:r>
      <w:r>
        <w:rPr>
          <w:rFonts w:ascii="宋体" w:hAnsi="宋体" w:cs="宋体" w:eastAsia="宋体" w:hint="default"/>
          <w:b/>
          <w:bCs/>
          <w:w w:val="99"/>
          <w:sz w:val="18"/>
          <w:szCs w:val="18"/>
        </w:rPr>
        <w:t> </w:t>
      </w:r>
      <w:r>
        <w:rPr>
          <w:rFonts w:ascii="宋体" w:hAnsi="宋体" w:cs="宋体" w:eastAsia="宋体" w:hint="default"/>
          <w:spacing w:val="-1"/>
          <w:sz w:val="18"/>
          <w:szCs w:val="18"/>
        </w:rPr>
        <w:t>本公司监事会严格按照《公司法》、《公司章程》和《监事会议事规则》的有关规定开展工作，监事的推荐、选举和产</w:t>
      </w:r>
    </w:p>
    <w:p>
      <w:pPr>
        <w:spacing w:line="316" w:lineRule="auto" w:before="31"/>
        <w:ind w:left="153" w:right="1043" w:firstLine="0"/>
        <w:jc w:val="both"/>
        <w:rPr>
          <w:rFonts w:ascii="宋体" w:hAnsi="宋体" w:cs="宋体" w:eastAsia="宋体" w:hint="default"/>
          <w:sz w:val="18"/>
          <w:szCs w:val="18"/>
        </w:rPr>
      </w:pPr>
      <w:r>
        <w:rPr>
          <w:rFonts w:ascii="宋体" w:hAnsi="宋体" w:cs="宋体" w:eastAsia="宋体" w:hint="default"/>
          <w:spacing w:val="-4"/>
          <w:sz w:val="18"/>
          <w:szCs w:val="18"/>
        </w:rPr>
        <w:t>生程序符合相关法律、法规的要求，监事会的人数及构成符合要求。报告期内，公司监事会认真履行职责，对公司重大事项、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财务状况以及董事、总裁和其他高级管理人员行使职权的合规性进行监督，维护公司及股东的合法权益。</w:t>
      </w:r>
    </w:p>
    <w:p>
      <w:pPr>
        <w:spacing w:line="300" w:lineRule="auto" w:before="19"/>
        <w:ind w:left="371" w:right="1175" w:firstLine="7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、关于信息披露与透明度</w:t>
      </w:r>
      <w:r>
        <w:rPr>
          <w:rFonts w:ascii="宋体" w:hAnsi="宋体" w:cs="宋体" w:eastAsia="宋体" w:hint="default"/>
          <w:b/>
          <w:bCs/>
          <w:w w:val="99"/>
          <w:sz w:val="18"/>
          <w:szCs w:val="18"/>
        </w:rPr>
        <w:t> </w:t>
      </w:r>
      <w:r>
        <w:rPr>
          <w:rFonts w:ascii="宋体" w:hAnsi="宋体" w:cs="宋体" w:eastAsia="宋体" w:hint="default"/>
          <w:sz w:val="18"/>
          <w:szCs w:val="18"/>
        </w:rPr>
        <w:t>报告期内，公司严格按照《信息披露管理办法》、《重大信息及敏感信息内部管理制度》、《上市公司重大资产重组管</w:t>
      </w:r>
    </w:p>
    <w:p>
      <w:pPr>
        <w:spacing w:line="319" w:lineRule="auto" w:before="31"/>
        <w:ind w:left="153" w:right="1133" w:firstLine="0"/>
        <w:jc w:val="both"/>
        <w:rPr>
          <w:rFonts w:ascii="宋体" w:hAnsi="宋体" w:cs="宋体" w:eastAsia="宋体" w:hint="default"/>
          <w:sz w:val="18"/>
          <w:szCs w:val="18"/>
        </w:rPr>
      </w:pPr>
      <w:r>
        <w:rPr>
          <w:rFonts w:ascii="宋体" w:hAnsi="宋体" w:cs="宋体" w:eastAsia="宋体" w:hint="default"/>
          <w:spacing w:val="-2"/>
          <w:sz w:val="18"/>
          <w:szCs w:val="18"/>
        </w:rPr>
        <w:t>理办法》、修订后的《内幕信息知情人登记管理制度》履行信息披露义务，及时报送公司重大事项及定期报告的内幕信息知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情人，指定《证券时报》、《中国证券报》及巨潮资讯网作为本公司信息披露的报纸和网站，真实、准确、完整、及时的披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露有关信息，确保所有投资者公平获取公司信息。本公司指定董事会秘书负责信息披露工作，证券事务代表协助董事会秘书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开展工作。</w:t>
      </w:r>
    </w:p>
    <w:p>
      <w:pPr>
        <w:spacing w:line="300" w:lineRule="auto" w:before="17"/>
        <w:ind w:left="44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、关于相关利益者</w:t>
      </w:r>
      <w:r>
        <w:rPr>
          <w:rFonts w:ascii="宋体" w:hAnsi="宋体" w:cs="宋体" w:eastAsia="宋体" w:hint="default"/>
          <w:b/>
          <w:bCs/>
          <w:w w:val="99"/>
          <w:sz w:val="18"/>
          <w:szCs w:val="18"/>
        </w:rPr>
        <w:t> </w:t>
      </w:r>
      <w:r>
        <w:rPr>
          <w:rFonts w:ascii="宋体" w:hAnsi="宋体" w:cs="宋体" w:eastAsia="宋体" w:hint="default"/>
          <w:spacing w:val="-1"/>
          <w:sz w:val="18"/>
          <w:szCs w:val="18"/>
        </w:rPr>
        <w:t>本公司能够充分尊重和维护相关利益者的合法权益，实现社会、股东、员工、客户等各方利益的协调平衡，共同推动公</w:t>
      </w:r>
    </w:p>
    <w:p>
      <w:pPr>
        <w:spacing w:after="0" w:line="30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5"/>
          <w:szCs w:val="25"/>
        </w:rPr>
      </w:pPr>
    </w:p>
    <w:p>
      <w:pPr>
        <w:spacing w:line="360" w:lineRule="auto" w:before="44"/>
        <w:ind w:left="153" w:right="3553" w:firstLine="0"/>
        <w:jc w:val="left"/>
        <w:rPr>
          <w:rFonts w:ascii="宋体" w:hAnsi="宋体" w:cs="宋体" w:eastAsia="宋体" w:hint="default"/>
          <w:sz w:val="18"/>
          <w:szCs w:val="18"/>
        </w:rPr>
      </w:pPr>
      <w:r>
        <w:rPr>
          <w:rFonts w:ascii="宋体" w:hAnsi="宋体" w:cs="宋体" w:eastAsia="宋体" w:hint="default"/>
          <w:sz w:val="18"/>
          <w:szCs w:val="18"/>
        </w:rPr>
        <w:t>司持续、健康的发展。 公司治理的实际状况与中国证监会发布的有关上市公司治理的规范性文件是否存在重大差异</w:t>
      </w:r>
    </w:p>
    <w:p>
      <w:pPr>
        <w:spacing w:line="338" w:lineRule="auto" w:before="2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0"/>
      <w:bookmarkEnd w:id="130"/>
      <w:r>
        <w:rPr>
          <w:b w:val="0"/>
          <w:bCs w:val="0"/>
        </w:rPr>
      </w: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6"/>
          <w:szCs w:val="26"/>
        </w:rPr>
      </w:pPr>
    </w:p>
    <w:p>
      <w:pPr>
        <w:spacing w:before="0"/>
        <w:ind w:left="444" w:right="0" w:firstLine="0"/>
        <w:jc w:val="left"/>
        <w:rPr>
          <w:rFonts w:ascii="宋体" w:hAnsi="宋体" w:cs="宋体" w:eastAsia="宋体" w:hint="default"/>
          <w:sz w:val="18"/>
          <w:szCs w:val="18"/>
        </w:rPr>
      </w:pPr>
      <w:r>
        <w:rPr>
          <w:rFonts w:ascii="宋体" w:hAnsi="宋体" w:cs="宋体" w:eastAsia="宋体" w:hint="default"/>
          <w:sz w:val="18"/>
          <w:szCs w:val="18"/>
        </w:rPr>
        <w:t>公司与控股股东在业务、人员、资产、机构、财务等方面完全分开，具有独立完整的业务及自主经营能力。</w:t>
      </w:r>
    </w:p>
    <w:p>
      <w:pPr>
        <w:spacing w:line="357" w:lineRule="auto" w:before="116"/>
        <w:ind w:left="444" w:right="1102" w:firstLine="0"/>
        <w:jc w:val="left"/>
        <w:rPr>
          <w:rFonts w:ascii="宋体" w:hAnsi="宋体" w:cs="宋体" w:eastAsia="宋体" w:hint="default"/>
          <w:sz w:val="18"/>
          <w:szCs w:val="18"/>
        </w:rPr>
      </w:pPr>
      <w:r>
        <w:rPr>
          <w:rFonts w:ascii="宋体" w:hAnsi="宋体" w:cs="宋体" w:eastAsia="宋体" w:hint="default"/>
          <w:sz w:val="18"/>
          <w:szCs w:val="18"/>
        </w:rPr>
        <w:t>（一）业务独立 本公司主要从事酒店行业信息管理系统软件的开发销售、系统集成、技术支持与服务业务，具有独立完整的业务体系，</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包括完整的开发、销售及售后服务体系，是目前国内最主要的酒店信息管理系统全面解决方案提供商之一。公司业务独立于</w:t>
      </w:r>
    </w:p>
    <w:p>
      <w:pPr>
        <w:spacing w:before="77"/>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控股股东，拥有独立完整的经营系统，独立开展业务，不依赖于股东或其他任何关联方。</w:t>
      </w:r>
    </w:p>
    <w:p>
      <w:pPr>
        <w:spacing w:line="357" w:lineRule="auto" w:before="116"/>
        <w:ind w:left="444" w:right="0" w:firstLine="0"/>
        <w:jc w:val="left"/>
        <w:rPr>
          <w:rFonts w:ascii="宋体" w:hAnsi="宋体" w:cs="宋体" w:eastAsia="宋体" w:hint="default"/>
          <w:sz w:val="18"/>
          <w:szCs w:val="18"/>
        </w:rPr>
      </w:pPr>
      <w:r>
        <w:rPr>
          <w:rFonts w:ascii="宋体" w:hAnsi="宋体" w:cs="宋体" w:eastAsia="宋体" w:hint="default"/>
          <w:sz w:val="18"/>
          <w:szCs w:val="18"/>
        </w:rPr>
        <w:t>（二）人员独立 </w:t>
      </w:r>
      <w:r>
        <w:rPr>
          <w:rFonts w:ascii="宋体" w:hAnsi="宋体" w:cs="宋体" w:eastAsia="宋体" w:hint="default"/>
          <w:spacing w:val="-4"/>
          <w:sz w:val="18"/>
          <w:szCs w:val="18"/>
        </w:rPr>
        <w:t>本公司人员、劳动、人事及工资管理完全独立。本公司拥有独立、完整的人力资源管理体系，设有人力资源部，根据《中</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华人民共和国劳动法》、《公司法》及国家有关政策的规定，制定了独立的劳动人事管理制度，并实行全员劳动合同制，由</w:t>
      </w:r>
    </w:p>
    <w:p>
      <w:pPr>
        <w:spacing w:before="77"/>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本公司与员工独立签订劳动合同，做到人员管理制度化和规范化；本公司在员工的社会保障、工薪报酬等方面实行独立管理。</w:t>
      </w:r>
    </w:p>
    <w:p>
      <w:pPr>
        <w:spacing w:line="357" w:lineRule="auto" w:before="117"/>
        <w:ind w:left="444" w:right="0" w:firstLine="0"/>
        <w:jc w:val="left"/>
        <w:rPr>
          <w:rFonts w:ascii="宋体" w:hAnsi="宋体" w:cs="宋体" w:eastAsia="宋体" w:hint="default"/>
          <w:sz w:val="18"/>
          <w:szCs w:val="18"/>
        </w:rPr>
      </w:pPr>
      <w:r>
        <w:rPr>
          <w:rFonts w:ascii="宋体" w:hAnsi="宋体" w:cs="宋体" w:eastAsia="宋体" w:hint="default"/>
          <w:sz w:val="18"/>
          <w:szCs w:val="18"/>
        </w:rPr>
        <w:t>（三）资产独立 </w:t>
      </w:r>
      <w:r>
        <w:rPr>
          <w:rFonts w:ascii="宋体" w:hAnsi="宋体" w:cs="宋体" w:eastAsia="宋体" w:hint="default"/>
          <w:spacing w:val="-1"/>
          <w:sz w:val="18"/>
          <w:szCs w:val="18"/>
        </w:rPr>
        <w:t>本公司以整体变更的方式设立，设立时各发起人投入本公司的资产已经武汉众环会计师事务所有限责任公司出具的武众</w:t>
      </w:r>
    </w:p>
    <w:p>
      <w:pPr>
        <w:spacing w:line="237"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会内（</w:t>
      </w:r>
      <w:r>
        <w:rPr>
          <w:rFonts w:ascii="Times New Roman" w:hAnsi="Times New Roman" w:cs="Times New Roman" w:eastAsia="Times New Roman" w:hint="default"/>
          <w:sz w:val="18"/>
          <w:szCs w:val="18"/>
        </w:rPr>
        <w:t>2001</w:t>
      </w:r>
      <w:r>
        <w:rPr>
          <w:rFonts w:ascii="宋体" w:hAnsi="宋体" w:cs="宋体" w:eastAsia="宋体" w:hint="default"/>
          <w:sz w:val="18"/>
          <w:szCs w:val="18"/>
        </w:rPr>
        <w:t>）</w:t>
      </w:r>
      <w:r>
        <w:rPr>
          <w:rFonts w:ascii="Times New Roman" w:hAnsi="Times New Roman" w:cs="Times New Roman" w:eastAsia="Times New Roman" w:hint="default"/>
          <w:sz w:val="18"/>
          <w:szCs w:val="18"/>
        </w:rPr>
        <w:t>049</w:t>
      </w:r>
      <w:r>
        <w:rPr>
          <w:rFonts w:ascii="宋体" w:hAnsi="宋体" w:cs="宋体" w:eastAsia="宋体" w:hint="default"/>
          <w:sz w:val="18"/>
          <w:szCs w:val="18"/>
        </w:rPr>
        <w:t>号《验资报告》验证。本公司和控股股东产权关系明晰，资产完整并由本公司实际控制和使用，本公司拥</w:t>
      </w:r>
    </w:p>
    <w:p>
      <w:pPr>
        <w:spacing w:line="319" w:lineRule="auto" w:before="63"/>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有独立的经营系统和配套设施以及专有技术、计算机著作权等资产，拥有独立的经营场所，对全部资产拥有完全的控制支配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权。本公司资产独立于控股股东和其他发起人，不存在其资产、资金被控股股东占用而损害公司利益的情况。</w:t>
      </w:r>
    </w:p>
    <w:p>
      <w:pPr>
        <w:spacing w:line="357" w:lineRule="auto" w:before="57"/>
        <w:ind w:left="444" w:right="0" w:firstLine="0"/>
        <w:jc w:val="left"/>
        <w:rPr>
          <w:rFonts w:ascii="宋体" w:hAnsi="宋体" w:cs="宋体" w:eastAsia="宋体" w:hint="default"/>
          <w:sz w:val="18"/>
          <w:szCs w:val="18"/>
        </w:rPr>
      </w:pPr>
      <w:r>
        <w:rPr>
          <w:rFonts w:ascii="宋体" w:hAnsi="宋体" w:cs="宋体" w:eastAsia="宋体" w:hint="default"/>
          <w:sz w:val="18"/>
          <w:szCs w:val="18"/>
        </w:rPr>
        <w:t>（四）机构独立 </w:t>
      </w:r>
      <w:r>
        <w:rPr>
          <w:rFonts w:ascii="宋体" w:hAnsi="宋体" w:cs="宋体" w:eastAsia="宋体" w:hint="default"/>
          <w:spacing w:val="-1"/>
          <w:sz w:val="18"/>
          <w:szCs w:val="18"/>
        </w:rPr>
        <w:t>本公司根据《公司法》、《证券法》及《公司章程》的规定，建立健全了股东大会、董事会、监事会及管理层的运作体</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系，并制定了相应的议事规则和工作细则。本公司设立了健全的组织机构体系，拥有独立于控股股东的经营场所和经营机构，</w:t>
      </w:r>
    </w:p>
    <w:p>
      <w:pPr>
        <w:spacing w:line="319" w:lineRule="auto" w:before="7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不存在与控股股东混合经营、合署办公的情形。本公司各业务部门及办事机构的设置方案不存在受控股股东及其他任何单位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或个人干预的情形。</w:t>
      </w:r>
    </w:p>
    <w:p>
      <w:pPr>
        <w:spacing w:line="357" w:lineRule="auto" w:before="56"/>
        <w:ind w:left="444" w:right="0" w:firstLine="0"/>
        <w:jc w:val="left"/>
        <w:rPr>
          <w:rFonts w:ascii="宋体" w:hAnsi="宋体" w:cs="宋体" w:eastAsia="宋体" w:hint="default"/>
          <w:sz w:val="18"/>
          <w:szCs w:val="18"/>
        </w:rPr>
      </w:pPr>
      <w:r>
        <w:rPr>
          <w:rFonts w:ascii="宋体" w:hAnsi="宋体" w:cs="宋体" w:eastAsia="宋体" w:hint="default"/>
          <w:sz w:val="18"/>
          <w:szCs w:val="18"/>
        </w:rPr>
        <w:t>（五）财务独立 </w:t>
      </w:r>
      <w:r>
        <w:rPr>
          <w:rFonts w:ascii="宋体" w:hAnsi="宋体" w:cs="宋体" w:eastAsia="宋体" w:hint="default"/>
          <w:spacing w:val="-1"/>
          <w:sz w:val="18"/>
          <w:szCs w:val="18"/>
        </w:rPr>
        <w:t>本公司设有独立的财务部门，建立了独立的会计核算体系和财务管理制度，配备专职财务人员，并实施严格的内部审计</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制度，不存在本公司股东或其他关联方干预本公司资金使用的情况；本公司拥有独立的银行账户，独立进行纳税申报并履行</w:t>
      </w:r>
    </w:p>
    <w:p>
      <w:pPr>
        <w:spacing w:before="77"/>
        <w:ind w:left="153" w:right="0" w:firstLine="0"/>
        <w:jc w:val="left"/>
        <w:rPr>
          <w:rFonts w:ascii="宋体" w:hAnsi="宋体" w:cs="宋体" w:eastAsia="宋体" w:hint="default"/>
          <w:sz w:val="18"/>
          <w:szCs w:val="18"/>
        </w:rPr>
      </w:pPr>
      <w:r>
        <w:rPr>
          <w:rFonts w:ascii="宋体" w:hAnsi="宋体" w:cs="宋体" w:eastAsia="宋体" w:hint="default"/>
          <w:sz w:val="18"/>
          <w:szCs w:val="18"/>
        </w:rPr>
        <w:t>纳税义务，本公司股东及其他关联方没有非正常占用本公司资金、资产和其他资源。</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同业竞争情况" w:id="131"/>
      <w:bookmarkEnd w:id="13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2"/>
      <w:bookmarkEnd w:id="13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本报告期股东大会情况" w:id="133"/>
      <w:bookmarkEnd w:id="13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1418"/>
        <w:gridCol w:w="1700"/>
        <w:gridCol w:w="1702"/>
        <w:gridCol w:w="2195"/>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详见刊登于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6"/>
                <w:sz w:val="18"/>
                <w:szCs w:val="18"/>
              </w:rPr>
              <w:t>日巨潮资讯网的《</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before="0"/>
        <w:ind w:left="0" w:right="1150" w:firstLine="0"/>
        <w:jc w:val="right"/>
        <w:rPr>
          <w:rFonts w:ascii="宋体" w:hAnsi="宋体" w:cs="宋体" w:eastAsia="宋体" w:hint="default"/>
          <w:sz w:val="18"/>
          <w:szCs w:val="18"/>
        </w:rPr>
      </w:pPr>
      <w:r>
        <w:rPr/>
        <w:pict>
          <v:shape style="position:absolute;margin-left:56.459999pt;margin-top:-83.588272pt;width:479.1pt;height:101.1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418"/>
                    <w:gridCol w:w="1418"/>
                    <w:gridCol w:w="1700"/>
                    <w:gridCol w:w="1702"/>
                    <w:gridCol w:w="2195"/>
                  </w:tblGrid>
                  <w:tr>
                    <w:trPr>
                      <w:trHeight w:val="674"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2"/>
                            <w:sz w:val="18"/>
                            <w:szCs w:val="18"/>
                          </w:rPr>
                          <w:t>度股东大会决议公告》（公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2015-18</w:t>
                        </w:r>
                        <w:r>
                          <w:rPr>
                            <w:rFonts w:ascii="宋体" w:hAnsi="宋体" w:cs="宋体" w:eastAsia="宋体" w:hint="default"/>
                            <w:sz w:val="18"/>
                            <w:szCs w:val="18"/>
                          </w:rPr>
                          <w:t>）</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155"/>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 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0.23%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详见刊登于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6"/>
                            <w:sz w:val="18"/>
                            <w:szCs w:val="18"/>
                          </w:rPr>
                          <w:t>日巨潮资讯网的《</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一次临时股东大会决议公 告》（公告编号：</w:t>
                        </w:r>
                        <w:r>
                          <w:rPr>
                            <w:rFonts w:ascii="Times New Roman" w:hAnsi="Times New Roman" w:cs="Times New Roman" w:eastAsia="Times New Roman" w:hint="default"/>
                            <w:sz w:val="18"/>
                            <w:szCs w:val="18"/>
                          </w:rPr>
                          <w:t>2015-56</w:t>
                        </w:r>
                      </w:p>
                    </w:tc>
                  </w:tr>
                </w:tbl>
                <w:p>
                  <w:pPr/>
                </w:p>
              </w:txbxContent>
            </v:textbox>
            <w10:wrap type="none"/>
          </v:shape>
        </w:pict>
      </w: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pStyle w:val="Heading4"/>
        <w:spacing w:line="240" w:lineRule="auto" w:before="35"/>
        <w:ind w:right="0"/>
        <w:jc w:val="left"/>
        <w:rPr>
          <w:b w:val="0"/>
          <w:bCs w:val="0"/>
        </w:rPr>
      </w:pPr>
      <w:bookmarkStart w:name="2、表决权恢复的优先股股东请求召开临时股东大会" w:id="134"/>
      <w:bookmarkEnd w:id="13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5"/>
      <w:bookmarkEnd w:id="13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独立董事出席董事会及股东大会的情况" w:id="136"/>
      <w:bookmarkEnd w:id="13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刘剑锋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阎丽明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邹小杰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spacing w:line="357"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独立董事对公司有关事项提出异议的情况" w:id="137"/>
      <w:bookmarkEnd w:id="13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3、独立董事履行职责的其他说明" w:id="138"/>
      <w:bookmarkEnd w:id="13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14"/>
        <w:ind w:right="1131" w:firstLine="330"/>
        <w:jc w:val="both"/>
      </w:pPr>
      <w:r>
        <w:rPr/>
        <w:t>报告期内，公司独立董事勤勉尽责，切实履行了独立董事的职责，认真审阅董事会审议的各项议案， </w:t>
      </w:r>
      <w:r>
        <w:rPr>
          <w:spacing w:val="-1"/>
        </w:rPr>
        <w:t>对公司非公开发行事项均发表了独立意见。独立董事利用参加董事会、股东大会及其他时间深入了解公司</w:t>
      </w:r>
      <w:r>
        <w:rPr>
          <w:spacing w:val="-81"/>
        </w:rPr>
        <w:t> </w:t>
      </w:r>
      <w:r>
        <w:rPr>
          <w:spacing w:val="-81"/>
        </w:rPr>
      </w:r>
      <w:r>
        <w:rPr>
          <w:spacing w:val="-1"/>
        </w:rPr>
        <w:t>经营情况，并与董事、监事、管理层进行沟通，对公司治理、财务管理、风险控制等方面提出了合理化的</w:t>
      </w:r>
      <w:r>
        <w:rPr>
          <w:spacing w:val="-83"/>
        </w:rPr>
        <w:t> </w:t>
      </w:r>
      <w:r>
        <w:rPr>
          <w:spacing w:val="-83"/>
        </w:rPr>
      </w:r>
      <w:r>
        <w:rPr/>
        <w:t>建议，公司均予以采纳。报告期内公司独立董事对有关事项均发表了独立认同意见，独立意见如下：</w:t>
      </w:r>
    </w:p>
    <w:p>
      <w:pPr>
        <w:spacing w:after="0" w:line="273" w:lineRule="auto"/>
        <w:jc w:val="both"/>
        <w:sectPr>
          <w:pgSz w:w="11910" w:h="16840"/>
          <w:pgMar w:header="0" w:footer="979" w:top="1060" w:bottom="1160" w:left="980" w:right="0"/>
        </w:sectPr>
      </w:pPr>
    </w:p>
    <w:p>
      <w:pPr>
        <w:spacing w:line="240" w:lineRule="auto" w:before="12"/>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08"/>
        <w:gridCol w:w="952"/>
        <w:gridCol w:w="6309"/>
        <w:gridCol w:w="2084"/>
      </w:tblGrid>
      <w:tr>
        <w:trPr>
          <w:trHeight w:val="341" w:hRule="exact"/>
        </w:trPr>
        <w:tc>
          <w:tcPr>
            <w:tcW w:w="50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95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630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摘要</w:t>
            </w:r>
          </w:p>
        </w:tc>
        <w:tc>
          <w:tcPr>
            <w:tcW w:w="208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出具意见董事</w:t>
            </w:r>
          </w:p>
        </w:tc>
      </w:tr>
      <w:tr>
        <w:trPr>
          <w:trHeight w:val="347" w:hRule="exact"/>
        </w:trPr>
        <w:tc>
          <w:tcPr>
            <w:tcW w:w="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2015-2-2</w:t>
            </w:r>
          </w:p>
        </w:tc>
        <w:tc>
          <w:tcPr>
            <w:tcW w:w="6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关于公司会计估计变更及坏账核销的独立意见</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348" w:hRule="exact"/>
        </w:trPr>
        <w:tc>
          <w:tcPr>
            <w:tcW w:w="5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9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2015-3-31</w:t>
            </w:r>
          </w:p>
        </w:tc>
        <w:tc>
          <w:tcPr>
            <w:tcW w:w="6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关于对外担保、关联方资金占用情况及关联交易情况出具的专项说明和独立意见</w:t>
            </w:r>
          </w:p>
        </w:tc>
        <w:tc>
          <w:tcPr>
            <w:tcW w:w="20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347" w:hRule="exact"/>
        </w:trPr>
        <w:tc>
          <w:tcPr>
            <w:tcW w:w="508" w:type="dxa"/>
            <w:vMerge/>
            <w:tcBorders>
              <w:left w:val="single" w:sz="6" w:space="0" w:color="000000"/>
              <w:right w:val="single" w:sz="6" w:space="0" w:color="000000"/>
            </w:tcBorders>
          </w:tcPr>
          <w:p>
            <w:pPr/>
          </w:p>
        </w:tc>
        <w:tc>
          <w:tcPr>
            <w:tcW w:w="952" w:type="dxa"/>
            <w:vMerge/>
            <w:tcBorders>
              <w:left w:val="single" w:sz="6" w:space="0" w:color="000000"/>
              <w:right w:val="single" w:sz="6" w:space="0" w:color="000000"/>
            </w:tcBorders>
          </w:tcPr>
          <w:p>
            <w:pPr/>
          </w:p>
        </w:tc>
        <w:tc>
          <w:tcPr>
            <w:tcW w:w="6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关于内部控制评价报告的意见</w:t>
            </w:r>
          </w:p>
        </w:tc>
        <w:tc>
          <w:tcPr>
            <w:tcW w:w="2084" w:type="dxa"/>
            <w:vMerge/>
            <w:tcBorders>
              <w:left w:val="single" w:sz="6" w:space="0" w:color="000000"/>
              <w:right w:val="single" w:sz="6" w:space="0" w:color="000000"/>
            </w:tcBorders>
          </w:tcPr>
          <w:p>
            <w:pPr/>
          </w:p>
        </w:tc>
      </w:tr>
      <w:tr>
        <w:trPr>
          <w:trHeight w:val="347" w:hRule="exact"/>
        </w:trPr>
        <w:tc>
          <w:tcPr>
            <w:tcW w:w="508" w:type="dxa"/>
            <w:vMerge/>
            <w:tcBorders>
              <w:left w:val="single" w:sz="6" w:space="0" w:color="000000"/>
              <w:right w:val="single" w:sz="6" w:space="0" w:color="000000"/>
            </w:tcBorders>
          </w:tcPr>
          <w:p>
            <w:pPr/>
          </w:p>
        </w:tc>
        <w:tc>
          <w:tcPr>
            <w:tcW w:w="952" w:type="dxa"/>
            <w:vMerge/>
            <w:tcBorders>
              <w:left w:val="single" w:sz="6" w:space="0" w:color="000000"/>
              <w:right w:val="single" w:sz="6" w:space="0" w:color="000000"/>
            </w:tcBorders>
          </w:tcPr>
          <w:p>
            <w:pPr/>
          </w:p>
        </w:tc>
        <w:tc>
          <w:tcPr>
            <w:tcW w:w="6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关于更换公司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年度审计机构的事前认可意见</w:t>
            </w:r>
          </w:p>
        </w:tc>
        <w:tc>
          <w:tcPr>
            <w:tcW w:w="2084" w:type="dxa"/>
            <w:vMerge/>
            <w:tcBorders>
              <w:left w:val="single" w:sz="6" w:space="0" w:color="000000"/>
              <w:right w:val="single" w:sz="6" w:space="0" w:color="000000"/>
            </w:tcBorders>
          </w:tcPr>
          <w:p>
            <w:pPr/>
          </w:p>
        </w:tc>
      </w:tr>
      <w:tr>
        <w:trPr>
          <w:trHeight w:val="347" w:hRule="exact"/>
        </w:trPr>
        <w:tc>
          <w:tcPr>
            <w:tcW w:w="508" w:type="dxa"/>
            <w:vMerge/>
            <w:tcBorders>
              <w:left w:val="single" w:sz="6" w:space="0" w:color="000000"/>
              <w:bottom w:val="single" w:sz="6" w:space="0" w:color="000000"/>
              <w:right w:val="single" w:sz="6" w:space="0" w:color="000000"/>
            </w:tcBorders>
          </w:tcPr>
          <w:p>
            <w:pPr/>
          </w:p>
        </w:tc>
        <w:tc>
          <w:tcPr>
            <w:tcW w:w="952" w:type="dxa"/>
            <w:vMerge/>
            <w:tcBorders>
              <w:left w:val="single" w:sz="6" w:space="0" w:color="000000"/>
              <w:bottom w:val="single" w:sz="6" w:space="0" w:color="000000"/>
              <w:right w:val="single" w:sz="6" w:space="0" w:color="000000"/>
            </w:tcBorders>
          </w:tcPr>
          <w:p>
            <w:pPr/>
          </w:p>
        </w:tc>
        <w:tc>
          <w:tcPr>
            <w:tcW w:w="6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年度高级管理人员薪酬的独立意见</w:t>
            </w:r>
          </w:p>
        </w:tc>
        <w:tc>
          <w:tcPr>
            <w:tcW w:w="2084" w:type="dxa"/>
            <w:vMerge/>
            <w:tcBorders>
              <w:left w:val="single" w:sz="6" w:space="0" w:color="000000"/>
              <w:bottom w:val="single" w:sz="6" w:space="0" w:color="000000"/>
              <w:right w:val="single" w:sz="6" w:space="0" w:color="000000"/>
            </w:tcBorders>
          </w:tcPr>
          <w:p>
            <w:pPr/>
          </w:p>
        </w:tc>
      </w:tr>
      <w:tr>
        <w:trPr>
          <w:trHeight w:val="347" w:hRule="exact"/>
        </w:trPr>
        <w:tc>
          <w:tcPr>
            <w:tcW w:w="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2015-6-30</w:t>
            </w:r>
          </w:p>
        </w:tc>
        <w:tc>
          <w:tcPr>
            <w:tcW w:w="6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关于聘任高级管理人员的独立意见</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347" w:hRule="exact"/>
        </w:trPr>
        <w:tc>
          <w:tcPr>
            <w:tcW w:w="50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4</w:t>
            </w:r>
          </w:p>
        </w:tc>
        <w:tc>
          <w:tcPr>
            <w:tcW w:w="9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38" w:right="0"/>
              <w:jc w:val="left"/>
              <w:rPr>
                <w:rFonts w:ascii="Times New Roman" w:hAnsi="Times New Roman" w:cs="Times New Roman" w:eastAsia="Times New Roman" w:hint="default"/>
                <w:sz w:val="18"/>
                <w:szCs w:val="18"/>
              </w:rPr>
            </w:pPr>
            <w:r>
              <w:rPr>
                <w:rFonts w:ascii="Times New Roman"/>
                <w:sz w:val="18"/>
              </w:rPr>
              <w:t>2015-7-3</w:t>
            </w:r>
          </w:p>
        </w:tc>
        <w:tc>
          <w:tcPr>
            <w:tcW w:w="6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关于签署《万达控股有限公司的股份买卖协议》及相关事项的独立意见</w:t>
            </w:r>
          </w:p>
        </w:tc>
        <w:tc>
          <w:tcPr>
            <w:tcW w:w="208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660" w:hRule="exact"/>
        </w:trPr>
        <w:tc>
          <w:tcPr>
            <w:tcW w:w="508" w:type="dxa"/>
            <w:vMerge/>
            <w:tcBorders>
              <w:left w:val="single" w:sz="6" w:space="0" w:color="000000"/>
              <w:bottom w:val="single" w:sz="6" w:space="0" w:color="000000"/>
              <w:right w:val="single" w:sz="6" w:space="0" w:color="000000"/>
            </w:tcBorders>
          </w:tcPr>
          <w:p>
            <w:pPr/>
          </w:p>
        </w:tc>
        <w:tc>
          <w:tcPr>
            <w:tcW w:w="952" w:type="dxa"/>
            <w:vMerge/>
            <w:tcBorders>
              <w:left w:val="single" w:sz="6" w:space="0" w:color="000000"/>
              <w:bottom w:val="single" w:sz="6" w:space="0" w:color="000000"/>
              <w:right w:val="single" w:sz="6" w:space="0" w:color="000000"/>
            </w:tcBorders>
          </w:tcPr>
          <w:p>
            <w:pPr/>
          </w:p>
        </w:tc>
        <w:tc>
          <w:tcPr>
            <w:tcW w:w="63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pacing w:val="4"/>
                <w:sz w:val="18"/>
                <w:szCs w:val="18"/>
              </w:rPr>
              <w:t>关于全资子公司银石科技有限公司购买南京银石计算机系统有限公司的独立意</w:t>
            </w:r>
            <w:r>
              <w:rPr>
                <w:rFonts w:ascii="宋体" w:hAnsi="宋体" w:cs="宋体" w:eastAsia="宋体" w:hint="default"/>
                <w:sz w:val="18"/>
                <w:szCs w:val="18"/>
              </w:rPr>
              <w:t> 见</w:t>
            </w:r>
          </w:p>
        </w:tc>
        <w:tc>
          <w:tcPr>
            <w:tcW w:w="2084" w:type="dxa"/>
            <w:vMerge/>
            <w:tcBorders>
              <w:left w:val="single" w:sz="6" w:space="0" w:color="000000"/>
              <w:bottom w:val="single" w:sz="6" w:space="0" w:color="000000"/>
              <w:right w:val="single" w:sz="6" w:space="0" w:color="000000"/>
            </w:tcBorders>
          </w:tcPr>
          <w:p>
            <w:pPr/>
          </w:p>
        </w:tc>
      </w:tr>
      <w:tr>
        <w:trPr>
          <w:trHeight w:val="347" w:hRule="exact"/>
        </w:trPr>
        <w:tc>
          <w:tcPr>
            <w:tcW w:w="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2015-8-27</w:t>
            </w:r>
          </w:p>
        </w:tc>
        <w:tc>
          <w:tcPr>
            <w:tcW w:w="6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关于对外担保、关联方资金占用情况出具的专项说明和独立意见</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347" w:hRule="exact"/>
        </w:trPr>
        <w:tc>
          <w:tcPr>
            <w:tcW w:w="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2015-9-12</w:t>
            </w:r>
          </w:p>
        </w:tc>
        <w:tc>
          <w:tcPr>
            <w:tcW w:w="6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关于修订公司向特定对象非公开发行股票方案及相关事项的独立意见</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r>
        <w:trPr>
          <w:trHeight w:val="348" w:hRule="exact"/>
        </w:trPr>
        <w:tc>
          <w:tcPr>
            <w:tcW w:w="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2015-9-29</w:t>
            </w:r>
          </w:p>
        </w:tc>
        <w:tc>
          <w:tcPr>
            <w:tcW w:w="6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关于延长非公开发行股票股东大会决议有效期及董事会授权的独立意见</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刘剑锋、阎丽明、邹小杰</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董事会下设专门委员会在报告期内履行职责情况" w:id="139"/>
      <w:bookmarkEnd w:id="13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513" w:right="1123" w:firstLine="0"/>
        <w:jc w:val="left"/>
        <w:rPr>
          <w:rFonts w:ascii="宋体" w:hAnsi="宋体" w:cs="宋体" w:eastAsia="宋体" w:hint="default"/>
          <w:sz w:val="18"/>
          <w:szCs w:val="18"/>
        </w:rPr>
      </w:pPr>
      <w:r>
        <w:rPr>
          <w:rFonts w:ascii="宋体" w:hAnsi="宋体" w:cs="宋体" w:eastAsia="宋体" w:hint="default"/>
          <w:b/>
          <w:bCs/>
          <w:sz w:val="18"/>
          <w:szCs w:val="18"/>
        </w:rPr>
        <w:t>（一）董事会审计委员会履职情况汇总报告</w:t>
      </w:r>
      <w:r>
        <w:rPr>
          <w:rFonts w:ascii="宋体" w:hAnsi="宋体" w:cs="宋体" w:eastAsia="宋体" w:hint="default"/>
          <w:b/>
          <w:bCs/>
          <w:w w:val="99"/>
          <w:sz w:val="18"/>
          <w:szCs w:val="18"/>
        </w:rPr>
        <w:t> </w:t>
      </w:r>
      <w:r>
        <w:rPr>
          <w:rFonts w:ascii="宋体" w:hAnsi="宋体" w:cs="宋体" w:eastAsia="宋体" w:hint="default"/>
          <w:sz w:val="18"/>
          <w:szCs w:val="18"/>
        </w:rPr>
        <w:t>公司董事会审计委员会由</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名董事组成，其中两名为公司独立董事，主席由具有专业会计背景的独立董事担任。根据中</w:t>
      </w:r>
    </w:p>
    <w:p>
      <w:pPr>
        <w:spacing w:line="300"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国证监会、深圳证券交易所及公司《董事会审计委员会工作细则》，公司董事会审计委员会本着勤勉尽责的原则，</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年年</w:t>
      </w:r>
      <w:r>
        <w:rPr>
          <w:rFonts w:ascii="宋体" w:hAnsi="宋体" w:cs="宋体" w:eastAsia="宋体" w:hint="default"/>
          <w:spacing w:val="-61"/>
          <w:sz w:val="18"/>
          <w:szCs w:val="18"/>
        </w:rPr>
        <w:t> </w:t>
      </w:r>
      <w:r>
        <w:rPr>
          <w:rFonts w:ascii="宋体" w:hAnsi="宋体" w:cs="宋体" w:eastAsia="宋体" w:hint="default"/>
          <w:sz w:val="18"/>
          <w:szCs w:val="18"/>
        </w:rPr>
        <w:t>度报告期间及报告期内，履行了以下工作职责：</w:t>
      </w:r>
    </w:p>
    <w:p>
      <w:pPr>
        <w:spacing w:before="31"/>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、与年审注册会计师沟通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年度审计工作计划</w:t>
      </w:r>
    </w:p>
    <w:p>
      <w:pPr>
        <w:spacing w:line="309" w:lineRule="auto" w:before="63"/>
        <w:ind w:left="153" w:right="10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日，公司董事会审计委员会以现场方式召开了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年年报第一次工作会议，会计师向审计委员会汇报了审 计计划、人员安排和预审情况，审计委员会委员就预审中的问题、审计过程中需要注意的问题等事项与会计师进行了沟通， 并要求会计师注意审计计划的合理安排以及审计过程中的细节，按照计划的进度完成年报审计工作。</w:t>
      </w:r>
    </w:p>
    <w:p>
      <w:pPr>
        <w:spacing w:before="2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、审计进场前审阅公司编制的财务会计报表</w:t>
      </w:r>
    </w:p>
    <w:p>
      <w:pPr>
        <w:spacing w:line="300" w:lineRule="auto" w:before="63"/>
        <w:ind w:left="153" w:right="113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月，董事会审计委员会认真审阅了公司管理层提交的未经审计的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年度财务报表，经与公司管理层就有关资 料进行询问交流后，发表意见如下：</w:t>
      </w:r>
    </w:p>
    <w:p>
      <w:pPr>
        <w:spacing w:line="309" w:lineRule="auto" w:before="31"/>
        <w:ind w:left="153" w:right="1132" w:firstLine="360"/>
        <w:jc w:val="both"/>
        <w:rPr>
          <w:rFonts w:ascii="宋体" w:hAnsi="宋体" w:cs="宋体" w:eastAsia="宋体" w:hint="default"/>
          <w:sz w:val="18"/>
          <w:szCs w:val="18"/>
        </w:rPr>
      </w:pPr>
      <w:r>
        <w:rPr>
          <w:rFonts w:ascii="宋体" w:hAnsi="宋体" w:cs="宋体" w:eastAsia="宋体" w:hint="default"/>
          <w:spacing w:val="-2"/>
          <w:sz w:val="18"/>
          <w:szCs w:val="18"/>
        </w:rPr>
        <w:t>公司财务报表依照公司新企业会计准则、会计政策、企业会计制度以及财政部发布的有关规定要求，未发现重大错报和</w:t>
      </w:r>
      <w:r>
        <w:rPr>
          <w:rFonts w:ascii="宋体" w:hAnsi="宋体" w:cs="宋体" w:eastAsia="宋体" w:hint="default"/>
          <w:sz w:val="18"/>
          <w:szCs w:val="18"/>
        </w:rPr>
        <w:t> </w:t>
      </w:r>
      <w:r>
        <w:rPr>
          <w:rFonts w:ascii="宋体" w:hAnsi="宋体" w:cs="宋体" w:eastAsia="宋体" w:hint="default"/>
          <w:spacing w:val="-2"/>
          <w:sz w:val="18"/>
          <w:szCs w:val="18"/>
        </w:rPr>
        <w:t>漏报情况，所包含的信息能从重大方面反映出公司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年度财务状况和经营成果，同意以此财务报表为基础，展开</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年年</w:t>
      </w:r>
      <w:r>
        <w:rPr>
          <w:rFonts w:ascii="宋体" w:hAnsi="宋体" w:cs="宋体" w:eastAsia="宋体" w:hint="default"/>
          <w:spacing w:val="-58"/>
          <w:sz w:val="18"/>
          <w:szCs w:val="18"/>
        </w:rPr>
        <w:t> </w:t>
      </w:r>
      <w:r>
        <w:rPr>
          <w:rFonts w:ascii="宋体" w:hAnsi="宋体" w:cs="宋体" w:eastAsia="宋体" w:hint="default"/>
          <w:sz w:val="18"/>
          <w:szCs w:val="18"/>
        </w:rPr>
        <w:t>度报告审计工作。</w:t>
      </w:r>
    </w:p>
    <w:p>
      <w:pPr>
        <w:spacing w:line="300" w:lineRule="auto" w:before="2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、审计期间保持与会计师事务所的沟通并审阅经初步审计后的财务报表 </w:t>
      </w:r>
      <w:r>
        <w:rPr>
          <w:rFonts w:ascii="宋体" w:hAnsi="宋体" w:cs="宋体" w:eastAsia="宋体" w:hint="default"/>
          <w:spacing w:val="-2"/>
          <w:sz w:val="18"/>
          <w:szCs w:val="18"/>
        </w:rPr>
        <w:t>公司年审注册会计师进场后，董事会审计委员会与年审注册会计师于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日召开了</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年年报第二次工作会议，</w:t>
      </w:r>
    </w:p>
    <w:p>
      <w:pPr>
        <w:spacing w:line="316" w:lineRule="auto" w:before="1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注册会计师向审计委员会汇报了审计中的调整事项，审计委员会就审计过程中发现的问题、审计调整事项以及审计进度进行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了沟通和交流，并认真审阅了经瑞华会计师事务所初步审计的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年度财务报告，发表如下审核意见：</w:t>
      </w:r>
    </w:p>
    <w:p>
      <w:pPr>
        <w:spacing w:line="312" w:lineRule="auto" w:before="0"/>
        <w:ind w:left="153" w:right="1130" w:firstLine="360"/>
        <w:jc w:val="both"/>
        <w:rPr>
          <w:rFonts w:ascii="宋体" w:hAnsi="宋体" w:cs="宋体" w:eastAsia="宋体" w:hint="default"/>
          <w:sz w:val="18"/>
          <w:szCs w:val="18"/>
        </w:rPr>
      </w:pPr>
      <w:r>
        <w:rPr>
          <w:rFonts w:ascii="宋体" w:hAnsi="宋体" w:cs="宋体" w:eastAsia="宋体" w:hint="default"/>
          <w:spacing w:val="-2"/>
          <w:sz w:val="18"/>
          <w:szCs w:val="18"/>
        </w:rPr>
        <w:t>保持原有的审议意见，并认为公司已严格按照新企业会计准则处理了资产负债日期后事项，公司财务报表已经按照新企</w:t>
      </w:r>
      <w:r>
        <w:rPr>
          <w:rFonts w:ascii="宋体" w:hAnsi="宋体" w:cs="宋体" w:eastAsia="宋体" w:hint="default"/>
          <w:sz w:val="18"/>
          <w:szCs w:val="18"/>
        </w:rPr>
        <w:t> </w:t>
      </w:r>
      <w:r>
        <w:rPr>
          <w:rFonts w:ascii="宋体" w:hAnsi="宋体" w:cs="宋体" w:eastAsia="宋体" w:hint="default"/>
          <w:spacing w:val="-2"/>
          <w:sz w:val="18"/>
          <w:szCs w:val="18"/>
        </w:rPr>
        <w:t>业会计准则及公司有关财务制度的规定编制，同意年审注册会计师对公司财务会计报表出具的初步审计报告，并以该审计报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告为基础制作公司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年年度报告和摘要，同时请审计项目组按照审计计划尽快完成审计工作，以保证公司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年年度报告</w:t>
      </w:r>
      <w:r>
        <w:rPr>
          <w:rFonts w:ascii="宋体" w:hAnsi="宋体" w:cs="宋体" w:eastAsia="宋体" w:hint="default"/>
          <w:spacing w:val="-56"/>
          <w:sz w:val="18"/>
          <w:szCs w:val="18"/>
        </w:rPr>
        <w:t> </w:t>
      </w:r>
      <w:r>
        <w:rPr>
          <w:rFonts w:ascii="宋体" w:hAnsi="宋体" w:cs="宋体" w:eastAsia="宋体" w:hint="default"/>
          <w:sz w:val="18"/>
          <w:szCs w:val="18"/>
        </w:rPr>
        <w:t>如期披露。</w:t>
      </w:r>
    </w:p>
    <w:p>
      <w:pPr>
        <w:spacing w:before="22"/>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、审阅公司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年度审计报告</w:t>
      </w:r>
    </w:p>
    <w:p>
      <w:pPr>
        <w:spacing w:line="300" w:lineRule="auto" w:before="63"/>
        <w:ind w:left="153" w:right="113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日董事会审计委员会召开了年报工作第三次工作会议，认真审阅了经瑞华会计师事务所出具的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 审计报告，同时审议通过了以下决议：</w:t>
      </w:r>
    </w:p>
    <w:p>
      <w:pPr>
        <w:spacing w:line="300" w:lineRule="auto" w:before="31"/>
        <w:ind w:left="154" w:right="104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）瑞华会计师事务所（特殊普通合伙）出具的</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年年度审计报告严格按照新企业会计准则及公司有关财务制度的 规定编制，公允地反映了公司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年度的财务状况和经营成果，同意以该审计报告为基础制作公司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年年度报告和摘要；</w:t>
      </w:r>
    </w:p>
    <w:p>
      <w:pPr>
        <w:spacing w:after="0" w:line="300" w:lineRule="auto"/>
        <w:jc w:val="both"/>
        <w:rPr>
          <w:rFonts w:ascii="宋体" w:hAnsi="宋体" w:cs="宋体" w:eastAsia="宋体"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5"/>
          <w:szCs w:val="25"/>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）审议通过了《关于会计师事务所从事本年度审计工作的总结》。</w:t>
      </w:r>
    </w:p>
    <w:p>
      <w:pPr>
        <w:spacing w:line="300" w:lineRule="auto" w:before="63"/>
        <w:ind w:left="514" w:right="1212"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、报告期内董事会审计委员会其他履职情况 报告期内，董事会审计委员会在公司内审部的协助下，定期检查公司财务状况，通过召开会议的形式审核了公司</w:t>
      </w:r>
      <w:r>
        <w:rPr>
          <w:rFonts w:ascii="Times New Roman" w:hAnsi="Times New Roman" w:cs="Times New Roman" w:eastAsia="Times New Roman" w:hint="default"/>
          <w:sz w:val="18"/>
          <w:szCs w:val="18"/>
        </w:rPr>
        <w:t>2015</w:t>
      </w:r>
    </w:p>
    <w:p>
      <w:pPr>
        <w:spacing w:before="13"/>
        <w:ind w:left="153" w:right="0" w:firstLine="0"/>
        <w:jc w:val="left"/>
        <w:rPr>
          <w:rFonts w:ascii="宋体" w:hAnsi="宋体" w:cs="宋体" w:eastAsia="宋体" w:hint="default"/>
          <w:sz w:val="18"/>
          <w:szCs w:val="18"/>
        </w:rPr>
      </w:pPr>
      <w:r>
        <w:rPr>
          <w:rFonts w:ascii="宋体" w:hAnsi="宋体" w:cs="宋体" w:eastAsia="宋体" w:hint="default"/>
          <w:sz w:val="18"/>
          <w:szCs w:val="18"/>
        </w:rPr>
        <w:t>年第一季度报告、半年度报告、第三季度报告并出具了审核意见。</w:t>
      </w:r>
    </w:p>
    <w:p>
      <w:pPr>
        <w:spacing w:line="309" w:lineRule="auto" w:before="77"/>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（二）董事会薪酬委员会履职情况汇总报告</w:t>
      </w:r>
      <w:r>
        <w:rPr>
          <w:rFonts w:ascii="宋体" w:hAnsi="宋体" w:cs="宋体" w:eastAsia="宋体" w:hint="default"/>
          <w:b/>
          <w:bCs/>
          <w:w w:val="99"/>
          <w:sz w:val="18"/>
          <w:szCs w:val="18"/>
        </w:rPr>
        <w:t> </w:t>
      </w:r>
      <w:r>
        <w:rPr>
          <w:rFonts w:ascii="宋体" w:hAnsi="宋体" w:cs="宋体" w:eastAsia="宋体" w:hint="default"/>
          <w:sz w:val="18"/>
          <w:szCs w:val="18"/>
        </w:rPr>
        <w:t>董事会薪酬委员会成员由</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名董事组成，其中两名为公司独立董事，主席由独立董事担任。 </w:t>
      </w:r>
      <w:r>
        <w:rPr>
          <w:rFonts w:ascii="宋体" w:hAnsi="宋体" w:cs="宋体" w:eastAsia="宋体" w:hint="default"/>
          <w:spacing w:val="-2"/>
          <w:sz w:val="18"/>
          <w:szCs w:val="18"/>
        </w:rPr>
        <w:t>根据中国证监会、深圳证券交易所有关规定及公司《董事会薪酬委员会工作细则》，公司董事会薪酬委员会本着勤勉尽</w:t>
      </w:r>
    </w:p>
    <w:p>
      <w:pPr>
        <w:spacing w:line="300" w:lineRule="auto" w:before="24"/>
        <w:ind w:left="513" w:right="1123" w:hanging="360"/>
        <w:jc w:val="left"/>
        <w:rPr>
          <w:rFonts w:ascii="宋体" w:hAnsi="宋体" w:cs="宋体" w:eastAsia="宋体" w:hint="default"/>
          <w:sz w:val="18"/>
          <w:szCs w:val="18"/>
        </w:rPr>
      </w:pPr>
      <w:r>
        <w:rPr>
          <w:rFonts w:ascii="宋体" w:hAnsi="宋体" w:cs="宋体" w:eastAsia="宋体" w:hint="default"/>
          <w:sz w:val="18"/>
          <w:szCs w:val="18"/>
        </w:rPr>
        <w:t>责的原则，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年度履行了以下工作职责： 董事会薪酬委员会于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日召开了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年年报第一次工作会议，听取了公司管理层就</w:t>
      </w:r>
      <w:r>
        <w:rPr>
          <w:rFonts w:ascii="Times New Roman" w:hAnsi="Times New Roman" w:cs="Times New Roman" w:eastAsia="Times New Roman" w:hint="default"/>
          <w:sz w:val="18"/>
          <w:szCs w:val="18"/>
        </w:rPr>
        <w:t>2015</w:t>
      </w:r>
      <w:r>
        <w:rPr>
          <w:rFonts w:ascii="宋体" w:hAnsi="宋体" w:cs="宋体" w:eastAsia="宋体" w:hint="default"/>
          <w:sz w:val="18"/>
          <w:szCs w:val="18"/>
        </w:rPr>
        <w:t>年主要业务经营情况</w:t>
      </w:r>
    </w:p>
    <w:p>
      <w:pPr>
        <w:spacing w:line="300" w:lineRule="auto" w:before="1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和经营目标完成情况的汇报，并依据公司董事、监事及高管人员的岗位职责，对公司董事、监事及高管人员</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年度薪酬进</w:t>
      </w:r>
      <w:r>
        <w:rPr>
          <w:rFonts w:ascii="宋体" w:hAnsi="宋体" w:cs="宋体" w:eastAsia="宋体" w:hint="default"/>
          <w:spacing w:val="-62"/>
          <w:sz w:val="18"/>
          <w:szCs w:val="18"/>
        </w:rPr>
        <w:t> </w:t>
      </w:r>
      <w:r>
        <w:rPr>
          <w:rFonts w:ascii="宋体" w:hAnsi="宋体" w:cs="宋体" w:eastAsia="宋体" w:hint="default"/>
          <w:sz w:val="18"/>
          <w:szCs w:val="18"/>
        </w:rPr>
        <w:t>行了审核，并出具如下审核意见：</w:t>
      </w:r>
    </w:p>
    <w:p>
      <w:pPr>
        <w:spacing w:line="316" w:lineRule="auto" w:before="31"/>
        <w:ind w:left="154" w:right="1133"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报告期内，公司管理层基本完成了董事会制定的经营业绩目标，石基信息董事、监事及高管人员薪酬收入执行了股东大</w:t>
      </w:r>
      <w:r>
        <w:rPr>
          <w:rFonts w:ascii="宋体" w:hAnsi="宋体" w:cs="宋体" w:eastAsia="宋体" w:hint="default"/>
          <w:sz w:val="18"/>
          <w:szCs w:val="18"/>
        </w:rPr>
        <w:t> 会、董事会批准的有关规定，公司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年年度报告中披露的有关董事、监事及高管人员薪酬收入情况真实、客观。</w:t>
      </w:r>
    </w:p>
    <w:p>
      <w:pPr>
        <w:spacing w:line="316" w:lineRule="auto" w:before="0"/>
        <w:ind w:left="513" w:right="1123" w:firstLine="0"/>
        <w:jc w:val="left"/>
        <w:rPr>
          <w:rFonts w:ascii="宋体" w:hAnsi="宋体" w:cs="宋体" w:eastAsia="宋体" w:hint="default"/>
          <w:sz w:val="18"/>
          <w:szCs w:val="18"/>
        </w:rPr>
      </w:pPr>
      <w:r>
        <w:rPr>
          <w:rFonts w:ascii="宋体" w:hAnsi="宋体" w:cs="宋体" w:eastAsia="宋体" w:hint="default"/>
          <w:b/>
          <w:bCs/>
          <w:sz w:val="18"/>
          <w:szCs w:val="18"/>
        </w:rPr>
        <w:t>（三）董事会提名委员会履职情况汇总报告</w:t>
      </w:r>
      <w:r>
        <w:rPr>
          <w:rFonts w:ascii="宋体" w:hAnsi="宋体" w:cs="宋体" w:eastAsia="宋体" w:hint="default"/>
          <w:b/>
          <w:bCs/>
          <w:w w:val="99"/>
          <w:sz w:val="18"/>
          <w:szCs w:val="18"/>
        </w:rPr>
        <w:t> </w:t>
      </w:r>
      <w:r>
        <w:rPr>
          <w:rFonts w:ascii="宋体" w:hAnsi="宋体" w:cs="宋体" w:eastAsia="宋体" w:hint="default"/>
          <w:sz w:val="18"/>
          <w:szCs w:val="18"/>
        </w:rPr>
        <w:t>董事会提名委员会成员由</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名董事组成，其中两名为公司独立董事，主席由独立董事担任。报告期内，提名委员会根据</w:t>
      </w:r>
    </w:p>
    <w:p>
      <w:pPr>
        <w:spacing w:line="248"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《公司法》、《公司章程》和《董事会提名委员会工作细则》，积极履行职责，</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年度履行了以下工作职责：</w:t>
      </w:r>
    </w:p>
    <w:p>
      <w:pPr>
        <w:spacing w:line="300" w:lineRule="auto" w:before="63"/>
        <w:ind w:left="153"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日，董事会提名委员会召开了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年第一次会议，对公司首席运营官</w:t>
      </w:r>
      <w:r>
        <w:rPr>
          <w:rFonts w:ascii="Times New Roman" w:hAnsi="Times New Roman" w:cs="Times New Roman" w:eastAsia="Times New Roman" w:hint="default"/>
          <w:sz w:val="18"/>
          <w:szCs w:val="18"/>
        </w:rPr>
        <w:t>Kevin</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Patrick</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King</w:t>
      </w:r>
      <w:r>
        <w:rPr>
          <w:rFonts w:ascii="宋体" w:hAnsi="宋体" w:cs="宋体" w:eastAsia="宋体" w:hint="default"/>
          <w:sz w:val="18"/>
          <w:szCs w:val="18"/>
        </w:rPr>
        <w:t>先生的相关资料 进行了审查，并出具了如下审核意见：</w:t>
      </w:r>
      <w:r>
        <w:rPr>
          <w:rFonts w:ascii="Times New Roman" w:hAnsi="Times New Roman" w:cs="Times New Roman" w:eastAsia="Times New Roman" w:hint="default"/>
          <w:sz w:val="18"/>
          <w:szCs w:val="18"/>
        </w:rPr>
        <w:t>Kevin</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Patrick</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King</w:t>
      </w:r>
      <w:r>
        <w:rPr>
          <w:rFonts w:ascii="宋体" w:hAnsi="宋体" w:cs="宋体" w:eastAsia="宋体" w:hint="default"/>
          <w:sz w:val="18"/>
          <w:szCs w:val="18"/>
        </w:rPr>
        <w:t>先生具备担任公司首席运营官一职的相关任职条件，建议公司董事 会聘任</w:t>
      </w:r>
      <w:r>
        <w:rPr>
          <w:rFonts w:ascii="Times New Roman" w:hAnsi="Times New Roman" w:cs="Times New Roman" w:eastAsia="Times New Roman" w:hint="default"/>
          <w:sz w:val="18"/>
          <w:szCs w:val="18"/>
        </w:rPr>
        <w:t>Kevin Patrick</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King</w:t>
      </w:r>
      <w:r>
        <w:rPr>
          <w:rFonts w:ascii="宋体" w:hAnsi="宋体" w:cs="宋体" w:eastAsia="宋体" w:hint="default"/>
          <w:sz w:val="18"/>
          <w:szCs w:val="18"/>
        </w:rPr>
        <w:t>先生为公司首席运营官。</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0"/>
      <w:bookmarkEnd w:id="140"/>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1"/>
      <w:bookmarkEnd w:id="141"/>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0" w:firstLine="420"/>
        <w:jc w:val="both"/>
      </w:pPr>
      <w:r>
        <w:rPr>
          <w:spacing w:val="-1"/>
        </w:rPr>
        <w:t>公司重视对高级管理人员的绩效考评工作，不断完善高级管理人员的考评和激励机制。根据公司《高</w:t>
      </w:r>
      <w:r>
        <w:rPr/>
        <w:t> </w:t>
      </w:r>
      <w:r>
        <w:rPr>
          <w:spacing w:val="-1"/>
        </w:rPr>
        <w:t>级管理人员绩效考核管理制度》的规定，公司对高级管理人员实行年薪制，高级管理人员的年薪与公司经</w:t>
      </w:r>
      <w:r>
        <w:rPr>
          <w:spacing w:val="-83"/>
        </w:rPr>
        <w:t> </w:t>
      </w:r>
      <w:r>
        <w:rPr>
          <w:spacing w:val="-83"/>
        </w:rPr>
      </w:r>
      <w:r>
        <w:rPr>
          <w:spacing w:val="-1"/>
        </w:rPr>
        <w:t>营业绩以及个人工作绩效挂钩，由公司董事会薪酬委员会对高级管理人员进行考评。考评结果作为高管人</w:t>
      </w:r>
      <w:r>
        <w:rPr>
          <w:spacing w:val="-80"/>
        </w:rPr>
        <w:t> </w:t>
      </w:r>
      <w:r>
        <w:rPr>
          <w:spacing w:val="-80"/>
        </w:rPr>
      </w:r>
      <w:r>
        <w:rPr/>
        <w:t>员年薪核定的主要依据，由董事会最终审议通过。</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九、内部控制评价报告" w:id="142"/>
      <w:bookmarkEnd w:id="142"/>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3"/>
      <w:bookmarkEnd w:id="14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内控自我评价报告" w:id="144"/>
      <w:bookmarkEnd w:id="14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年度内部控制评价报告》全文刊登于巨潮资讯网</w:t>
            </w:r>
            <w:r>
              <w:rPr>
                <w:rFonts w:ascii="Times New Roman" w:hAnsi="Times New Roman" w:cs="Times New Roman" w:eastAsia="Times New Roman" w:hint="default"/>
                <w:sz w:val="18"/>
                <w:szCs w:val="18"/>
              </w:rPr>
              <w:t>(www.cninfo.com.cn)</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2529"/>
        <w:gridCol w:w="642"/>
        <w:gridCol w:w="2914"/>
        <w:gridCol w:w="3472"/>
      </w:tblGrid>
      <w:tr>
        <w:trPr>
          <w:trHeight w:val="714"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62" w:hRule="exact"/>
        </w:trPr>
        <w:tc>
          <w:tcPr>
            <w:tcW w:w="2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56" w:type="dxa"/>
            <w:gridSpan w:val="2"/>
            <w:vMerge w:val="restart"/>
            <w:tcBorders>
              <w:top w:val="single" w:sz="4" w:space="0" w:color="000000"/>
              <w:left w:val="single" w:sz="10" w:space="0" w:color="D2D2D2"/>
              <w:right w:val="single" w:sz="4" w:space="0" w:color="000000"/>
            </w:tcBorders>
          </w:tcPr>
          <w:p>
            <w:pPr>
              <w:pStyle w:val="TableParagraph"/>
              <w:spacing w:line="314"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）重大缺陷：董事、监事或高级管理人员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舞弊；公司以前年度存在重大会计差错，更 正已披露的财务报告；公司当期财务报告存 在重大错报而内部控制未能发现该错报；公 司审计委员会和内部审计机构对内部控制的 监督无效；其他可能影响报表使用者正确判 断的缺陷；</w:t>
            </w:r>
          </w:p>
          <w:p>
            <w:pPr>
              <w:pStyle w:val="TableParagraph"/>
              <w:spacing w:line="309" w:lineRule="auto" w:before="59"/>
              <w:ind w:left="27"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）重要缺陷：违规泄露财务报告、并购、 投资等重大信息，导致公司股价严重波动或 给公司形象造成严重负面影响；</w:t>
            </w:r>
          </w:p>
          <w:p>
            <w:pPr>
              <w:pStyle w:val="TableParagraph"/>
              <w:spacing w:line="302" w:lineRule="auto" w:before="62"/>
              <w:ind w:left="27" w:right="2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）一般缺陷：不构成重大缺陷和重要缺陷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的财务报告内部控制缺陷。</w:t>
            </w:r>
          </w:p>
        </w:tc>
        <w:tc>
          <w:tcPr>
            <w:tcW w:w="347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2" w:right="17" w:firstLine="9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）重大缺陷：董事会及其专业委员会、 监事会和经理层未按照权限和职责履行；公 司重要业务缺乏控制或内部控制系统整体 失效；其他可能导致企业严重偏离控制目标 的缺陷；</w:t>
            </w:r>
          </w:p>
          <w:p>
            <w:pPr>
              <w:pStyle w:val="TableParagraph"/>
              <w:spacing w:line="312" w:lineRule="auto" w:before="59"/>
              <w:ind w:left="22"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）重要缺陷：内部控制设计未覆盖重要 业务和关键风险领域，不能实现控制目标； 信息披露内容不真实，受到外部监管机构处 罚；</w:t>
            </w:r>
          </w:p>
          <w:p>
            <w:pPr>
              <w:pStyle w:val="TableParagraph"/>
              <w:spacing w:line="302" w:lineRule="auto" w:before="61"/>
              <w:ind w:left="22" w:right="10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）一般缺陷：不构成重大缺陷和重要缺 陷的非财务报告内部控制缺陷。</w:t>
            </w:r>
          </w:p>
        </w:tc>
      </w:tr>
      <w:tr>
        <w:trPr>
          <w:trHeight w:val="391" w:hRule="exact"/>
        </w:trPr>
        <w:tc>
          <w:tcPr>
            <w:tcW w:w="2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56" w:type="dxa"/>
            <w:gridSpan w:val="2"/>
            <w:vMerge/>
            <w:tcBorders>
              <w:left w:val="single" w:sz="10" w:space="0" w:color="D2D2D2"/>
              <w:right w:val="single" w:sz="4" w:space="0" w:color="000000"/>
            </w:tcBorders>
          </w:tcPr>
          <w:p>
            <w:pPr/>
          </w:p>
        </w:tc>
        <w:tc>
          <w:tcPr>
            <w:tcW w:w="3472" w:type="dxa"/>
            <w:vMerge/>
            <w:tcBorders>
              <w:left w:val="single" w:sz="4" w:space="0" w:color="000000"/>
              <w:right w:val="single" w:sz="4" w:space="0" w:color="000000"/>
            </w:tcBorders>
          </w:tcPr>
          <w:p>
            <w:pPr/>
          </w:p>
        </w:tc>
      </w:tr>
      <w:tr>
        <w:trPr>
          <w:trHeight w:val="1762" w:hRule="exact"/>
        </w:trPr>
        <w:tc>
          <w:tcPr>
            <w:tcW w:w="2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3556" w:type="dxa"/>
            <w:gridSpan w:val="2"/>
            <w:vMerge/>
            <w:tcBorders>
              <w:left w:val="single" w:sz="10" w:space="0" w:color="D2D2D2"/>
              <w:bottom w:val="single" w:sz="4" w:space="0" w:color="000000"/>
              <w:right w:val="single" w:sz="4" w:space="0" w:color="000000"/>
            </w:tcBorders>
          </w:tcPr>
          <w:p>
            <w:pPr/>
          </w:p>
        </w:tc>
        <w:tc>
          <w:tcPr>
            <w:tcW w:w="3472" w:type="dxa"/>
            <w:vMerge/>
            <w:tcBorders>
              <w:left w:val="single" w:sz="4" w:space="0" w:color="000000"/>
              <w:bottom w:val="single" w:sz="4" w:space="0" w:color="000000"/>
              <w:right w:val="single" w:sz="4" w:space="0" w:color="000000"/>
            </w:tcBorders>
          </w:tcPr>
          <w:p>
            <w:pPr/>
          </w:p>
        </w:tc>
      </w:tr>
      <w:tr>
        <w:trPr>
          <w:trHeight w:val="981" w:hRule="exact"/>
        </w:trPr>
        <w:tc>
          <w:tcPr>
            <w:tcW w:w="2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56" w:type="dxa"/>
            <w:gridSpan w:val="2"/>
            <w:vMerge w:val="restart"/>
            <w:tcBorders>
              <w:top w:val="single" w:sz="4" w:space="0" w:color="000000"/>
              <w:left w:val="single" w:sz="10" w:space="0" w:color="D2D2D2"/>
              <w:right w:val="single" w:sz="4" w:space="0" w:color="000000"/>
            </w:tcBorders>
          </w:tcPr>
          <w:p>
            <w:pPr>
              <w:pStyle w:val="TableParagraph"/>
              <w:spacing w:line="300" w:lineRule="auto" w:before="51"/>
              <w:ind w:left="27"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合并财务报表资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）重要缺陷：合并财务报表资产总额的</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合并财务报表资产总额的</w:t>
            </w:r>
          </w:p>
          <w:p>
            <w:pPr>
              <w:pStyle w:val="TableParagraph"/>
              <w:spacing w:line="240" w:lineRule="auto" w:before="6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302" w:lineRule="auto" w:before="101"/>
              <w:ind w:left="27" w:right="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472"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）重大缺陷：错报金额</w:t>
            </w:r>
            <w:r>
              <w:rPr>
                <w:rFonts w:ascii="Times New Roman" w:hAnsi="Times New Roman" w:cs="Times New Roman" w:eastAsia="Times New Roman" w:hint="default"/>
                <w:spacing w:val="-1"/>
                <w:sz w:val="18"/>
                <w:szCs w:val="18"/>
              </w:rPr>
              <w:t>&gt;</w:t>
            </w:r>
            <w:r>
              <w:rPr>
                <w:rFonts w:ascii="宋体" w:hAnsi="宋体" w:cs="宋体" w:eastAsia="宋体" w:hint="default"/>
                <w:spacing w:val="-1"/>
                <w:sz w:val="18"/>
                <w:szCs w:val="18"/>
              </w:rPr>
              <w:t>合并财务报表资</w:t>
            </w:r>
            <w:r>
              <w:rPr>
                <w:rFonts w:ascii="宋体" w:hAnsi="宋体" w:cs="宋体" w:eastAsia="宋体" w:hint="default"/>
                <w:sz w:val="18"/>
                <w:szCs w:val="18"/>
              </w:rPr>
              <w:t>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）重要缺陷：合并财务报表资产总额的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合并财务报表资产总额的</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302" w:lineRule="auto" w:before="101"/>
              <w:ind w:left="22" w:right="2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）一般缺陷：错报金额</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合并财务报表资</w:t>
            </w:r>
            <w:r>
              <w:rPr>
                <w:rFonts w:ascii="宋体" w:hAnsi="宋体" w:cs="宋体" w:eastAsia="宋体" w:hint="default"/>
                <w:spacing w:val="-83"/>
                <w:sz w:val="18"/>
                <w:szCs w:val="18"/>
              </w:rPr>
              <w:t> </w:t>
            </w:r>
            <w:r>
              <w:rPr>
                <w:rFonts w:ascii="宋体" w:hAnsi="宋体" w:cs="宋体" w:eastAsia="宋体" w:hint="default"/>
                <w:sz w:val="18"/>
                <w:szCs w:val="18"/>
              </w:rPr>
              <w:t>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2" w:hRule="exact"/>
        </w:trPr>
        <w:tc>
          <w:tcPr>
            <w:tcW w:w="2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56" w:type="dxa"/>
            <w:gridSpan w:val="2"/>
            <w:vMerge/>
            <w:tcBorders>
              <w:left w:val="single" w:sz="10" w:space="0" w:color="D2D2D2"/>
              <w:right w:val="single" w:sz="4" w:space="0" w:color="000000"/>
            </w:tcBorders>
          </w:tcPr>
          <w:p>
            <w:pPr/>
          </w:p>
        </w:tc>
        <w:tc>
          <w:tcPr>
            <w:tcW w:w="3472" w:type="dxa"/>
            <w:vMerge/>
            <w:tcBorders>
              <w:left w:val="single" w:sz="4" w:space="0" w:color="000000"/>
              <w:right w:val="single" w:sz="4" w:space="0" w:color="000000"/>
            </w:tcBorders>
          </w:tcPr>
          <w:p>
            <w:pPr/>
          </w:p>
        </w:tc>
      </w:tr>
      <w:tr>
        <w:trPr>
          <w:trHeight w:val="980" w:hRule="exact"/>
        </w:trPr>
        <w:tc>
          <w:tcPr>
            <w:tcW w:w="2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3556" w:type="dxa"/>
            <w:gridSpan w:val="2"/>
            <w:vMerge/>
            <w:tcBorders>
              <w:left w:val="single" w:sz="10" w:space="0" w:color="D2D2D2"/>
              <w:bottom w:val="single" w:sz="4" w:space="0" w:color="000000"/>
              <w:right w:val="single" w:sz="4" w:space="0" w:color="000000"/>
            </w:tcBorders>
          </w:tcPr>
          <w:p>
            <w:pPr/>
          </w:p>
        </w:tc>
        <w:tc>
          <w:tcPr>
            <w:tcW w:w="3472" w:type="dxa"/>
            <w:vMerge/>
            <w:tcBorders>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2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12"/>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2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2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12"/>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2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45"/>
      <w:bookmarkEnd w:id="14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第十节 财务报告" w:id="146"/>
      <w:bookmarkEnd w:id="146"/>
      <w:r>
        <w:rPr>
          <w:b w:val="0"/>
          <w:bCs w:val="0"/>
        </w:rPr>
      </w:r>
      <w:bookmarkStart w:name="_bookmark8" w:id="147"/>
      <w:bookmarkEnd w:id="147"/>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8"/>
      <w:bookmarkEnd w:id="14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[2016]48470001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杨春盛、李之洋</w:t>
            </w:r>
          </w:p>
        </w:tc>
      </w:tr>
    </w:tbl>
    <w:p>
      <w:pPr>
        <w:spacing w:before="51"/>
        <w:ind w:left="2063" w:right="303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5"/>
        <w:ind w:left="2063" w:right="3040"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pStyle w:val="BodyText"/>
        <w:spacing w:line="240" w:lineRule="auto" w:before="117"/>
        <w:ind w:left="5877" w:right="0"/>
        <w:jc w:val="left"/>
      </w:pPr>
      <w:r>
        <w:rPr/>
        <w:t>瑞华审字</w:t>
      </w:r>
      <w:r>
        <w:rPr>
          <w:rFonts w:ascii="Times New Roman" w:hAnsi="Times New Roman" w:cs="Times New Roman" w:eastAsia="Times New Roman" w:hint="default"/>
        </w:rPr>
        <w:t>[2016]48470001</w:t>
      </w:r>
      <w:r>
        <w:rPr/>
        <w:t>号</w:t>
      </w:r>
    </w:p>
    <w:p>
      <w:pPr>
        <w:pStyle w:val="Heading4"/>
        <w:spacing w:line="240" w:lineRule="auto" w:before="21"/>
        <w:ind w:right="0"/>
        <w:jc w:val="left"/>
        <w:rPr>
          <w:b w:val="0"/>
          <w:bCs w:val="0"/>
        </w:rPr>
      </w:pPr>
      <w:r>
        <w:rPr/>
        <w:t>北京中长石基信息技术股份有限公司全体股东：</w:t>
      </w:r>
      <w:r>
        <w:rPr>
          <w:b w:val="0"/>
          <w:bCs w:val="0"/>
        </w:rPr>
      </w:r>
    </w:p>
    <w:p>
      <w:pPr>
        <w:spacing w:line="240" w:lineRule="auto" w:before="9"/>
        <w:rPr>
          <w:rFonts w:ascii="宋体" w:hAnsi="宋体" w:cs="宋体" w:eastAsia="宋体" w:hint="default"/>
          <w:b/>
          <w:bCs/>
          <w:sz w:val="26"/>
          <w:szCs w:val="26"/>
        </w:rPr>
      </w:pPr>
    </w:p>
    <w:p>
      <w:pPr>
        <w:pStyle w:val="BodyText"/>
        <w:spacing w:line="256" w:lineRule="auto" w:before="0"/>
        <w:ind w:right="1131" w:firstLine="480"/>
        <w:jc w:val="both"/>
      </w:pPr>
      <w:r>
        <w:rPr>
          <w:spacing w:val="-6"/>
          <w:w w:val="100"/>
        </w:rPr>
        <w:t>我们审计了后附的北京中长石基信息技术股份有限公司（以下简称</w:t>
      </w:r>
      <w:r>
        <w:rPr>
          <w:rFonts w:ascii="Times New Roman" w:hAnsi="Times New Roman" w:cs="Times New Roman" w:eastAsia="Times New Roman" w:hint="default"/>
          <w:spacing w:val="-6"/>
          <w:w w:val="100"/>
        </w:rPr>
        <w:t>“</w:t>
      </w:r>
      <w:r>
        <w:rPr>
          <w:spacing w:val="-6"/>
          <w:w w:val="100"/>
        </w:rPr>
        <w:t>石基公司</w:t>
      </w:r>
      <w:r>
        <w:rPr>
          <w:rFonts w:ascii="Times New Roman" w:hAnsi="Times New Roman" w:cs="Times New Roman" w:eastAsia="Times New Roman" w:hint="default"/>
          <w:spacing w:val="-6"/>
          <w:w w:val="100"/>
        </w:rPr>
        <w:t>”</w:t>
      </w:r>
      <w:r>
        <w:rPr>
          <w:spacing w:val="-6"/>
          <w:w w:val="100"/>
        </w:rPr>
        <w:t>）的财务报表，包括</w:t>
      </w:r>
      <w:r>
        <w:rPr>
          <w:rFonts w:ascii="Times New Roman" w:hAnsi="Times New Roman" w:cs="Times New Roman" w:eastAsia="Times New Roman" w:hint="default"/>
          <w:spacing w:val="-6"/>
          <w:w w:val="100"/>
        </w:rPr>
        <w:t>2015</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日合并及公司的资产负债表，</w:t>
      </w:r>
      <w:r>
        <w:rPr>
          <w:rFonts w:ascii="Times New Roman" w:hAnsi="Times New Roman" w:cs="Times New Roman" w:eastAsia="Times New Roman" w:hint="default"/>
          <w:spacing w:val="-1"/>
        </w:rPr>
        <w:t>2015</w:t>
      </w:r>
      <w:r>
        <w:rPr>
          <w:spacing w:val="-1"/>
        </w:rPr>
        <w:t>年度合并及公司的利润表、合并及公司的现金流量表和合并及</w:t>
      </w:r>
      <w:r>
        <w:rPr>
          <w:spacing w:val="-83"/>
        </w:rPr>
        <w:t> </w:t>
      </w:r>
      <w:r>
        <w:rPr>
          <w:spacing w:val="-83"/>
        </w:rPr>
      </w:r>
      <w:r>
        <w:rPr/>
        <w:t>公司的股东权益变动表以及财务报表附注。</w:t>
      </w:r>
    </w:p>
    <w:p>
      <w:pPr>
        <w:spacing w:line="273" w:lineRule="auto" w:before="23"/>
        <w:ind w:left="634"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编制和公允列报财务报表是石基公司管理层的责任。这种责任包括：（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w:t>
      </w:r>
    </w:p>
    <w:p>
      <w:pPr>
        <w:pStyle w:val="BodyText"/>
        <w:spacing w:line="256" w:lineRule="auto" w:before="0"/>
        <w:ind w:right="0"/>
        <w:jc w:val="left"/>
      </w:pPr>
      <w:r>
        <w:rPr/>
        <w:t>编制财务报表，并使其实现公允反映；（</w:t>
      </w:r>
      <w:r>
        <w:rPr>
          <w:rFonts w:ascii="Times New Roman" w:hAnsi="Times New Roman" w:cs="Times New Roman" w:eastAsia="Times New Roman" w:hint="default"/>
        </w:rPr>
        <w:t>2</w:t>
      </w:r>
      <w:r>
        <w:rPr/>
        <w:t>）设计、执行和维护必要的内部控制，以使财务报表不存在由</w:t>
      </w:r>
      <w:r>
        <w:rPr>
          <w:spacing w:val="-30"/>
        </w:rPr>
        <w:t> </w:t>
      </w:r>
      <w:r>
        <w:rPr>
          <w:spacing w:val="-30"/>
        </w:rPr>
      </w:r>
      <w:r>
        <w:rPr/>
        <w:t>于舞弊或错误导致的重大错报。</w:t>
      </w:r>
    </w:p>
    <w:p>
      <w:pPr>
        <w:pStyle w:val="BodyText"/>
        <w:spacing w:line="273" w:lineRule="auto" w:before="22"/>
        <w:ind w:left="633" w:right="1121"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w:t>
      </w:r>
    </w:p>
    <w:p>
      <w:pPr>
        <w:pStyle w:val="BodyText"/>
        <w:spacing w:line="273" w:lineRule="auto"/>
        <w:ind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273" w:lineRule="auto"/>
        <w:ind w:right="1131" w:firstLine="480"/>
        <w:jc w:val="both"/>
      </w:pPr>
      <w:r>
        <w:rPr>
          <w:spacing w:val="-2"/>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273" w:lineRule="auto"/>
        <w:ind w:left="636" w:right="2923"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64" w:lineRule="auto"/>
        <w:ind w:right="1131" w:firstLine="480"/>
        <w:jc w:val="both"/>
      </w:pPr>
      <w:r>
        <w:rPr>
          <w:spacing w:val="-2"/>
        </w:rPr>
        <w:t>我们认为，上述财务报表在所有重大方面按照企业会计准则的规定编制，公允反映了北京中长石基信</w:t>
      </w:r>
      <w:r>
        <w:rPr/>
        <w:t> </w:t>
      </w:r>
      <w:r>
        <w:rPr>
          <w:spacing w:val="3"/>
        </w:rPr>
        <w:t>息技术股份有限公司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日合并及公司的财务状况以及</w:t>
      </w:r>
      <w:r>
        <w:rPr>
          <w:rFonts w:ascii="Times New Roman" w:hAnsi="Times New Roman" w:cs="Times New Roman" w:eastAsia="Times New Roman" w:hint="default"/>
          <w:spacing w:val="3"/>
        </w:rPr>
        <w:t>2015</w:t>
      </w:r>
      <w:r>
        <w:rPr>
          <w:spacing w:val="3"/>
        </w:rPr>
        <w:t>年度合并及公司的经营成果和现金</w:t>
      </w:r>
      <w:r>
        <w:rPr>
          <w:spacing w:val="-95"/>
        </w:rPr>
        <w:t> </w:t>
      </w:r>
      <w:r>
        <w:rPr>
          <w:spacing w:val="-95"/>
        </w:rPr>
      </w:r>
      <w:r>
        <w:rPr/>
        <w:t>流量。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541" w:type="dxa"/>
        <w:tblLayout w:type="fixed"/>
        <w:tblCellMar>
          <w:top w:w="0" w:type="dxa"/>
          <w:left w:w="0" w:type="dxa"/>
          <w:bottom w:w="0" w:type="dxa"/>
          <w:right w:w="0" w:type="dxa"/>
        </w:tblCellMar>
        <w:tblLook w:val="01E0"/>
      </w:tblPr>
      <w:tblGrid>
        <w:gridCol w:w="4353"/>
        <w:gridCol w:w="3450"/>
      </w:tblGrid>
      <w:tr>
        <w:trPr>
          <w:trHeight w:val="271" w:hRule="exact"/>
        </w:trPr>
        <w:tc>
          <w:tcPr>
            <w:tcW w:w="4353" w:type="dxa"/>
            <w:tcBorders>
              <w:top w:val="nil" w:sz="6" w:space="0" w:color="auto"/>
              <w:left w:val="nil" w:sz="6" w:space="0" w:color="auto"/>
              <w:bottom w:val="nil" w:sz="6" w:space="0" w:color="auto"/>
              <w:right w:val="nil" w:sz="6" w:space="0" w:color="auto"/>
            </w:tcBorders>
          </w:tcPr>
          <w:p>
            <w:pPr>
              <w:pStyle w:val="TableParagraph"/>
              <w:spacing w:line="210" w:lineRule="exact"/>
              <w:ind w:right="591"/>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3450" w:type="dxa"/>
            <w:tcBorders>
              <w:top w:val="nil" w:sz="6" w:space="0" w:color="auto"/>
              <w:left w:val="nil" w:sz="6" w:space="0" w:color="auto"/>
              <w:bottom w:val="nil" w:sz="6" w:space="0" w:color="auto"/>
              <w:right w:val="nil" w:sz="6" w:space="0" w:color="auto"/>
            </w:tcBorders>
          </w:tcPr>
          <w:p>
            <w:pPr>
              <w:pStyle w:val="TableParagraph"/>
              <w:spacing w:line="210" w:lineRule="exact"/>
              <w:ind w:left="793" w:right="0"/>
              <w:jc w:val="left"/>
              <w:rPr>
                <w:rFonts w:ascii="宋体" w:hAnsi="宋体" w:cs="宋体" w:eastAsia="宋体" w:hint="default"/>
                <w:sz w:val="21"/>
                <w:szCs w:val="21"/>
              </w:rPr>
            </w:pPr>
            <w:r>
              <w:rPr>
                <w:rFonts w:ascii="宋体" w:hAnsi="宋体" w:cs="宋体" w:eastAsia="宋体" w:hint="default"/>
                <w:sz w:val="21"/>
                <w:szCs w:val="21"/>
              </w:rPr>
              <w:t>中国注册会计师：杨春盛</w:t>
            </w:r>
          </w:p>
        </w:tc>
      </w:tr>
      <w:tr>
        <w:trPr>
          <w:trHeight w:val="338" w:hRule="exact"/>
        </w:trPr>
        <w:tc>
          <w:tcPr>
            <w:tcW w:w="4353" w:type="dxa"/>
            <w:tcBorders>
              <w:top w:val="nil" w:sz="6" w:space="0" w:color="auto"/>
              <w:left w:val="nil" w:sz="6" w:space="0" w:color="auto"/>
              <w:bottom w:val="nil" w:sz="6" w:space="0" w:color="auto"/>
              <w:right w:val="nil" w:sz="6" w:space="0" w:color="auto"/>
            </w:tcBorders>
          </w:tcPr>
          <w:p>
            <w:pPr>
              <w:pStyle w:val="TableParagraph"/>
              <w:spacing w:line="287" w:lineRule="exact"/>
              <w:ind w:right="591"/>
              <w:jc w:val="center"/>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tc>
        <w:tc>
          <w:tcPr>
            <w:tcW w:w="3450" w:type="dxa"/>
            <w:tcBorders>
              <w:top w:val="nil" w:sz="6" w:space="0" w:color="auto"/>
              <w:left w:val="nil" w:sz="6" w:space="0" w:color="auto"/>
              <w:bottom w:val="nil" w:sz="6" w:space="0" w:color="auto"/>
              <w:right w:val="nil" w:sz="6" w:space="0" w:color="auto"/>
            </w:tcBorders>
          </w:tcPr>
          <w:p>
            <w:pPr>
              <w:pStyle w:val="TableParagraph"/>
              <w:spacing w:line="271" w:lineRule="exact"/>
              <w:ind w:left="793" w:right="0"/>
              <w:jc w:val="left"/>
              <w:rPr>
                <w:rFonts w:ascii="宋体" w:hAnsi="宋体" w:cs="宋体" w:eastAsia="宋体" w:hint="default"/>
                <w:sz w:val="21"/>
                <w:szCs w:val="21"/>
              </w:rPr>
            </w:pPr>
            <w:r>
              <w:rPr>
                <w:rFonts w:ascii="宋体" w:hAnsi="宋体" w:cs="宋体" w:eastAsia="宋体" w:hint="default"/>
                <w:sz w:val="21"/>
                <w:szCs w:val="21"/>
              </w:rPr>
              <w:t>中国注册会计师：李之洋</w:t>
            </w:r>
          </w:p>
        </w:tc>
      </w:tr>
      <w:tr>
        <w:trPr>
          <w:trHeight w:val="265" w:hRule="exact"/>
        </w:trPr>
        <w:tc>
          <w:tcPr>
            <w:tcW w:w="4353" w:type="dxa"/>
            <w:tcBorders>
              <w:top w:val="nil" w:sz="6" w:space="0" w:color="auto"/>
              <w:left w:val="nil" w:sz="6" w:space="0" w:color="auto"/>
              <w:bottom w:val="nil" w:sz="6" w:space="0" w:color="auto"/>
              <w:right w:val="nil" w:sz="6" w:space="0" w:color="auto"/>
            </w:tcBorders>
          </w:tcPr>
          <w:p>
            <w:pPr/>
          </w:p>
        </w:tc>
        <w:tc>
          <w:tcPr>
            <w:tcW w:w="3450" w:type="dxa"/>
            <w:tcBorders>
              <w:top w:val="nil" w:sz="6" w:space="0" w:color="auto"/>
              <w:left w:val="nil" w:sz="6" w:space="0" w:color="auto"/>
              <w:bottom w:val="nil" w:sz="6" w:space="0" w:color="auto"/>
              <w:right w:val="nil" w:sz="6" w:space="0" w:color="auto"/>
            </w:tcBorders>
          </w:tcPr>
          <w:p>
            <w:pPr>
              <w:pStyle w:val="TableParagraph"/>
              <w:spacing w:line="265" w:lineRule="exact"/>
              <w:ind w:left="940" w:right="0"/>
              <w:jc w:val="left"/>
              <w:rPr>
                <w:rFonts w:ascii="宋体" w:hAnsi="宋体" w:cs="宋体" w:eastAsia="宋体" w:hint="default"/>
                <w:sz w:val="21"/>
                <w:szCs w:val="21"/>
              </w:rPr>
            </w:pPr>
            <w:r>
              <w:rPr>
                <w:rFonts w:ascii="宋体" w:hAnsi="宋体" w:cs="宋体" w:eastAsia="宋体" w:hint="default"/>
                <w:sz w:val="21"/>
                <w:szCs w:val="21"/>
              </w:rPr>
              <w:t>二〇一六年三月二十九日</w:t>
            </w:r>
          </w:p>
        </w:tc>
      </w:tr>
    </w:tbl>
    <w:p>
      <w:pPr>
        <w:spacing w:after="0" w:line="265" w:lineRule="exact"/>
        <w:jc w:val="left"/>
        <w:rPr>
          <w:rFonts w:ascii="宋体" w:hAnsi="宋体" w:cs="宋体" w:eastAsia="宋体" w:hint="default"/>
          <w:sz w:val="21"/>
          <w:szCs w:val="21"/>
        </w:rPr>
        <w:sectPr>
          <w:pgSz w:w="11910" w:h="16840"/>
          <w:pgMar w:header="0"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49"/>
      <w:bookmarkEnd w:id="14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1、合并资产负债表" w:id="150"/>
      <w:bookmarkEnd w:id="15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编制单位：北京中长石基信息技术股份有限公司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935" w:space="142"/>
            <w:col w:w="1639" w:space="3203"/>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648"/>
        <w:gridCol w:w="2139"/>
        <w:gridCol w:w="1770"/>
      </w:tblGrid>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2,021,649,691.79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695,052,002.46</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3,314,200.00</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258,440,366.07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248,177,875.49</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30,419,347.16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22,797,461.87</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1,613,698.63</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18,509,953.47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3,214,260.00</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32,021,651.68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55,236,018.69</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244,036,766.12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256,741,887.83</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190,000.00</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1,047,809,296.22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122,232,715.49</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3,656,200,771.14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1,406,956,421.83</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162,397,909.21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10,413,462.79</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295,340,518.59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101,908,448.79</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137,202,391.00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123,256,182.03</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344,501,556.14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330,292,546.90</w:t>
            </w:r>
          </w:p>
        </w:tc>
      </w:tr>
      <w:tr>
        <w:trPr>
          <w:trHeight w:val="323"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648"/>
        <w:gridCol w:w="2139"/>
        <w:gridCol w:w="1770"/>
      </w:tblGrid>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110,599,099.49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148,897,168.53</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414,463,776.91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276,408,751.01</w:t>
            </w:r>
          </w:p>
        </w:tc>
      </w:tr>
      <w:tr>
        <w:trPr>
          <w:trHeight w:val="323"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1,899,166.69</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10,426,589.15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7,751,551.20</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143,771,084.00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67,812,441.05</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1,620,602,091.18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1,066,740,552.30</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5,276,802,862.32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2,473,696,974.13</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28,511,052.33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6,652,074.81</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38,700,157.52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37,622,475.61</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114,771,269.10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143,176,755.31</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234,716,663.03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208,029,955.96</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32,185,848.82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29,628,769.20</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36,464,971.61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42,328,698.22</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26,281,495.56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27,762,080.34</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21,250,000.00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532,881,457.97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495,200,809.45</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19,480,800.00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648"/>
        <w:gridCol w:w="2139"/>
        <w:gridCol w:w="1770"/>
      </w:tblGrid>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3,652,000.00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3,952,000.00</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54,796,351.99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60,369,622.76</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77,929,151.99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64,321,622.76</w:t>
            </w:r>
          </w:p>
        </w:tc>
      </w:tr>
      <w:tr>
        <w:trPr>
          <w:trHeight w:val="323"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610,810,609.96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559,522,432.21</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355,596,251.00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309,120,000.00</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2,325,696,175.15</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45,305,898.32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-1,288,615.61</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9,944,007.95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4,780,320.47</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1,890,410,306.15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1,571,672,670.09</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4,626,952,638.57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1,884,284,374.95</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39,039,613.79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29,890,166.97</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4,665,992,252.36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1,914,174,541.92</w:t>
            </w:r>
          </w:p>
        </w:tc>
      </w:tr>
      <w:tr>
        <w:trPr>
          <w:trHeight w:val="322"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5,276,802,862.32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2,473,696,974.13</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母公司资产负债表" w:id="151"/>
      <w:bookmarkEnd w:id="15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7"/>
        <w:gridCol w:w="2280"/>
        <w:gridCol w:w="1770"/>
      </w:tblGrid>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1,413,685,496.43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9,603,353.15</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16,214,662.78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5,446,987.65</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15,197,588.41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6,067,822.31</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39,638,479.31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39,638,479.31</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24,583,305.94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55,477,584.97</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42,300,603.50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38,265,557.71</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522,010,730.00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708,486.83</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2,075,030,866.37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155,208,271.93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02"/>
        <w:gridCol w:w="2286"/>
        <w:gridCol w:w="1770"/>
      </w:tblGrid>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1,486,221,166.93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1,130,886,166.93</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98,939,211.98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102,404,243.02</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14,116,567.22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18,229,420.29</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143,771,084.00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23,771,084.00</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1,743,048,030.13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1,275,290,914.24</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3,818,078,896.50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1,430,499,186.17</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13,218,378.16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16,681,877.05</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53,451,181.54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20,942,636.83</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3,653,032.79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3,653,032.79</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3,298,405.81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354,457.20</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518,655,283.64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549,779,468.66</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592,276,281.94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591,411,472.53</w:t>
            </w: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07"/>
        <w:gridCol w:w="2280"/>
        <w:gridCol w:w="1770"/>
      </w:tblGrid>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592,276,281.94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591,411,472.53</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355,596,251.00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309,120,000.00</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2,342,746,175.15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17,050,000.00</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97,581,860.68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92,418,173.20</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429,878,327.73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420,499,540.44</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3,225,802,614.56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839,087,713.64</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3,818,078,896.50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1,430,499,186.17</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合并利润表" w:id="152"/>
      <w:bookmarkEnd w:id="15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2423"/>
        <w:gridCol w:w="1770"/>
      </w:tblGrid>
      <w:tr>
        <w:trPr>
          <w:trHeight w:val="32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96"/>
              <w:jc w:val="right"/>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6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2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1,986,663,614.65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2,186,072,061.03</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1,986,663,614.65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2,186,072,061.03</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1,657,015,592.13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1,820,145,382.58</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1,186,045,015.91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1,387,923,834.44</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46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13,364,821.62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15,108,787.05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121,545,703.17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119,093,129.54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365"/>
        <w:gridCol w:w="2423"/>
        <w:gridCol w:w="1770"/>
      </w:tblGrid>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334,960,981.44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293,223,121.83</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-11,541,209.75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-3,483,790.02</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12,640,279.74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8,280,299.74</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36,000.00</w:t>
            </w:r>
          </w:p>
        </w:tc>
      </w:tr>
      <w:tr>
        <w:trPr>
          <w:trHeight w:val="32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19,740,253.98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19,988,954.50</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2,789,071.82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8,110,814.25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349,388,276.50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385,951,632.95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55,924,758.91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58,613,409.69</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3,835.97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291.13</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510,750.04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253,459.74</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392,132.50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20,019.14</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404,802,285.37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444,311,582.90</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31,942,083.14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49,159,622.98</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372,860,202.23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395,151,959.92</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360,995,723.54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382,047,507.19</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11,864,478.69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13,104,452.73</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46,594,513.93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745,010.14</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46,594,513.93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745,010.14</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46,594,513.93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745,010.14</w:t>
            </w:r>
          </w:p>
        </w:tc>
      </w:tr>
      <w:tr>
        <w:trPr>
          <w:trHeight w:val="63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668,941.30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8,146.59</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27,953,813.62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17,971,759.01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736,863.55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23"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419,454,716.16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395,896,970.06</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407,590,237.47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382,792,517.33</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11,864,478.69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13,104,452.73</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1.17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1.24</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1.17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1.24</w:t>
            </w:r>
          </w:p>
        </w:tc>
      </w:tr>
    </w:tbl>
    <w:p>
      <w:pPr>
        <w:tabs>
          <w:tab w:pos="3574" w:val="left" w:leader="none"/>
          <w:tab w:pos="7715" w:val="left" w:leader="none"/>
        </w:tabs>
        <w:spacing w:line="590" w:lineRule="auto" w:before="51"/>
        <w:ind w:left="15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 法定代表人：李仲初</w:t>
        <w:tab/>
        <w:t>主管会计工作负责人：赖德源</w:t>
        <w:tab/>
        <w:t>会计机构负责人：李天达</w:t>
      </w:r>
    </w:p>
    <w:p>
      <w:pPr>
        <w:spacing w:after="0" w:line="59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4、母公司利润表" w:id="153"/>
      <w:bookmarkEnd w:id="15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2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224,687,065.15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197,310,223.48</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141,931,209.95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148,238,462.79</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1,522,817.18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853,311.85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1,468,158.04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2,177,517.22</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67,885,118.62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50,121,386.25</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-7,106,097.01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-2,266,623.51</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-244,085.50</w:t>
            </w:r>
            <w:r>
              <w:rPr>
                <w:rFonts w:ascii="Times New Roman"/>
                <w:sz w:val="18"/>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-6,908,017.49</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26,633,860.37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8,240,014.20</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45,863,804.24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13,334,200.57</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10,125,352.68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3,404,132.58</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4,693.81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101.19</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4,693.81</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55,984,463.11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16,738,231.96</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4,347,588.34</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51,636,874.77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16,738,231.96</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51,636,874.77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16,738,231.96</w:t>
            </w: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tabs>
          <w:tab w:pos="3574" w:val="left" w:leader="none"/>
          <w:tab w:pos="771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5、合并现金流量表" w:id="154"/>
      <w:bookmarkEnd w:id="15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507"/>
        <w:gridCol w:w="2280"/>
        <w:gridCol w:w="1770"/>
      </w:tblGrid>
      <w:tr>
        <w:trPr>
          <w:trHeight w:val="32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2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2,302,902,962.14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2,554,588,112.70</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65,471,880.91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43,286,628.10</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16,307,339.25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6,923,732.33</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2,384,682,182.30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2,604,798,473.13</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1,373,894,919.42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1,575,076,132.64</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280,021,373.47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239,541,476.59</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174,648,193.51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176,491,210.90</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217,807,763.53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129,229,736.05</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2,046,372,249.93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2,120,338,556.18</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338,309,932.37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484,459,916.95</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4,351,748,887.50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689,137,702.86</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13,487,636.56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11,599,166.89</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1,471,304.90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203,089.08</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5,984,770.17</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20,281,050.30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112,393,567.05</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4,392,973,649.43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813,333,525.88</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15,669,020.46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13,508,874.46</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5,657,386,270.70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469,253,771.94</w:t>
            </w:r>
          </w:p>
        </w:tc>
      </w:tr>
      <w:tr>
        <w:trPr>
          <w:trHeight w:val="32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82,634,862.13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86,928,456.43</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53,964,384.22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80,016,134.76</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5,809,654,537.51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649,707,237.59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07"/>
        <w:gridCol w:w="2280"/>
        <w:gridCol w:w="1770"/>
      </w:tblGrid>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-1,416,680,888.08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163,626,288.29</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2,372,172,426.15</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70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28,511,052.33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13,552,074.81</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2,400,683,478.48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13,552,074.81</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4,134,259.82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15,300,000.00</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44,283,056.11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39,348,509.63</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70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6,760,000.00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1,760,000.00</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315,000,000.00</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48,417,315.93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369,648,509.63</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2,352,266,162.55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-356,096,434.82</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1,191,275.81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4,370.79</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1,275,086,482.65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291,994,141.21</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692,599,701.32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400,605,560.11</w:t>
            </w:r>
          </w:p>
        </w:tc>
      </w:tr>
      <w:tr>
        <w:trPr>
          <w:trHeight w:val="32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1,967,686,183.97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692,599,701.32</w:t>
            </w:r>
          </w:p>
        </w:tc>
      </w:tr>
    </w:tbl>
    <w:p>
      <w:pPr>
        <w:spacing w:line="240" w:lineRule="auto" w:before="6"/>
        <w:rPr>
          <w:rFonts w:ascii="宋体" w:hAnsi="宋体" w:cs="宋体" w:eastAsia="宋体" w:hint="default"/>
          <w:sz w:val="20"/>
          <w:szCs w:val="20"/>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6、母公司现金流量表" w:id="155"/>
      <w:bookmarkEnd w:id="15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085"/>
        <w:gridCol w:w="1854"/>
        <w:gridCol w:w="1630"/>
      </w:tblGrid>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281,083,660.21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228,906,141.76</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10,367,340.45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2,614,585.24</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39,657,307.36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162,254,079.80</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331,108,308.02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393,774,806.80</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174,363,745.33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176,218,296.84</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9,265,044.92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8,294,828.48</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13,719,121.46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5,897,262.03</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140,044,654.88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7,669,948.11</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337,392,566.59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198,080,335.46</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-6,284,258.57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195,694,471.34</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1,375,050,000.00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25,304,951.55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79,691,903.10</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357.00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190,200,000.00</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1,400,555,308.55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269,891,903.10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085"/>
        <w:gridCol w:w="1854"/>
        <w:gridCol w:w="1630"/>
      </w:tblGrid>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181,932.85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60,946.19</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2,324,885,000.00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315,000,000.00</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118,104,441.71</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323"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2,325,066,932.85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433,365,387.90</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-924,511,624.30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-163,473,484.80</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2,372,172,426.15</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2,372,172,426.15</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37,094,400.00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37,094,400.00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2,335,078,026.15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854"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544.55</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1,404,282,143.28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-4,872,868.91</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9,403,353.15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14,276,222.06</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1,413,685,496.43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9,403,353.15</w:t>
            </w:r>
          </w:p>
        </w:tc>
      </w:tr>
    </w:tbl>
    <w:p>
      <w:pPr>
        <w:spacing w:line="240" w:lineRule="auto" w:before="6"/>
        <w:rPr>
          <w:rFonts w:ascii="宋体" w:hAnsi="宋体" w:cs="宋体" w:eastAsia="宋体" w:hint="default"/>
          <w:sz w:val="20"/>
          <w:szCs w:val="20"/>
        </w:rPr>
      </w:pPr>
    </w:p>
    <w:p>
      <w:pPr>
        <w:tabs>
          <w:tab w:pos="3574" w:val="left" w:leader="none"/>
          <w:tab w:pos="7715"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after="0"/>
        <w:jc w:val="left"/>
        <w:rPr>
          <w:rFonts w:ascii="宋体" w:hAnsi="宋体" w:cs="宋体" w:eastAsia="宋体" w:hint="default"/>
          <w:sz w:val="18"/>
          <w:szCs w:val="18"/>
        </w:rPr>
        <w:sectPr>
          <w:pgSz w:w="11910" w:h="16840"/>
          <w:pgMar w:header="0"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1805"/>
        <w:jc w:val="left"/>
        <w:rPr>
          <w:b w:val="0"/>
          <w:bCs w:val="0"/>
        </w:rPr>
      </w:pPr>
      <w:bookmarkStart w:name="7、合并所有者权益变动表" w:id="156"/>
      <w:bookmarkEnd w:id="15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40" w:right="1805"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43"/>
        <w:gridCol w:w="1193"/>
        <w:gridCol w:w="540"/>
        <w:gridCol w:w="540"/>
        <w:gridCol w:w="542"/>
        <w:gridCol w:w="1318"/>
        <w:gridCol w:w="737"/>
        <w:gridCol w:w="1091"/>
        <w:gridCol w:w="737"/>
        <w:gridCol w:w="1002"/>
        <w:gridCol w:w="737"/>
        <w:gridCol w:w="1316"/>
        <w:gridCol w:w="1091"/>
        <w:gridCol w:w="1316"/>
      </w:tblGrid>
      <w:tr>
        <w:trPr>
          <w:trHeight w:val="322" w:hRule="exact"/>
        </w:trPr>
        <w:tc>
          <w:tcPr>
            <w:tcW w:w="1843" w:type="dxa"/>
            <w:vMerge w:val="restart"/>
            <w:tcBorders>
              <w:top w:val="single" w:sz="4" w:space="0" w:color="000000"/>
              <w:left w:val="single" w:sz="4" w:space="0" w:color="000000"/>
              <w:right w:val="single" w:sz="4" w:space="0" w:color="000000"/>
            </w:tcBorders>
            <w:shd w:val="clear" w:color="auto" w:fill="D2D2D2"/>
          </w:tcPr>
          <w:p>
            <w:pPr/>
          </w:p>
        </w:tc>
        <w:tc>
          <w:tcPr>
            <w:tcW w:w="1216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2" w:hRule="exact"/>
        </w:trPr>
        <w:tc>
          <w:tcPr>
            <w:tcW w:w="1843" w:type="dxa"/>
            <w:vMerge/>
            <w:tcBorders>
              <w:left w:val="single" w:sz="4" w:space="0" w:color="000000"/>
              <w:bottom w:val="nil" w:sz="6" w:space="0" w:color="auto"/>
              <w:right w:val="single" w:sz="4" w:space="0" w:color="000000"/>
            </w:tcBorders>
            <w:shd w:val="clear" w:color="auto" w:fill="D2D2D2"/>
          </w:tcPr>
          <w:p>
            <w:pPr/>
          </w:p>
        </w:tc>
        <w:tc>
          <w:tcPr>
            <w:tcW w:w="975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6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6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2" w:type="dxa"/>
            <w:vMerge w:val="restart"/>
            <w:tcBorders>
              <w:top w:val="single" w:sz="4" w:space="0" w:color="000000"/>
              <w:left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6"/>
              <w:ind w:left="450"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843"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622" w:type="dxa"/>
            <w:gridSpan w:val="3"/>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7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273" w:right="20" w:hanging="251"/>
              <w:jc w:val="left"/>
              <w:rPr>
                <w:rFonts w:ascii="宋体" w:hAnsi="宋体" w:cs="宋体" w:eastAsia="宋体" w:hint="default"/>
                <w:sz w:val="18"/>
                <w:szCs w:val="18"/>
              </w:rPr>
            </w:pPr>
            <w:r>
              <w:rPr>
                <w:rFonts w:ascii="宋体" w:hAnsi="宋体" w:cs="宋体" w:eastAsia="宋体" w:hint="default"/>
                <w:spacing w:val="-10"/>
                <w:sz w:val="18"/>
                <w:szCs w:val="18"/>
              </w:rPr>
              <w:t>减：库存</w:t>
            </w:r>
            <w:r>
              <w:rPr>
                <w:rFonts w:ascii="宋体" w:hAnsi="宋体" w:cs="宋体" w:eastAsia="宋体" w:hint="default"/>
                <w:sz w:val="18"/>
                <w:szCs w:val="18"/>
              </w:rPr>
              <w:t> 股</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450" w:right="89"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274" w:right="90"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02" w:type="dxa"/>
            <w:vMerge/>
            <w:tcBorders>
              <w:left w:val="single" w:sz="4" w:space="0" w:color="000000"/>
              <w:bottom w:val="nil" w:sz="6" w:space="0" w:color="auto"/>
              <w:right w:val="single" w:sz="4" w:space="0" w:color="000000"/>
            </w:tcBorders>
            <w:shd w:val="clear" w:color="auto" w:fill="D2D2D2"/>
          </w:tcPr>
          <w:p>
            <w:pPr/>
          </w:p>
        </w:tc>
        <w:tc>
          <w:tcPr>
            <w:tcW w:w="7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3"/>
              <w:ind w:left="93" w:right="9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16"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9" w:space="0" w:color="D2D2D2"/>
              <w:right w:val="single" w:sz="13" w:space="0" w:color="D2D2D2"/>
            </w:tcBorders>
          </w:tcPr>
          <w:p>
            <w:pPr>
              <w:pStyle w:val="TableParagraph"/>
              <w:spacing w:line="240" w:lineRule="auto" w:before="8"/>
              <w:ind w:left="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157" w:hRule="exact"/>
        </w:trPr>
        <w:tc>
          <w:tcPr>
            <w:tcW w:w="1843"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73" w:right="8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73" w:right="84"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37"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10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3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37"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1" w:type="dxa"/>
            <w:vMerge/>
            <w:tcBorders>
              <w:left w:val="single" w:sz="4" w:space="0" w:color="000000"/>
              <w:right w:val="single" w:sz="4" w:space="0" w:color="000000"/>
            </w:tcBorders>
            <w:shd w:val="clear" w:color="auto" w:fill="D2D2D2"/>
          </w:tcPr>
          <w:p>
            <w:pPr/>
          </w:p>
        </w:tc>
        <w:tc>
          <w:tcPr>
            <w:tcW w:w="1316" w:type="dxa"/>
            <w:vMerge/>
            <w:tcBorders>
              <w:left w:val="single" w:sz="9" w:space="0" w:color="D2D2D2"/>
              <w:bottom w:val="nil" w:sz="6" w:space="0" w:color="auto"/>
              <w:right w:val="single" w:sz="13" w:space="0" w:color="D2D2D2"/>
            </w:tcBorders>
          </w:tcPr>
          <w:p>
            <w:pPr/>
          </w:p>
        </w:tc>
      </w:tr>
      <w:tr>
        <w:trPr>
          <w:trHeight w:val="156" w:hRule="exact"/>
        </w:trPr>
        <w:tc>
          <w:tcPr>
            <w:tcW w:w="1843"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542" w:type="dxa"/>
            <w:vMerge w:val="restart"/>
            <w:tcBorders>
              <w:top w:val="nil" w:sz="6" w:space="0" w:color="auto"/>
              <w:left w:val="single" w:sz="9" w:space="0" w:color="D2D2D2"/>
              <w:right w:val="single" w:sz="9" w:space="0" w:color="D2D2D2"/>
            </w:tcBorders>
          </w:tcPr>
          <w:p>
            <w:pPr>
              <w:pStyle w:val="TableParagraph"/>
              <w:spacing w:line="240" w:lineRule="auto" w:before="15"/>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 </w:t>
            </w:r>
            <w:r>
              <w:rPr>
                <w:rFonts w:ascii="Times New Roman" w:hAnsi="Times New Roman" w:cs="Times New Roman" w:eastAsia="Times New Roman" w:hint="default"/>
                <w:spacing w:val="-27"/>
                <w:sz w:val="18"/>
                <w:szCs w:val="18"/>
                <w:shd w:fill="D2D2D2" w:color="auto" w:val="clear"/>
              </w:rPr>
              <w:t> </w:t>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1318"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1002"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843"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542" w:type="dxa"/>
            <w:vMerge/>
            <w:tcBorders>
              <w:left w:val="single" w:sz="9" w:space="0" w:color="D2D2D2"/>
              <w:bottom w:val="nil" w:sz="6" w:space="0" w:color="auto"/>
              <w:right w:val="single" w:sz="9" w:space="0" w:color="D2D2D2"/>
            </w:tcBorders>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c>
          <w:tcPr>
            <w:tcW w:w="1002" w:type="dxa"/>
            <w:vMerge w:val="restart"/>
            <w:tcBorders>
              <w:top w:val="nil" w:sz="6" w:space="0" w:color="auto"/>
              <w:left w:val="single" w:sz="4" w:space="0" w:color="000000"/>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64"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5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309,120,000.00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center"/>
              <w:rPr>
                <w:rFonts w:ascii="Times New Roman" w:hAnsi="Times New Roman" w:cs="Times New Roman" w:eastAsia="Times New Roman" w:hint="default"/>
                <w:sz w:val="18"/>
                <w:szCs w:val="18"/>
              </w:rPr>
            </w:pPr>
            <w:r>
              <w:rPr>
                <w:rFonts w:ascii="Times New Roman"/>
                <w:sz w:val="18"/>
              </w:rPr>
              <w:t>-1,288,615.61</w:t>
            </w: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4,780,320.47</w:t>
            </w: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1,571,672,670.09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29,890,166.97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1,914,174,541.92</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309,120,000.00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center"/>
              <w:rPr>
                <w:rFonts w:ascii="Times New Roman" w:hAnsi="Times New Roman" w:cs="Times New Roman" w:eastAsia="Times New Roman" w:hint="default"/>
                <w:sz w:val="18"/>
                <w:szCs w:val="18"/>
              </w:rPr>
            </w:pPr>
            <w:r>
              <w:rPr>
                <w:rFonts w:ascii="Times New Roman"/>
                <w:sz w:val="18"/>
              </w:rPr>
              <w:t>-1,288,615.61</w:t>
            </w: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4,780,320.47</w:t>
            </w: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1,571,672,670.09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29,890,166.97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1,914,174,541.92</w:t>
            </w:r>
          </w:p>
        </w:tc>
      </w:tr>
      <w:tr>
        <w:trPr>
          <w:trHeight w:val="63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46,476,251.00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2,325,696,175.15</w:t>
            </w: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46,594,513.93</w:t>
            </w: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5,163,687.48</w:t>
            </w: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318,737,636.06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9,149,446.82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2,751,817,710.44</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46,594,513.93</w:t>
            </w: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360,995,723.54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 w:right="0"/>
              <w:jc w:val="center"/>
              <w:rPr>
                <w:rFonts w:ascii="Times New Roman" w:hAnsi="Times New Roman" w:cs="Times New Roman" w:eastAsia="Times New Roman" w:hint="default"/>
                <w:sz w:val="18"/>
                <w:szCs w:val="18"/>
              </w:rPr>
            </w:pPr>
            <w:r>
              <w:rPr>
                <w:rFonts w:ascii="Times New Roman"/>
                <w:sz w:val="18"/>
              </w:rPr>
              <w:t>11,864,478.69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center"/>
              <w:rPr>
                <w:rFonts w:ascii="Times New Roman" w:hAnsi="Times New Roman" w:cs="Times New Roman" w:eastAsia="Times New Roman" w:hint="default"/>
                <w:sz w:val="18"/>
                <w:szCs w:val="18"/>
              </w:rPr>
            </w:pPr>
            <w:r>
              <w:rPr>
                <w:rFonts w:ascii="Times New Roman"/>
                <w:sz w:val="18"/>
              </w:rPr>
              <w:t>419,454,716.16</w:t>
            </w:r>
          </w:p>
        </w:tc>
      </w:tr>
      <w:tr>
        <w:trPr>
          <w:trHeight w:val="63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21"/>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46,476,251.00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2,325,696,175.15</w:t>
            </w: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2,372,172,426.15</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46,476,251.00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2,325,696,175.15</w:t>
            </w: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2,372,172,426.15</w:t>
            </w:r>
          </w:p>
        </w:tc>
      </w:tr>
      <w:tr>
        <w:trPr>
          <w:trHeight w:val="635"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11" w:right="1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．其他权益工具持有者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1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．股份支付计入所有者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5,163,687.48</w:t>
            </w: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-42,258,087.48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center"/>
              <w:rPr>
                <w:rFonts w:ascii="Times New Roman" w:hAnsi="Times New Roman" w:cs="Times New Roman" w:eastAsia="Times New Roman" w:hint="default"/>
                <w:sz w:val="18"/>
                <w:szCs w:val="18"/>
              </w:rPr>
            </w:pPr>
            <w:r>
              <w:rPr>
                <w:rFonts w:ascii="Times New Roman"/>
                <w:sz w:val="18"/>
              </w:rPr>
              <w:t>-6,760,000.00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7" w:right="0"/>
              <w:jc w:val="center"/>
              <w:rPr>
                <w:rFonts w:ascii="Times New Roman" w:hAnsi="Times New Roman" w:cs="Times New Roman" w:eastAsia="Times New Roman" w:hint="default"/>
                <w:sz w:val="18"/>
                <w:szCs w:val="18"/>
              </w:rPr>
            </w:pPr>
            <w:r>
              <w:rPr>
                <w:rFonts w:ascii="Times New Roman"/>
                <w:sz w:val="18"/>
              </w:rPr>
              <w:t>-43,854,400.00</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5,163,687.48</w:t>
            </w: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-5,163,687.48</w:t>
            </w: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4"/>
          <w:footerReference w:type="default" r:id="rId25"/>
          <w:pgSz w:w="16840" w:h="11910" w:orient="landscape"/>
          <w:pgMar w:header="867" w:footer="979" w:top="1060" w:bottom="1160" w:left="1300" w:right="0"/>
          <w:pgNumType w:start="83"/>
        </w:sectPr>
      </w:pPr>
    </w:p>
    <w:p>
      <w:pPr>
        <w:spacing w:line="240" w:lineRule="auto" w:before="12"/>
        <w:rPr>
          <w:rFonts w:ascii="宋体" w:hAnsi="宋体" w:cs="宋体" w:eastAsia="宋体" w:hint="default"/>
          <w:sz w:val="2"/>
          <w:szCs w:val="2"/>
        </w:rPr>
      </w:pPr>
      <w:r>
        <w:rPr/>
        <w:pict>
          <v:group style="position:absolute;margin-left:164.179993pt;margin-top:73.320007pt;width:58.6pt;height:24pt;mso-position-horizontal-relative:page;mso-position-vertical-relative:page;z-index:-944104" coordorigin="3284,1466" coordsize="1172,480">
            <v:group style="position:absolute;left:3284;top:1466;width:1172;height:156" coordorigin="3284,1466" coordsize="1172,156">
              <v:shape style="position:absolute;left:3284;top:1466;width:1172;height:156" coordorigin="3284,1466" coordsize="1172,156" path="m3284,1622l4455,1622,4455,1466,3284,1466,3284,1622xe" filled="true" fillcolor="#ffffff" stroked="false">
                <v:path arrowok="t"/>
                <v:fill type="solid"/>
              </v:shape>
            </v:group>
            <v:group style="position:absolute;left:3295;top:1622;width:2;height:313" coordorigin="3295,1622" coordsize="2,313">
              <v:shape style="position:absolute;left:3295;top:1622;width:2;height:313" coordorigin="3295,1622" coordsize="0,313" path="m3295,1622l3295,1935e" filled="false" stroked="true" strokeweight="1.140pt" strokecolor="#ffffff">
                <v:path arrowok="t"/>
              </v:shape>
            </v:group>
            <v:group style="position:absolute;left:3306;top:1622;width:1125;height:313" coordorigin="3306,1622" coordsize="1125,313">
              <v:shape style="position:absolute;left:3306;top:1622;width:1125;height:313" coordorigin="3306,1622" coordsize="1125,313" path="m3306,1935l4431,1935,4431,1622,3306,1622,3306,1935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866"/>
        <w:gridCol w:w="1181"/>
        <w:gridCol w:w="540"/>
        <w:gridCol w:w="540"/>
        <w:gridCol w:w="542"/>
        <w:gridCol w:w="1318"/>
        <w:gridCol w:w="737"/>
        <w:gridCol w:w="1091"/>
        <w:gridCol w:w="737"/>
        <w:gridCol w:w="1002"/>
        <w:gridCol w:w="737"/>
        <w:gridCol w:w="1316"/>
        <w:gridCol w:w="1091"/>
        <w:gridCol w:w="1316"/>
      </w:tblGrid>
      <w:tr>
        <w:trPr>
          <w:trHeight w:val="336" w:hRule="exact"/>
        </w:trPr>
        <w:tc>
          <w:tcPr>
            <w:tcW w:w="18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40" w:type="dxa"/>
            <w:tcBorders>
              <w:top w:val="single" w:sz="15" w:space="0" w:color="000000"/>
              <w:left w:val="single" w:sz="4" w:space="0" w:color="000000"/>
              <w:bottom w:val="single" w:sz="4" w:space="0" w:color="000000"/>
              <w:right w:val="single" w:sz="4" w:space="0" w:color="000000"/>
            </w:tcBorders>
          </w:tcPr>
          <w:p>
            <w:pPr/>
          </w:p>
        </w:tc>
        <w:tc>
          <w:tcPr>
            <w:tcW w:w="540" w:type="dxa"/>
            <w:tcBorders>
              <w:top w:val="single" w:sz="15" w:space="0" w:color="000000"/>
              <w:left w:val="single" w:sz="4" w:space="0" w:color="000000"/>
              <w:bottom w:val="single" w:sz="4" w:space="0" w:color="000000"/>
              <w:right w:val="single" w:sz="4" w:space="0" w:color="000000"/>
            </w:tcBorders>
          </w:tcPr>
          <w:p>
            <w:pPr/>
          </w:p>
        </w:tc>
        <w:tc>
          <w:tcPr>
            <w:tcW w:w="542"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c>
          <w:tcPr>
            <w:tcW w:w="73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737" w:type="dxa"/>
            <w:tcBorders>
              <w:top w:val="single" w:sz="15" w:space="0" w:color="000000"/>
              <w:left w:val="single" w:sz="4" w:space="0" w:color="000000"/>
              <w:bottom w:val="single" w:sz="4" w:space="0" w:color="000000"/>
              <w:right w:val="single" w:sz="4" w:space="0" w:color="000000"/>
            </w:tcBorders>
          </w:tcPr>
          <w:p>
            <w:pPr/>
          </w:p>
        </w:tc>
        <w:tc>
          <w:tcPr>
            <w:tcW w:w="1002" w:type="dxa"/>
            <w:tcBorders>
              <w:top w:val="single" w:sz="15" w:space="0" w:color="000000"/>
              <w:left w:val="single" w:sz="4" w:space="0" w:color="000000"/>
              <w:bottom w:val="single" w:sz="4" w:space="0" w:color="000000"/>
              <w:right w:val="single" w:sz="4" w:space="0" w:color="000000"/>
            </w:tcBorders>
          </w:tcPr>
          <w:p>
            <w:pPr/>
          </w:p>
        </w:tc>
        <w:tc>
          <w:tcPr>
            <w:tcW w:w="737"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635"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2"/>
              <w:ind w:left="22"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-37,094,400.00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-6,760,000.00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-43,854,400.00</w:t>
            </w:r>
          </w:p>
        </w:tc>
      </w:tr>
      <w:tr>
        <w:trPr>
          <w:trHeight w:val="322"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 w:right="0"/>
              <w:jc w:val="center"/>
              <w:rPr>
                <w:rFonts w:ascii="Times New Roman" w:hAnsi="Times New Roman" w:cs="Times New Roman" w:eastAsia="Times New Roman" w:hint="default"/>
                <w:sz w:val="18"/>
                <w:szCs w:val="18"/>
              </w:rPr>
            </w:pPr>
            <w:r>
              <w:rPr>
                <w:rFonts w:ascii="Times New Roman"/>
                <w:sz w:val="18"/>
              </w:rPr>
              <w:t>4,044,968.13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4,044,968.13</w:t>
            </w:r>
          </w:p>
        </w:tc>
      </w:tr>
      <w:tr>
        <w:trPr>
          <w:trHeight w:val="323"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355,596,251.00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2,325,696,175.15</w:t>
            </w: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45,305,898.32</w:t>
            </w:r>
          </w:p>
        </w:tc>
        <w:tc>
          <w:tcPr>
            <w:tcW w:w="73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9,944,007.95</w:t>
            </w:r>
          </w:p>
        </w:tc>
        <w:tc>
          <w:tcPr>
            <w:tcW w:w="73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1,890,410,306.15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39,039,613.79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4,665,992,252.36</w:t>
            </w:r>
          </w:p>
        </w:tc>
      </w:tr>
    </w:tbl>
    <w:p>
      <w:pPr>
        <w:spacing w:line="240" w:lineRule="auto" w:before="6"/>
        <w:rPr>
          <w:rFonts w:ascii="宋体" w:hAnsi="宋体" w:cs="宋体" w:eastAsia="宋体" w:hint="default"/>
          <w:sz w:val="20"/>
          <w:szCs w:val="20"/>
        </w:rPr>
      </w:pPr>
    </w:p>
    <w:p>
      <w:pPr>
        <w:tabs>
          <w:tab w:pos="5180" w:val="left" w:leader="none"/>
          <w:tab w:pos="11750" w:val="left" w:leader="none"/>
        </w:tabs>
        <w:spacing w:line="357" w:lineRule="auto" w:before="44"/>
        <w:ind w:left="140" w:right="1805"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 上期金额</w:t>
      </w:r>
    </w:p>
    <w:p>
      <w:pPr>
        <w:spacing w:before="28"/>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05"/>
        <w:gridCol w:w="1180"/>
        <w:gridCol w:w="576"/>
        <w:gridCol w:w="576"/>
        <w:gridCol w:w="583"/>
        <w:gridCol w:w="776"/>
        <w:gridCol w:w="776"/>
        <w:gridCol w:w="1062"/>
        <w:gridCol w:w="775"/>
        <w:gridCol w:w="1152"/>
        <w:gridCol w:w="776"/>
        <w:gridCol w:w="1316"/>
        <w:gridCol w:w="1242"/>
        <w:gridCol w:w="1316"/>
      </w:tblGrid>
      <w:tr>
        <w:trPr>
          <w:trHeight w:val="322" w:hRule="exact"/>
        </w:trPr>
        <w:tc>
          <w:tcPr>
            <w:tcW w:w="1905" w:type="dxa"/>
            <w:vMerge w:val="restart"/>
            <w:tcBorders>
              <w:top w:val="single" w:sz="4" w:space="0" w:color="000000"/>
              <w:left w:val="single" w:sz="4" w:space="0" w:color="000000"/>
              <w:right w:val="single" w:sz="4" w:space="0" w:color="000000"/>
            </w:tcBorders>
            <w:shd w:val="clear" w:color="auto" w:fill="D2D2D2"/>
          </w:tcPr>
          <w:p>
            <w:pPr/>
          </w:p>
        </w:tc>
        <w:tc>
          <w:tcPr>
            <w:tcW w:w="1210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17" w:hRule="exact"/>
        </w:trPr>
        <w:tc>
          <w:tcPr>
            <w:tcW w:w="1905" w:type="dxa"/>
            <w:vMerge/>
            <w:tcBorders>
              <w:left w:val="single" w:sz="4" w:space="0" w:color="000000"/>
              <w:bottom w:val="nil" w:sz="6" w:space="0" w:color="auto"/>
              <w:right w:val="single" w:sz="4" w:space="0" w:color="000000"/>
            </w:tcBorders>
            <w:shd w:val="clear" w:color="auto" w:fill="D2D2D2"/>
          </w:tcPr>
          <w:p>
            <w:pPr/>
          </w:p>
        </w:tc>
        <w:tc>
          <w:tcPr>
            <w:tcW w:w="955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42"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72" w:hRule="exact"/>
        </w:trPr>
        <w:tc>
          <w:tcPr>
            <w:tcW w:w="19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0" w:type="dxa"/>
            <w:vMerge w:val="restart"/>
            <w:tcBorders>
              <w:top w:val="single" w:sz="4" w:space="0" w:color="000000"/>
              <w:left w:val="single" w:sz="4" w:space="0" w:color="000000"/>
              <w:right w:val="single" w:sz="4" w:space="0" w:color="000000"/>
            </w:tcBorders>
            <w:shd w:val="clear" w:color="auto" w:fill="D2D2D2"/>
          </w:tcPr>
          <w:p>
            <w:pPr/>
          </w:p>
        </w:tc>
        <w:tc>
          <w:tcPr>
            <w:tcW w:w="1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left="32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76" w:type="dxa"/>
            <w:vMerge w:val="restart"/>
            <w:tcBorders>
              <w:top w:val="single" w:sz="4" w:space="0" w:color="000000"/>
              <w:left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FFFFFF"/>
            </w:tcBorders>
            <w:shd w:val="clear" w:color="auto" w:fill="D2D2D2"/>
          </w:tcPr>
          <w:p>
            <w:pPr/>
          </w:p>
        </w:tc>
        <w:tc>
          <w:tcPr>
            <w:tcW w:w="776" w:type="dxa"/>
            <w:tcBorders>
              <w:top w:val="single" w:sz="4" w:space="0" w:color="000000"/>
              <w:left w:val="single" w:sz="4" w:space="0" w:color="FFFFFF"/>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242"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905" w:type="dxa"/>
            <w:vMerge/>
            <w:tcBorders>
              <w:left w:val="single" w:sz="4" w:space="0" w:color="000000"/>
              <w:bottom w:val="nil" w:sz="6" w:space="0" w:color="auto"/>
              <w:right w:val="single" w:sz="4" w:space="0" w:color="000000"/>
            </w:tcBorders>
            <w:shd w:val="clear" w:color="auto" w:fill="D2D2D2"/>
          </w:tcPr>
          <w:p>
            <w:pPr/>
          </w:p>
        </w:tc>
        <w:tc>
          <w:tcPr>
            <w:tcW w:w="1180" w:type="dxa"/>
            <w:vMerge/>
            <w:tcBorders>
              <w:left w:val="single" w:sz="4" w:space="0" w:color="000000"/>
              <w:bottom w:val="nil" w:sz="6" w:space="0" w:color="auto"/>
              <w:right w:val="single" w:sz="4" w:space="0" w:color="000000"/>
            </w:tcBorders>
            <w:shd w:val="clear" w:color="auto" w:fill="D2D2D2"/>
          </w:tcPr>
          <w:p>
            <w:pPr/>
          </w:p>
        </w:tc>
        <w:tc>
          <w:tcPr>
            <w:tcW w:w="1735" w:type="dxa"/>
            <w:gridSpan w:val="3"/>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292" w:right="23"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435" w:right="75"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75"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FFFFFF"/>
            </w:tcBorders>
            <w:shd w:val="clear" w:color="auto" w:fill="D2D2D2"/>
          </w:tcPr>
          <w:p>
            <w:pPr/>
          </w:p>
        </w:tc>
        <w:tc>
          <w:tcPr>
            <w:tcW w:w="77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13"/>
              <w:ind w:left="202"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316" w:type="dxa"/>
            <w:vMerge/>
            <w:tcBorders>
              <w:left w:val="single" w:sz="4" w:space="0" w:color="000000"/>
              <w:bottom w:val="nil" w:sz="6" w:space="0" w:color="auto"/>
              <w:right w:val="single" w:sz="4" w:space="0" w:color="000000"/>
            </w:tcBorders>
            <w:shd w:val="clear" w:color="auto" w:fill="D2D2D2"/>
          </w:tcPr>
          <w:p>
            <w:pPr/>
          </w:p>
        </w:tc>
        <w:tc>
          <w:tcPr>
            <w:tcW w:w="1242" w:type="dxa"/>
            <w:vMerge w:val="restart"/>
            <w:tcBorders>
              <w:top w:val="nil" w:sz="6" w:space="0" w:color="auto"/>
              <w:left w:val="single" w:sz="9" w:space="0" w:color="D2D2D2"/>
              <w:right w:val="single" w:sz="9" w:space="0" w:color="D2D2D2"/>
            </w:tcBorders>
          </w:tcPr>
          <w:p>
            <w:pPr>
              <w:pStyle w:val="TableParagraph"/>
              <w:spacing w:line="240" w:lineRule="auto" w:before="8"/>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7"/>
                <w:sz w:val="18"/>
                <w:szCs w:val="18"/>
                <w:shd w:fill="D2D2D2" w:color="auto" w:val="clear"/>
              </w:rPr>
              <w:t> </w:t>
            </w:r>
            <w:r>
              <w:rPr>
                <w:rFonts w:ascii="宋体" w:hAnsi="宋体" w:cs="宋体" w:eastAsia="宋体" w:hint="default"/>
                <w:sz w:val="18"/>
                <w:szCs w:val="18"/>
                <w:shd w:fill="D2D2D2" w:color="auto" w:val="clear"/>
              </w:rPr>
              <w:t>少数股东权益</w:t>
            </w:r>
            <w:r>
              <w:rPr>
                <w:rFonts w:ascii="宋体" w:hAnsi="宋体" w:cs="宋体" w:eastAsia="宋体" w:hint="default"/>
                <w:sz w:val="18"/>
                <w:szCs w:val="18"/>
              </w:rPr>
            </w:r>
          </w:p>
        </w:tc>
        <w:tc>
          <w:tcPr>
            <w:tcW w:w="1316" w:type="dxa"/>
            <w:vMerge w:val="restart"/>
            <w:tcBorders>
              <w:top w:val="nil" w:sz="6" w:space="0" w:color="auto"/>
              <w:left w:val="single" w:sz="9" w:space="0" w:color="D2D2D2"/>
              <w:right w:val="single" w:sz="13" w:space="0" w:color="D2D2D2"/>
            </w:tcBorders>
          </w:tcPr>
          <w:p>
            <w:pPr>
              <w:pStyle w:val="TableParagraph"/>
              <w:spacing w:line="240" w:lineRule="auto" w:before="8"/>
              <w:ind w:left="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157" w:hRule="exact"/>
        </w:trPr>
        <w:tc>
          <w:tcPr>
            <w:tcW w:w="1905" w:type="dxa"/>
            <w:vMerge w:val="restart"/>
            <w:tcBorders>
              <w:top w:val="nil" w:sz="6" w:space="0" w:color="auto"/>
              <w:left w:val="single" w:sz="4" w:space="0" w:color="000000"/>
              <w:right w:val="single" w:sz="4" w:space="0" w:color="000000"/>
            </w:tcBorders>
            <w:shd w:val="clear" w:color="auto" w:fill="D2D2D2"/>
          </w:tcPr>
          <w:p>
            <w:pPr/>
          </w:p>
        </w:tc>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93" w:right="101"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
              <w:ind w:left="193" w:right="101"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nil" w:sz="6" w:space="0" w:color="auto"/>
              <w:left w:val="single" w:sz="9" w:space="0" w:color="D2D2D2"/>
              <w:right w:val="single" w:sz="9" w:space="0" w:color="D2D2D2"/>
            </w:tcBorders>
          </w:tcPr>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76"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5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12"/>
              <w:ind w:left="2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6" w:type="dxa"/>
            <w:vMerge/>
            <w:tcBorders>
              <w:left w:val="single" w:sz="4" w:space="0" w:color="FFFFFF"/>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2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42" w:type="dxa"/>
            <w:vMerge/>
            <w:tcBorders>
              <w:left w:val="single" w:sz="9" w:space="0" w:color="D2D2D2"/>
              <w:bottom w:val="nil" w:sz="6" w:space="0" w:color="auto"/>
              <w:right w:val="single" w:sz="9" w:space="0" w:color="D2D2D2"/>
            </w:tcBorders>
          </w:tcPr>
          <w:p>
            <w:pPr/>
          </w:p>
        </w:tc>
        <w:tc>
          <w:tcPr>
            <w:tcW w:w="1316" w:type="dxa"/>
            <w:vMerge/>
            <w:tcBorders>
              <w:left w:val="single" w:sz="9" w:space="0" w:color="D2D2D2"/>
              <w:bottom w:val="nil" w:sz="6" w:space="0" w:color="auto"/>
              <w:right w:val="single" w:sz="13" w:space="0" w:color="D2D2D2"/>
            </w:tcBorders>
          </w:tcPr>
          <w:p>
            <w:pPr/>
          </w:p>
        </w:tc>
      </w:tr>
      <w:tr>
        <w:trPr>
          <w:trHeight w:val="156" w:hRule="exact"/>
        </w:trPr>
        <w:tc>
          <w:tcPr>
            <w:tcW w:w="1905" w:type="dxa"/>
            <w:vMerge/>
            <w:tcBorders>
              <w:left w:val="single" w:sz="4" w:space="0" w:color="000000"/>
              <w:right w:val="single" w:sz="4" w:space="0" w:color="000000"/>
            </w:tcBorders>
            <w:shd w:val="clear" w:color="auto" w:fill="D2D2D2"/>
          </w:tcPr>
          <w:p>
            <w:pPr/>
          </w:p>
        </w:tc>
        <w:tc>
          <w:tcPr>
            <w:tcW w:w="1180"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6" w:type="dxa"/>
            <w:vMerge/>
            <w:tcBorders>
              <w:left w:val="single" w:sz="9" w:space="0" w:color="D2D2D2"/>
              <w:bottom w:val="nil" w:sz="6" w:space="0" w:color="auto"/>
              <w:right w:val="single" w:sz="9" w:space="0" w:color="D2D2D2"/>
            </w:tcBorders>
          </w:tcPr>
          <w:p>
            <w:pPr/>
          </w:p>
        </w:tc>
        <w:tc>
          <w:tcPr>
            <w:tcW w:w="776"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FFFFFF"/>
            </w:tcBorders>
            <w:shd w:val="clear" w:color="auto" w:fill="D2D2D2"/>
          </w:tcPr>
          <w:p>
            <w:pPr/>
          </w:p>
        </w:tc>
        <w:tc>
          <w:tcPr>
            <w:tcW w:w="776" w:type="dxa"/>
            <w:vMerge/>
            <w:tcBorders>
              <w:left w:val="single" w:sz="4" w:space="0" w:color="FFFFFF"/>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242"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905" w:type="dxa"/>
            <w:vMerge/>
            <w:tcBorders>
              <w:left w:val="single" w:sz="4" w:space="0" w:color="000000"/>
              <w:right w:val="single" w:sz="4" w:space="0" w:color="000000"/>
            </w:tcBorders>
            <w:shd w:val="clear" w:color="auto" w:fill="D2D2D2"/>
          </w:tcPr>
          <w:p>
            <w:pPr/>
          </w:p>
        </w:tc>
        <w:tc>
          <w:tcPr>
            <w:tcW w:w="1180"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FFFFFF"/>
            </w:tcBorders>
            <w:shd w:val="clear" w:color="auto" w:fill="D2D2D2"/>
          </w:tcPr>
          <w:p>
            <w:pPr/>
          </w:p>
        </w:tc>
        <w:tc>
          <w:tcPr>
            <w:tcW w:w="776" w:type="dxa"/>
            <w:vMerge/>
            <w:tcBorders>
              <w:left w:val="single" w:sz="4" w:space="0" w:color="FFFFFF"/>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242"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64"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180"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FFFFFF"/>
            </w:tcBorders>
            <w:shd w:val="clear" w:color="auto" w:fill="D2D2D2"/>
          </w:tcPr>
          <w:p>
            <w:pPr/>
          </w:p>
        </w:tc>
        <w:tc>
          <w:tcPr>
            <w:tcW w:w="776" w:type="dxa"/>
            <w:tcBorders>
              <w:top w:val="nil" w:sz="6" w:space="0" w:color="auto"/>
              <w:left w:val="single" w:sz="4" w:space="0" w:color="FFFFFF"/>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242"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3" w:right="0"/>
              <w:jc w:val="left"/>
              <w:rPr>
                <w:rFonts w:ascii="Times New Roman" w:hAnsi="Times New Roman" w:cs="Times New Roman" w:eastAsia="Times New Roman" w:hint="default"/>
                <w:sz w:val="18"/>
                <w:szCs w:val="18"/>
              </w:rPr>
            </w:pPr>
            <w:r>
              <w:rPr>
                <w:rFonts w:ascii="Times New Roman"/>
                <w:sz w:val="18"/>
              </w:rPr>
              <w:t>309,120,000.00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-2,033,625.75</w:t>
            </w: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0"/>
              <w:ind w:left="83" w:right="0"/>
              <w:jc w:val="left"/>
              <w:rPr>
                <w:rFonts w:ascii="Times New Roman" w:hAnsi="Times New Roman" w:cs="Times New Roman" w:eastAsia="Times New Roman" w:hint="default"/>
                <w:sz w:val="18"/>
                <w:szCs w:val="18"/>
              </w:rPr>
            </w:pPr>
            <w:r>
              <w:rPr>
                <w:rFonts w:ascii="Times New Roman"/>
                <w:sz w:val="18"/>
              </w:rPr>
              <w:t>73,067,613.03</w:t>
            </w:r>
          </w:p>
        </w:tc>
        <w:tc>
          <w:tcPr>
            <w:tcW w:w="776" w:type="dxa"/>
            <w:tcBorders>
              <w:top w:val="single" w:sz="4" w:space="0" w:color="000000"/>
              <w:left w:val="single" w:sz="4" w:space="0" w:color="FFFFFF"/>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1,228,393,386.10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5" w:right="0"/>
              <w:jc w:val="left"/>
              <w:rPr>
                <w:rFonts w:ascii="Times New Roman" w:hAnsi="Times New Roman" w:cs="Times New Roman" w:eastAsia="Times New Roman" w:hint="default"/>
                <w:sz w:val="18"/>
                <w:szCs w:val="18"/>
              </w:rPr>
            </w:pPr>
            <w:r>
              <w:rPr>
                <w:rFonts w:ascii="Times New Roman"/>
                <w:sz w:val="18"/>
              </w:rPr>
              <w:t>247,213,891.57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1,855,761,264.95</w:t>
            </w:r>
          </w:p>
        </w:tc>
      </w:tr>
      <w:tr>
        <w:trPr>
          <w:trHeight w:val="32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FFFFFF"/>
            </w:tcBorders>
          </w:tcPr>
          <w:p>
            <w:pPr/>
          </w:p>
        </w:tc>
        <w:tc>
          <w:tcPr>
            <w:tcW w:w="776" w:type="dxa"/>
            <w:tcBorders>
              <w:top w:val="single" w:sz="4" w:space="0" w:color="000000"/>
              <w:left w:val="single" w:sz="4" w:space="0" w:color="FFFFFF"/>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FFFFFF"/>
            </w:tcBorders>
          </w:tcPr>
          <w:p>
            <w:pPr/>
          </w:p>
        </w:tc>
        <w:tc>
          <w:tcPr>
            <w:tcW w:w="776" w:type="dxa"/>
            <w:tcBorders>
              <w:top w:val="single" w:sz="4" w:space="0" w:color="000000"/>
              <w:left w:val="single" w:sz="4" w:space="0" w:color="FFFFFF"/>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905"/>
        <w:gridCol w:w="1181"/>
        <w:gridCol w:w="576"/>
        <w:gridCol w:w="576"/>
        <w:gridCol w:w="583"/>
        <w:gridCol w:w="776"/>
        <w:gridCol w:w="776"/>
        <w:gridCol w:w="1062"/>
        <w:gridCol w:w="775"/>
        <w:gridCol w:w="1152"/>
        <w:gridCol w:w="776"/>
        <w:gridCol w:w="1316"/>
        <w:gridCol w:w="1242"/>
        <w:gridCol w:w="1316"/>
      </w:tblGrid>
      <w:tr>
        <w:trPr>
          <w:trHeight w:val="648" w:hRule="exact"/>
        </w:trPr>
        <w:tc>
          <w:tcPr>
            <w:tcW w:w="190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583"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1062" w:type="dxa"/>
            <w:tcBorders>
              <w:top w:val="single" w:sz="15" w:space="0" w:color="000000"/>
              <w:left w:val="single" w:sz="4" w:space="0" w:color="000000"/>
              <w:bottom w:val="single" w:sz="4" w:space="0" w:color="000000"/>
              <w:right w:val="single" w:sz="4" w:space="0" w:color="000000"/>
            </w:tcBorders>
          </w:tcPr>
          <w:p>
            <w:pPr/>
          </w:p>
        </w:tc>
        <w:tc>
          <w:tcPr>
            <w:tcW w:w="775"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242"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32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7"/>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309,120,000.00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-2,033,625.75</w:t>
            </w: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73,067,613.03</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1,228,393,386.10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 w:right="0"/>
              <w:jc w:val="center"/>
              <w:rPr>
                <w:rFonts w:ascii="Times New Roman" w:hAnsi="Times New Roman" w:cs="Times New Roman" w:eastAsia="Times New Roman" w:hint="default"/>
                <w:sz w:val="18"/>
                <w:szCs w:val="18"/>
              </w:rPr>
            </w:pPr>
            <w:r>
              <w:rPr>
                <w:rFonts w:ascii="Times New Roman"/>
                <w:sz w:val="18"/>
              </w:rPr>
              <w:t>247,213,891.57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1,855,761,264.95</w:t>
            </w:r>
          </w:p>
        </w:tc>
      </w:tr>
      <w:tr>
        <w:trPr>
          <w:trHeight w:val="634"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745,010.14</w:t>
            </w: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-68,287,292.56</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343,279,283.99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-217,323,724.60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58,413,276.97</w:t>
            </w:r>
          </w:p>
        </w:tc>
      </w:tr>
      <w:tr>
        <w:trPr>
          <w:trHeight w:val="32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745,010.14</w:t>
            </w: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382,047,507.19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2" w:right="0"/>
              <w:jc w:val="center"/>
              <w:rPr>
                <w:rFonts w:ascii="Times New Roman" w:hAnsi="Times New Roman" w:cs="Times New Roman" w:eastAsia="Times New Roman" w:hint="default"/>
                <w:sz w:val="18"/>
                <w:szCs w:val="18"/>
              </w:rPr>
            </w:pPr>
            <w:r>
              <w:rPr>
                <w:rFonts w:ascii="Times New Roman"/>
                <w:sz w:val="18"/>
              </w:rPr>
              <w:t>13,104,452.73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395,896,970.06</w:t>
            </w:r>
          </w:p>
        </w:tc>
      </w:tr>
      <w:tr>
        <w:trPr>
          <w:trHeight w:val="634"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70"/>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1,673,823.20</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-38,768,223.20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 w:right="0"/>
              <w:jc w:val="center"/>
              <w:rPr>
                <w:rFonts w:ascii="Times New Roman" w:hAnsi="Times New Roman" w:cs="Times New Roman" w:eastAsia="Times New Roman" w:hint="default"/>
                <w:sz w:val="18"/>
                <w:szCs w:val="18"/>
              </w:rPr>
            </w:pPr>
            <w:r>
              <w:rPr>
                <w:rFonts w:ascii="Times New Roman"/>
                <w:sz w:val="18"/>
              </w:rPr>
              <w:t>-1,760,000.00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-38,854,400.00</w:t>
            </w:r>
          </w:p>
        </w:tc>
      </w:tr>
      <w:tr>
        <w:trPr>
          <w:trHeight w:val="32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1,673,823.20</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-1,673,823.20</w:t>
            </w: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05"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00" w:lineRule="auto" w:before="1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10" w:space="0" w:color="FFFFFF"/>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-37,094,400.00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-1,760,000.00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-38,854,400.00</w:t>
            </w:r>
          </w:p>
        </w:tc>
      </w:tr>
      <w:tr>
        <w:trPr>
          <w:trHeight w:val="32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70"/>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905"/>
        <w:gridCol w:w="1181"/>
        <w:gridCol w:w="576"/>
        <w:gridCol w:w="576"/>
        <w:gridCol w:w="583"/>
        <w:gridCol w:w="776"/>
        <w:gridCol w:w="776"/>
        <w:gridCol w:w="1062"/>
        <w:gridCol w:w="775"/>
        <w:gridCol w:w="1152"/>
        <w:gridCol w:w="776"/>
        <w:gridCol w:w="1316"/>
        <w:gridCol w:w="1242"/>
        <w:gridCol w:w="1316"/>
      </w:tblGrid>
      <w:tr>
        <w:trPr>
          <w:trHeight w:val="336" w:hRule="exact"/>
        </w:trPr>
        <w:tc>
          <w:tcPr>
            <w:tcW w:w="190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583"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1062" w:type="dxa"/>
            <w:tcBorders>
              <w:top w:val="single" w:sz="15" w:space="0" w:color="000000"/>
              <w:left w:val="single" w:sz="4" w:space="0" w:color="000000"/>
              <w:bottom w:val="single" w:sz="4" w:space="0" w:color="000000"/>
              <w:right w:val="single" w:sz="4" w:space="0" w:color="000000"/>
            </w:tcBorders>
          </w:tcPr>
          <w:p>
            <w:pPr/>
          </w:p>
        </w:tc>
        <w:tc>
          <w:tcPr>
            <w:tcW w:w="775"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242"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32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-69,961,115.76</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-228,668,177.33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7" w:right="0"/>
              <w:jc w:val="center"/>
              <w:rPr>
                <w:rFonts w:ascii="Times New Roman" w:hAnsi="Times New Roman" w:cs="Times New Roman" w:eastAsia="Times New Roman" w:hint="default"/>
                <w:sz w:val="18"/>
                <w:szCs w:val="18"/>
              </w:rPr>
            </w:pPr>
            <w:r>
              <w:rPr>
                <w:rFonts w:ascii="Times New Roman"/>
                <w:sz w:val="18"/>
              </w:rPr>
              <w:t>-298,629,293.09</w:t>
            </w:r>
          </w:p>
        </w:tc>
      </w:tr>
      <w:tr>
        <w:trPr>
          <w:trHeight w:val="32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sz w:val="18"/>
              </w:rPr>
              <w:t>309,120,000.00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-1,288,615.61</w:t>
            </w:r>
          </w:p>
        </w:tc>
        <w:tc>
          <w:tcPr>
            <w:tcW w:w="77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0" w:right="0"/>
              <w:jc w:val="center"/>
              <w:rPr>
                <w:rFonts w:ascii="Times New Roman" w:hAnsi="Times New Roman" w:cs="Times New Roman" w:eastAsia="Times New Roman" w:hint="default"/>
                <w:sz w:val="18"/>
                <w:szCs w:val="18"/>
              </w:rPr>
            </w:pPr>
            <w:r>
              <w:rPr>
                <w:rFonts w:ascii="Times New Roman"/>
                <w:sz w:val="18"/>
              </w:rPr>
              <w:t>4,780,320.47</w:t>
            </w:r>
          </w:p>
        </w:tc>
        <w:tc>
          <w:tcPr>
            <w:tcW w:w="7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1,571,672,670.09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29,890,166.97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1,914,174,541.92</w:t>
            </w:r>
          </w:p>
        </w:tc>
      </w:tr>
    </w:tbl>
    <w:p>
      <w:pPr>
        <w:spacing w:line="240" w:lineRule="auto" w:before="3"/>
        <w:rPr>
          <w:rFonts w:ascii="Times New Roman" w:hAnsi="Times New Roman" w:cs="Times New Roman" w:eastAsia="Times New Roman" w:hint="default"/>
          <w:sz w:val="23"/>
          <w:szCs w:val="23"/>
        </w:rPr>
      </w:pPr>
    </w:p>
    <w:p>
      <w:pPr>
        <w:tabs>
          <w:tab w:pos="5180" w:val="left" w:leader="none"/>
          <w:tab w:pos="11750"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line="240" w:lineRule="auto" w:before="10"/>
        <w:rPr>
          <w:rFonts w:ascii="宋体" w:hAnsi="宋体" w:cs="宋体" w:eastAsia="宋体" w:hint="default"/>
          <w:sz w:val="26"/>
          <w:szCs w:val="26"/>
        </w:rPr>
      </w:pPr>
    </w:p>
    <w:p>
      <w:pPr>
        <w:pStyle w:val="Heading4"/>
        <w:spacing w:line="240" w:lineRule="auto"/>
        <w:ind w:left="140" w:right="1805"/>
        <w:jc w:val="left"/>
        <w:rPr>
          <w:b w:val="0"/>
          <w:bCs w:val="0"/>
        </w:rPr>
      </w:pPr>
      <w:bookmarkStart w:name="8、母公司所有者权益变动表" w:id="157"/>
      <w:bookmarkEnd w:id="15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before="44"/>
        <w:ind w:left="140" w:right="1805"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00"/>
        <w:gridCol w:w="1193"/>
        <w:gridCol w:w="884"/>
        <w:gridCol w:w="886"/>
        <w:gridCol w:w="888"/>
        <w:gridCol w:w="1317"/>
        <w:gridCol w:w="1082"/>
        <w:gridCol w:w="1079"/>
        <w:gridCol w:w="1082"/>
        <w:gridCol w:w="1091"/>
        <w:gridCol w:w="1181"/>
        <w:gridCol w:w="1320"/>
      </w:tblGrid>
      <w:tr>
        <w:trPr>
          <w:trHeight w:val="322"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67"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6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7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6"/>
              <w:ind w:left="443" w:right="8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3"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58" w:type="dxa"/>
            <w:gridSpan w:val="3"/>
            <w:vMerge/>
            <w:tcBorders>
              <w:left w:val="single" w:sz="4" w:space="0" w:color="000000"/>
              <w:bottom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9" w:type="dxa"/>
            <w:vMerge/>
            <w:tcBorders>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9" w:hRule="exact"/>
        </w:trPr>
        <w:tc>
          <w:tcPr>
            <w:tcW w:w="2000"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6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2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7"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1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309,120,000.00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17,050,000.00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6"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92,418,173.20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420,499,540.44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839,087,713.64</w:t>
            </w: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65"/>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309,120,000.00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17,050,000.00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92,418,173.20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420,499,540.44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839,087,713.64</w:t>
            </w:r>
          </w:p>
        </w:tc>
      </w:tr>
      <w:tr>
        <w:trPr>
          <w:trHeight w:val="63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46,476,251.00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2,325,696,175.15</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5,163,687.48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9,378,787.29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2,386,714,900.92</w:t>
            </w: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51,636,874.77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51,636,874.77</w:t>
            </w:r>
          </w:p>
        </w:tc>
      </w:tr>
      <w:tr>
        <w:trPr>
          <w:trHeight w:val="63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0"/>
              <w:jc w:val="left"/>
              <w:rPr>
                <w:rFonts w:ascii="宋体" w:hAnsi="宋体" w:cs="宋体" w:eastAsia="宋体" w:hint="default"/>
                <w:sz w:val="18"/>
                <w:szCs w:val="18"/>
              </w:rPr>
            </w:pPr>
            <w:r>
              <w:rPr>
                <w:rFonts w:ascii="宋体" w:hAnsi="宋体" w:cs="宋体" w:eastAsia="宋体" w:hint="default"/>
                <w:spacing w:val="-2"/>
                <w:sz w:val="18"/>
                <w:szCs w:val="18"/>
              </w:rPr>
              <w:t>（二）所有者投入和减少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46,476,251.00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2,325,696,175.15</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2,372,172,426.15</w:t>
            </w:r>
          </w:p>
        </w:tc>
      </w:tr>
      <w:tr>
        <w:trPr>
          <w:trHeight w:val="32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46,476,251.00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2,325,696,175.15</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pacing w:val="-1"/>
                <w:sz w:val="18"/>
              </w:rPr>
              <w:t>2,372,172,426.15</w:t>
            </w:r>
          </w:p>
        </w:tc>
      </w:tr>
      <w:tr>
        <w:trPr>
          <w:trHeight w:val="63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023"/>
        <w:gridCol w:w="1181"/>
        <w:gridCol w:w="884"/>
        <w:gridCol w:w="886"/>
        <w:gridCol w:w="888"/>
        <w:gridCol w:w="1317"/>
        <w:gridCol w:w="1082"/>
        <w:gridCol w:w="1079"/>
        <w:gridCol w:w="1082"/>
        <w:gridCol w:w="1091"/>
        <w:gridCol w:w="1181"/>
        <w:gridCol w:w="1320"/>
      </w:tblGrid>
      <w:tr>
        <w:trPr>
          <w:trHeight w:val="336" w:hRule="exact"/>
        </w:trPr>
        <w:tc>
          <w:tcPr>
            <w:tcW w:w="202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884"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888" w:type="dxa"/>
            <w:tcBorders>
              <w:top w:val="single" w:sz="15" w:space="0" w:color="000000"/>
              <w:left w:val="single" w:sz="4" w:space="0" w:color="000000"/>
              <w:bottom w:val="single" w:sz="4" w:space="0" w:color="000000"/>
              <w:right w:val="single" w:sz="4" w:space="0" w:color="000000"/>
            </w:tcBorders>
          </w:tcPr>
          <w:p>
            <w:pPr/>
          </w:p>
        </w:tc>
        <w:tc>
          <w:tcPr>
            <w:tcW w:w="1317" w:type="dxa"/>
            <w:tcBorders>
              <w:top w:val="single" w:sz="15" w:space="0" w:color="000000"/>
              <w:left w:val="single" w:sz="4" w:space="0" w:color="000000"/>
              <w:bottom w:val="single" w:sz="4" w:space="0" w:color="000000"/>
              <w:right w:val="single" w:sz="4" w:space="0" w:color="000000"/>
            </w:tcBorders>
          </w:tcPr>
          <w:p>
            <w:pPr/>
          </w:p>
        </w:tc>
        <w:tc>
          <w:tcPr>
            <w:tcW w:w="1082" w:type="dxa"/>
            <w:tcBorders>
              <w:top w:val="single" w:sz="15" w:space="0" w:color="000000"/>
              <w:left w:val="single" w:sz="4" w:space="0" w:color="000000"/>
              <w:bottom w:val="single" w:sz="4" w:space="0" w:color="000000"/>
              <w:right w:val="single" w:sz="4" w:space="0" w:color="000000"/>
            </w:tcBorders>
          </w:tcPr>
          <w:p>
            <w:pPr/>
          </w:p>
        </w:tc>
        <w:tc>
          <w:tcPr>
            <w:tcW w:w="1079" w:type="dxa"/>
            <w:tcBorders>
              <w:top w:val="single" w:sz="15" w:space="0" w:color="000000"/>
              <w:left w:val="single" w:sz="4" w:space="0" w:color="000000"/>
              <w:bottom w:val="single" w:sz="4" w:space="0" w:color="000000"/>
              <w:right w:val="single" w:sz="4" w:space="0" w:color="000000"/>
            </w:tcBorders>
          </w:tcPr>
          <w:p>
            <w:pPr/>
          </w:p>
        </w:tc>
        <w:tc>
          <w:tcPr>
            <w:tcW w:w="1082"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20" w:type="dxa"/>
            <w:tcBorders>
              <w:top w:val="single" w:sz="15" w:space="0" w:color="000000"/>
              <w:left w:val="single" w:sz="4" w:space="0" w:color="000000"/>
              <w:bottom w:val="single" w:sz="4" w:space="0" w:color="000000"/>
              <w:right w:val="single" w:sz="4" w:space="0" w:color="000000"/>
            </w:tcBorders>
          </w:tcPr>
          <w:p>
            <w:pPr/>
          </w:p>
        </w:tc>
      </w:tr>
      <w:tr>
        <w:trPr>
          <w:trHeight w:val="323"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5,163,687.48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center"/>
              <w:rPr>
                <w:rFonts w:ascii="Times New Roman" w:hAnsi="Times New Roman" w:cs="Times New Roman" w:eastAsia="Times New Roman" w:hint="default"/>
                <w:sz w:val="18"/>
                <w:szCs w:val="18"/>
              </w:rPr>
            </w:pPr>
            <w:r>
              <w:rPr>
                <w:rFonts w:ascii="Times New Roman"/>
                <w:sz w:val="18"/>
              </w:rPr>
              <w:t>-42,258,087.48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5,163,687.48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1" w:right="0"/>
              <w:jc w:val="center"/>
              <w:rPr>
                <w:rFonts w:ascii="Times New Roman" w:hAnsi="Times New Roman" w:cs="Times New Roman" w:eastAsia="Times New Roman" w:hint="default"/>
                <w:sz w:val="18"/>
                <w:szCs w:val="18"/>
              </w:rPr>
            </w:pPr>
            <w:r>
              <w:rPr>
                <w:rFonts w:ascii="Times New Roman"/>
                <w:sz w:val="18"/>
              </w:rPr>
              <w:t>-5,163,687.48</w:t>
            </w: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-37,094,400.00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（四）所有者权益内部结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355,596,251.00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2,342,746,175.15</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97,581,860.68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429,878,327.73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3,225,802,614.56</w:t>
            </w:r>
          </w:p>
        </w:tc>
      </w:tr>
    </w:tbl>
    <w:p>
      <w:pPr>
        <w:spacing w:line="240" w:lineRule="auto" w:before="6"/>
        <w:rPr>
          <w:rFonts w:ascii="宋体" w:hAnsi="宋体" w:cs="宋体" w:eastAsia="宋体" w:hint="default"/>
          <w:sz w:val="20"/>
          <w:szCs w:val="20"/>
        </w:rPr>
      </w:pPr>
    </w:p>
    <w:p>
      <w:pPr>
        <w:tabs>
          <w:tab w:pos="5180" w:val="left" w:leader="none"/>
          <w:tab w:pos="11750" w:val="left" w:leader="none"/>
        </w:tabs>
        <w:spacing w:line="357" w:lineRule="auto" w:before="44"/>
        <w:ind w:left="140" w:right="1805"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 上期金额</w:t>
      </w:r>
    </w:p>
    <w:p>
      <w:pPr>
        <w:spacing w:before="28"/>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54"/>
        <w:gridCol w:w="1181"/>
        <w:gridCol w:w="926"/>
        <w:gridCol w:w="929"/>
        <w:gridCol w:w="932"/>
        <w:gridCol w:w="1121"/>
        <w:gridCol w:w="1124"/>
        <w:gridCol w:w="1121"/>
        <w:gridCol w:w="1124"/>
        <w:gridCol w:w="1121"/>
        <w:gridCol w:w="1181"/>
        <w:gridCol w:w="1188"/>
      </w:tblGrid>
      <w:tr>
        <w:trPr>
          <w:trHeight w:val="322" w:hRule="exact"/>
        </w:trPr>
        <w:tc>
          <w:tcPr>
            <w:tcW w:w="2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66" w:hRule="exact"/>
        </w:trPr>
        <w:tc>
          <w:tcPr>
            <w:tcW w:w="20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8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465" w:right="10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497" w:right="48"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4" w:hRule="exact"/>
        </w:trPr>
        <w:tc>
          <w:tcPr>
            <w:tcW w:w="2054"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88" w:type="dxa"/>
            <w:gridSpan w:val="3"/>
            <w:vMerge/>
            <w:tcBorders>
              <w:left w:val="single" w:sz="4" w:space="0" w:color="000000"/>
              <w:bottom w:val="single" w:sz="4" w:space="0" w:color="000000"/>
              <w:right w:val="single" w:sz="4" w:space="0" w:color="000000"/>
            </w:tcBorders>
            <w:shd w:val="clear" w:color="auto" w:fill="D2D2D2"/>
          </w:tcPr>
          <w:p>
            <w:pPr/>
          </w:p>
        </w:tc>
        <w:tc>
          <w:tcPr>
            <w:tcW w:w="11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1" w:type="dxa"/>
            <w:vMerge/>
            <w:tcBorders>
              <w:left w:val="single" w:sz="4" w:space="0" w:color="000000"/>
              <w:right w:val="single" w:sz="4" w:space="0" w:color="000000"/>
            </w:tcBorders>
            <w:shd w:val="clear" w:color="auto" w:fill="D2D2D2"/>
          </w:tcPr>
          <w:p>
            <w:pP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8" w:type="dxa"/>
            <w:vMerge/>
            <w:tcBorders>
              <w:left w:val="single" w:sz="4" w:space="0" w:color="000000"/>
              <w:right w:val="single" w:sz="4" w:space="0" w:color="000000"/>
            </w:tcBorders>
            <w:shd w:val="clear" w:color="auto" w:fill="D2D2D2"/>
          </w:tcPr>
          <w:p>
            <w:pPr/>
          </w:p>
        </w:tc>
      </w:tr>
      <w:tr>
        <w:trPr>
          <w:trHeight w:val="158" w:hRule="exact"/>
        </w:trPr>
        <w:tc>
          <w:tcPr>
            <w:tcW w:w="2054"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8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8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2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21"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112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8" w:type="dxa"/>
            <w:vMerge/>
            <w:tcBorders>
              <w:left w:val="single" w:sz="4" w:space="0" w:color="000000"/>
              <w:right w:val="single" w:sz="4" w:space="0" w:color="000000"/>
            </w:tcBorders>
            <w:shd w:val="clear" w:color="auto" w:fill="D2D2D2"/>
          </w:tcPr>
          <w:p>
            <w:pPr/>
          </w:p>
        </w:tc>
      </w:tr>
      <w:tr>
        <w:trPr>
          <w:trHeight w:val="167" w:hRule="exact"/>
        </w:trPr>
        <w:tc>
          <w:tcPr>
            <w:tcW w:w="2054"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2" w:right="0"/>
              <w:jc w:val="left"/>
              <w:rPr>
                <w:rFonts w:ascii="Times New Roman" w:hAnsi="Times New Roman" w:cs="Times New Roman" w:eastAsia="Times New Roman" w:hint="default"/>
                <w:sz w:val="18"/>
                <w:szCs w:val="18"/>
              </w:rPr>
            </w:pPr>
            <w:r>
              <w:rPr>
                <w:rFonts w:ascii="Times New Roman"/>
                <w:sz w:val="18"/>
              </w:rPr>
              <w:t>309,120,000.00</w:t>
            </w: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left"/>
              <w:rPr>
                <w:rFonts w:ascii="Times New Roman" w:hAnsi="Times New Roman" w:cs="Times New Roman" w:eastAsia="Times New Roman" w:hint="default"/>
                <w:sz w:val="18"/>
                <w:szCs w:val="18"/>
              </w:rPr>
            </w:pPr>
            <w:r>
              <w:rPr>
                <w:rFonts w:ascii="Times New Roman"/>
                <w:sz w:val="18"/>
              </w:rPr>
              <w:t>17,050,000.00</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6"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left"/>
              <w:rPr>
                <w:rFonts w:ascii="Times New Roman" w:hAnsi="Times New Roman" w:cs="Times New Roman" w:eastAsia="Times New Roman" w:hint="default"/>
                <w:sz w:val="18"/>
                <w:szCs w:val="18"/>
              </w:rPr>
            </w:pPr>
            <w:r>
              <w:rPr>
                <w:rFonts w:ascii="Times New Roman"/>
                <w:sz w:val="18"/>
              </w:rPr>
              <w:t>90,744,350.00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442,529,531.68</w:t>
            </w:r>
          </w:p>
        </w:tc>
        <w:tc>
          <w:tcPr>
            <w:tcW w:w="118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7"/>
              <w:ind w:left="30" w:right="0"/>
              <w:jc w:val="left"/>
              <w:rPr>
                <w:rFonts w:ascii="Times New Roman" w:hAnsi="Times New Roman" w:cs="Times New Roman" w:eastAsia="Times New Roman" w:hint="default"/>
                <w:sz w:val="18"/>
                <w:szCs w:val="18"/>
              </w:rPr>
            </w:pPr>
            <w:r>
              <w:rPr>
                <w:rFonts w:ascii="Times New Roman"/>
                <w:sz w:val="18"/>
              </w:rPr>
              <w:t>859,443,881.68</w:t>
            </w:r>
          </w:p>
        </w:tc>
      </w:tr>
      <w:tr>
        <w:trPr>
          <w:trHeight w:val="323"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54"/>
        <w:gridCol w:w="1193"/>
        <w:gridCol w:w="926"/>
        <w:gridCol w:w="929"/>
        <w:gridCol w:w="932"/>
        <w:gridCol w:w="1121"/>
        <w:gridCol w:w="1124"/>
        <w:gridCol w:w="1121"/>
        <w:gridCol w:w="1124"/>
        <w:gridCol w:w="1121"/>
        <w:gridCol w:w="1181"/>
        <w:gridCol w:w="1188"/>
      </w:tblGrid>
      <w:tr>
        <w:trPr>
          <w:trHeight w:val="336" w:hRule="exact"/>
        </w:trPr>
        <w:tc>
          <w:tcPr>
            <w:tcW w:w="20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926" w:type="dxa"/>
            <w:tcBorders>
              <w:top w:val="single" w:sz="15" w:space="0" w:color="000000"/>
              <w:left w:val="single" w:sz="4" w:space="0" w:color="000000"/>
              <w:bottom w:val="single" w:sz="4" w:space="0" w:color="000000"/>
              <w:right w:val="single" w:sz="4" w:space="0" w:color="000000"/>
            </w:tcBorders>
          </w:tcPr>
          <w:p>
            <w:pPr/>
          </w:p>
        </w:tc>
        <w:tc>
          <w:tcPr>
            <w:tcW w:w="929"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8" w:type="dxa"/>
            <w:tcBorders>
              <w:top w:val="single" w:sz="15" w:space="0" w:color="000000"/>
              <w:left w:val="single" w:sz="4" w:space="0" w:color="000000"/>
              <w:bottom w:val="single" w:sz="4" w:space="0" w:color="000000"/>
              <w:right w:val="single" w:sz="4" w:space="0" w:color="000000"/>
            </w:tcBorders>
          </w:tcPr>
          <w:p>
            <w:pPr/>
          </w:p>
        </w:tc>
      </w:tr>
      <w:tr>
        <w:trPr>
          <w:trHeight w:val="323"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96"/>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309,120,000.00</w:t>
            </w: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left"/>
              <w:rPr>
                <w:rFonts w:ascii="Times New Roman" w:hAnsi="Times New Roman" w:cs="Times New Roman" w:eastAsia="Times New Roman" w:hint="default"/>
                <w:sz w:val="18"/>
                <w:szCs w:val="18"/>
              </w:rPr>
            </w:pPr>
            <w:r>
              <w:rPr>
                <w:rFonts w:ascii="Times New Roman"/>
                <w:sz w:val="18"/>
              </w:rPr>
              <w:t>17,050,000.00</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90,744,350.00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442,529,531.68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859,443,881.68</w:t>
            </w:r>
          </w:p>
        </w:tc>
      </w:tr>
      <w:tr>
        <w:trPr>
          <w:trHeight w:val="634"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1,673,823.20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-22,029,991.24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-20,356,168.04</w:t>
            </w:r>
          </w:p>
        </w:tc>
      </w:tr>
      <w:tr>
        <w:trPr>
          <w:trHeight w:val="323"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16,738,231.96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16,738,231.96</w:t>
            </w:r>
          </w:p>
        </w:tc>
      </w:tr>
      <w:tr>
        <w:trPr>
          <w:trHeight w:val="634"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1,673,823.20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-38,768,223.20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322"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1,673,823.20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-1,673,823.20</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-37,094,400.00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323"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54"/>
        <w:gridCol w:w="1193"/>
        <w:gridCol w:w="926"/>
        <w:gridCol w:w="929"/>
        <w:gridCol w:w="932"/>
        <w:gridCol w:w="1121"/>
        <w:gridCol w:w="1124"/>
        <w:gridCol w:w="1121"/>
        <w:gridCol w:w="1124"/>
        <w:gridCol w:w="1121"/>
        <w:gridCol w:w="1181"/>
        <w:gridCol w:w="1188"/>
      </w:tblGrid>
      <w:tr>
        <w:trPr>
          <w:trHeight w:val="336" w:hRule="exact"/>
        </w:trPr>
        <w:tc>
          <w:tcPr>
            <w:tcW w:w="20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926" w:type="dxa"/>
            <w:tcBorders>
              <w:top w:val="single" w:sz="15" w:space="0" w:color="000000"/>
              <w:left w:val="single" w:sz="4" w:space="0" w:color="000000"/>
              <w:bottom w:val="single" w:sz="4" w:space="0" w:color="000000"/>
              <w:right w:val="single" w:sz="4" w:space="0" w:color="000000"/>
            </w:tcBorders>
          </w:tcPr>
          <w:p>
            <w:pPr/>
          </w:p>
        </w:tc>
        <w:tc>
          <w:tcPr>
            <w:tcW w:w="929" w:type="dxa"/>
            <w:tcBorders>
              <w:top w:val="single" w:sz="15" w:space="0" w:color="000000"/>
              <w:left w:val="single" w:sz="4" w:space="0" w:color="000000"/>
              <w:bottom w:val="single" w:sz="4" w:space="0" w:color="000000"/>
              <w:right w:val="single" w:sz="4" w:space="0" w:color="000000"/>
            </w:tcBorders>
          </w:tcPr>
          <w:p>
            <w:pPr/>
          </w:p>
        </w:tc>
        <w:tc>
          <w:tcPr>
            <w:tcW w:w="932"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8" w:type="dxa"/>
            <w:tcBorders>
              <w:top w:val="single" w:sz="15" w:space="0" w:color="000000"/>
              <w:left w:val="single" w:sz="4" w:space="0" w:color="000000"/>
              <w:bottom w:val="single" w:sz="4" w:space="0" w:color="000000"/>
              <w:right w:val="single" w:sz="4" w:space="0" w:color="000000"/>
            </w:tcBorders>
          </w:tcPr>
          <w:p>
            <w:pPr/>
          </w:p>
        </w:tc>
      </w:tr>
      <w:tr>
        <w:trPr>
          <w:trHeight w:val="323"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309,120,000.00</w:t>
            </w:r>
          </w:p>
        </w:tc>
        <w:tc>
          <w:tcPr>
            <w:tcW w:w="92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left"/>
              <w:rPr>
                <w:rFonts w:ascii="Times New Roman" w:hAnsi="Times New Roman" w:cs="Times New Roman" w:eastAsia="Times New Roman" w:hint="default"/>
                <w:sz w:val="18"/>
                <w:szCs w:val="18"/>
              </w:rPr>
            </w:pPr>
            <w:r>
              <w:rPr>
                <w:rFonts w:ascii="Times New Roman"/>
                <w:sz w:val="18"/>
              </w:rPr>
              <w:t>17,050,000.00</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left"/>
              <w:rPr>
                <w:rFonts w:ascii="Times New Roman" w:hAnsi="Times New Roman" w:cs="Times New Roman" w:eastAsia="Times New Roman" w:hint="default"/>
                <w:sz w:val="18"/>
                <w:szCs w:val="18"/>
              </w:rPr>
            </w:pPr>
            <w:r>
              <w:rPr>
                <w:rFonts w:ascii="Times New Roman"/>
                <w:sz w:val="18"/>
              </w:rPr>
              <w:t>92,418,173.20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420,499,540.44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left"/>
              <w:rPr>
                <w:rFonts w:ascii="Times New Roman" w:hAnsi="Times New Roman" w:cs="Times New Roman" w:eastAsia="Times New Roman" w:hint="default"/>
                <w:sz w:val="18"/>
                <w:szCs w:val="18"/>
              </w:rPr>
            </w:pPr>
            <w:r>
              <w:rPr>
                <w:rFonts w:ascii="Times New Roman"/>
                <w:sz w:val="18"/>
              </w:rPr>
              <w:t>839,087,713.64</w:t>
            </w:r>
          </w:p>
        </w:tc>
      </w:tr>
    </w:tbl>
    <w:p>
      <w:pPr>
        <w:spacing w:line="240" w:lineRule="auto" w:before="3"/>
        <w:rPr>
          <w:rFonts w:ascii="Times New Roman" w:hAnsi="Times New Roman" w:cs="Times New Roman" w:eastAsia="Times New Roman" w:hint="default"/>
          <w:sz w:val="23"/>
          <w:szCs w:val="23"/>
        </w:rPr>
      </w:pPr>
    </w:p>
    <w:p>
      <w:pPr>
        <w:tabs>
          <w:tab w:pos="5180" w:val="left" w:leader="none"/>
          <w:tab w:pos="11750"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法定代表人：李仲初</w:t>
        <w:tab/>
        <w:t>主管会计工作负责人：赖德源</w:t>
        <w:tab/>
        <w:t>会计机构负责人：李天达</w:t>
      </w:r>
    </w:p>
    <w:p>
      <w:pPr>
        <w:spacing w:after="0"/>
        <w:jc w:val="left"/>
        <w:rPr>
          <w:rFonts w:ascii="宋体" w:hAnsi="宋体" w:cs="宋体" w:eastAsia="宋体" w:hint="default"/>
          <w:sz w:val="18"/>
          <w:szCs w:val="18"/>
        </w:rPr>
        <w:sectPr>
          <w:pgSz w:w="16840" w:h="11910" w:orient="landscape"/>
          <w:pgMar w:header="867" w:footer="979" w:top="1060" w:bottom="1160" w:left="130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三、公司基本情况" w:id="158"/>
      <w:bookmarkEnd w:id="158"/>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61" w:lineRule="auto" w:before="0"/>
        <w:ind w:left="633" w:right="5863"/>
        <w:jc w:val="left"/>
      </w:pPr>
      <w:r>
        <w:rPr>
          <w:rFonts w:ascii="Times New Roman" w:hAnsi="Times New Roman" w:cs="Times New Roman" w:eastAsia="Times New Roman" w:hint="default"/>
        </w:rPr>
        <w:t>1</w:t>
      </w:r>
      <w:r>
        <w:rPr/>
        <w:t>、公司概况 公司名称：北京中长石基信息技术股份有限公司 注册地址：北京市海淀区复兴路甲</w:t>
      </w:r>
      <w:r>
        <w:rPr>
          <w:rFonts w:ascii="Times New Roman" w:hAnsi="Times New Roman" w:cs="Times New Roman" w:eastAsia="Times New Roman" w:hint="default"/>
        </w:rPr>
        <w:t>65</w:t>
      </w:r>
      <w:r>
        <w:rPr/>
        <w:t>号－</w:t>
      </w:r>
      <w:r>
        <w:rPr>
          <w:rFonts w:ascii="Times New Roman" w:hAnsi="Times New Roman" w:cs="Times New Roman" w:eastAsia="Times New Roman" w:hint="default"/>
        </w:rPr>
        <w:t>A11</w:t>
      </w:r>
      <w:r>
        <w:rPr/>
        <w:t>层 注册资本：</w:t>
      </w:r>
      <w:r>
        <w:rPr>
          <w:rFonts w:ascii="Times New Roman" w:hAnsi="Times New Roman" w:cs="Times New Roman" w:eastAsia="Times New Roman" w:hint="default"/>
        </w:rPr>
        <w:t>355,596,251.00</w:t>
      </w:r>
      <w:r>
        <w:rPr/>
        <w:t>元 统一社会信用代码：</w:t>
      </w:r>
      <w:r>
        <w:rPr>
          <w:rFonts w:ascii="Times New Roman" w:hAnsi="Times New Roman" w:cs="Times New Roman" w:eastAsia="Times New Roman" w:hint="default"/>
        </w:rPr>
        <w:t>91110000634342985H </w:t>
      </w:r>
      <w:r>
        <w:rPr/>
        <w:t>法定代表人：李仲初</w:t>
      </w:r>
    </w:p>
    <w:p>
      <w:pPr>
        <w:spacing w:line="240" w:lineRule="auto" w:before="3"/>
        <w:rPr>
          <w:rFonts w:ascii="宋体" w:hAnsi="宋体" w:cs="宋体" w:eastAsia="宋体" w:hint="default"/>
          <w:sz w:val="25"/>
          <w:szCs w:val="25"/>
        </w:rPr>
      </w:pPr>
    </w:p>
    <w:p>
      <w:pPr>
        <w:pStyle w:val="BodyText"/>
        <w:spacing w:line="256" w:lineRule="auto" w:before="0"/>
        <w:ind w:left="634" w:right="6702"/>
        <w:jc w:val="left"/>
      </w:pPr>
      <w:r>
        <w:rPr>
          <w:rFonts w:ascii="Times New Roman" w:hAnsi="Times New Roman" w:cs="Times New Roman" w:eastAsia="Times New Roman" w:hint="default"/>
        </w:rPr>
        <w:t>2</w:t>
      </w:r>
      <w:r>
        <w:rPr/>
        <w:t>、公司行业性质及经营范围 公司行业性质：计算机应用及服务行业</w:t>
      </w:r>
    </w:p>
    <w:p>
      <w:pPr>
        <w:pStyle w:val="BodyText"/>
        <w:spacing w:line="268" w:lineRule="auto" w:before="22"/>
        <w:ind w:left="154" w:right="1131" w:firstLine="480"/>
        <w:jc w:val="both"/>
      </w:pPr>
      <w:r>
        <w:rPr>
          <w:spacing w:val="-2"/>
        </w:rPr>
        <w:t>经营范围：技术开发、技术咨询、技术转让、技术服务、技术培训；销售开发后的产品、计算机及外</w:t>
      </w:r>
      <w:r>
        <w:rPr/>
        <w:t> 围设备；提供信息源服务；网络技术服务；电子商务</w:t>
      </w:r>
      <w:r>
        <w:rPr>
          <w:rFonts w:ascii="Times New Roman" w:hAnsi="Times New Roman" w:cs="Times New Roman" w:eastAsia="Times New Roman" w:hint="default"/>
        </w:rPr>
        <w:t>(</w:t>
      </w:r>
      <w:r>
        <w:rPr/>
        <w:t>未取得专项审批的项目除外</w:t>
      </w:r>
      <w:r>
        <w:rPr>
          <w:rFonts w:ascii="Times New Roman" w:hAnsi="Times New Roman" w:cs="Times New Roman" w:eastAsia="Times New Roman" w:hint="default"/>
        </w:rPr>
        <w:t>)</w:t>
      </w:r>
      <w:r>
        <w:rPr/>
        <w:t>；安装计算机；货物进</w:t>
      </w:r>
      <w:r>
        <w:rPr>
          <w:spacing w:val="-63"/>
        </w:rPr>
        <w:t> </w:t>
      </w:r>
      <w:r>
        <w:rPr>
          <w:spacing w:val="-63"/>
        </w:rPr>
      </w:r>
      <w:r>
        <w:rPr>
          <w:spacing w:val="-1"/>
        </w:rPr>
        <w:t>出口、技术进出口、代理进出口；法律、行政法规、国务院决定禁止的，不得经营；法律、行政法规、国</w:t>
      </w:r>
      <w:r>
        <w:rPr>
          <w:spacing w:val="-86"/>
        </w:rPr>
        <w:t> </w:t>
      </w:r>
      <w:r>
        <w:rPr>
          <w:spacing w:val="-86"/>
        </w:rPr>
      </w:r>
      <w:r>
        <w:rPr>
          <w:spacing w:val="-1"/>
        </w:rPr>
        <w:t>务院决定应经许可的，经审批机关批准并经工商行政管理机关登记注册后方可经营；法律、行政法规、国</w:t>
      </w:r>
      <w:r>
        <w:rPr>
          <w:spacing w:val="-85"/>
        </w:rPr>
        <w:t> </w:t>
      </w:r>
      <w:r>
        <w:rPr>
          <w:spacing w:val="-85"/>
        </w:rPr>
      </w:r>
      <w:r>
        <w:rPr/>
        <w:t>务院决定未规定许可的，自主选择经营项目开展经营活动。</w:t>
      </w:r>
    </w:p>
    <w:p>
      <w:pPr>
        <w:spacing w:line="240" w:lineRule="auto" w:before="10"/>
        <w:rPr>
          <w:rFonts w:ascii="宋体" w:hAnsi="宋体" w:cs="宋体" w:eastAsia="宋体" w:hint="default"/>
          <w:sz w:val="24"/>
          <w:szCs w:val="24"/>
        </w:rPr>
      </w:pPr>
    </w:p>
    <w:p>
      <w:pPr>
        <w:pStyle w:val="BodyText"/>
        <w:spacing w:line="256" w:lineRule="auto" w:before="0"/>
        <w:ind w:left="634" w:right="0"/>
        <w:jc w:val="left"/>
      </w:pPr>
      <w:r>
        <w:rPr>
          <w:rFonts w:ascii="Times New Roman" w:hAnsi="Times New Roman" w:cs="Times New Roman" w:eastAsia="Times New Roman" w:hint="default"/>
        </w:rPr>
        <w:t>3</w:t>
      </w:r>
      <w:r>
        <w:rPr/>
        <w:t>、公司历史沿革 </w:t>
      </w:r>
      <w:r>
        <w:rPr>
          <w:spacing w:val="-2"/>
        </w:rPr>
        <w:t>北京中长石基信息技术股份有限公司（以下简称</w:t>
      </w:r>
      <w:r>
        <w:rPr>
          <w:rFonts w:ascii="Times New Roman" w:hAnsi="Times New Roman" w:cs="Times New Roman" w:eastAsia="Times New Roman" w:hint="default"/>
          <w:spacing w:val="-2"/>
        </w:rPr>
        <w:t>“</w:t>
      </w:r>
      <w:r>
        <w:rPr>
          <w:spacing w:val="-2"/>
        </w:rPr>
        <w:t>本公司或公司</w:t>
      </w:r>
      <w:r>
        <w:rPr>
          <w:rFonts w:ascii="Times New Roman" w:hAnsi="Times New Roman" w:cs="Times New Roman" w:eastAsia="Times New Roman" w:hint="default"/>
          <w:spacing w:val="-2"/>
        </w:rPr>
        <w:t>”</w:t>
      </w:r>
      <w:r>
        <w:rPr>
          <w:spacing w:val="-2"/>
        </w:rPr>
        <w:t>）是</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月经北京市人民政府经</w:t>
      </w:r>
    </w:p>
    <w:p>
      <w:pPr>
        <w:pStyle w:val="BodyText"/>
        <w:spacing w:line="256" w:lineRule="auto" w:before="5"/>
        <w:ind w:left="154" w:right="0"/>
        <w:jc w:val="left"/>
      </w:pPr>
      <w:r>
        <w:rPr/>
        <w:t>济体制改革办公室</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w:t>
      </w:r>
      <w:r>
        <w:rPr/>
        <w:t>号</w:t>
      </w:r>
      <w:r>
        <w:rPr>
          <w:rFonts w:ascii="Times New Roman" w:hAnsi="Times New Roman" w:cs="Times New Roman" w:eastAsia="Times New Roman" w:hint="default"/>
        </w:rPr>
        <w:t>”</w:t>
      </w:r>
      <w:r>
        <w:rPr/>
        <w:t>文批准，由原北京中长石基信息技术有限责任公司整体变更</w:t>
      </w:r>
      <w:r>
        <w:rPr>
          <w:spacing w:val="-45"/>
        </w:rPr>
        <w:t> </w:t>
      </w:r>
      <w:r>
        <w:rPr>
          <w:spacing w:val="-45"/>
        </w:rPr>
      </w:r>
      <w:r>
        <w:rPr/>
        <w:t>而成股份有限公司。</w:t>
      </w:r>
    </w:p>
    <w:p>
      <w:pPr>
        <w:pStyle w:val="BodyText"/>
        <w:spacing w:line="256" w:lineRule="auto" w:before="22"/>
        <w:ind w:right="1131" w:firstLine="480"/>
        <w:jc w:val="both"/>
      </w:pPr>
      <w:r>
        <w:rPr>
          <w:spacing w:val="-2"/>
        </w:rPr>
        <w:t>公司变更前的北京中长石基信息技术有限责任公司系</w:t>
      </w:r>
      <w:r>
        <w:rPr>
          <w:rFonts w:ascii="Times New Roman" w:hAnsi="Times New Roman" w:cs="Times New Roman" w:eastAsia="Times New Roman" w:hint="default"/>
          <w:spacing w:val="-2"/>
        </w:rPr>
        <w:t>1998</w:t>
      </w:r>
      <w:r>
        <w:rPr>
          <w:spacing w:val="-2"/>
        </w:rPr>
        <w:t>年由李仲初、郭家满投资设立的有限责任公</w:t>
      </w:r>
      <w:r>
        <w:rPr/>
        <w:t> 司，设立时的名称为北京中长石基网络系统工程技术有限公司，注册资本为人民币</w:t>
      </w:r>
      <w:r>
        <w:rPr>
          <w:rFonts w:ascii="Times New Roman" w:hAnsi="Times New Roman" w:cs="Times New Roman" w:eastAsia="Times New Roman" w:hint="default"/>
        </w:rPr>
        <w:t>200</w:t>
      </w:r>
      <w:r>
        <w:rPr/>
        <w:t>万元，其中：李仲</w:t>
      </w:r>
      <w:r>
        <w:rPr>
          <w:spacing w:val="-26"/>
        </w:rPr>
        <w:t> </w:t>
      </w:r>
      <w:r>
        <w:rPr>
          <w:spacing w:val="-26"/>
        </w:rPr>
      </w:r>
      <w:r>
        <w:rPr>
          <w:spacing w:val="-2"/>
        </w:rPr>
        <w:t>初出资</w:t>
      </w:r>
      <w:r>
        <w:rPr>
          <w:rFonts w:ascii="Times New Roman" w:hAnsi="Times New Roman" w:cs="Times New Roman" w:eastAsia="Times New Roman" w:hint="default"/>
          <w:spacing w:val="-2"/>
        </w:rPr>
        <w:t>160</w:t>
      </w:r>
      <w:r>
        <w:rPr>
          <w:spacing w:val="-2"/>
        </w:rPr>
        <w:t>万元，占注册资本的</w:t>
      </w:r>
      <w:r>
        <w:rPr>
          <w:rFonts w:ascii="Times New Roman" w:hAnsi="Times New Roman" w:cs="Times New Roman" w:eastAsia="Times New Roman" w:hint="default"/>
          <w:spacing w:val="-2"/>
        </w:rPr>
        <w:t>80%</w:t>
      </w:r>
      <w:r>
        <w:rPr>
          <w:spacing w:val="-2"/>
        </w:rPr>
        <w:t>；郭家满出资</w:t>
      </w:r>
      <w:r>
        <w:rPr>
          <w:rFonts w:ascii="Times New Roman" w:hAnsi="Times New Roman" w:cs="Times New Roman" w:eastAsia="Times New Roman" w:hint="default"/>
          <w:spacing w:val="-2"/>
        </w:rPr>
        <w:t>40</w:t>
      </w:r>
      <w:r>
        <w:rPr>
          <w:spacing w:val="-2"/>
        </w:rPr>
        <w:t>万元，占注册资本的</w:t>
      </w:r>
      <w:r>
        <w:rPr>
          <w:rFonts w:ascii="Times New Roman" w:hAnsi="Times New Roman" w:cs="Times New Roman" w:eastAsia="Times New Roman" w:hint="default"/>
          <w:spacing w:val="-2"/>
        </w:rPr>
        <w:t>20%</w:t>
      </w:r>
      <w:r>
        <w:rPr>
          <w:spacing w:val="-2"/>
        </w:rPr>
        <w:t>，于</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日在北京市工</w:t>
      </w:r>
      <w:r>
        <w:rPr>
          <w:spacing w:val="-64"/>
        </w:rPr>
        <w:t> </w:t>
      </w:r>
      <w:r>
        <w:rPr>
          <w:spacing w:val="-64"/>
        </w:rPr>
      </w:r>
      <w:r>
        <w:rPr/>
        <w:t>商行政管理局登记注册。</w:t>
      </w:r>
    </w:p>
    <w:p>
      <w:pPr>
        <w:pStyle w:val="BodyText"/>
        <w:spacing w:line="256" w:lineRule="auto" w:before="22"/>
        <w:ind w:right="1129" w:firstLine="480"/>
        <w:jc w:val="both"/>
      </w:pP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11</w:t>
      </w:r>
      <w:r>
        <w:rPr>
          <w:spacing w:val="-2"/>
        </w:rPr>
        <w:t>月，经公司</w:t>
      </w:r>
      <w:r>
        <w:rPr>
          <w:rFonts w:ascii="Times New Roman" w:hAnsi="Times New Roman" w:cs="Times New Roman" w:eastAsia="Times New Roman" w:hint="default"/>
          <w:spacing w:val="-2"/>
        </w:rPr>
        <w:t>2000</w:t>
      </w:r>
      <w:r>
        <w:rPr>
          <w:spacing w:val="-2"/>
        </w:rPr>
        <w:t>年度股东会决议，郭家满将其所持有公司</w:t>
      </w:r>
      <w:r>
        <w:rPr>
          <w:rFonts w:ascii="Times New Roman" w:hAnsi="Times New Roman" w:cs="Times New Roman" w:eastAsia="Times New Roman" w:hint="default"/>
          <w:spacing w:val="-2"/>
        </w:rPr>
        <w:t>20%</w:t>
      </w:r>
      <w:r>
        <w:rPr>
          <w:spacing w:val="-2"/>
        </w:rPr>
        <w:t>的股权分别转让给李彩练、焦</w:t>
      </w:r>
      <w:r>
        <w:rPr/>
        <w:t> 梅荣、郭灵红和李殿坤，同时注册资本增加为</w:t>
      </w:r>
      <w:r>
        <w:rPr>
          <w:rFonts w:ascii="Times New Roman" w:hAnsi="Times New Roman" w:cs="Times New Roman" w:eastAsia="Times New Roman" w:hint="default"/>
        </w:rPr>
        <w:t>500</w:t>
      </w:r>
      <w:r>
        <w:rPr/>
        <w:t>万元，其中：李仲初出资</w:t>
      </w:r>
      <w:r>
        <w:rPr>
          <w:rFonts w:ascii="Times New Roman" w:hAnsi="Times New Roman" w:cs="Times New Roman" w:eastAsia="Times New Roman" w:hint="default"/>
        </w:rPr>
        <w:t>400</w:t>
      </w:r>
      <w:r>
        <w:rPr/>
        <w:t>万元，占注册资本的</w:t>
      </w:r>
      <w:r>
        <w:rPr>
          <w:rFonts w:ascii="Times New Roman" w:hAnsi="Times New Roman" w:cs="Times New Roman" w:eastAsia="Times New Roman" w:hint="default"/>
        </w:rPr>
        <w:t>80%</w:t>
      </w:r>
      <w:r>
        <w:rPr/>
        <w:t>；</w:t>
      </w:r>
      <w:r>
        <w:rPr>
          <w:spacing w:val="-97"/>
        </w:rPr>
        <w:t> </w:t>
      </w:r>
      <w:r>
        <w:rPr/>
        <w:t>李彩练出资</w:t>
      </w:r>
      <w:r>
        <w:rPr>
          <w:rFonts w:ascii="Times New Roman" w:hAnsi="Times New Roman" w:cs="Times New Roman" w:eastAsia="Times New Roman" w:hint="default"/>
        </w:rPr>
        <w:t>40</w:t>
      </w:r>
      <w:r>
        <w:rPr/>
        <w:t>万元，占注册资本的</w:t>
      </w:r>
      <w:r>
        <w:rPr>
          <w:rFonts w:ascii="Times New Roman" w:hAnsi="Times New Roman" w:cs="Times New Roman" w:eastAsia="Times New Roman" w:hint="default"/>
        </w:rPr>
        <w:t>8%</w:t>
      </w:r>
      <w:r>
        <w:rPr/>
        <w:t>；焦梅荣出资</w:t>
      </w:r>
      <w:r>
        <w:rPr>
          <w:rFonts w:ascii="Times New Roman" w:hAnsi="Times New Roman" w:cs="Times New Roman" w:eastAsia="Times New Roman" w:hint="default"/>
        </w:rPr>
        <w:t>35</w:t>
      </w:r>
      <w:r>
        <w:rPr/>
        <w:t>万元，占注册资本的</w:t>
      </w:r>
      <w:r>
        <w:rPr>
          <w:rFonts w:ascii="Times New Roman" w:hAnsi="Times New Roman" w:cs="Times New Roman" w:eastAsia="Times New Roman" w:hint="default"/>
        </w:rPr>
        <w:t>7%</w:t>
      </w:r>
      <w:r>
        <w:rPr/>
        <w:t>；郭灵红出资</w:t>
      </w:r>
      <w:r>
        <w:rPr>
          <w:rFonts w:ascii="Times New Roman" w:hAnsi="Times New Roman" w:cs="Times New Roman" w:eastAsia="Times New Roman" w:hint="default"/>
        </w:rPr>
        <w:t>15</w:t>
      </w:r>
      <w:r>
        <w:rPr/>
        <w:t>万元，占注</w:t>
      </w:r>
      <w:r>
        <w:rPr>
          <w:spacing w:val="-67"/>
        </w:rPr>
        <w:t> </w:t>
      </w:r>
      <w:r>
        <w:rPr>
          <w:spacing w:val="-67"/>
        </w:rPr>
      </w:r>
      <w:r>
        <w:rPr/>
        <w:t>册资本的</w:t>
      </w:r>
      <w:r>
        <w:rPr>
          <w:rFonts w:ascii="Times New Roman" w:hAnsi="Times New Roman" w:cs="Times New Roman" w:eastAsia="Times New Roman" w:hint="default"/>
        </w:rPr>
        <w:t>3%</w:t>
      </w:r>
      <w:r>
        <w:rPr/>
        <w:t>；李殿坤出资</w:t>
      </w:r>
      <w:r>
        <w:rPr>
          <w:rFonts w:ascii="Times New Roman" w:hAnsi="Times New Roman" w:cs="Times New Roman" w:eastAsia="Times New Roman" w:hint="default"/>
        </w:rPr>
        <w:t>10</w:t>
      </w:r>
      <w:r>
        <w:rPr/>
        <w:t>万元，占注册资本的</w:t>
      </w:r>
      <w:r>
        <w:rPr>
          <w:rFonts w:ascii="Times New Roman" w:hAnsi="Times New Roman" w:cs="Times New Roman" w:eastAsia="Times New Roman" w:hint="default"/>
        </w:rPr>
        <w:t>2%</w:t>
      </w:r>
      <w:r>
        <w:rPr/>
        <w:t>。</w:t>
      </w:r>
    </w:p>
    <w:p>
      <w:pPr>
        <w:pStyle w:val="BodyText"/>
        <w:spacing w:line="256" w:lineRule="auto" w:before="5"/>
        <w:ind w:right="1026" w:firstLine="480"/>
        <w:jc w:val="left"/>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4</w:t>
      </w:r>
      <w:r>
        <w:rPr>
          <w:spacing w:val="-2"/>
        </w:rPr>
        <w:t>月，经公司</w:t>
      </w:r>
      <w:r>
        <w:rPr>
          <w:rFonts w:ascii="Times New Roman" w:hAnsi="Times New Roman" w:cs="Times New Roman" w:eastAsia="Times New Roman" w:hint="default"/>
          <w:spacing w:val="-2"/>
        </w:rPr>
        <w:t>2001</w:t>
      </w:r>
      <w:r>
        <w:rPr>
          <w:spacing w:val="-2"/>
        </w:rPr>
        <w:t>年度第一次临时股东大会决议，公司更名为北京中长石基信息技术有限公司，</w:t>
      </w:r>
      <w:r>
        <w:rPr/>
        <w:t> 同时引进新股东长春燃气股份有限公司，公司注册资本增加为 </w:t>
      </w:r>
      <w:r>
        <w:rPr>
          <w:rFonts w:ascii="Times New Roman" w:hAnsi="Times New Roman" w:cs="Times New Roman" w:eastAsia="Times New Roman" w:hint="default"/>
        </w:rPr>
        <w:t>625</w:t>
      </w:r>
      <w:r>
        <w:rPr/>
        <w:t>万元，其中：李仲初出资</w:t>
      </w:r>
      <w:r>
        <w:rPr>
          <w:rFonts w:ascii="Times New Roman" w:hAnsi="Times New Roman" w:cs="Times New Roman" w:eastAsia="Times New Roman" w:hint="default"/>
        </w:rPr>
        <w:t>400</w:t>
      </w:r>
      <w:r>
        <w:rPr/>
        <w:t>万元，占</w:t>
      </w:r>
      <w:r>
        <w:rPr>
          <w:spacing w:val="-32"/>
        </w:rPr>
        <w:t> </w:t>
      </w:r>
      <w:r>
        <w:rPr/>
        <w:t>注册资本的</w:t>
      </w:r>
      <w:r>
        <w:rPr>
          <w:rFonts w:ascii="Times New Roman" w:hAnsi="Times New Roman" w:cs="Times New Roman" w:eastAsia="Times New Roman" w:hint="default"/>
        </w:rPr>
        <w:t>64%</w:t>
      </w:r>
      <w:r>
        <w:rPr/>
        <w:t>；长春燃气股份有限公司出资</w:t>
      </w:r>
      <w:r>
        <w:rPr>
          <w:rFonts w:ascii="Times New Roman" w:hAnsi="Times New Roman" w:cs="Times New Roman" w:eastAsia="Times New Roman" w:hint="default"/>
        </w:rPr>
        <w:t>125</w:t>
      </w:r>
      <w:r>
        <w:rPr/>
        <w:t>万元，占注册资本</w:t>
      </w:r>
      <w:r>
        <w:rPr>
          <w:rFonts w:ascii="Times New Roman" w:hAnsi="Times New Roman" w:cs="Times New Roman" w:eastAsia="Times New Roman" w:hint="default"/>
        </w:rPr>
        <w:t>20%</w:t>
      </w:r>
      <w:r>
        <w:rPr/>
        <w:t>；李彩练出资</w:t>
      </w:r>
      <w:r>
        <w:rPr>
          <w:rFonts w:ascii="Times New Roman" w:hAnsi="Times New Roman" w:cs="Times New Roman" w:eastAsia="Times New Roman" w:hint="default"/>
        </w:rPr>
        <w:t>40</w:t>
      </w:r>
      <w:r>
        <w:rPr/>
        <w:t>万元，占注册资本 </w:t>
      </w:r>
      <w:r>
        <w:rPr>
          <w:spacing w:val="-2"/>
        </w:rPr>
        <w:t>的</w:t>
      </w:r>
      <w:r>
        <w:rPr>
          <w:rFonts w:ascii="Times New Roman" w:hAnsi="Times New Roman" w:cs="Times New Roman" w:eastAsia="Times New Roman" w:hint="default"/>
          <w:spacing w:val="-2"/>
        </w:rPr>
        <w:t>6.4%</w:t>
      </w:r>
      <w:r>
        <w:rPr>
          <w:spacing w:val="-2"/>
        </w:rPr>
        <w:t>；焦梅荣出资</w:t>
      </w:r>
      <w:r>
        <w:rPr>
          <w:rFonts w:ascii="Times New Roman" w:hAnsi="Times New Roman" w:cs="Times New Roman" w:eastAsia="Times New Roman" w:hint="default"/>
          <w:spacing w:val="-2"/>
        </w:rPr>
        <w:t>35</w:t>
      </w:r>
      <w:r>
        <w:rPr>
          <w:spacing w:val="-2"/>
        </w:rPr>
        <w:t>万元，占注册资本的</w:t>
      </w:r>
      <w:r>
        <w:rPr>
          <w:rFonts w:ascii="Times New Roman" w:hAnsi="Times New Roman" w:cs="Times New Roman" w:eastAsia="Times New Roman" w:hint="default"/>
          <w:spacing w:val="-2"/>
        </w:rPr>
        <w:t>5.6%</w:t>
      </w:r>
      <w:r>
        <w:rPr>
          <w:spacing w:val="-2"/>
        </w:rPr>
        <w:t>；郭灵红出资</w:t>
      </w:r>
      <w:r>
        <w:rPr>
          <w:rFonts w:ascii="Times New Roman" w:hAnsi="Times New Roman" w:cs="Times New Roman" w:eastAsia="Times New Roman" w:hint="default"/>
          <w:spacing w:val="-2"/>
        </w:rPr>
        <w:t>15</w:t>
      </w:r>
      <w:r>
        <w:rPr>
          <w:spacing w:val="-2"/>
        </w:rPr>
        <w:t>万元，占注册资本的</w:t>
      </w:r>
      <w:r>
        <w:rPr>
          <w:rFonts w:ascii="Times New Roman" w:hAnsi="Times New Roman" w:cs="Times New Roman" w:eastAsia="Times New Roman" w:hint="default"/>
          <w:spacing w:val="-2"/>
        </w:rPr>
        <w:t>2.4%</w:t>
      </w:r>
      <w:r>
        <w:rPr>
          <w:spacing w:val="-2"/>
        </w:rPr>
        <w:t>；李殿坤出资</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26"/>
        </w:rPr>
        <w:t> </w:t>
      </w:r>
      <w:r>
        <w:rPr/>
        <w:t>万元，占注册资本的</w:t>
      </w:r>
      <w:r>
        <w:rPr>
          <w:rFonts w:ascii="Times New Roman" w:hAnsi="Times New Roman" w:cs="Times New Roman" w:eastAsia="Times New Roman" w:hint="default"/>
        </w:rPr>
        <w:t>1.6%</w:t>
      </w:r>
      <w:r>
        <w:rPr/>
        <w:t>。</w:t>
      </w:r>
    </w:p>
    <w:p>
      <w:pPr>
        <w:pStyle w:val="BodyText"/>
        <w:spacing w:line="256" w:lineRule="auto" w:before="5"/>
        <w:ind w:left="154" w:right="1130" w:firstLine="480"/>
        <w:jc w:val="both"/>
      </w:pP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8</w:t>
      </w:r>
      <w:r>
        <w:rPr>
          <w:spacing w:val="-3"/>
        </w:rPr>
        <w:t>月，经公司</w:t>
      </w:r>
      <w:r>
        <w:rPr>
          <w:rFonts w:ascii="Times New Roman" w:hAnsi="Times New Roman" w:cs="Times New Roman" w:eastAsia="Times New Roman" w:hint="default"/>
          <w:spacing w:val="-3"/>
        </w:rPr>
        <w:t>2001</w:t>
      </w:r>
      <w:r>
        <w:rPr>
          <w:spacing w:val="-3"/>
        </w:rPr>
        <w:t>年度第二次临时股东大会决议，李彩练将其所持有公司</w:t>
      </w:r>
      <w:r>
        <w:rPr>
          <w:spacing w:val="11"/>
        </w:rPr>
        <w:t> </w:t>
      </w:r>
      <w:r>
        <w:rPr>
          <w:rFonts w:ascii="Times New Roman" w:hAnsi="Times New Roman" w:cs="Times New Roman" w:eastAsia="Times New Roman" w:hint="default"/>
        </w:rPr>
        <w:t>6.4%</w:t>
      </w:r>
      <w:r>
        <w:rPr/>
        <w:t>的股权全部转让 给北京业勤投资顾问有限公司，郭灵红将其所持有公司</w:t>
      </w:r>
      <w:r>
        <w:rPr>
          <w:rFonts w:ascii="Times New Roman" w:hAnsi="Times New Roman" w:cs="Times New Roman" w:eastAsia="Times New Roman" w:hint="default"/>
        </w:rPr>
        <w:t>2.4%</w:t>
      </w:r>
      <w:r>
        <w:rPr/>
        <w:t>的股权全部转让给陈国强。</w:t>
      </w:r>
    </w:p>
    <w:p>
      <w:pPr>
        <w:pStyle w:val="BodyText"/>
        <w:spacing w:line="256" w:lineRule="auto" w:before="5"/>
        <w:ind w:right="1128" w:firstLine="480"/>
        <w:jc w:val="both"/>
      </w:pP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12</w:t>
      </w:r>
      <w:r>
        <w:rPr>
          <w:spacing w:val="-4"/>
        </w:rPr>
        <w:t>月，经公司</w:t>
      </w:r>
      <w:r>
        <w:rPr>
          <w:rFonts w:ascii="Times New Roman" w:hAnsi="Times New Roman" w:cs="Times New Roman" w:eastAsia="Times New Roman" w:hint="default"/>
          <w:spacing w:val="-4"/>
        </w:rPr>
        <w:t>2001</w:t>
      </w:r>
      <w:r>
        <w:rPr>
          <w:spacing w:val="-4"/>
        </w:rPr>
        <w:t>年度第四次临时股东大会决议，并经北京市人民政府经济体制改革办公室</w:t>
      </w:r>
      <w:r>
        <w:rPr>
          <w:rFonts w:ascii="Times New Roman" w:hAnsi="Times New Roman" w:cs="Times New Roman" w:eastAsia="Times New Roman" w:hint="default"/>
          <w:spacing w:val="-4"/>
        </w:rPr>
        <w:t>“</w:t>
      </w:r>
      <w:r>
        <w:rPr>
          <w:spacing w:val="-4"/>
        </w:rPr>
        <w:t>京</w:t>
      </w:r>
      <w:r>
        <w:rPr/>
        <w:t> 政体改股函</w:t>
      </w:r>
      <w:r>
        <w:rPr>
          <w:rFonts w:ascii="Times New Roman" w:hAnsi="Times New Roman" w:cs="Times New Roman" w:eastAsia="Times New Roman" w:hint="default"/>
        </w:rPr>
        <w:t>[2001]66</w:t>
      </w:r>
      <w:r>
        <w:rPr>
          <w:rFonts w:ascii="Times New Roman" w:hAnsi="Times New Roman" w:cs="Times New Roman" w:eastAsia="Times New Roman" w:hint="default"/>
          <w:spacing w:val="43"/>
        </w:rPr>
        <w:t> </w:t>
      </w:r>
      <w:r>
        <w:rPr/>
        <w:t>号</w:t>
      </w:r>
      <w:r>
        <w:rPr>
          <w:rFonts w:ascii="Times New Roman" w:hAnsi="Times New Roman" w:cs="Times New Roman" w:eastAsia="Times New Roman" w:hint="default"/>
        </w:rPr>
        <w:t>”</w:t>
      </w:r>
      <w:r>
        <w:rPr/>
        <w:t>文批准，公司由有限责任公司整体变更为股份有限公司，以</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日经审</w:t>
      </w:r>
      <w:r>
        <w:rPr>
          <w:spacing w:val="-94"/>
        </w:rPr>
        <w:t> </w:t>
      </w:r>
      <w:r>
        <w:rPr/>
        <w:t>计后净资产，按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的折股比率，原有股东持股比例不变，折为股本</w:t>
      </w:r>
      <w:r>
        <w:rPr>
          <w:rFonts w:ascii="Times New Roman" w:hAnsi="Times New Roman" w:cs="Times New Roman" w:eastAsia="Times New Roman" w:hint="default"/>
        </w:rPr>
        <w:t>3,300.00</w:t>
      </w:r>
      <w:r>
        <w:rPr/>
        <w:t>万股。其中：李仲初</w:t>
      </w:r>
      <w:r>
        <w:rPr>
          <w:rFonts w:ascii="Times New Roman" w:hAnsi="Times New Roman" w:cs="Times New Roman" w:eastAsia="Times New Roman" w:hint="default"/>
        </w:rPr>
        <w:t>2,112</w:t>
      </w:r>
      <w:r>
        <w:rPr>
          <w:rFonts w:ascii="Times New Roman" w:hAnsi="Times New Roman" w:cs="Times New Roman" w:eastAsia="Times New Roman" w:hint="default"/>
          <w:spacing w:val="-18"/>
        </w:rPr>
        <w:t> </w:t>
      </w:r>
      <w:r>
        <w:rPr/>
        <w:t>万 </w:t>
      </w:r>
      <w:r>
        <w:rPr>
          <w:spacing w:val="-11"/>
        </w:rPr>
        <w:t>股，占总股本的</w:t>
      </w:r>
      <w:r>
        <w:rPr>
          <w:spacing w:val="-16"/>
        </w:rPr>
        <w:t> </w:t>
      </w:r>
      <w:r>
        <w:rPr>
          <w:rFonts w:ascii="Times New Roman" w:hAnsi="Times New Roman" w:cs="Times New Roman" w:eastAsia="Times New Roman" w:hint="default"/>
          <w:spacing w:val="-5"/>
        </w:rPr>
        <w:t>64%</w:t>
      </w:r>
      <w:r>
        <w:rPr>
          <w:spacing w:val="-5"/>
        </w:rPr>
        <w:t>；长春燃气股份有限公司</w:t>
      </w:r>
      <w:r>
        <w:rPr>
          <w:rFonts w:ascii="Times New Roman" w:hAnsi="Times New Roman" w:cs="Times New Roman" w:eastAsia="Times New Roman" w:hint="default"/>
          <w:spacing w:val="-5"/>
        </w:rPr>
        <w:t>660</w:t>
      </w:r>
      <w:r>
        <w:rPr>
          <w:spacing w:val="-5"/>
        </w:rPr>
        <w:t>万股，占总股本的</w:t>
      </w:r>
      <w:r>
        <w:rPr>
          <w:rFonts w:ascii="Times New Roman" w:hAnsi="Times New Roman" w:cs="Times New Roman" w:eastAsia="Times New Roman" w:hint="default"/>
          <w:spacing w:val="-5"/>
        </w:rPr>
        <w:t>20%</w:t>
      </w:r>
      <w:r>
        <w:rPr>
          <w:spacing w:val="-5"/>
        </w:rPr>
        <w:t>；北京业勤投资顾问有限公司</w:t>
      </w:r>
      <w:r>
        <w:rPr>
          <w:rFonts w:ascii="Times New Roman" w:hAnsi="Times New Roman" w:cs="Times New Roman" w:eastAsia="Times New Roman" w:hint="default"/>
          <w:spacing w:val="-5"/>
        </w:rPr>
        <w:t>211.20</w:t>
      </w:r>
      <w:r>
        <w:rPr>
          <w:rFonts w:ascii="Times New Roman" w:hAnsi="Times New Roman" w:cs="Times New Roman" w:eastAsia="Times New Roman" w:hint="default"/>
        </w:rPr>
        <w:t> </w:t>
      </w:r>
      <w:r>
        <w:rPr>
          <w:spacing w:val="-2"/>
        </w:rPr>
        <w:t>万股，占总股本的</w:t>
      </w:r>
      <w:r>
        <w:rPr>
          <w:rFonts w:ascii="Times New Roman" w:hAnsi="Times New Roman" w:cs="Times New Roman" w:eastAsia="Times New Roman" w:hint="default"/>
          <w:spacing w:val="-2"/>
        </w:rPr>
        <w:t>6.4%</w:t>
      </w:r>
      <w:r>
        <w:rPr>
          <w:spacing w:val="-2"/>
        </w:rPr>
        <w:t>；焦梅荣</w:t>
      </w:r>
      <w:r>
        <w:rPr>
          <w:rFonts w:ascii="Times New Roman" w:hAnsi="Times New Roman" w:cs="Times New Roman" w:eastAsia="Times New Roman" w:hint="default"/>
          <w:spacing w:val="-2"/>
        </w:rPr>
        <w:t>184.80</w:t>
      </w:r>
      <w:r>
        <w:rPr>
          <w:spacing w:val="-2"/>
        </w:rPr>
        <w:t>万股，占总股本的</w:t>
      </w:r>
      <w:r>
        <w:rPr>
          <w:rFonts w:ascii="Times New Roman" w:hAnsi="Times New Roman" w:cs="Times New Roman" w:eastAsia="Times New Roman" w:hint="default"/>
          <w:spacing w:val="-2"/>
        </w:rPr>
        <w:t>5.6%</w:t>
      </w:r>
      <w:r>
        <w:rPr>
          <w:spacing w:val="-2"/>
        </w:rPr>
        <w:t>；陈国强</w:t>
      </w:r>
      <w:r>
        <w:rPr>
          <w:rFonts w:ascii="Times New Roman" w:hAnsi="Times New Roman" w:cs="Times New Roman" w:eastAsia="Times New Roman" w:hint="default"/>
          <w:spacing w:val="-2"/>
        </w:rPr>
        <w:t>79.20</w:t>
      </w:r>
      <w:r>
        <w:rPr>
          <w:spacing w:val="-2"/>
        </w:rPr>
        <w:t>万股，占总股本的</w:t>
      </w:r>
      <w:r>
        <w:rPr>
          <w:rFonts w:ascii="Times New Roman" w:hAnsi="Times New Roman" w:cs="Times New Roman" w:eastAsia="Times New Roman" w:hint="default"/>
          <w:spacing w:val="-2"/>
        </w:rPr>
        <w:t>2.4%</w:t>
      </w:r>
      <w:r>
        <w:rPr>
          <w:spacing w:val="-2"/>
        </w:rPr>
        <w:t>；李殿</w:t>
      </w:r>
      <w:r>
        <w:rPr>
          <w:spacing w:val="-71"/>
        </w:rPr>
        <w:t> </w:t>
      </w:r>
      <w:r>
        <w:rPr>
          <w:spacing w:val="-71"/>
        </w:rPr>
      </w:r>
      <w:r>
        <w:rPr/>
        <w:t>坤</w:t>
      </w:r>
      <w:r>
        <w:rPr>
          <w:rFonts w:ascii="Times New Roman" w:hAnsi="Times New Roman" w:cs="Times New Roman" w:eastAsia="Times New Roman" w:hint="default"/>
        </w:rPr>
        <w:t>52.80</w:t>
      </w:r>
      <w:r>
        <w:rPr/>
        <w:t>万股，占总股本的</w:t>
      </w:r>
      <w:r>
        <w:rPr>
          <w:rFonts w:ascii="Times New Roman" w:hAnsi="Times New Roman" w:cs="Times New Roman" w:eastAsia="Times New Roman" w:hint="default"/>
        </w:rPr>
        <w:t>1.6%</w:t>
      </w:r>
      <w:r>
        <w:rPr/>
        <w:t>。</w:t>
      </w:r>
    </w:p>
    <w:p>
      <w:pPr>
        <w:pStyle w:val="BodyText"/>
        <w:spacing w:line="256" w:lineRule="auto" w:before="5"/>
        <w:ind w:right="1128" w:firstLine="480"/>
        <w:jc w:val="both"/>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月，经公司</w:t>
      </w:r>
      <w:r>
        <w:rPr>
          <w:rFonts w:ascii="Times New Roman" w:hAnsi="Times New Roman" w:cs="Times New Roman" w:eastAsia="Times New Roman" w:hint="default"/>
          <w:spacing w:val="-2"/>
        </w:rPr>
        <w:t>2003</w:t>
      </w:r>
      <w:r>
        <w:rPr>
          <w:spacing w:val="-2"/>
        </w:rPr>
        <w:t>年度股东大会决议，以</w:t>
      </w:r>
      <w:r>
        <w:rPr>
          <w:rFonts w:ascii="Times New Roman" w:hAnsi="Times New Roman" w:cs="Times New Roman" w:eastAsia="Times New Roman" w:hint="default"/>
          <w:spacing w:val="-2"/>
        </w:rPr>
        <w:t>2003</w:t>
      </w:r>
      <w:r>
        <w:rPr>
          <w:spacing w:val="-2"/>
        </w:rPr>
        <w:t>年末未分配利润中的</w:t>
      </w:r>
      <w:r>
        <w:rPr>
          <w:rFonts w:ascii="Times New Roman" w:hAnsi="Times New Roman" w:cs="Times New Roman" w:eastAsia="Times New Roman" w:hint="default"/>
          <w:spacing w:val="-2"/>
        </w:rPr>
        <w:t>900</w:t>
      </w:r>
      <w:r>
        <w:rPr>
          <w:spacing w:val="-2"/>
        </w:rPr>
        <w:t>万元转增股本，转增后公</w:t>
      </w:r>
      <w:r>
        <w:rPr/>
        <w:t> 司总股本增至</w:t>
      </w:r>
      <w:r>
        <w:rPr>
          <w:rFonts w:ascii="Times New Roman" w:hAnsi="Times New Roman" w:cs="Times New Roman" w:eastAsia="Times New Roman" w:hint="default"/>
        </w:rPr>
        <w:t>4,200</w:t>
      </w:r>
      <w:r>
        <w:rPr/>
        <w:t>万元，其中：李仲初</w:t>
      </w:r>
      <w:r>
        <w:rPr>
          <w:rFonts w:ascii="Times New Roman" w:hAnsi="Times New Roman" w:cs="Times New Roman" w:eastAsia="Times New Roman" w:hint="default"/>
        </w:rPr>
        <w:t>2,688  </w:t>
      </w:r>
      <w:r>
        <w:rPr/>
        <w:t>万股，占总股本的</w:t>
      </w:r>
      <w:r>
        <w:rPr>
          <w:spacing w:val="7"/>
        </w:rPr>
        <w:t> </w:t>
      </w:r>
      <w:r>
        <w:rPr>
          <w:rFonts w:ascii="Times New Roman" w:hAnsi="Times New Roman" w:cs="Times New Roman" w:eastAsia="Times New Roman" w:hint="default"/>
        </w:rPr>
        <w:t>64%</w:t>
      </w:r>
      <w:r>
        <w:rPr/>
        <w:t>；长春燃气股份有限公司</w:t>
      </w:r>
      <w:r>
        <w:rPr>
          <w:rFonts w:ascii="Times New Roman" w:hAnsi="Times New Roman" w:cs="Times New Roman" w:eastAsia="Times New Roman" w:hint="default"/>
        </w:rPr>
        <w:t>840</w:t>
      </w:r>
      <w:r>
        <w:rPr/>
        <w:t>万股，</w:t>
      </w:r>
    </w:p>
    <w:p>
      <w:pPr>
        <w:spacing w:after="0" w:line="256" w:lineRule="auto"/>
        <w:jc w:val="both"/>
        <w:sectPr>
          <w:headerReference w:type="default" r:id="rId26"/>
          <w:footerReference w:type="default" r:id="rId27"/>
          <w:pgSz w:w="11910" w:h="16840"/>
          <w:pgMar w:header="877" w:footer="979" w:top="1100" w:bottom="1160" w:left="980" w:right="0"/>
          <w:pgNumType w:start="90"/>
        </w:sectPr>
      </w:pPr>
    </w:p>
    <w:p>
      <w:pPr>
        <w:spacing w:line="240" w:lineRule="auto" w:before="9"/>
        <w:rPr>
          <w:rFonts w:ascii="宋体" w:hAnsi="宋体" w:cs="宋体" w:eastAsia="宋体" w:hint="default"/>
          <w:sz w:val="20"/>
          <w:szCs w:val="20"/>
        </w:rPr>
      </w:pPr>
    </w:p>
    <w:p>
      <w:pPr>
        <w:pStyle w:val="BodyText"/>
        <w:spacing w:line="256" w:lineRule="auto" w:before="35"/>
        <w:ind w:right="1123"/>
        <w:jc w:val="left"/>
      </w:pPr>
      <w:r>
        <w:rPr/>
        <w:t>占总股本的</w:t>
      </w:r>
      <w:r>
        <w:rPr>
          <w:rFonts w:ascii="Times New Roman" w:hAnsi="Times New Roman" w:cs="Times New Roman" w:eastAsia="Times New Roman" w:hint="default"/>
        </w:rPr>
        <w:t>20%</w:t>
      </w:r>
      <w:r>
        <w:rPr/>
        <w:t>；北京业勤投资顾问有限公司</w:t>
      </w:r>
      <w:r>
        <w:rPr>
          <w:spacing w:val="-12"/>
        </w:rPr>
        <w:t> </w:t>
      </w:r>
      <w:r>
        <w:rPr>
          <w:rFonts w:ascii="Times New Roman" w:hAnsi="Times New Roman" w:cs="Times New Roman" w:eastAsia="Times New Roman" w:hint="default"/>
        </w:rPr>
        <w:t>268.80</w:t>
      </w:r>
      <w:r>
        <w:rPr/>
        <w:t>万股，占总股本的</w:t>
      </w:r>
      <w:r>
        <w:rPr>
          <w:rFonts w:ascii="Times New Roman" w:hAnsi="Times New Roman" w:cs="Times New Roman" w:eastAsia="Times New Roman" w:hint="default"/>
        </w:rPr>
        <w:t>6.4%</w:t>
      </w:r>
      <w:r>
        <w:rPr/>
        <w:t>；焦梅荣</w:t>
      </w:r>
      <w:r>
        <w:rPr>
          <w:rFonts w:ascii="Times New Roman" w:hAnsi="Times New Roman" w:cs="Times New Roman" w:eastAsia="Times New Roman" w:hint="default"/>
        </w:rPr>
        <w:t>235.20</w:t>
      </w:r>
      <w:r>
        <w:rPr/>
        <w:t>万股，占总股 本的</w:t>
      </w:r>
      <w:r>
        <w:rPr>
          <w:rFonts w:ascii="Times New Roman" w:hAnsi="Times New Roman" w:cs="Times New Roman" w:eastAsia="Times New Roman" w:hint="default"/>
        </w:rPr>
        <w:t>5.6%</w:t>
      </w:r>
      <w:r>
        <w:rPr/>
        <w:t>；陈国强</w:t>
      </w:r>
      <w:r>
        <w:rPr>
          <w:rFonts w:ascii="Times New Roman" w:hAnsi="Times New Roman" w:cs="Times New Roman" w:eastAsia="Times New Roman" w:hint="default"/>
        </w:rPr>
        <w:t>100.80</w:t>
      </w:r>
      <w:r>
        <w:rPr>
          <w:rFonts w:ascii="Times New Roman" w:hAnsi="Times New Roman" w:cs="Times New Roman" w:eastAsia="Times New Roman" w:hint="default"/>
          <w:spacing w:val="22"/>
        </w:rPr>
        <w:t> </w:t>
      </w:r>
      <w:r>
        <w:rPr/>
        <w:t>万股，占总股本的</w:t>
      </w:r>
      <w:r>
        <w:rPr>
          <w:rFonts w:ascii="Times New Roman" w:hAnsi="Times New Roman" w:cs="Times New Roman" w:eastAsia="Times New Roman" w:hint="default"/>
        </w:rPr>
        <w:t>2.4%</w:t>
      </w:r>
      <w:r>
        <w:rPr/>
        <w:t>；李殿坤</w:t>
      </w:r>
      <w:r>
        <w:rPr>
          <w:rFonts w:ascii="Times New Roman" w:hAnsi="Times New Roman" w:cs="Times New Roman" w:eastAsia="Times New Roman" w:hint="default"/>
        </w:rPr>
        <w:t>67.20</w:t>
      </w:r>
      <w:r>
        <w:rPr/>
        <w:t>万股，占总股本的</w:t>
      </w:r>
      <w:r>
        <w:rPr>
          <w:rFonts w:ascii="Times New Roman" w:hAnsi="Times New Roman" w:cs="Times New Roman" w:eastAsia="Times New Roman" w:hint="default"/>
        </w:rPr>
        <w:t>1.6%</w:t>
      </w:r>
      <w:r>
        <w:rPr/>
        <w:t>。</w:t>
      </w:r>
    </w:p>
    <w:p>
      <w:pPr>
        <w:pStyle w:val="BodyText"/>
        <w:spacing w:line="240" w:lineRule="auto" w:before="5"/>
        <w:ind w:left="633" w:right="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月经公司股东大会决议，长春燃气股份有限公司将其所持有公司</w:t>
      </w:r>
      <w:r>
        <w:rPr>
          <w:rFonts w:ascii="Times New Roman" w:hAnsi="Times New Roman" w:cs="Times New Roman" w:eastAsia="Times New Roman" w:hint="default"/>
        </w:rPr>
        <w:t>20</w:t>
      </w:r>
      <w:r>
        <w:rPr/>
        <w:t>％的股权全部转让给李仲</w:t>
      </w:r>
    </w:p>
    <w:p>
      <w:pPr>
        <w:pStyle w:val="BodyText"/>
        <w:spacing w:line="240" w:lineRule="auto" w:before="21"/>
        <w:ind w:right="0"/>
        <w:jc w:val="left"/>
      </w:pPr>
      <w:r>
        <w:rPr/>
        <w:t>初。</w:t>
      </w:r>
    </w:p>
    <w:p>
      <w:pPr>
        <w:pStyle w:val="BodyText"/>
        <w:spacing w:line="240" w:lineRule="auto" w:before="37"/>
        <w:ind w:left="634" w:right="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月，经中国证券监督管理委员会证监发行字</w:t>
      </w:r>
      <w:r>
        <w:rPr>
          <w:rFonts w:ascii="Times New Roman" w:hAnsi="Times New Roman" w:cs="Times New Roman" w:eastAsia="Times New Roman" w:hint="default"/>
        </w:rPr>
        <w:t>[2007]189</w:t>
      </w:r>
      <w:r>
        <w:rPr/>
        <w:t>号文核准，同意公司向社会公开发行人</w:t>
      </w:r>
    </w:p>
    <w:p>
      <w:pPr>
        <w:pStyle w:val="BodyText"/>
        <w:spacing w:line="256" w:lineRule="auto" w:before="21"/>
        <w:ind w:right="1131"/>
        <w:jc w:val="both"/>
      </w:pPr>
      <w:r>
        <w:rPr/>
        <w:t>民币普通股股票</w:t>
      </w:r>
      <w:r>
        <w:rPr>
          <w:rFonts w:ascii="Times New Roman" w:hAnsi="Times New Roman" w:cs="Times New Roman" w:eastAsia="Times New Roman" w:hint="default"/>
        </w:rPr>
        <w:t>1,400.00</w:t>
      </w:r>
      <w:r>
        <w:rPr/>
        <w:t>万股，变更后的公司注册资本为</w:t>
      </w:r>
      <w:r>
        <w:rPr>
          <w:spacing w:val="-29"/>
        </w:rPr>
        <w:t> </w:t>
      </w:r>
      <w:r>
        <w:rPr>
          <w:rFonts w:ascii="Times New Roman" w:hAnsi="Times New Roman" w:cs="Times New Roman" w:eastAsia="Times New Roman" w:hint="default"/>
        </w:rPr>
        <w:t>5,600.00</w:t>
      </w:r>
      <w:r>
        <w:rPr/>
        <w:t>万元，其中：李仲初</w:t>
      </w:r>
      <w:r>
        <w:rPr>
          <w:rFonts w:ascii="Times New Roman" w:hAnsi="Times New Roman" w:cs="Times New Roman" w:eastAsia="Times New Roman" w:hint="default"/>
        </w:rPr>
        <w:t>3,528.00</w:t>
      </w:r>
      <w:r>
        <w:rPr/>
        <w:t>万股，占总 </w:t>
      </w:r>
      <w:r>
        <w:rPr>
          <w:spacing w:val="-2"/>
        </w:rPr>
        <w:t>股本的</w:t>
      </w:r>
      <w:r>
        <w:rPr>
          <w:rFonts w:ascii="Times New Roman" w:hAnsi="Times New Roman" w:cs="Times New Roman" w:eastAsia="Times New Roman" w:hint="default"/>
          <w:spacing w:val="-2"/>
        </w:rPr>
        <w:t>63.00%</w:t>
      </w:r>
      <w:r>
        <w:rPr>
          <w:spacing w:val="-2"/>
        </w:rPr>
        <w:t>；北京业勤投资顾问有限公司</w:t>
      </w:r>
      <w:r>
        <w:rPr>
          <w:rFonts w:ascii="Times New Roman" w:hAnsi="Times New Roman" w:cs="Times New Roman" w:eastAsia="Times New Roman" w:hint="default"/>
          <w:spacing w:val="-2"/>
        </w:rPr>
        <w:t>268.80</w:t>
      </w:r>
      <w:r>
        <w:rPr>
          <w:spacing w:val="-2"/>
        </w:rPr>
        <w:t>万股，占总股本的</w:t>
      </w:r>
      <w:r>
        <w:rPr>
          <w:rFonts w:ascii="Times New Roman" w:hAnsi="Times New Roman" w:cs="Times New Roman" w:eastAsia="Times New Roman" w:hint="default"/>
          <w:spacing w:val="-2"/>
        </w:rPr>
        <w:t>4.80%</w:t>
      </w:r>
      <w:r>
        <w:rPr>
          <w:spacing w:val="-2"/>
        </w:rPr>
        <w:t>；焦梅荣</w:t>
      </w:r>
      <w:r>
        <w:rPr>
          <w:rFonts w:ascii="Times New Roman" w:hAnsi="Times New Roman" w:cs="Times New Roman" w:eastAsia="Times New Roman" w:hint="default"/>
          <w:spacing w:val="-2"/>
        </w:rPr>
        <w:t>235.20</w:t>
      </w:r>
      <w:r>
        <w:rPr>
          <w:spacing w:val="-2"/>
        </w:rPr>
        <w:t>万股，占总股本</w:t>
      </w:r>
      <w:r>
        <w:rPr>
          <w:spacing w:val="-53"/>
        </w:rPr>
        <w:t> </w:t>
      </w:r>
      <w:r>
        <w:rPr>
          <w:spacing w:val="-53"/>
        </w:rPr>
      </w:r>
      <w:r>
        <w:rPr>
          <w:spacing w:val="-4"/>
        </w:rPr>
        <w:t>的</w:t>
      </w:r>
      <w:r>
        <w:rPr>
          <w:rFonts w:ascii="Times New Roman" w:hAnsi="Times New Roman" w:cs="Times New Roman" w:eastAsia="Times New Roman" w:hint="default"/>
          <w:spacing w:val="-4"/>
        </w:rPr>
        <w:t>4.20%</w:t>
      </w:r>
      <w:r>
        <w:rPr>
          <w:spacing w:val="-4"/>
        </w:rPr>
        <w:t>；陈国强</w:t>
      </w:r>
      <w:r>
        <w:rPr>
          <w:rFonts w:ascii="Times New Roman" w:hAnsi="Times New Roman" w:cs="Times New Roman" w:eastAsia="Times New Roman" w:hint="default"/>
          <w:spacing w:val="-4"/>
        </w:rPr>
        <w:t>100.80</w:t>
      </w:r>
      <w:r>
        <w:rPr>
          <w:spacing w:val="-4"/>
        </w:rPr>
        <w:t>万股，占总股本的</w:t>
      </w:r>
      <w:r>
        <w:rPr>
          <w:rFonts w:ascii="Times New Roman" w:hAnsi="Times New Roman" w:cs="Times New Roman" w:eastAsia="Times New Roman" w:hint="default"/>
          <w:spacing w:val="-4"/>
        </w:rPr>
        <w:t>1.80%</w:t>
      </w:r>
      <w:r>
        <w:rPr>
          <w:spacing w:val="-4"/>
        </w:rPr>
        <w:t>；李殿坤</w:t>
      </w:r>
      <w:r>
        <w:rPr>
          <w:rFonts w:ascii="Times New Roman" w:hAnsi="Times New Roman" w:cs="Times New Roman" w:eastAsia="Times New Roman" w:hint="default"/>
          <w:spacing w:val="-4"/>
        </w:rPr>
        <w:t>67.20</w:t>
      </w:r>
      <w:r>
        <w:rPr>
          <w:spacing w:val="-4"/>
        </w:rPr>
        <w:t>万股</w:t>
      </w:r>
      <w:r>
        <w:rPr>
          <w:rFonts w:ascii="Times New Roman" w:hAnsi="Times New Roman" w:cs="Times New Roman" w:eastAsia="Times New Roman" w:hint="default"/>
          <w:spacing w:val="-4"/>
        </w:rPr>
        <w:t>,</w:t>
      </w:r>
      <w:r>
        <w:rPr>
          <w:spacing w:val="-4"/>
        </w:rPr>
        <w:t>，占总股本的</w:t>
      </w:r>
      <w:r>
        <w:rPr>
          <w:rFonts w:ascii="Times New Roman" w:hAnsi="Times New Roman" w:cs="Times New Roman" w:eastAsia="Times New Roman" w:hint="default"/>
          <w:spacing w:val="-4"/>
        </w:rPr>
        <w:t>1.2%</w:t>
      </w:r>
      <w:r>
        <w:rPr>
          <w:spacing w:val="-4"/>
        </w:rPr>
        <w:t>；社会公众股</w:t>
      </w:r>
      <w:r>
        <w:rPr>
          <w:rFonts w:ascii="Times New Roman" w:hAnsi="Times New Roman" w:cs="Times New Roman" w:eastAsia="Times New Roman" w:hint="default"/>
          <w:spacing w:val="-4"/>
        </w:rPr>
        <w:t>1,400.00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万股，占总股本的</w:t>
      </w:r>
      <w:r>
        <w:rPr>
          <w:rFonts w:ascii="Times New Roman" w:hAnsi="Times New Roman" w:cs="Times New Roman" w:eastAsia="Times New Roman" w:hint="default"/>
        </w:rPr>
        <w:t>25.00%</w:t>
      </w:r>
      <w:r>
        <w:rPr/>
        <w:t>。</w:t>
      </w:r>
    </w:p>
    <w:p>
      <w:pPr>
        <w:pStyle w:val="BodyText"/>
        <w:spacing w:line="256" w:lineRule="auto" w:before="5"/>
        <w:ind w:right="1131" w:firstLine="48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月，根据公司股东会决议和修改后章程的规定，由资本公积转增股本人民币</w:t>
      </w:r>
      <w:r>
        <w:rPr>
          <w:rFonts w:ascii="Times New Roman" w:hAnsi="Times New Roman" w:cs="Times New Roman" w:eastAsia="Times New Roman" w:hint="default"/>
          <w:spacing w:val="-2"/>
        </w:rPr>
        <w:t>5,600.00</w:t>
      </w:r>
      <w:r>
        <w:rPr>
          <w:spacing w:val="-2"/>
        </w:rPr>
        <w:t>万元，变</w:t>
      </w:r>
      <w:r>
        <w:rPr/>
        <w:t> 更后的公司注册资本为人民币普通股</w:t>
      </w:r>
      <w:r>
        <w:rPr>
          <w:rFonts w:ascii="Times New Roman" w:hAnsi="Times New Roman" w:cs="Times New Roman" w:eastAsia="Times New Roman" w:hint="default"/>
        </w:rPr>
        <w:t>11,200.00</w:t>
      </w:r>
      <w:r>
        <w:rPr/>
        <w:t>万元，公司于</w:t>
      </w:r>
      <w:r>
        <w:rPr>
          <w:rFonts w:ascii="Times New Roman" w:hAnsi="Times New Roman" w:cs="Times New Roman" w:eastAsia="Times New Roman" w:hint="default"/>
        </w:rPr>
        <w:t>2008</w:t>
      </w:r>
      <w:r>
        <w:rPr>
          <w:rFonts w:ascii="Times New Roman" w:hAnsi="Times New Roman" w:cs="Times New Roman" w:eastAsia="Times New Roman" w:hint="default"/>
          <w:spacing w:val="28"/>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日完成了工商变更登记。</w:t>
      </w:r>
    </w:p>
    <w:p>
      <w:pPr>
        <w:pStyle w:val="BodyText"/>
        <w:spacing w:line="256" w:lineRule="auto" w:before="5"/>
        <w:ind w:right="1132" w:firstLine="48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月，根据公司股东会决议和修改后章程的规定，由资本公积转增股本人民币</w:t>
      </w:r>
      <w:r>
        <w:rPr>
          <w:rFonts w:ascii="Times New Roman" w:hAnsi="Times New Roman" w:cs="Times New Roman" w:eastAsia="Times New Roman" w:hint="default"/>
        </w:rPr>
        <w:t>11,200.00</w:t>
      </w:r>
      <w:r>
        <w:rPr/>
        <w:t>万元，</w:t>
      </w:r>
      <w:r>
        <w:rPr>
          <w:spacing w:val="1"/>
        </w:rPr>
        <w:t> </w:t>
      </w:r>
      <w:r>
        <w:rPr/>
        <w:t>变更后的公司注册资本为人民币普通股</w:t>
      </w:r>
      <w:r>
        <w:rPr>
          <w:rFonts w:ascii="Times New Roman" w:hAnsi="Times New Roman" w:cs="Times New Roman" w:eastAsia="Times New Roman" w:hint="default"/>
        </w:rPr>
        <w:t>22,400.00</w:t>
      </w:r>
      <w:r>
        <w:rPr/>
        <w:t>万元，公司于</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日完成了工商变更登记。</w:t>
      </w:r>
    </w:p>
    <w:p>
      <w:pPr>
        <w:pStyle w:val="BodyText"/>
        <w:spacing w:line="256" w:lineRule="auto" w:before="5"/>
        <w:ind w:right="1131" w:firstLine="48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月，根据公司股东会决议和修改后章程的规定，由资本公积转增股本人民币</w:t>
      </w:r>
      <w:r>
        <w:rPr>
          <w:rFonts w:ascii="Times New Roman" w:hAnsi="Times New Roman" w:cs="Times New Roman" w:eastAsia="Times New Roman" w:hint="default"/>
          <w:spacing w:val="-2"/>
        </w:rPr>
        <w:t>8,512.00</w:t>
      </w:r>
      <w:r>
        <w:rPr>
          <w:spacing w:val="-2"/>
        </w:rPr>
        <w:t>万元，变</w:t>
      </w:r>
      <w:r>
        <w:rPr/>
        <w:t> 更后的公司注册资本为人民币普通股</w:t>
      </w:r>
      <w:r>
        <w:rPr>
          <w:rFonts w:ascii="Times New Roman" w:hAnsi="Times New Roman" w:cs="Times New Roman" w:eastAsia="Times New Roman" w:hint="default"/>
        </w:rPr>
        <w:t>30,912.00</w:t>
      </w:r>
      <w:r>
        <w:rPr/>
        <w:t>万元，公司于</w:t>
      </w:r>
      <w:r>
        <w:rPr>
          <w:rFonts w:ascii="Times New Roman" w:hAnsi="Times New Roman" w:cs="Times New Roman" w:eastAsia="Times New Roman" w:hint="default"/>
        </w:rPr>
        <w:t>2011</w:t>
      </w:r>
      <w:r>
        <w:rPr>
          <w:rFonts w:ascii="Times New Roman" w:hAnsi="Times New Roman" w:cs="Times New Roman" w:eastAsia="Times New Roman" w:hint="default"/>
          <w:spacing w:val="29"/>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日完成了工商变更登记。</w:t>
      </w:r>
    </w:p>
    <w:p>
      <w:pPr>
        <w:pStyle w:val="BodyText"/>
        <w:spacing w:line="240" w:lineRule="auto" w:before="5"/>
        <w:ind w:left="63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月，根据公司股东会决议，公司向淘宝（中国）软件有限公司非公开发行人民币普通股共计</w:t>
      </w:r>
    </w:p>
    <w:p>
      <w:pPr>
        <w:pStyle w:val="BodyText"/>
        <w:spacing w:line="256" w:lineRule="auto" w:before="21"/>
        <w:ind w:right="1126"/>
        <w:jc w:val="both"/>
      </w:pPr>
      <w:r>
        <w:rPr>
          <w:rFonts w:ascii="Times New Roman" w:hAnsi="Times New Roman" w:cs="Times New Roman" w:eastAsia="Times New Roman" w:hint="default"/>
          <w:spacing w:val="-2"/>
        </w:rPr>
        <w:t>46,476,251</w:t>
      </w:r>
      <w:r>
        <w:rPr>
          <w:spacing w:val="-2"/>
        </w:rPr>
        <w:t>股，实际募集资金净额</w:t>
      </w:r>
      <w:r>
        <w:rPr>
          <w:rFonts w:ascii="Times New Roman" w:hAnsi="Times New Roman" w:cs="Times New Roman" w:eastAsia="Times New Roman" w:hint="default"/>
          <w:spacing w:val="-2"/>
        </w:rPr>
        <w:t>2,372,172,426.15</w:t>
      </w:r>
      <w:r>
        <w:rPr>
          <w:spacing w:val="-2"/>
        </w:rPr>
        <w:t>元，其中</w:t>
      </w:r>
      <w:r>
        <w:rPr>
          <w:rFonts w:ascii="Times New Roman" w:hAnsi="Times New Roman" w:cs="Times New Roman" w:eastAsia="Times New Roman" w:hint="default"/>
          <w:spacing w:val="-2"/>
        </w:rPr>
        <w:t>46,476,251.00</w:t>
      </w:r>
      <w:r>
        <w:rPr>
          <w:spacing w:val="-2"/>
        </w:rPr>
        <w:t>元计入实收资本，剩余部分计入资</w:t>
      </w:r>
      <w:r>
        <w:rPr>
          <w:spacing w:val="-52"/>
        </w:rPr>
        <w:t> </w:t>
      </w:r>
      <w:r>
        <w:rPr>
          <w:spacing w:val="-52"/>
        </w:rPr>
      </w:r>
      <w:r>
        <w:rPr/>
        <w:t>本公积，变更后的公司注册资本为人民币普通股</w:t>
      </w:r>
      <w:r>
        <w:rPr>
          <w:rFonts w:ascii="Times New Roman" w:hAnsi="Times New Roman" w:cs="Times New Roman" w:eastAsia="Times New Roman" w:hint="default"/>
        </w:rPr>
        <w:t>355,596,251.00</w:t>
      </w:r>
      <w:r>
        <w:rPr/>
        <w:t>元，本次发行新增股份已于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w:t>
      </w:r>
      <w:r>
        <w:rPr>
          <w:spacing w:val="-78"/>
        </w:rPr>
        <w:t> </w:t>
      </w:r>
      <w:r>
        <w:rPr>
          <w:spacing w:val="3"/>
        </w:rPr>
        <w:t>在中国证券登记结算有限责任公司深圳分公司办理完毕登记托管相关事宜，并于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18</w:t>
      </w:r>
      <w:r>
        <w:rPr>
          <w:spacing w:val="3"/>
        </w:rPr>
        <w:t>日上市交</w:t>
      </w:r>
      <w:r>
        <w:rPr>
          <w:spacing w:val="-84"/>
        </w:rPr>
        <w:t> </w:t>
      </w:r>
      <w:r>
        <w:rPr/>
        <w:t>易，截至报告日工商变更尚在办理中。</w:t>
      </w:r>
    </w:p>
    <w:p>
      <w:pPr>
        <w:spacing w:line="240" w:lineRule="auto" w:before="7"/>
        <w:rPr>
          <w:rFonts w:ascii="宋体" w:hAnsi="宋体" w:cs="宋体" w:eastAsia="宋体" w:hint="default"/>
          <w:sz w:val="25"/>
          <w:szCs w:val="25"/>
        </w:rPr>
      </w:pPr>
    </w:p>
    <w:p>
      <w:pPr>
        <w:pStyle w:val="BodyText"/>
        <w:spacing w:line="256" w:lineRule="auto" w:before="0"/>
        <w:ind w:left="574" w:right="1116" w:firstLine="60"/>
        <w:jc w:val="left"/>
      </w:pPr>
      <w:r>
        <w:rPr>
          <w:rFonts w:ascii="Times New Roman" w:hAnsi="Times New Roman" w:cs="Times New Roman" w:eastAsia="Times New Roman" w:hint="default"/>
        </w:rPr>
        <w:t>4</w:t>
      </w:r>
      <w:r>
        <w:rPr/>
        <w:t>、报告的批准报出者和财务报告批准报出日 本财务报表业经本公司董事会于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日决议批准报出。 </w:t>
      </w:r>
      <w:r>
        <w:rPr>
          <w:rFonts w:ascii="Times New Roman" w:hAnsi="Times New Roman" w:cs="Times New Roman" w:eastAsia="Times New Roman" w:hint="default"/>
        </w:rPr>
        <w:t>5</w:t>
      </w:r>
      <w:r>
        <w:rPr/>
        <w:t>、本年度合并报表范围及其变化情况 本公司</w:t>
      </w:r>
      <w:r>
        <w:rPr>
          <w:rFonts w:ascii="Times New Roman" w:hAnsi="Times New Roman" w:cs="Times New Roman" w:eastAsia="Times New Roman" w:hint="default"/>
        </w:rPr>
        <w:t>2015</w:t>
      </w:r>
      <w:r>
        <w:rPr/>
        <w:t>年度纳入合并范围的子公司共</w:t>
      </w:r>
      <w:r>
        <w:rPr>
          <w:rFonts w:ascii="Times New Roman" w:hAnsi="Times New Roman" w:cs="Times New Roman" w:eastAsia="Times New Roman" w:hint="default"/>
        </w:rPr>
        <w:t>33</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w:t>
      </w:r>
    </w:p>
    <w:p>
      <w:pPr>
        <w:pStyle w:val="BodyText"/>
        <w:spacing w:line="240" w:lineRule="auto" w:before="5"/>
        <w:ind w:right="0"/>
        <w:jc w:val="both"/>
      </w:pPr>
      <w:r>
        <w:rPr/>
        <w:t>合并范围比上年度增加</w:t>
      </w:r>
      <w:r>
        <w:rPr>
          <w:rFonts w:ascii="Times New Roman" w:hAnsi="Times New Roman" w:cs="Times New Roman" w:eastAsia="Times New Roman" w:hint="default"/>
        </w:rPr>
        <w:t>6</w:t>
      </w:r>
      <w:r>
        <w:rPr/>
        <w:t>户，减少</w:t>
      </w:r>
      <w:r>
        <w:rPr>
          <w:rFonts w:ascii="Times New Roman" w:hAnsi="Times New Roman" w:cs="Times New Roman" w:eastAsia="Times New Roman" w:hint="default"/>
        </w:rPr>
        <w:t>1</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2"/>
          <w:szCs w:val="22"/>
        </w:rPr>
      </w:pPr>
    </w:p>
    <w:p>
      <w:pPr>
        <w:pStyle w:val="Heading2"/>
        <w:spacing w:line="240" w:lineRule="auto"/>
        <w:ind w:left="154" w:right="0"/>
        <w:jc w:val="both"/>
        <w:rPr>
          <w:b w:val="0"/>
          <w:bCs w:val="0"/>
        </w:rPr>
      </w:pPr>
      <w:bookmarkStart w:name="四、财务报表的编制基础" w:id="159"/>
      <w:bookmarkEnd w:id="15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60"/>
      <w:bookmarkEnd w:id="16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61" w:lineRule="auto" w:before="0"/>
        <w:ind w:left="154" w:right="1126" w:firstLine="480"/>
        <w:jc w:val="both"/>
      </w:pPr>
      <w:r>
        <w:rPr>
          <w:spacing w:val="-2"/>
        </w:rPr>
        <w:t>本公司财务报表以持续经营假设为基础，根据实际发生的交易和事项，按照财政部发布的《企业会计</w:t>
      </w:r>
      <w:r>
        <w:rPr/>
        <w:t> 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w:t>
      </w:r>
      <w:r>
        <w:rPr>
          <w:spacing w:val="-34"/>
        </w:rPr>
        <w:t> </w:t>
      </w:r>
      <w:r>
        <w:rPr>
          <w:spacing w:val="-34"/>
        </w:rPr>
      </w:r>
      <w:r>
        <w:rPr/>
        <w:t>订的</w:t>
      </w:r>
      <w:r>
        <w:rPr>
          <w:rFonts w:ascii="Times New Roman" w:hAnsi="Times New Roman" w:cs="Times New Roman" w:eastAsia="Times New Roman" w:hint="default"/>
        </w:rPr>
        <w:t>41</w:t>
      </w:r>
      <w:r>
        <w:rPr/>
        <w:t>项具体会计准则、企业会计准则应用指南、企业会计准则解释及其他相关规定（以下合称</w:t>
      </w:r>
      <w:r>
        <w:rPr>
          <w:rFonts w:ascii="Times New Roman" w:hAnsi="Times New Roman" w:cs="Times New Roman" w:eastAsia="Times New Roman" w:hint="default"/>
        </w:rPr>
        <w:t>“</w:t>
      </w:r>
      <w:r>
        <w:rPr/>
        <w:t>企业会</w:t>
      </w:r>
      <w:r>
        <w:rPr>
          <w:spacing w:val="-12"/>
        </w:rPr>
        <w:t> </w:t>
      </w:r>
      <w:r>
        <w:rPr/>
        <w:t>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w:t>
      </w:r>
      <w:r>
        <w:rPr>
          <w:spacing w:val="-17"/>
        </w:rPr>
        <w:t> </w:t>
      </w:r>
      <w:r>
        <w:rPr/>
        <w:t>的一般规定》（</w:t>
      </w:r>
      <w:r>
        <w:rPr>
          <w:rFonts w:ascii="Times New Roman" w:hAnsi="Times New Roman" w:cs="Times New Roman" w:eastAsia="Times New Roman" w:hint="default"/>
        </w:rPr>
        <w:t>2014</w:t>
      </w:r>
      <w:r>
        <w:rPr/>
        <w:t>年修订）的披露规定编制。</w:t>
      </w:r>
    </w:p>
    <w:p>
      <w:pPr>
        <w:pStyle w:val="BodyText"/>
        <w:spacing w:line="273" w:lineRule="auto" w:before="0"/>
        <w:ind w:left="154" w:right="1132" w:firstLine="480"/>
        <w:jc w:val="both"/>
      </w:pPr>
      <w:r>
        <w:rPr>
          <w:spacing w:val="-2"/>
        </w:rPr>
        <w:t>根据企业会计准则的相关规定，本公司会计核算以权责发生制为基础。除某些金融工具外，本财务报</w:t>
      </w:r>
      <w:r>
        <w:rPr/>
        <w:t> 表均以历史成本为计量基础。资产如果发生减值，则按照相关规定计提相应的减值准备。</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bookmarkStart w:name="2、持续经营" w:id="161"/>
      <w:bookmarkEnd w:id="16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490" w:right="0"/>
        <w:jc w:val="left"/>
      </w:pPr>
      <w:r>
        <w:rPr/>
        <w:t>公司不存在可能导致对公司自报告期末起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个月内的持续经营能力产生重大疑虑的事项或情况。</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五、重要会计政策及会计估计" w:id="162"/>
      <w:bookmarkEnd w:id="162"/>
      <w:r>
        <w:rPr>
          <w:b w:val="0"/>
          <w:bCs w:val="0"/>
        </w:rPr>
      </w:r>
      <w:r>
        <w:rPr/>
        <w:t>五、重要会计政策及会计估计</w:t>
      </w:r>
      <w:r>
        <w:rPr>
          <w:b w:val="0"/>
          <w:bCs w:val="0"/>
        </w:rPr>
      </w:r>
    </w:p>
    <w:p>
      <w:pPr>
        <w:spacing w:line="240" w:lineRule="auto" w:before="11"/>
        <w:rPr>
          <w:rFonts w:ascii="宋体" w:hAnsi="宋体" w:cs="宋体" w:eastAsia="宋体" w:hint="default"/>
          <w:b/>
          <w:bCs/>
          <w:sz w:val="25"/>
          <w:szCs w:val="25"/>
        </w:rPr>
      </w:pPr>
    </w:p>
    <w:p>
      <w:pPr>
        <w:pStyle w:val="BodyText"/>
        <w:spacing w:line="307" w:lineRule="auto" w:before="0"/>
        <w:ind w:left="634" w:right="1120" w:hanging="480"/>
        <w:jc w:val="left"/>
      </w:pPr>
      <w:r>
        <w:rPr/>
        <w:t>具体会计政策和会计估计提示： </w:t>
      </w:r>
      <w:r>
        <w:rPr>
          <w:spacing w:val="-2"/>
        </w:rPr>
        <w:t>根据《中华人民共和国企业所得税法》（以下简称《企业所得税法》）及其实施条例、《财政部国家</w:t>
      </w:r>
    </w:p>
    <w:p>
      <w:pPr>
        <w:pStyle w:val="BodyText"/>
        <w:spacing w:line="269" w:lineRule="exact" w:before="0"/>
        <w:ind w:right="0"/>
        <w:jc w:val="left"/>
      </w:pPr>
      <w:r>
        <w:rPr/>
        <w:t>税务总局关于完善固定资产加速折旧企业所得税政策的通知》（财税〔</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75</w:t>
      </w:r>
      <w:r>
        <w:rPr/>
        <w:t>号）及国家税务总局《关</w:t>
      </w:r>
    </w:p>
    <w:p>
      <w:pPr>
        <w:pStyle w:val="BodyText"/>
        <w:spacing w:line="266" w:lineRule="auto" w:before="21"/>
        <w:ind w:right="1131"/>
        <w:jc w:val="both"/>
      </w:pPr>
      <w:r>
        <w:rPr>
          <w:spacing w:val="-1"/>
        </w:rPr>
        <w:t>于固定资产加速折旧税收政策有关问题的公告》（国家税务总局公告</w:t>
      </w:r>
      <w:r>
        <w:rPr>
          <w:rFonts w:ascii="Times New Roman" w:hAnsi="Times New Roman" w:cs="Times New Roman" w:eastAsia="Times New Roman" w:hint="default"/>
          <w:spacing w:val="-1"/>
        </w:rPr>
        <w:t>2014</w:t>
      </w:r>
      <w:r>
        <w:rPr>
          <w:spacing w:val="-1"/>
        </w:rPr>
        <w:t>年第</w:t>
      </w:r>
      <w:r>
        <w:rPr>
          <w:rFonts w:ascii="Times New Roman" w:hAnsi="Times New Roman" w:cs="Times New Roman" w:eastAsia="Times New Roman" w:hint="default"/>
          <w:spacing w:val="-1"/>
        </w:rPr>
        <w:t>64</w:t>
      </w:r>
      <w:r>
        <w:rPr>
          <w:spacing w:val="-1"/>
        </w:rPr>
        <w:t>号）的相关规定，公司结</w:t>
      </w:r>
      <w:r>
        <w:rPr>
          <w:spacing w:val="-83"/>
        </w:rPr>
        <w:t> </w:t>
      </w:r>
      <w:r>
        <w:rPr>
          <w:spacing w:val="-83"/>
        </w:rPr>
      </w:r>
      <w:r>
        <w:rPr>
          <w:spacing w:val="-1"/>
        </w:rPr>
        <w:t>合自身情况，对公司目前的固定资产折旧方法进行会计估计变更，采用加速折旧的方法对固定资产计提折</w:t>
      </w:r>
      <w:r>
        <w:rPr>
          <w:spacing w:val="-81"/>
        </w:rPr>
        <w:t> </w:t>
      </w:r>
      <w:r>
        <w:rPr>
          <w:spacing w:val="-81"/>
        </w:rPr>
      </w:r>
      <w:r>
        <w:rPr>
          <w:spacing w:val="-1"/>
        </w:rPr>
        <w:t>旧；同时公司调整了计算机应用及服务业务应收款项采用账龄分析法计提坏账准备的会计估计变更，更加</w:t>
      </w:r>
      <w:r>
        <w:rPr>
          <w:spacing w:val="-81"/>
        </w:rPr>
        <w:t> </w:t>
      </w:r>
      <w:r>
        <w:rPr>
          <w:spacing w:val="-81"/>
        </w:rPr>
      </w:r>
      <w:r>
        <w:rPr/>
        <w:t>客观公正的反映公司财务状况和经营成果。</w:t>
      </w:r>
    </w:p>
    <w:p>
      <w:pPr>
        <w:spacing w:line="612" w:lineRule="exact" w:before="71"/>
        <w:ind w:left="634" w:right="1128" w:hanging="480"/>
        <w:jc w:val="left"/>
        <w:rPr>
          <w:rFonts w:ascii="宋体" w:hAnsi="宋体" w:cs="宋体" w:eastAsia="宋体" w:hint="default"/>
          <w:sz w:val="21"/>
          <w:szCs w:val="21"/>
        </w:rPr>
      </w:pPr>
      <w:bookmarkStart w:name="1、遵循企业会计准则的声明" w:id="163"/>
      <w:bookmarkEnd w:id="16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本公司编制的财务报表符合企业会计准则的要求，真实、完整地反映了本公司</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日的财务</w:t>
      </w:r>
    </w:p>
    <w:p>
      <w:pPr>
        <w:pStyle w:val="BodyText"/>
        <w:spacing w:line="235" w:lineRule="exact" w:before="0"/>
        <w:ind w:right="0"/>
        <w:jc w:val="left"/>
      </w:pPr>
      <w:r>
        <w:rPr/>
        <w:t>状况及</w:t>
      </w:r>
      <w:r>
        <w:rPr>
          <w:rFonts w:ascii="Times New Roman" w:hAnsi="Times New Roman" w:cs="Times New Roman" w:eastAsia="Times New Roman" w:hint="default"/>
        </w:rPr>
        <w:t>2015</w:t>
      </w:r>
      <w:r>
        <w:rPr/>
        <w:t>年度的经营成果和现金流量等有关信息。此外，本公司的财务报表在所有重大方面符合中国证</w:t>
      </w:r>
    </w:p>
    <w:p>
      <w:pPr>
        <w:pStyle w:val="BodyText"/>
        <w:spacing w:line="256" w:lineRule="auto" w:before="21"/>
        <w:ind w:right="1093"/>
        <w:jc w:val="left"/>
      </w:pPr>
      <w:r>
        <w:rPr/>
        <w:t>券监督管理委员会</w:t>
      </w:r>
      <w:r>
        <w:rPr>
          <w:rFonts w:ascii="Times New Roman" w:hAnsi="Times New Roman" w:cs="Times New Roman" w:eastAsia="Times New Roman" w:hint="default"/>
        </w:rPr>
        <w:t>2014</w:t>
      </w:r>
      <w:r>
        <w:rPr/>
        <w:t>年修订的《公开发行证券的公司信息披露编报规则第</w:t>
      </w:r>
      <w:r>
        <w:rPr>
          <w:rFonts w:ascii="Times New Roman" w:hAnsi="Times New Roman" w:cs="Times New Roman" w:eastAsia="Times New Roman" w:hint="default"/>
        </w:rPr>
        <w:t>15</w:t>
      </w:r>
      <w:r>
        <w:rPr/>
        <w:t>号－财务报告的一般规定》 有关财务报表及其附注的披露要求。</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153" w:right="0"/>
        <w:jc w:val="left"/>
        <w:rPr>
          <w:b w:val="0"/>
          <w:bCs w:val="0"/>
        </w:rPr>
      </w:pPr>
      <w:bookmarkStart w:name="2、会计期间" w:id="164"/>
      <w:bookmarkEnd w:id="16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1" w:firstLine="480"/>
        <w:jc w:val="both"/>
      </w:pPr>
      <w:r>
        <w:rPr>
          <w:spacing w:val="-2"/>
        </w:rPr>
        <w:t>本公司的会计期间分为年度和中期，会计中期指短于一个完整的会计年度的报告期间。本公司会计年</w:t>
      </w:r>
      <w:r>
        <w:rPr/>
        <w:t> 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3、营业周期" w:id="165"/>
      <w:bookmarkEnd w:id="16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29" w:firstLine="480"/>
        <w:jc w:val="both"/>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w:t>
      </w:r>
      <w:r>
        <w:rPr/>
        <w:t> 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153" w:right="0"/>
        <w:jc w:val="left"/>
        <w:rPr>
          <w:b w:val="0"/>
          <w:bCs w:val="0"/>
        </w:rPr>
      </w:pPr>
      <w:bookmarkStart w:name="4、记账本位币" w:id="166"/>
      <w:bookmarkEnd w:id="16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10" w:firstLine="480"/>
        <w:jc w:val="both"/>
      </w:pPr>
      <w:r>
        <w:rPr>
          <w:spacing w:val="-2"/>
        </w:rPr>
        <w:t>人民币为本公司及境内子公司经营所处的主要经济环境中的货币，本公司及境内子公司以人民币为记</w:t>
      </w:r>
      <w:r>
        <w:rPr/>
        <w:t> 账本位币。本公司之境外子公司根据其经营所处的主要经济环境中的货币确定当地货币为其记账本位币。 本公司编制本财务报表时所采用的货币为人民币。</w:t>
      </w:r>
    </w:p>
    <w:p>
      <w:pPr>
        <w:spacing w:line="240" w:lineRule="auto" w:before="8"/>
        <w:rPr>
          <w:rFonts w:ascii="宋体" w:hAnsi="宋体" w:cs="宋体" w:eastAsia="宋体" w:hint="default"/>
          <w:sz w:val="24"/>
          <w:szCs w:val="24"/>
        </w:rPr>
      </w:pPr>
    </w:p>
    <w:p>
      <w:pPr>
        <w:spacing w:line="590" w:lineRule="atLeast" w:before="0"/>
        <w:ind w:left="636" w:right="1118" w:hanging="483"/>
        <w:jc w:val="left"/>
        <w:rPr>
          <w:rFonts w:ascii="宋体" w:hAnsi="宋体" w:cs="宋体" w:eastAsia="宋体" w:hint="default"/>
          <w:sz w:val="21"/>
          <w:szCs w:val="21"/>
        </w:rPr>
      </w:pPr>
      <w:bookmarkStart w:name="5、同一控制下和非同一控制下企业合并的会计处理方法" w:id="167"/>
      <w:bookmarkEnd w:id="16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企业合并，是指将两个或两个以上单独的企业合并形成一个报告主体的交易或事项。企业合并分为同</w:t>
      </w:r>
    </w:p>
    <w:p>
      <w:pPr>
        <w:pStyle w:val="BodyText"/>
        <w:spacing w:line="240" w:lineRule="auto" w:before="37"/>
        <w:ind w:left="156" w:right="0"/>
        <w:jc w:val="left"/>
      </w:pPr>
      <w:r>
        <w:rPr/>
        <w:t>一控制下企业合并和非同一控制下企业合并。</w:t>
      </w:r>
    </w:p>
    <w:p>
      <w:pPr>
        <w:pStyle w:val="BodyText"/>
        <w:spacing w:line="256" w:lineRule="auto" w:before="37"/>
        <w:ind w:left="634" w:right="112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w:t>
      </w:r>
    </w:p>
    <w:p>
      <w:pPr>
        <w:pStyle w:val="BodyText"/>
        <w:spacing w:line="273" w:lineRule="auto" w:before="22"/>
        <w:ind w:left="154" w:right="0"/>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2" w:firstLine="480"/>
        <w:jc w:val="both"/>
      </w:pPr>
      <w:r>
        <w:rPr>
          <w:spacing w:val="-2"/>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pStyle w:val="BodyText"/>
        <w:spacing w:line="240" w:lineRule="auto"/>
        <w:ind w:left="633" w:right="0"/>
        <w:jc w:val="left"/>
      </w:pPr>
      <w:r>
        <w:rPr/>
        <w:t>合并方为进行企业合并发生的各项直接费用，于发生时计入当期损益。</w:t>
      </w:r>
    </w:p>
    <w:p>
      <w:pPr>
        <w:pStyle w:val="BodyText"/>
        <w:spacing w:line="256" w:lineRule="auto" w:before="37"/>
        <w:ind w:left="633" w:right="1121"/>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w:t>
      </w:r>
    </w:p>
    <w:p>
      <w:pPr>
        <w:pStyle w:val="BodyText"/>
        <w:spacing w:line="273" w:lineRule="auto" w:before="22"/>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271" w:lineRule="auto"/>
        <w:ind w:right="1024" w:firstLine="480"/>
        <w:jc w:val="left"/>
      </w:pPr>
      <w:r>
        <w:rPr>
          <w:spacing w:val="2"/>
        </w:rPr>
        <w:t>对于非同一控制下的企业合并，合并成本包含购买日购买方为取得对被购买方的控制权而付出的资</w:t>
      </w:r>
      <w:r>
        <w:rPr/>
        <w:t>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w:t>
      </w:r>
      <w:r>
        <w:rPr>
          <w:spacing w:val="3"/>
        </w:rPr>
        <w:t>值计入合并成本，购买日后</w:t>
      </w:r>
      <w:r>
        <w:rPr>
          <w:rFonts w:ascii="Times New Roman" w:hAnsi="Times New Roman" w:cs="Times New Roman" w:eastAsia="Times New Roman" w:hint="default"/>
          <w:spacing w:val="3"/>
        </w:rPr>
        <w:t>12</w:t>
      </w:r>
      <w:r>
        <w:rPr>
          <w:spacing w:val="3"/>
        </w:rPr>
        <w:t>个月内出现对购买日已存在情况的新的或进一步证据而需要调整或有对价</w:t>
      </w:r>
      <w:r>
        <w:rPr>
          <w:spacing w:val="-82"/>
        </w:rPr>
        <w:t> </w:t>
      </w:r>
      <w:r>
        <w:rPr>
          <w:spacing w:val="-82"/>
        </w:rPr>
      </w:r>
      <w:r>
        <w:rPr>
          <w:spacing w:val="-3"/>
        </w:rPr>
        <w:t>的，相应调整合并商誉。购买方发生的合并成本及在合并中取得的可辨认净资产按购买日的公允价值计量。</w:t>
      </w:r>
      <w:r>
        <w:rPr>
          <w:spacing w:val="-92"/>
        </w:rPr>
        <w:t> </w:t>
      </w:r>
      <w:r>
        <w:rPr>
          <w:spacing w:val="-92"/>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BodyText"/>
        <w:spacing w:line="268" w:lineRule="auto" w:before="10"/>
        <w:ind w:right="1110" w:firstLine="480"/>
        <w:jc w:val="both"/>
      </w:pPr>
      <w:r>
        <w:rPr>
          <w:spacing w:val="2"/>
        </w:rPr>
        <w:t>购买方取得被购买方的可抵扣暂时性差异，在购买日因不符合递延所得税资产确认条件而未予确认</w:t>
      </w:r>
      <w:r>
        <w:rPr/>
        <w:t> </w:t>
      </w:r>
      <w:r>
        <w:rPr>
          <w:spacing w:val="-1"/>
        </w:rPr>
        <w:t>的，在购买日后</w:t>
      </w:r>
      <w:r>
        <w:rPr>
          <w:rFonts w:ascii="Times New Roman" w:hAnsi="Times New Roman" w:cs="Times New Roman" w:eastAsia="Times New Roman"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90"/>
        </w:rPr>
        <w:t> </w:t>
      </w:r>
      <w:r>
        <w:rPr>
          <w:spacing w:val="-90"/>
        </w:rPr>
      </w:r>
      <w:r>
        <w:rPr/>
        <w:t>誉不足冲减的，差额部分确认为当期损益；除上述情况以外，确认与企业合并相关的递延所得税资产的，</w:t>
      </w:r>
      <w:r>
        <w:rPr/>
        <w:t> 计入当期损益。</w:t>
      </w:r>
    </w:p>
    <w:p>
      <w:pPr>
        <w:pStyle w:val="BodyText"/>
        <w:spacing w:line="256" w:lineRule="auto" w:before="12"/>
        <w:ind w:right="1131" w:firstLine="480"/>
        <w:jc w:val="both"/>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spacing w:val="1"/>
        </w:rPr>
        <w:t> </w:t>
      </w:r>
      <w:r>
        <w:rPr/>
        <w:t>通知》（财会〔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85"/>
        </w:rPr>
        <w:t> </w:t>
      </w:r>
      <w:r>
        <w:rPr/>
        <w:t>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w:t>
      </w:r>
      <w:r>
        <w:rPr>
          <w:spacing w:val="-86"/>
        </w:rPr>
        <w:t> </w:t>
      </w:r>
      <w:r>
        <w:rPr>
          <w:spacing w:val="-86"/>
        </w:rPr>
      </w:r>
      <w:r>
        <w:rPr/>
        <w:t>别财务报表和合并财务报表进行相关会计处理：</w:t>
      </w:r>
    </w:p>
    <w:p>
      <w:pPr>
        <w:spacing w:line="240" w:lineRule="auto" w:before="7"/>
        <w:rPr>
          <w:rFonts w:ascii="宋体" w:hAnsi="宋体" w:cs="宋体" w:eastAsia="宋体" w:hint="default"/>
          <w:sz w:val="25"/>
          <w:szCs w:val="25"/>
        </w:rPr>
      </w:pPr>
    </w:p>
    <w:p>
      <w:pPr>
        <w:pStyle w:val="BodyText"/>
        <w:spacing w:line="273" w:lineRule="auto" w:before="0"/>
        <w:ind w:right="1033" w:firstLine="480"/>
        <w:jc w:val="left"/>
      </w:pPr>
      <w:r>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BodyText"/>
        <w:spacing w:line="273" w:lineRule="auto"/>
        <w:ind w:right="1131" w:firstLine="480"/>
        <w:jc w:val="both"/>
      </w:pPr>
      <w:r>
        <w:rPr>
          <w:spacing w:val="-2"/>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6、合并财务报表的编制方法" w:id="168"/>
      <w:bookmarkEnd w:id="16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34" w:right="112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w:t>
      </w:r>
    </w:p>
    <w:p>
      <w:pPr>
        <w:spacing w:after="0" w:line="256"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1"/>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BodyText"/>
        <w:spacing w:line="240" w:lineRule="auto"/>
        <w:ind w:left="634" w:right="0"/>
        <w:jc w:val="left"/>
      </w:pPr>
      <w:r>
        <w:rPr/>
        <w:t>一旦相关事实和情况的变化导致上述控制定义涉及的相关要素发生了变化，本公司将进行重新评估。</w:t>
      </w:r>
    </w:p>
    <w:p>
      <w:pPr>
        <w:pStyle w:val="BodyText"/>
        <w:spacing w:line="256" w:lineRule="auto" w:before="37"/>
        <w:ind w:left="634" w:right="112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w:t>
      </w:r>
    </w:p>
    <w:p>
      <w:pPr>
        <w:pStyle w:val="BodyText"/>
        <w:spacing w:line="273" w:lineRule="auto" w:before="22"/>
        <w:ind w:left="154"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量表中，且不调整合并财务报表的期初数和对比数。同一控制下企业合并增加的子公司及吸收合并下的被</w:t>
      </w:r>
      <w:r>
        <w:rPr>
          <w:spacing w:val="-81"/>
        </w:rPr>
        <w:t> </w:t>
      </w:r>
      <w:r>
        <w:rPr>
          <w:spacing w:val="-81"/>
        </w:rPr>
      </w:r>
      <w:r>
        <w:rPr>
          <w:spacing w:val="-1"/>
        </w:rPr>
        <w:t>合并方，其自合并当期期初至合并日的经营成果和现金流量已经适当地包括在合并利润表和合并现金流量</w:t>
      </w:r>
      <w:r>
        <w:rPr>
          <w:spacing w:val="-81"/>
        </w:rPr>
        <w:t> </w:t>
      </w:r>
      <w:r>
        <w:rPr>
          <w:spacing w:val="-81"/>
        </w:rPr>
      </w:r>
      <w:r>
        <w:rPr/>
        <w:t>表中，并且同时调整合并财务报表的对比数。</w:t>
      </w:r>
    </w:p>
    <w:p>
      <w:pPr>
        <w:pStyle w:val="BodyText"/>
        <w:spacing w:line="273" w:lineRule="auto"/>
        <w:ind w:left="154" w:right="1131" w:firstLine="480"/>
        <w:jc w:val="both"/>
      </w:pPr>
      <w:r>
        <w:rPr>
          <w:spacing w:val="-2"/>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273" w:lineRule="auto"/>
        <w:ind w:left="633" w:right="0"/>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w:t>
      </w:r>
    </w:p>
    <w:p>
      <w:pPr>
        <w:pStyle w:val="BodyText"/>
        <w:spacing w:line="264" w:lineRule="auto"/>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t>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 该子公司期初股东权益中所享有的份额，仍冲减少数股东权益。</w:t>
      </w:r>
    </w:p>
    <w:p>
      <w:pPr>
        <w:pStyle w:val="BodyText"/>
        <w:spacing w:line="268" w:lineRule="auto" w:before="16"/>
        <w:ind w:right="1024" w:firstLine="480"/>
        <w:jc w:val="left"/>
      </w:pPr>
      <w:r>
        <w:rPr>
          <w:spacing w:val="-2"/>
        </w:rPr>
        <w:t>当因处置部分股权投资或其他原因丧失了对原有子公司的控制权时，对于剩余股权，按照其在丧失控</w:t>
      </w:r>
      <w:r>
        <w:rPr/>
        <w:t>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 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w:t>
      </w:r>
      <w:r>
        <w:rPr>
          <w:w w:val="100"/>
        </w:rPr>
        <w:t> </w:t>
      </w:r>
      <w:r>
        <w:rPr/>
        <w:t>股权投资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268" w:lineRule="auto" w:before="0"/>
        <w:ind w:right="1121" w:firstLine="480"/>
        <w:jc w:val="left"/>
      </w:pPr>
      <w:r>
        <w:rPr>
          <w:spacing w:val="-2"/>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0"/>
        </w:rPr>
        <w:t> </w:t>
      </w:r>
      <w:r>
        <w:rPr>
          <w:spacing w:val="-80"/>
        </w:rPr>
      </w:r>
      <w:r>
        <w:rPr/>
        <w:t>济的。不属于一揽子交易的，对其中的每一项交易视情况分别按照</w:t>
      </w:r>
      <w:r>
        <w:rPr>
          <w:rFonts w:ascii="Times New Roman" w:hAnsi="Times New Roman" w:cs="Times New Roman" w:eastAsia="Times New Roman" w:hint="default"/>
        </w:rPr>
        <w:t>“</w:t>
      </w:r>
      <w:r>
        <w:rPr/>
        <w:t>不丧失控制权的情况下部分处置对子 </w:t>
      </w:r>
      <w:r>
        <w:rPr>
          <w:spacing w:val="-3"/>
        </w:rPr>
        <w:t>公司的长期股权投资</w:t>
      </w:r>
      <w:r>
        <w:rPr>
          <w:rFonts w:ascii="Times New Roman" w:hAnsi="Times New Roman" w:cs="Times New Roman" w:eastAsia="Times New Roman" w:hint="default"/>
          <w:spacing w:val="-3"/>
        </w:rPr>
        <w:t>”</w:t>
      </w:r>
      <w:r>
        <w:rPr>
          <w:spacing w:val="-3"/>
        </w:rPr>
        <w:t>（详见本附注四、</w:t>
      </w:r>
      <w:r>
        <w:rPr>
          <w:rFonts w:ascii="Times New Roman" w:hAnsi="Times New Roman" w:cs="Times New Roman" w:eastAsia="Times New Roman" w:hint="default"/>
          <w:spacing w:val="-3"/>
        </w:rPr>
        <w:t>13</w:t>
      </w:r>
      <w:r>
        <w:rPr>
          <w:spacing w:val="-3"/>
        </w:rPr>
        <w:t>、（</w:t>
      </w:r>
      <w:r>
        <w:rPr>
          <w:rFonts w:ascii="Times New Roman" w:hAnsi="Times New Roman" w:cs="Times New Roman" w:eastAsia="Times New Roman" w:hint="default"/>
          <w:spacing w:val="-3"/>
        </w:rPr>
        <w:t>2</w:t>
      </w:r>
      <w:r>
        <w:rPr>
          <w:spacing w:val="-3"/>
        </w:rPr>
        <w:t>）④）和</w:t>
      </w:r>
      <w:r>
        <w:rPr>
          <w:rFonts w:ascii="Times New Roman" w:hAnsi="Times New Roman" w:cs="Times New Roman" w:eastAsia="Times New Roman" w:hint="default"/>
          <w:spacing w:val="-3"/>
        </w:rPr>
        <w:t>“</w:t>
      </w:r>
      <w:r>
        <w:rPr>
          <w:spacing w:val="-3"/>
        </w:rPr>
        <w:t>因处置部分股权投资或其他原因丧失了对原有子</w:t>
      </w:r>
      <w:r>
        <w:rPr>
          <w:spacing w:val="-67"/>
        </w:rPr>
        <w:t> </w:t>
      </w:r>
      <w:r>
        <w:rPr/>
        <w:t>公司的控制权</w:t>
      </w:r>
      <w:r>
        <w:rPr>
          <w:rFonts w:ascii="Times New Roman" w:hAnsi="Times New Roman" w:cs="Times New Roman" w:eastAsia="Times New Roman" w:hint="default"/>
        </w:rPr>
        <w:t>”</w:t>
      </w:r>
      <w:r>
        <w:rPr/>
        <w:t>（详见前段）适用的原则进行会计处理。处置对子公司股权投资直至丧失控制权的各项交 </w:t>
      </w:r>
      <w:r>
        <w:rPr>
          <w:spacing w:val="-1"/>
        </w:rPr>
        <w:t>易属于一揽子交易的，将各项交易作为一项处置子公司并丧失控制权的交易进行会计处理；但是，在丧失</w:t>
      </w:r>
      <w:r>
        <w:rPr>
          <w:spacing w:val="-83"/>
        </w:rPr>
        <w:t> </w:t>
      </w:r>
      <w:r>
        <w:rPr>
          <w:spacing w:val="-83"/>
        </w:rPr>
      </w:r>
      <w:r>
        <w:rPr>
          <w:spacing w:val="-1"/>
        </w:rPr>
        <w:t>控制权之前每一次处置价款与处置投资对应的享有该子公司净资产份额的差额，在合并财务报表中确认为</w:t>
      </w:r>
      <w:r>
        <w:rPr>
          <w:spacing w:val="-81"/>
        </w:rPr>
        <w:t> </w:t>
      </w:r>
      <w:r>
        <w:rPr>
          <w:spacing w:val="-81"/>
        </w:rPr>
      </w:r>
      <w:r>
        <w:rPr/>
        <w:t>其他综合收益，在丧失控制权时一并转入丧失控制权当期的损益。</w:t>
      </w:r>
    </w:p>
    <w:p>
      <w:pPr>
        <w:spacing w:line="590" w:lineRule="atLeast" w:before="14"/>
        <w:ind w:left="634" w:right="1120" w:hanging="480"/>
        <w:jc w:val="left"/>
        <w:rPr>
          <w:rFonts w:ascii="宋体" w:hAnsi="宋体" w:cs="宋体" w:eastAsia="宋体" w:hint="default"/>
          <w:sz w:val="21"/>
          <w:szCs w:val="21"/>
        </w:rPr>
      </w:pPr>
      <w:bookmarkStart w:name="7、合营安排分类及共同经营会计处理方法" w:id="169"/>
      <w:bookmarkEnd w:id="16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合营安排，是指一项由两个或两个以上的参与方共同控制的安排。本公司根据在合营安排中享有的权</w:t>
      </w:r>
    </w:p>
    <w:p>
      <w:pPr>
        <w:pStyle w:val="BodyText"/>
        <w:spacing w:line="273" w:lineRule="auto" w:before="37"/>
        <w:ind w:left="154" w:right="1131"/>
        <w:jc w:val="both"/>
      </w:pPr>
      <w:r>
        <w:rPr>
          <w:spacing w:val="-1"/>
        </w:rPr>
        <w:t>利和承担的义务，将合营安排分为共同经营和合营企业。共同经营，是指本公司享有该安排相关资产且承</w:t>
      </w:r>
      <w:r>
        <w:rPr>
          <w:spacing w:val="-83"/>
        </w:rPr>
        <w:t> </w:t>
      </w:r>
      <w:r>
        <w:rPr>
          <w:spacing w:val="-83"/>
        </w:rPr>
      </w:r>
      <w:r>
        <w:rPr/>
        <w:t>担该安排相关负债的合营安排。合营企业，是指本公司仅对该安排的净资产享有权利的合营安排。</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40" w:lineRule="auto" w:before="35"/>
        <w:ind w:left="633" w:right="0"/>
        <w:jc w:val="left"/>
        <w:rPr>
          <w:rFonts w:ascii="Times New Roman" w:hAnsi="Times New Roman" w:cs="Times New Roman" w:eastAsia="Times New Roman" w:hint="default"/>
        </w:rPr>
      </w:pPr>
      <w:r>
        <w:rPr/>
        <w:t>本公司对合营企业的投资采用权益法核算，按照本附注五、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w:t>
      </w:r>
      <w:r>
        <w:rPr>
          <w:spacing w:val="-61"/>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p>
    <w:p>
      <w:pPr>
        <w:pStyle w:val="BodyText"/>
        <w:spacing w:line="273" w:lineRule="auto" w:before="21"/>
        <w:ind w:left="633" w:right="1121" w:hanging="480"/>
        <w:jc w:val="left"/>
      </w:pPr>
      <w:r>
        <w:rPr/>
        <w:t>中所述的会计政策处理。 </w:t>
      </w:r>
      <w:r>
        <w:rPr>
          <w:spacing w:val="-2"/>
        </w:rPr>
        <w:t>本公司作为合营方对共同经营，确认本公司单独持有的资产、单独所承担的负债，以及按本公司份额</w:t>
      </w:r>
    </w:p>
    <w:p>
      <w:pPr>
        <w:pStyle w:val="BodyText"/>
        <w:spacing w:line="273" w:lineRule="auto"/>
        <w:ind w:right="1131"/>
        <w:jc w:val="both"/>
      </w:pPr>
      <w:r>
        <w:rPr>
          <w:spacing w:val="-1"/>
        </w:rPr>
        <w:t>确认共同持有的资产和共同承担的负债；确认出售本公司享有的共同经营产出份额所产生的收入；按本公</w:t>
      </w:r>
      <w:r>
        <w:rPr>
          <w:spacing w:val="-81"/>
        </w:rPr>
        <w:t> </w:t>
      </w:r>
      <w:r>
        <w:rPr>
          <w:spacing w:val="-81"/>
        </w:rPr>
      </w:r>
      <w:r>
        <w:rPr>
          <w:spacing w:val="-1"/>
        </w:rPr>
        <w:t>司份额确认共同经营因出售产出所产生的收入；确认本公司单独所发生的费用，以及按本公司份额确认共</w:t>
      </w:r>
      <w:r>
        <w:rPr>
          <w:spacing w:val="-81"/>
        </w:rPr>
        <w:t> </w:t>
      </w:r>
      <w:r>
        <w:rPr>
          <w:spacing w:val="-81"/>
        </w:rPr>
      </w:r>
      <w:r>
        <w:rPr/>
        <w:t>同经营发生的费用。</w:t>
      </w:r>
    </w:p>
    <w:p>
      <w:pPr>
        <w:pStyle w:val="BodyText"/>
        <w:spacing w:line="268" w:lineRule="auto"/>
        <w:ind w:right="1093" w:firstLine="480"/>
        <w:jc w:val="left"/>
      </w:pPr>
      <w:r>
        <w:rPr>
          <w:spacing w:val="-2"/>
        </w:rPr>
        <w:t>当本公司作为合营方向共同经营投出或出售资产（该资产不构成业务，下同）、或者自共同经营购买</w:t>
      </w:r>
      <w:r>
        <w:rPr/>
        <w:t> </w:t>
      </w:r>
      <w:r>
        <w:rPr>
          <w:spacing w:val="-1"/>
        </w:rPr>
        <w:t>资产时，在该等资产出售给第三方之前，本公司仅确认因该交易产生的损益中归属于共同经营其他参与方</w:t>
      </w:r>
      <w:r>
        <w:rPr>
          <w:spacing w:val="-81"/>
        </w:rPr>
        <w:t> </w:t>
      </w:r>
      <w:r>
        <w:rPr>
          <w:spacing w:val="-81"/>
        </w:rPr>
      </w:r>
      <w:r>
        <w:rPr/>
        <w:t>的部分。该等资产发生符合《企业会计准则第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 司向共同经营投出或出售资产的情况，本公司全额确认该损失；对于本公司自共同经营购买资产的情况， 本公司按承担的份额确认该损失。</w:t>
      </w:r>
    </w:p>
    <w:p>
      <w:pPr>
        <w:spacing w:line="590" w:lineRule="atLeast" w:before="14"/>
        <w:ind w:left="633" w:right="1121" w:hanging="480"/>
        <w:jc w:val="left"/>
        <w:rPr>
          <w:rFonts w:ascii="宋体" w:hAnsi="宋体" w:cs="宋体" w:eastAsia="宋体" w:hint="default"/>
          <w:sz w:val="21"/>
          <w:szCs w:val="21"/>
        </w:rPr>
      </w:pPr>
      <w:bookmarkStart w:name="8、现金及现金等价物的确定标准" w:id="170"/>
      <w:bookmarkEnd w:id="17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本公司现金及现金等价物包括库存现金、可以随时用于支付的存款以及本公司持有的期限短（一般为</w:t>
      </w:r>
    </w:p>
    <w:p>
      <w:pPr>
        <w:pStyle w:val="BodyText"/>
        <w:spacing w:line="240" w:lineRule="auto" w:before="37"/>
        <w:ind w:right="0"/>
        <w:jc w:val="left"/>
      </w:pPr>
      <w:r>
        <w:rPr/>
        <w:t>从购买日起，三个月内到期）、流动性强、易于转换为已知金额的现金、价值变动风险很小的投资。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left="153" w:right="0"/>
        <w:jc w:val="left"/>
        <w:rPr>
          <w:b w:val="0"/>
          <w:bCs w:val="0"/>
        </w:rPr>
      </w:pPr>
      <w:bookmarkStart w:name="9、外币业务和外币报表折算" w:id="171"/>
      <w:bookmarkEnd w:id="17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33" w:right="1121"/>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本公司发生的外币交易在初始确认时，按交易日的即期汇率折算为记账本位币金额，但公司发生的外</w:t>
      </w:r>
    </w:p>
    <w:p>
      <w:pPr>
        <w:pStyle w:val="BodyText"/>
        <w:spacing w:line="240" w:lineRule="auto" w:before="23"/>
        <w:ind w:right="0"/>
        <w:jc w:val="left"/>
      </w:pPr>
      <w:r>
        <w:rPr/>
        <w:t>币兑换业务或涉及外币兑换的交易事项，按照实际采用的汇率折算为记账本位币金额。</w:t>
      </w:r>
    </w:p>
    <w:p>
      <w:pPr>
        <w:pStyle w:val="BodyText"/>
        <w:spacing w:line="256" w:lineRule="auto" w:before="37"/>
        <w:ind w:left="633" w:right="1121"/>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资产负债表日，对于外币货币性项目采用资产负债表日即期汇率折算，由此产生的汇兑差额，计入当</w:t>
      </w:r>
    </w:p>
    <w:p>
      <w:pPr>
        <w:pStyle w:val="BodyText"/>
        <w:spacing w:line="273" w:lineRule="auto" w:before="22"/>
        <w:ind w:right="1024"/>
        <w:jc w:val="left"/>
      </w:pPr>
      <w:r>
        <w:rPr>
          <w:spacing w:val="-3"/>
        </w:rPr>
        <w:t>期损益。以历史成本计量的外币非货币性项目，仍采用交易发生日的即期汇率折算的记账本位币金额计量。</w:t>
      </w:r>
      <w:r>
        <w:rPr>
          <w:spacing w:val="-92"/>
        </w:rPr>
        <w:t> </w:t>
      </w:r>
      <w:r>
        <w:rPr>
          <w:spacing w:val="-92"/>
        </w:rPr>
      </w:r>
      <w:r>
        <w:rPr/>
        <w:t>以公允价值计量的外币非货币性项目，采用公允价值确定日的即期汇率折算，折算后的记账本位币金额与</w:t>
      </w:r>
      <w:r>
        <w:rPr/>
        <w:t> </w:t>
      </w:r>
      <w:r>
        <w:rPr>
          <w:spacing w:val="-3"/>
        </w:rPr>
        <w:t>原记账本位币金额的差额，作为公允价值变动（含汇率变动）处理，计入当期损益或确认为其他综合收益。</w:t>
      </w:r>
    </w:p>
    <w:p>
      <w:pPr>
        <w:pStyle w:val="BodyText"/>
        <w:spacing w:line="256" w:lineRule="auto"/>
        <w:ind w:left="634" w:right="112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w:t>
      </w:r>
    </w:p>
    <w:p>
      <w:pPr>
        <w:pStyle w:val="BodyText"/>
        <w:spacing w:line="256" w:lineRule="auto" w:before="22"/>
        <w:ind w:left="154" w:right="1116"/>
        <w:jc w:val="left"/>
      </w:pPr>
      <w:r>
        <w:rPr/>
        <w:t>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 益。</w:t>
      </w:r>
    </w:p>
    <w:p>
      <w:pPr>
        <w:pStyle w:val="BodyText"/>
        <w:spacing w:line="271" w:lineRule="auto" w:before="22"/>
        <w:ind w:left="154" w:right="1023" w:firstLine="480"/>
        <w:jc w:val="left"/>
      </w:pPr>
      <w:r>
        <w:rPr>
          <w:spacing w:val="-2"/>
        </w:rPr>
        <w:t>境外经营的外币财务报表按以下方法折算为人民币报表：资产负债表中的资产和负债项目，采用资产</w:t>
      </w:r>
      <w:r>
        <w:rPr/>
        <w:t> </w:t>
      </w:r>
      <w:r>
        <w:rPr>
          <w:spacing w:val="-3"/>
        </w:rPr>
        <w:t>负债表日的即期汇率折算；股东权益类项目除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r>
        <w:rPr>
          <w:spacing w:val="-3"/>
        </w:rPr>
        <w:t>项目外，其他项目采用发生时的即期汇率折算。</w:t>
      </w:r>
      <w:r>
        <w:rPr>
          <w:spacing w:val="-65"/>
        </w:rPr>
        <w:t> </w:t>
      </w:r>
      <w:r>
        <w:rPr>
          <w:spacing w:val="-65"/>
        </w:rPr>
      </w:r>
      <w:r>
        <w:rPr/>
        <w:t>利润表中的收入和费用项目，采用交易发生日的即期汇率折算。年初未分配利润为上一年折算后的年末未</w:t>
      </w:r>
      <w:r>
        <w:rPr/>
        <w:t> 分配利润；年末未分配利润按折算后的利润分配各项目计算列示；折算后资产类项目与负债类项目和股东 </w:t>
      </w:r>
      <w:r>
        <w:rPr>
          <w:spacing w:val="-3"/>
        </w:rPr>
        <w:t>权益类项目合计数的差额，作为外币报表折算差额，确认为其他综合收益。处置境外经营并丧失控制权时，</w:t>
      </w:r>
      <w:r>
        <w:rPr>
          <w:spacing w:val="-90"/>
        </w:rPr>
        <w:t> </w:t>
      </w:r>
      <w:r>
        <w:rPr>
          <w:spacing w:val="-90"/>
        </w:rPr>
      </w:r>
      <w:r>
        <w:rPr/>
        <w:t>将资产负债表中股东权益项目下列示的、与该境外经营相关的外币报表折算差额，全部或按处置该境外经</w:t>
      </w:r>
      <w:r>
        <w:rPr/>
        <w:t> 营的比例转入处置当期损益。</w:t>
      </w:r>
    </w:p>
    <w:p>
      <w:pPr>
        <w:pStyle w:val="BodyText"/>
        <w:spacing w:line="273" w:lineRule="auto" w:before="10"/>
        <w:ind w:left="154" w:right="1120" w:firstLine="480"/>
        <w:jc w:val="left"/>
      </w:pPr>
      <w:r>
        <w:rPr>
          <w:spacing w:val="-2"/>
        </w:rPr>
        <w:t>外币现金流量以及境外子公司的现金流量，采用现金流量发生日的即期汇率折算。汇率变动对现金的</w:t>
      </w:r>
      <w:r>
        <w:rPr/>
        <w:t> 影响额作为调节项目，在现金流量表中单独列报。</w:t>
      </w:r>
    </w:p>
    <w:p>
      <w:pPr>
        <w:pStyle w:val="BodyText"/>
        <w:spacing w:line="240" w:lineRule="auto"/>
        <w:ind w:left="634" w:right="0"/>
        <w:jc w:val="left"/>
      </w:pPr>
      <w:r>
        <w:rPr/>
        <w:t>年初数和上年实际数按照上年财务报表折算后的数额列示。</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both"/>
        <w:rPr>
          <w:b w:val="0"/>
          <w:bCs w:val="0"/>
        </w:rPr>
      </w:pPr>
      <w:bookmarkStart w:name="10、金融工具" w:id="172"/>
      <w:bookmarkEnd w:id="17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firstLine="480"/>
        <w:jc w:val="both"/>
      </w:pPr>
      <w:r>
        <w:rPr>
          <w:spacing w:val="-2"/>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256" w:lineRule="auto"/>
        <w:ind w:left="633" w:right="1121"/>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w:t>
      </w:r>
    </w:p>
    <w:p>
      <w:pPr>
        <w:pStyle w:val="BodyText"/>
        <w:spacing w:line="273" w:lineRule="auto" w:before="22"/>
        <w:ind w:right="1130"/>
        <w:jc w:val="both"/>
      </w:pP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4"/>
        </w:rPr>
        <w:t> </w:t>
      </w:r>
      <w:r>
        <w:rPr>
          <w:spacing w:val="-84"/>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256" w:lineRule="auto"/>
        <w:ind w:left="633" w:right="1121"/>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w:t>
      </w:r>
    </w:p>
    <w:p>
      <w:pPr>
        <w:pStyle w:val="BodyText"/>
        <w:spacing w:line="240" w:lineRule="auto" w:before="22"/>
        <w:ind w:right="0"/>
        <w:jc w:val="both"/>
      </w:pPr>
      <w:r>
        <w:rPr/>
        <w:t>价值计量且其变动计入当期损益的金融资产、持有至到期投资、贷款和应收款项以及可供出售金融资产。</w:t>
      </w:r>
    </w:p>
    <w:p>
      <w:pPr>
        <w:pStyle w:val="BodyText"/>
        <w:spacing w:line="273" w:lineRule="auto" w:before="37"/>
        <w:ind w:left="633" w:right="1129"/>
        <w:jc w:val="left"/>
      </w:pPr>
      <w:r>
        <w:rPr/>
        <w:t>①</w:t>
      </w:r>
      <w:r>
        <w:rPr>
          <w:spacing w:val="-21"/>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w:t>
      </w:r>
    </w:p>
    <w:p>
      <w:pPr>
        <w:pStyle w:val="BodyText"/>
        <w:spacing w:line="261" w:lineRule="auto" w:before="0"/>
        <w:ind w:right="1131"/>
        <w:jc w:val="both"/>
      </w:pPr>
      <w:r>
        <w:rPr/>
        <w:t>售；</w:t>
      </w:r>
      <w:r>
        <w:rPr>
          <w:rFonts w:ascii="Times New Roman" w:hAnsi="Times New Roman" w:cs="Times New Roman" w:eastAsia="Times New Roman" w:hint="default"/>
        </w:rPr>
        <w:t>B.</w:t>
      </w:r>
      <w:r>
        <w:rPr/>
        <w:t>属于进行集中管理的可辨认金融工具组合的一部分，且有客观证据表明本公司近期采用短期获利方 </w:t>
      </w:r>
      <w:r>
        <w:rPr>
          <w:spacing w:val="-1"/>
        </w:rPr>
        <w:t>式对该组合进行管理；</w:t>
      </w:r>
      <w:r>
        <w:rPr>
          <w:rFonts w:ascii="Times New Roman" w:hAnsi="Times New Roman" w:cs="Times New Roman" w:eastAsia="Times New Roman" w:hint="default"/>
          <w:spacing w:val="-1"/>
        </w:rPr>
        <w:t>C.</w:t>
      </w:r>
      <w:r>
        <w:rPr>
          <w:spacing w:val="-1"/>
        </w:rPr>
        <w:t>属于衍生工具，但是，被指定且为有效套期工具的衍生工具、属于财务担保合同</w:t>
      </w:r>
      <w:r>
        <w:rPr>
          <w:spacing w:val="-65"/>
        </w:rPr>
        <w:t> </w:t>
      </w:r>
      <w:r>
        <w:rPr>
          <w:spacing w:val="-6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BodyText"/>
        <w:spacing w:line="261" w:lineRule="auto" w:before="18"/>
        <w:ind w:right="1131" w:firstLine="480"/>
        <w:jc w:val="both"/>
      </w:pPr>
      <w:r>
        <w:rPr>
          <w:spacing w:val="-2"/>
        </w:rPr>
        <w:t>符合下述条件之一的金融资产，在初始确认时可指定为以公允价值计量且其变动计入当期损益的金融</w:t>
      </w:r>
      <w:r>
        <w:rPr/>
        <w:t> </w:t>
      </w:r>
      <w:r>
        <w:rPr>
          <w:spacing w:val="-1"/>
        </w:rPr>
        <w:t>资产：</w:t>
      </w:r>
      <w:r>
        <w:rPr>
          <w:rFonts w:ascii="Times New Roman" w:hAnsi="Times New Roman" w:cs="Times New Roman" w:eastAsia="Times New Roman" w:hint="default"/>
          <w:spacing w:val="-1"/>
        </w:rPr>
        <w:t>A.</w:t>
      </w:r>
      <w:r>
        <w:rPr>
          <w:spacing w:val="-1"/>
        </w:rPr>
        <w:t>该指定可以消除或明显减少由于该金融资产的计量基础不同所导致的相关利得或损失在确认或计</w:t>
      </w:r>
      <w:r>
        <w:rPr>
          <w:spacing w:val="-76"/>
        </w:rPr>
        <w:t> </w:t>
      </w:r>
      <w:r>
        <w:rPr/>
        <w:t>量方面不一致的情况；</w:t>
      </w:r>
      <w:r>
        <w:rPr>
          <w:rFonts w:ascii="Times New Roman" w:hAnsi="Times New Roman" w:cs="Times New Roman" w:eastAsia="Times New Roman" w:hint="default"/>
        </w:rPr>
        <w:t>B.</w:t>
      </w:r>
      <w:r>
        <w:rPr/>
        <w:t>本公司风险管理或投资策略的正式书面文件已载明，对该金融资产所在的金融资 产组合或金融资产和金融负债组合以公允价值为基础进行管理、评价并向关键管理人员报告。</w:t>
      </w:r>
    </w:p>
    <w:p>
      <w:pPr>
        <w:pStyle w:val="BodyText"/>
        <w:spacing w:line="273" w:lineRule="auto" w:before="18"/>
        <w:ind w:right="1132" w:firstLine="480"/>
        <w:jc w:val="both"/>
      </w:pPr>
      <w:r>
        <w:rPr>
          <w:spacing w:val="-2"/>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273" w:lineRule="auto"/>
        <w:ind w:left="633" w:right="0"/>
        <w:jc w:val="left"/>
      </w:pPr>
      <w:r>
        <w:rPr/>
        <w:t>②</w:t>
      </w:r>
      <w:r>
        <w:rPr>
          <w:spacing w:val="-21"/>
        </w:rPr>
        <w:t> </w:t>
      </w:r>
      <w:r>
        <w:rPr/>
        <w:t>持有至到期投资</w:t>
      </w:r>
      <w:r>
        <w:rPr/>
        <w:t> </w:t>
      </w:r>
      <w:r>
        <w:rPr>
          <w:spacing w:val="-5"/>
        </w:rPr>
        <w:t>是指到期日固定、回收金额固定或可确定，且本公司有明确意图和能力持有至到期的非衍生金融资产。</w:t>
      </w:r>
      <w:r>
        <w:rPr>
          <w:spacing w:val="-68"/>
        </w:rPr>
        <w:t> </w:t>
      </w:r>
      <w:r>
        <w:rPr>
          <w:spacing w:val="-68"/>
        </w:rPr>
      </w:r>
      <w:r>
        <w:rPr>
          <w:spacing w:val="-2"/>
        </w:rPr>
        <w:t>持有至到期投资采用实际利率法，按摊余成本进行后续计量，在终止确认、发生减值或摊销时产生的</w:t>
      </w:r>
    </w:p>
    <w:p>
      <w:pPr>
        <w:pStyle w:val="BodyText"/>
        <w:spacing w:line="273" w:lineRule="auto"/>
        <w:ind w:left="634" w:right="1120" w:hanging="480"/>
        <w:jc w:val="left"/>
      </w:pPr>
      <w:r>
        <w:rPr/>
        <w:t>利得或损失，计入当期损益。 </w:t>
      </w:r>
      <w:r>
        <w:rPr>
          <w:spacing w:val="-2"/>
        </w:rPr>
        <w:t>实际利率法是指按照金融资产或金融负债（含一组金融资产或金融负债）的实际利率计算其摊余成本</w:t>
      </w:r>
    </w:p>
    <w:p>
      <w:pPr>
        <w:pStyle w:val="BodyText"/>
        <w:spacing w:line="273" w:lineRule="auto"/>
        <w:ind w:left="154" w:right="1132"/>
        <w:jc w:val="both"/>
      </w:pP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BodyText"/>
        <w:spacing w:line="240" w:lineRule="auto"/>
        <w:ind w:left="634" w:right="0"/>
        <w:jc w:val="left"/>
      </w:pPr>
      <w:r>
        <w:rPr/>
        <w:t>在计算实际利率时，本公司将在考虑金融资产或金融负债所有合同条款的基础上预计未来现金流量</w:t>
      </w:r>
    </w:p>
    <w:p>
      <w:pPr>
        <w:pStyle w:val="BodyText"/>
        <w:spacing w:line="273" w:lineRule="auto" w:before="37"/>
        <w:ind w:left="154" w:right="1131"/>
        <w:jc w:val="both"/>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BodyText"/>
        <w:spacing w:line="273" w:lineRule="auto"/>
        <w:ind w:left="633" w:right="1121"/>
        <w:jc w:val="left"/>
      </w:pPr>
      <w:r>
        <w:rPr/>
        <w:t>③</w:t>
      </w:r>
      <w:r>
        <w:rPr>
          <w:spacing w:val="-21"/>
        </w:rPr>
        <w:t> </w:t>
      </w:r>
      <w:r>
        <w:rPr/>
        <w:t>贷款和应收款项</w:t>
      </w:r>
      <w:r>
        <w:rPr/>
        <w:t> </w:t>
      </w:r>
      <w:r>
        <w:rPr>
          <w:spacing w:val="-2"/>
        </w:rPr>
        <w:t>是指在活跃市场中没有报价、回收金额固定或可确定的非衍生金融资产。本公司划分为贷款和应收款</w:t>
      </w:r>
    </w:p>
    <w:p>
      <w:pPr>
        <w:pStyle w:val="BodyText"/>
        <w:spacing w:line="273" w:lineRule="auto" w:before="8"/>
        <w:ind w:left="633" w:right="1121" w:hanging="480"/>
        <w:jc w:val="left"/>
      </w:pPr>
      <w:r>
        <w:rPr/>
        <w:t>的金融资产包括应收票据、应收账款、应收利息、应收股利及其他应收款等。 </w:t>
      </w:r>
      <w:r>
        <w:rPr>
          <w:spacing w:val="-2"/>
        </w:rPr>
        <w:t>贷款和应收款项采用实际利率法，按摊余成本进行后续计量，在终止确认、发生减值或摊销时产生的</w:t>
      </w:r>
    </w:p>
    <w:p>
      <w:pPr>
        <w:pStyle w:val="BodyText"/>
        <w:spacing w:line="240" w:lineRule="auto"/>
        <w:ind w:right="0"/>
        <w:jc w:val="both"/>
      </w:pPr>
      <w:r>
        <w:rPr/>
        <w:t>利得或损失，计入当期损益。</w:t>
      </w:r>
    </w:p>
    <w:p>
      <w:pPr>
        <w:pStyle w:val="BodyText"/>
        <w:spacing w:line="240" w:lineRule="auto" w:before="37"/>
        <w:ind w:left="634" w:right="0"/>
        <w:jc w:val="left"/>
      </w:pPr>
      <w:r>
        <w:rPr/>
        <w:t>④</w:t>
      </w:r>
      <w:r>
        <w:rPr>
          <w:spacing w:val="-21"/>
        </w:rPr>
        <w:t> </w:t>
      </w:r>
      <w:r>
        <w:rPr/>
        <w:t>可供出售金融资产</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1" w:firstLine="480"/>
        <w:jc w:val="both"/>
      </w:pPr>
      <w:r>
        <w:rPr>
          <w:spacing w:val="-2"/>
        </w:rPr>
        <w:t>包括初始确认时即被指定为可供出售的非衍生金融资产，以及除了以公允价值计量且其变动计入当期</w:t>
      </w:r>
      <w:r>
        <w:rPr/>
        <w:t> 损益的金融资产、贷款和应收款项、持有至到期投资以外的金融资产。</w:t>
      </w:r>
    </w:p>
    <w:p>
      <w:pPr>
        <w:pStyle w:val="BodyText"/>
        <w:spacing w:line="273" w:lineRule="auto"/>
        <w:ind w:right="1131" w:firstLine="480"/>
        <w:jc w:val="both"/>
      </w:pPr>
      <w:r>
        <w:rPr>
          <w:spacing w:val="-2"/>
        </w:rPr>
        <w:t>可供出售债务工具投资的期末成本按照摊余成本法确定，即初始确认金额扣除已偿还的本金，加上或</w:t>
      </w:r>
      <w:r>
        <w:rPr/>
        <w:t> </w:t>
      </w:r>
      <w:r>
        <w:rPr>
          <w:spacing w:val="-1"/>
        </w:rPr>
        <w:t>减去采用实际利率法将该初始确认金额与到期日金额之间的差额进行摊销形成的累计摊销额，并扣除已发</w:t>
      </w:r>
      <w:r>
        <w:rPr>
          <w:spacing w:val="-81"/>
        </w:rPr>
        <w:t> </w:t>
      </w:r>
      <w:r>
        <w:rPr>
          <w:spacing w:val="-81"/>
        </w:rPr>
      </w:r>
      <w:r>
        <w:rPr/>
        <w:t>生的减值损失后的金额。可供出售权益工具投资的期末成本为其初始取得成本。</w:t>
      </w:r>
    </w:p>
    <w:p>
      <w:pPr>
        <w:pStyle w:val="BodyText"/>
        <w:spacing w:line="273" w:lineRule="auto"/>
        <w:ind w:right="1130" w:firstLine="480"/>
        <w:jc w:val="both"/>
      </w:pPr>
      <w:r>
        <w:rPr>
          <w:spacing w:val="-2"/>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0"/>
        </w:rPr>
        <w:t> </w:t>
      </w:r>
      <w:r>
        <w:rPr>
          <w:spacing w:val="-80"/>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pStyle w:val="BodyText"/>
        <w:spacing w:line="240" w:lineRule="auto"/>
        <w:ind w:left="633" w:right="0"/>
        <w:jc w:val="left"/>
      </w:pPr>
      <w:r>
        <w:rPr/>
        <w:t>可供出售金融资产持有期间取得的利息及被投资单位宣告发放的现金股利，计入投资收益。</w:t>
      </w:r>
    </w:p>
    <w:p>
      <w:pPr>
        <w:pStyle w:val="BodyText"/>
        <w:spacing w:line="256" w:lineRule="auto" w:before="37"/>
        <w:ind w:left="633" w:right="1121"/>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w:t>
      </w:r>
    </w:p>
    <w:p>
      <w:pPr>
        <w:pStyle w:val="BodyText"/>
        <w:spacing w:line="273" w:lineRule="auto" w:before="22"/>
        <w:ind w:left="633" w:right="1121" w:hanging="480"/>
        <w:jc w:val="left"/>
      </w:pPr>
      <w:r>
        <w:rPr/>
        <w:t>产的账面价值进行检查，有客观证据表明金融资产发生减值的，计提减值准备。 </w:t>
      </w:r>
      <w:r>
        <w:rPr>
          <w:spacing w:val="-2"/>
        </w:rPr>
        <w:t>本公司对单项金额重大的金融资产单独进行减值测试；对单项金额不重大的金融资产，单独进行减值</w:t>
      </w:r>
    </w:p>
    <w:p>
      <w:pPr>
        <w:pStyle w:val="BodyText"/>
        <w:spacing w:line="240" w:lineRule="auto"/>
        <w:ind w:right="0"/>
        <w:jc w:val="both"/>
      </w:pPr>
      <w:r>
        <w:rPr/>
        <w:t>测试或包括在具有类似信用风险特征的金融资产组合中进行减值测试。单独测试未发生减值的金融资产</w:t>
      </w:r>
    </w:p>
    <w:p>
      <w:pPr>
        <w:pStyle w:val="BodyText"/>
        <w:spacing w:line="273" w:lineRule="auto" w:before="37"/>
        <w:ind w:right="1024"/>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273" w:lineRule="auto"/>
        <w:ind w:left="634" w:right="1120"/>
        <w:jc w:val="left"/>
      </w:pPr>
      <w:r>
        <w:rPr/>
        <w:t>①</w:t>
      </w:r>
      <w:r>
        <w:rPr>
          <w:spacing w:val="-21"/>
        </w:rPr>
        <w:t> </w:t>
      </w:r>
      <w:r>
        <w:rPr/>
        <w:t>持有至到期投资、贷款和应收款项减值</w:t>
      </w:r>
      <w:r>
        <w:rPr/>
        <w:t> </w:t>
      </w:r>
      <w:r>
        <w:rPr>
          <w:spacing w:val="-2"/>
        </w:rPr>
        <w:t>以成本或摊余成本计量的金融资产将其账面价值减记至预计未来现金流量现值，减记金额确认为减值</w:t>
      </w:r>
    </w:p>
    <w:p>
      <w:pPr>
        <w:pStyle w:val="BodyText"/>
        <w:spacing w:line="273" w:lineRule="auto"/>
        <w:ind w:left="154" w:right="1131"/>
        <w:jc w:val="both"/>
      </w:pPr>
      <w:r>
        <w:rPr>
          <w:spacing w:val="-1"/>
        </w:rPr>
        <w:t>损失，计入当期损益。金融资产在确认减值损失后，如有客观证据表明该金融资产价值已恢复，且客观上</w:t>
      </w:r>
      <w:r>
        <w:rPr>
          <w:spacing w:val="-85"/>
        </w:rPr>
        <w:t> </w:t>
      </w:r>
      <w:r>
        <w:rPr>
          <w:spacing w:val="-85"/>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273" w:lineRule="auto" w:before="8"/>
        <w:ind w:left="633" w:right="1121"/>
        <w:jc w:val="left"/>
      </w:pPr>
      <w:r>
        <w:rPr/>
        <w:t>②</w:t>
      </w:r>
      <w:r>
        <w:rPr>
          <w:spacing w:val="-21"/>
        </w:rPr>
        <w:t> </w:t>
      </w:r>
      <w:r>
        <w:rPr/>
        <w:t>可供出售金融资产减值</w:t>
      </w:r>
      <w:r>
        <w:rPr/>
        <w:t> </w:t>
      </w:r>
      <w:r>
        <w:rPr>
          <w:spacing w:val="-2"/>
        </w:rPr>
        <w:t>当综合相关因素判断可供出售权益工具投资公允价值下跌是严重或非暂时性下跌时，表明该可供出售</w:t>
      </w:r>
    </w:p>
    <w:p>
      <w:pPr>
        <w:pStyle w:val="BodyText"/>
        <w:spacing w:line="256" w:lineRule="auto"/>
        <w:ind w:left="154" w:right="1132"/>
        <w:jc w:val="both"/>
      </w:pPr>
      <w:r>
        <w:rPr/>
        <w:t>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w:t>
      </w:r>
      <w:r>
        <w:rPr>
          <w:spacing w:val="-59"/>
        </w:rPr>
        <w:t> </w:t>
      </w:r>
      <w:r>
        <w:rPr>
          <w:spacing w:val="-59"/>
        </w:rPr>
      </w:r>
      <w:r>
        <w:rPr/>
        <w:t>价值连续下跌时间超过</w:t>
      </w:r>
      <w:r>
        <w:rPr>
          <w:rFonts w:ascii="Times New Roman" w:hAnsi="Times New Roman" w:cs="Times New Roman" w:eastAsia="Times New Roman" w:hint="default"/>
        </w:rPr>
        <w:t>12</w:t>
      </w:r>
      <w:r>
        <w:rPr/>
        <w:t>个月。</w:t>
      </w:r>
    </w:p>
    <w:p>
      <w:pPr>
        <w:pStyle w:val="BodyText"/>
        <w:spacing w:line="273" w:lineRule="auto" w:before="5"/>
        <w:ind w:left="154" w:right="1131" w:firstLine="480"/>
        <w:jc w:val="both"/>
      </w:pPr>
      <w:r>
        <w:rPr>
          <w:spacing w:val="-2"/>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BodyText"/>
        <w:spacing w:line="273" w:lineRule="auto"/>
        <w:ind w:left="154" w:right="1131" w:firstLine="480"/>
        <w:jc w:val="both"/>
      </w:pPr>
      <w:r>
        <w:rPr>
          <w:spacing w:val="-2"/>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273" w:lineRule="auto"/>
        <w:ind w:left="154" w:right="1132" w:firstLine="480"/>
        <w:jc w:val="both"/>
      </w:pPr>
      <w:r>
        <w:rPr>
          <w:spacing w:val="-2"/>
        </w:rPr>
        <w:t>在活跃市场中没有报价且其公允价值不能可靠计量的权益工具投资，或与该权益工具挂钩并须通过交</w:t>
      </w:r>
      <w:r>
        <w:rPr/>
        <w:t> 付该权益工具结算的衍生金融资产的减值损失，不予转回。</w:t>
      </w:r>
    </w:p>
    <w:p>
      <w:pPr>
        <w:pStyle w:val="BodyText"/>
        <w:spacing w:line="240" w:lineRule="auto"/>
        <w:ind w:left="634" w:right="0"/>
        <w:jc w:val="left"/>
      </w:pPr>
      <w:r>
        <w:rPr/>
        <w:t>（</w:t>
      </w:r>
      <w:r>
        <w:rPr>
          <w:rFonts w:ascii="Times New Roman" w:hAnsi="Times New Roman" w:cs="Times New Roman" w:eastAsia="Times New Roman" w:hint="default"/>
        </w:rPr>
        <w:t>4</w:t>
      </w:r>
      <w:r>
        <w:rPr/>
        <w:t>）金融资产转移的确认依据和计量方法</w:t>
      </w:r>
    </w:p>
    <w:p>
      <w:pPr>
        <w:pStyle w:val="BodyText"/>
        <w:spacing w:line="273" w:lineRule="auto" w:before="21"/>
        <w:ind w:left="154" w:right="1114" w:firstLine="480"/>
        <w:jc w:val="left"/>
      </w:pPr>
      <w:r>
        <w:rPr/>
        <w:t>满足下列条件之一的金融资产，予以终止确认：① 收取该金融资产现金流量的合同权利终止；②</w:t>
      </w:r>
      <w:r>
        <w:rPr>
          <w:spacing w:val="-82"/>
        </w:rPr>
        <w:t> </w:t>
      </w:r>
      <w:r>
        <w:rPr/>
        <w:t>该</w:t>
      </w:r>
      <w:r>
        <w:rPr/>
        <w:t> </w:t>
      </w:r>
      <w:r>
        <w:rPr>
          <w:spacing w:val="-1"/>
        </w:rPr>
        <w:t>金融资产已转移，且将金融资产所有权上几乎所有的风险和报酬转移给转入方；③该金融资产已转移，虽</w:t>
      </w:r>
      <w:r>
        <w:rPr>
          <w:spacing w:val="-83"/>
        </w:rPr>
        <w:t> </w:t>
      </w:r>
      <w:r>
        <w:rPr>
          <w:spacing w:val="-83"/>
        </w:rPr>
      </w:r>
      <w:r>
        <w:rPr/>
        <w:t>然企业既没有转移也没有保留金融资产所有权上几乎所有的风险和报酬，但是放弃了对该金融资产的控 制。</w:t>
      </w:r>
    </w:p>
    <w:p>
      <w:pPr>
        <w:pStyle w:val="BodyText"/>
        <w:spacing w:line="273" w:lineRule="auto"/>
        <w:ind w:left="154" w:right="1131" w:firstLine="480"/>
        <w:jc w:val="both"/>
      </w:pPr>
      <w:r>
        <w:rPr>
          <w:spacing w:val="-2"/>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pStyle w:val="BodyText"/>
        <w:spacing w:line="273" w:lineRule="auto"/>
        <w:ind w:right="1132" w:firstLine="480"/>
        <w:jc w:val="both"/>
      </w:pPr>
      <w:r>
        <w:rPr>
          <w:spacing w:val="-2"/>
        </w:rPr>
        <w:t>金融资产整体转移满足终止确认条件的，将所转移金融资产的账面价值及因转移而收到的对价与原计</w:t>
      </w:r>
      <w:r>
        <w:rPr/>
        <w:t> 入其他综合收益的公允价值变动累计额之和的差额计入当期损益。</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2" w:firstLine="480"/>
        <w:jc w:val="both"/>
      </w:pPr>
      <w:r>
        <w:rPr>
          <w:spacing w:val="-2"/>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273" w:lineRule="auto"/>
        <w:ind w:right="1110" w:firstLine="480"/>
        <w:jc w:val="both"/>
      </w:pPr>
      <w:r>
        <w:rPr>
          <w:spacing w:val="-2"/>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pStyle w:val="BodyText"/>
        <w:spacing w:line="256" w:lineRule="auto"/>
        <w:ind w:left="634" w:right="1120"/>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w:t>
      </w:r>
    </w:p>
    <w:p>
      <w:pPr>
        <w:pStyle w:val="BodyText"/>
        <w:spacing w:line="273" w:lineRule="auto" w:before="22"/>
        <w:ind w:left="154" w:right="0"/>
        <w:jc w:val="left"/>
      </w:pPr>
      <w:r>
        <w:rPr>
          <w:spacing w:val="-1"/>
        </w:rPr>
        <w:t>始确认金融负债，以公允价值计量。对于以公允价值计量且其变动计入当期损益的金融负债，相关的交易</w:t>
      </w:r>
      <w:r>
        <w:rPr>
          <w:spacing w:val="-82"/>
        </w:rPr>
        <w:t> </w:t>
      </w:r>
      <w:r>
        <w:rPr>
          <w:spacing w:val="-82"/>
        </w:rPr>
      </w:r>
      <w:r>
        <w:rPr/>
        <w:t>费用直接计入当期损益，对于其他金融负债，相关交易费用计入初始确认金额。</w:t>
      </w:r>
    </w:p>
    <w:p>
      <w:pPr>
        <w:pStyle w:val="BodyText"/>
        <w:spacing w:line="273" w:lineRule="auto"/>
        <w:ind w:left="633" w:right="1243"/>
        <w:jc w:val="left"/>
      </w:pPr>
      <w:r>
        <w:rPr/>
        <w:t>①</w:t>
      </w:r>
      <w:r>
        <w:rPr>
          <w:spacing w:val="-21"/>
        </w:rPr>
        <w:t> </w:t>
      </w:r>
      <w:r>
        <w:rPr/>
        <w:t>以公允价值计量且其变动计入当期损益的金融负债</w:t>
      </w:r>
      <w:r>
        <w:rPr/>
        <w:t> 分类为交易性金融负债和在初始确认时指定为以公允价值计量且其变动计入当期损益的金融负债的</w:t>
      </w:r>
    </w:p>
    <w:p>
      <w:pPr>
        <w:pStyle w:val="BodyText"/>
        <w:spacing w:line="273" w:lineRule="auto"/>
        <w:ind w:right="1303"/>
        <w:jc w:val="left"/>
      </w:pPr>
      <w:r>
        <w:rPr/>
        <w:t>条件与分类为交易性金融资产和在初始确认时指定为以公允价值计量且其变动计入当期损益的金融资产 的条件一致。</w:t>
      </w:r>
    </w:p>
    <w:p>
      <w:pPr>
        <w:pStyle w:val="BodyText"/>
        <w:spacing w:line="273" w:lineRule="auto"/>
        <w:ind w:right="1132" w:firstLine="480"/>
        <w:jc w:val="both"/>
      </w:pPr>
      <w:r>
        <w:rPr>
          <w:spacing w:val="-2"/>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273" w:lineRule="auto"/>
        <w:ind w:left="633" w:right="1243"/>
        <w:jc w:val="left"/>
      </w:pPr>
      <w:r>
        <w:rPr/>
        <w:t>②</w:t>
      </w:r>
      <w:r>
        <w:rPr>
          <w:spacing w:val="-21"/>
        </w:rPr>
        <w:t> </w:t>
      </w:r>
      <w:r>
        <w:rPr/>
        <w:t>其他金融负债</w:t>
      </w:r>
      <w:r>
        <w:rPr/>
        <w:t> 与在活跃市场中没有报价、公允价值不能可靠计量的权益工具挂钩并须通过交付该权益工具结算的</w:t>
      </w:r>
    </w:p>
    <w:p>
      <w:pPr>
        <w:pStyle w:val="BodyText"/>
        <w:spacing w:line="273" w:lineRule="auto"/>
        <w:ind w:right="1303"/>
        <w:jc w:val="left"/>
      </w:pPr>
      <w:r>
        <w:rPr/>
        <w:t>衍生金融负债，按照成本进行后续计量。其他金融负债采用实际利率法，按摊余成本进行后续计量，终 止确认或摊销产生的利得或损失计入当期损益。</w:t>
      </w:r>
    </w:p>
    <w:p>
      <w:pPr>
        <w:pStyle w:val="BodyText"/>
        <w:spacing w:line="256" w:lineRule="auto" w:before="8"/>
        <w:ind w:left="634" w:right="0"/>
        <w:jc w:val="left"/>
      </w:pPr>
      <w:r>
        <w:rPr/>
        <w:t>（</w:t>
      </w:r>
      <w:r>
        <w:rPr>
          <w:rFonts w:ascii="Times New Roman" w:hAnsi="Times New Roman" w:cs="Times New Roman" w:eastAsia="Times New Roman" w:hint="default"/>
        </w:rPr>
        <w:t>6</w:t>
      </w:r>
      <w:r>
        <w:rPr/>
        <w:t>）金融负债的终止确认 </w:t>
      </w:r>
      <w:r>
        <w:rPr>
          <w:spacing w:val="-5"/>
        </w:rPr>
        <w:t>金融负债的现时义务全部或部分已经解除的，才能终止确认该金融负债或其一部分。本公司（债务人）</w:t>
      </w:r>
    </w:p>
    <w:p>
      <w:pPr>
        <w:pStyle w:val="BodyText"/>
        <w:spacing w:line="273" w:lineRule="auto" w:before="22"/>
        <w:ind w:left="154"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273" w:lineRule="auto"/>
        <w:ind w:right="1131" w:firstLine="480"/>
        <w:jc w:val="both"/>
      </w:pPr>
      <w:r>
        <w:rPr>
          <w:spacing w:val="-2"/>
        </w:rPr>
        <w:t>金融负债全部或部分终止确认的，将终止确认部分的账面价值与支付的对价（包括转出的非现金资产</w:t>
      </w:r>
      <w:r>
        <w:rPr/>
        <w:t> 或承担的新金融负债）之间的差额，计入当期损益。</w:t>
      </w:r>
    </w:p>
    <w:p>
      <w:pPr>
        <w:pStyle w:val="BodyText"/>
        <w:spacing w:line="256" w:lineRule="auto"/>
        <w:ind w:left="634" w:right="112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衍生工具于相关合同签署日以公允价值进行初始计量，并以公允价值进行后续计量。衍生工具的公允</w:t>
      </w:r>
    </w:p>
    <w:p>
      <w:pPr>
        <w:pStyle w:val="BodyText"/>
        <w:spacing w:line="273" w:lineRule="auto" w:before="22"/>
        <w:ind w:left="634" w:right="1120" w:hanging="480"/>
        <w:jc w:val="left"/>
      </w:pPr>
      <w:r>
        <w:rPr/>
        <w:t>价值变动计入当期损益。 </w:t>
      </w:r>
      <w:r>
        <w:rPr>
          <w:spacing w:val="-2"/>
        </w:rPr>
        <w:t>对包含嵌入衍生工具的混合工具，如未指定为以公允价值计量且其变动计入当期损益的金融资产或金</w:t>
      </w:r>
    </w:p>
    <w:p>
      <w:pPr>
        <w:pStyle w:val="BodyText"/>
        <w:spacing w:line="273" w:lineRule="auto"/>
        <w:ind w:left="154" w:right="1110"/>
        <w:jc w:val="both"/>
      </w:pPr>
      <w:r>
        <w:rPr/>
        <w:t>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pStyle w:val="BodyText"/>
        <w:spacing w:line="256" w:lineRule="auto"/>
        <w:ind w:left="634" w:right="112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w:t>
      </w:r>
    </w:p>
    <w:p>
      <w:pPr>
        <w:pStyle w:val="BodyText"/>
        <w:spacing w:line="273" w:lineRule="auto" w:before="22"/>
        <w:ind w:left="154" w:right="0"/>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256" w:lineRule="auto" w:before="8"/>
        <w:ind w:left="634" w:right="1120"/>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w:t>
      </w:r>
    </w:p>
    <w:p>
      <w:pPr>
        <w:pStyle w:val="BodyText"/>
        <w:spacing w:line="273" w:lineRule="auto" w:before="22"/>
        <w:ind w:left="154" w:right="0"/>
        <w:jc w:val="left"/>
      </w:pPr>
      <w:r>
        <w:rPr>
          <w:spacing w:val="-1"/>
        </w:rPr>
        <w:t>资）、回购、出售或注销权益工具作为权益的变动处理。本公司不确认权益工具的公允价值变动。与权益</w:t>
      </w:r>
      <w:r>
        <w:rPr>
          <w:spacing w:val="-83"/>
        </w:rPr>
        <w:t> </w:t>
      </w:r>
      <w:r>
        <w:rPr>
          <w:spacing w:val="-83"/>
        </w:rPr>
      </w:r>
      <w:r>
        <w:rPr/>
        <w:t>性交易相关的交易费用从权益中扣减。</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21" w:firstLine="480"/>
        <w:jc w:val="left"/>
      </w:pPr>
      <w:r>
        <w:rPr>
          <w:spacing w:val="-2"/>
        </w:rPr>
        <w:t>本公司对权益工具持有方的各种分配（不包括股票股利），减少股东权益。本公司不确认权益工具的</w:t>
      </w:r>
      <w:r>
        <w:rPr/>
        <w:t> 公允价值变动额。</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bookmarkStart w:name="11、应收款项" w:id="173"/>
      <w:bookmarkEnd w:id="17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74"/>
      <w:bookmarkEnd w:id="17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70"/>
        <w:gridCol w:w="5599"/>
      </w:tblGrid>
      <w:tr>
        <w:trPr>
          <w:trHeight w:val="714"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本公司将占应收款项比重超过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％的单个客户应收款项确认为单项金 额重大的应收款项。</w:t>
            </w:r>
          </w:p>
        </w:tc>
      </w:tr>
      <w:tr>
        <w:trPr>
          <w:trHeight w:val="1338"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本公司对单项金额重大的应收款项单独进行减值测试，单独测试未发生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减值的金融资产，包括在具有类似信用风险特征的金融资产组合中进行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减值测试。单项测试已确认减值损失的应收款项，不再包括在具有类似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信用风险特征的应收款项组合中进行减值测试。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75"/>
      <w:bookmarkEnd w:id="17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514"/>
        <w:gridCol w:w="2054"/>
      </w:tblGrid>
      <w:tr>
        <w:trPr>
          <w:trHeight w:val="402" w:hRule="exact"/>
        </w:trPr>
        <w:tc>
          <w:tcPr>
            <w:tcW w:w="7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4" w:hRule="exact"/>
        </w:trPr>
        <w:tc>
          <w:tcPr>
            <w:tcW w:w="75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根据以前年度与之相同或类似的、按账龄段划分的具有类似信用风险特征的应收款项组 合的实际损失率为基础，结合现实情况分析法对计算机及服务行业确定坏账准备计提的比例。</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714" w:hRule="exact"/>
        </w:trPr>
        <w:tc>
          <w:tcPr>
            <w:tcW w:w="75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根据以前年度与之相同或类似的、按账龄段划分的具有类似信用风险特征的应收款项组 合的实际损失率为基础，结合现实情况分析法对商品批发行业确定坏账准备计提的比例。</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7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不存在减值风险，不计提坏账准备的应收款项组合。</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2 1 </w:t>
            </w:r>
            <w:r>
              <w:rPr>
                <w:rFonts w:ascii="宋体" w:hAnsi="宋体" w:cs="宋体" w:eastAsia="宋体" w:hint="default"/>
                <w:sz w:val="18"/>
                <w:szCs w:val="18"/>
              </w:rPr>
              <w:t>年以内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2 3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line="338" w:lineRule="auto" w:before="44"/>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单项金额不重大但单独计提坏账准备的应收款项" w:id="176"/>
      <w:bookmarkEnd w:id="17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7300"/>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公司将有确凿证据证明难以收回的应收款项</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单独进行减值测试，如有客观证据表明已发生减值，确认减值损失，</w:t>
            </w:r>
            <w:r>
              <w:rPr>
                <w:rFonts w:ascii="宋体" w:hAnsi="宋体" w:cs="宋体" w:eastAsia="宋体" w:hint="default"/>
                <w:spacing w:val="-44"/>
                <w:sz w:val="18"/>
                <w:szCs w:val="18"/>
              </w:rPr>
              <w:t> </w:t>
            </w:r>
            <w:r>
              <w:rPr>
                <w:rFonts w:ascii="宋体" w:hAnsi="宋体" w:cs="宋体" w:eastAsia="宋体" w:hint="default"/>
                <w:sz w:val="18"/>
                <w:szCs w:val="18"/>
              </w:rPr>
              <w:t>计入当期损益；单独测</w:t>
            </w:r>
            <w:r>
              <w:rPr>
                <w:rFonts w:ascii="宋体" w:hAnsi="宋体" w:cs="宋体" w:eastAsia="宋体" w:hint="default"/>
                <w:sz w:val="18"/>
                <w:szCs w:val="18"/>
              </w:rPr>
              <w:t> </w:t>
            </w:r>
            <w:r>
              <w:rPr>
                <w:rFonts w:ascii="宋体" w:hAnsi="宋体" w:cs="宋体" w:eastAsia="宋体" w:hint="default"/>
                <w:spacing w:val="-3"/>
                <w:sz w:val="18"/>
                <w:szCs w:val="18"/>
              </w:rPr>
              <w:t>试未发生减值的应收款项，包括在具有类似</w:t>
            </w:r>
            <w:r>
              <w:rPr>
                <w:rFonts w:ascii="宋体" w:hAnsi="宋体" w:cs="宋体" w:eastAsia="宋体" w:hint="default"/>
                <w:spacing w:val="11"/>
                <w:sz w:val="18"/>
                <w:szCs w:val="18"/>
              </w:rPr>
              <w:t> </w:t>
            </w:r>
            <w:r>
              <w:rPr>
                <w:rFonts w:ascii="宋体" w:hAnsi="宋体" w:cs="宋体" w:eastAsia="宋体" w:hint="default"/>
                <w:sz w:val="18"/>
                <w:szCs w:val="18"/>
              </w:rPr>
              <w:t>信用风险特征的应收款项组合中再进行减值测试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77"/>
      <w:bookmarkEnd w:id="177"/>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34" w:right="1120"/>
        <w:jc w:val="left"/>
      </w:pPr>
      <w:r>
        <w:rPr/>
        <w:t>（</w:t>
      </w:r>
      <w:r>
        <w:rPr>
          <w:rFonts w:ascii="Times New Roman" w:hAnsi="Times New Roman" w:cs="Times New Roman" w:eastAsia="Times New Roman" w:hint="default"/>
        </w:rPr>
        <w:t>1</w:t>
      </w:r>
      <w:r>
        <w:rPr/>
        <w:t>）存货的分类 </w:t>
      </w:r>
      <w:r>
        <w:rPr>
          <w:spacing w:val="-2"/>
        </w:rPr>
        <w:t>本公司存货包括在日常活动中持有以备出售的产成品或商品、处于生产过程中的在产品、在生产过程</w:t>
      </w:r>
    </w:p>
    <w:p>
      <w:pPr>
        <w:pStyle w:val="BodyText"/>
        <w:spacing w:line="273" w:lineRule="auto" w:before="22"/>
        <w:ind w:left="154" w:right="0"/>
        <w:jc w:val="left"/>
      </w:pPr>
      <w:r>
        <w:rPr>
          <w:spacing w:val="-1"/>
        </w:rPr>
        <w:t>或提供劳务过程中耗用的材料和物料等。具体划分为原材料、低值易耗品、库存商品、在建系统集成项目</w:t>
      </w:r>
      <w:r>
        <w:rPr>
          <w:spacing w:val="-86"/>
        </w:rPr>
        <w:t> </w:t>
      </w:r>
      <w:r>
        <w:rPr>
          <w:spacing w:val="-86"/>
        </w:rPr>
      </w:r>
      <w:r>
        <w:rPr/>
        <w:t>成本、发出商品等。</w:t>
      </w:r>
    </w:p>
    <w:p>
      <w:pPr>
        <w:pStyle w:val="BodyText"/>
        <w:spacing w:line="256" w:lineRule="auto"/>
        <w:ind w:left="634" w:right="2292"/>
        <w:jc w:val="left"/>
      </w:pPr>
      <w:r>
        <w:rPr/>
        <w:t>（</w:t>
      </w:r>
      <w:r>
        <w:rPr>
          <w:rFonts w:ascii="Times New Roman" w:hAnsi="Times New Roman" w:cs="Times New Roman" w:eastAsia="Times New Roman" w:hint="default"/>
        </w:rPr>
        <w:t>2</w:t>
      </w:r>
      <w:r>
        <w:rPr/>
        <w:t>）存货取得和发出的计价方法 本公司取得的存货按成本进行初始计量，发出按加权平均法确定发出存货的实际成本。</w:t>
      </w:r>
    </w:p>
    <w:p>
      <w:pPr>
        <w:pStyle w:val="BodyText"/>
        <w:spacing w:line="256" w:lineRule="auto" w:before="22"/>
        <w:ind w:left="633" w:right="1121"/>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w:t>
      </w:r>
    </w:p>
    <w:p>
      <w:pPr>
        <w:pStyle w:val="BodyText"/>
        <w:spacing w:line="273" w:lineRule="auto" w:before="22"/>
        <w:ind w:right="0"/>
        <w:jc w:val="left"/>
      </w:pP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273" w:lineRule="auto"/>
        <w:ind w:right="1121" w:firstLine="480"/>
        <w:jc w:val="left"/>
      </w:pPr>
      <w:r>
        <w:rPr>
          <w:spacing w:val="-2"/>
        </w:rPr>
        <w:t>在资产负债表日，存货按照成本与可变现净值孰低计量。当其可变现净值低于成本时，提取存货跌价</w:t>
      </w:r>
      <w:r>
        <w:rPr/>
        <w:t> 准备。存货跌价准备按单个存货项目的成本高于其可变现净值的差额提取。</w:t>
      </w:r>
    </w:p>
    <w:p>
      <w:pPr>
        <w:pStyle w:val="BodyText"/>
        <w:spacing w:line="273" w:lineRule="auto"/>
        <w:ind w:right="1121" w:firstLine="480"/>
        <w:jc w:val="left"/>
      </w:pPr>
      <w:r>
        <w:rPr>
          <w:spacing w:val="-2"/>
        </w:rPr>
        <w:t>计提存货跌价准备后，如果以前减记存货价值的影响因素已经消失，导致存货的可变现净值高于其账</w:t>
      </w:r>
      <w:r>
        <w:rPr/>
        <w:t> 面价值的，在原已计提的存货跌价准备金额内予以转回，转回的金额计入当期损益。</w:t>
      </w:r>
    </w:p>
    <w:p>
      <w:pPr>
        <w:pStyle w:val="BodyText"/>
        <w:spacing w:line="240" w:lineRule="auto"/>
        <w:ind w:left="633" w:right="0"/>
        <w:jc w:val="left"/>
      </w:pPr>
      <w:r>
        <w:rPr/>
        <w:t>（</w:t>
      </w:r>
      <w:r>
        <w:rPr>
          <w:rFonts w:ascii="Times New Roman" w:hAnsi="Times New Roman" w:cs="Times New Roman" w:eastAsia="Times New Roman" w:hint="default"/>
        </w:rPr>
        <w:t>4</w:t>
      </w:r>
      <w:r>
        <w:rPr/>
        <w:t>）存货的盘存制度为永续盘存制。</w:t>
      </w:r>
    </w:p>
    <w:p>
      <w:pPr>
        <w:pStyle w:val="BodyText"/>
        <w:spacing w:line="256" w:lineRule="auto" w:before="21"/>
        <w:ind w:left="633" w:right="3133"/>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590" w:lineRule="atLeast" w:before="24"/>
        <w:ind w:left="633" w:right="1121" w:hanging="480"/>
        <w:jc w:val="left"/>
        <w:rPr>
          <w:rFonts w:ascii="宋体" w:hAnsi="宋体" w:cs="宋体" w:eastAsia="宋体" w:hint="default"/>
          <w:sz w:val="21"/>
          <w:szCs w:val="21"/>
        </w:rPr>
      </w:pPr>
      <w:bookmarkStart w:name="13、划分为持有待售资产" w:id="178"/>
      <w:bookmarkEnd w:id="178"/>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pacing w:val="-2"/>
          <w:sz w:val="21"/>
          <w:szCs w:val="21"/>
        </w:rPr>
        <w:t>若某项非流动资产在其当前状况下仅根据出售此类资产的惯常条款即可立即出售，本公司已就处置该</w:t>
      </w:r>
    </w:p>
    <w:p>
      <w:pPr>
        <w:pStyle w:val="BodyText"/>
        <w:spacing w:line="268" w:lineRule="auto" w:before="37"/>
        <w:ind w:right="1024"/>
        <w:jc w:val="left"/>
      </w:pPr>
      <w:r>
        <w:rPr/>
        <w:t>项非流动资产作出决议，已经与受让方签订了不可撤销的转让协议，且该项转让将在一年内完成，则该非 流动资产作为持有待售非流动资产核算，自划分为持有待售之日起不计提折旧或进行摊销，按照账面价值 与公允价值减去处置费用后的净额孰低计量。持有待售的非流动资产包括单项资产和处置组。如果处置组 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资产减值》所定义的资产组，并且按照该准则的规定将企业合并中取得 </w:t>
      </w:r>
      <w:r>
        <w:rPr>
          <w:spacing w:val="-3"/>
        </w:rPr>
        <w:t>的商誉分摊至该资产组，或者该处置组是资产组中的一项经营，则该处置组包括企业合并中所形成的商誉。</w:t>
      </w:r>
    </w:p>
    <w:p>
      <w:pPr>
        <w:pStyle w:val="BodyText"/>
        <w:spacing w:line="273" w:lineRule="auto" w:before="12"/>
        <w:ind w:left="154" w:right="1120" w:firstLine="480"/>
        <w:jc w:val="left"/>
      </w:pPr>
      <w:r>
        <w:rPr>
          <w:spacing w:val="-2"/>
        </w:rPr>
        <w:t>被划分为持有待售的单项非流动资产和处置组中的资产，在资产负债表的流动资产部分单独列报；被</w:t>
      </w:r>
      <w:r>
        <w:rPr/>
        <w:t> 划分为持有待售的处置组中的与转让资产相关的负债，在资产负债表的流动负债部分单独列报。</w:t>
      </w:r>
    </w:p>
    <w:p>
      <w:pPr>
        <w:pStyle w:val="BodyText"/>
        <w:spacing w:line="266" w:lineRule="auto"/>
        <w:ind w:right="1278" w:firstLine="480"/>
        <w:jc w:val="both"/>
      </w:pPr>
      <w:r>
        <w:rPr>
          <w:spacing w:val="-1"/>
        </w:rPr>
        <w:t>某项资产或处置组被划归为持有待售，但后来不再满足持有待售的非流动资产的确认条件，本公司</w:t>
      </w:r>
      <w:r>
        <w:rPr/>
        <w:t> </w:t>
      </w:r>
      <w:r>
        <w:rPr>
          <w:spacing w:val="-2"/>
        </w:rPr>
        <w:t>停止将其划归为持有待售，并按照下列两项金额中较低者进行计量：（</w:t>
      </w:r>
      <w:r>
        <w:rPr>
          <w:rFonts w:ascii="Times New Roman" w:hAnsi="Times New Roman" w:cs="Times New Roman" w:eastAsia="Times New Roman" w:hint="default"/>
          <w:spacing w:val="-2"/>
        </w:rPr>
        <w:t>1</w:t>
      </w:r>
      <w:r>
        <w:rPr>
          <w:spacing w:val="-2"/>
        </w:rPr>
        <w:t>）该资产或处置组被划归为持有</w:t>
      </w:r>
      <w:r>
        <w:rPr>
          <w:spacing w:val="-80"/>
        </w:rPr>
        <w:t> </w:t>
      </w:r>
      <w:r>
        <w:rPr>
          <w:spacing w:val="-80"/>
        </w:rPr>
      </w:r>
      <w:r>
        <w:rPr/>
        <w:t>待售之前的账面价值，按照其假定在没有被划归为持有待售的情况下原应确认的折旧、摊销或减值进行</w:t>
      </w:r>
      <w:r>
        <w:rPr>
          <w:spacing w:val="-70"/>
        </w:rPr>
        <w:t> </w:t>
      </w:r>
      <w:r>
        <w:rPr>
          <w:spacing w:val="-70"/>
        </w:rPr>
      </w:r>
      <w:r>
        <w:rPr/>
        <w:t>调整后的金额；（</w:t>
      </w:r>
      <w:r>
        <w:rPr>
          <w:rFonts w:ascii="Times New Roman" w:hAnsi="Times New Roman" w:cs="Times New Roman" w:eastAsia="Times New Roman" w:hint="default"/>
        </w:rPr>
        <w:t>2</w:t>
      </w:r>
      <w:r>
        <w:rPr/>
        <w:t>）决定不再出售之日的可收回金额。</w:t>
      </w:r>
    </w:p>
    <w:p>
      <w:pPr>
        <w:spacing w:after="0" w:line="266" w:lineRule="auto"/>
        <w:jc w:val="both"/>
        <w:sectPr>
          <w:footerReference w:type="default" r:id="rId28"/>
          <w:pgSz w:w="11910" w:h="16840"/>
          <w:pgMar w:footer="979" w:header="877"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both"/>
        <w:rPr>
          <w:b w:val="0"/>
          <w:bCs w:val="0"/>
        </w:rPr>
      </w:pPr>
      <w:bookmarkStart w:name="14、长期股权投资" w:id="179"/>
      <w:bookmarkEnd w:id="17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0" w:firstLine="480"/>
        <w:jc w:val="left"/>
      </w:pPr>
      <w:r>
        <w:rPr/>
        <w:t>本部分所指的长期股权投资是指本公司对被投资单位具有控制、共同控制或重大影响的长期股权投 </w:t>
      </w: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273" w:lineRule="auto" w:before="0"/>
        <w:ind w:right="1131" w:firstLine="480"/>
        <w:jc w:val="both"/>
      </w:pPr>
      <w:r>
        <w:rPr>
          <w:spacing w:val="-2"/>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256" w:lineRule="auto"/>
        <w:ind w:left="633" w:right="1121"/>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w:t>
      </w:r>
    </w:p>
    <w:p>
      <w:pPr>
        <w:pStyle w:val="BodyText"/>
        <w:spacing w:line="268" w:lineRule="auto" w:before="22"/>
        <w:ind w:right="1131"/>
        <w:jc w:val="both"/>
      </w:pPr>
      <w:r>
        <w:rPr>
          <w:spacing w:val="-1"/>
        </w:rPr>
        <w:t>并财务报表中的账面价值的份额作为长期股权投资的初始投资成本。长期股权投资初始投资成本与支付的</w:t>
      </w:r>
      <w:r>
        <w:rPr>
          <w:spacing w:val="-81"/>
        </w:rPr>
        <w:t> </w:t>
      </w:r>
      <w:r>
        <w:rPr>
          <w:spacing w:val="-81"/>
        </w:rPr>
      </w:r>
      <w:r>
        <w:rPr>
          <w:spacing w:val="-1"/>
        </w:rPr>
        <w:t>现金、转让的非现金资产以及所承担债务账面价值之间的差额，调整资本公积；资本公积不足冲减的，调</w:t>
      </w:r>
      <w:r>
        <w:rPr>
          <w:spacing w:val="-84"/>
        </w:rPr>
        <w:t> </w:t>
      </w:r>
      <w:r>
        <w:rPr>
          <w:spacing w:val="-84"/>
        </w:rPr>
      </w:r>
      <w:r>
        <w:rPr>
          <w:spacing w:val="-1"/>
        </w:rPr>
        <w:t>整留存收益。以发行权益性证券作为合并对价的，在合并日按照被合并方所有者权益在最终控制方合并财</w:t>
      </w:r>
      <w:r>
        <w:rPr>
          <w:spacing w:val="-81"/>
        </w:rPr>
        <w:t> </w:t>
      </w:r>
      <w:r>
        <w:rPr>
          <w:spacing w:val="-81"/>
        </w:rPr>
      </w:r>
      <w:r>
        <w:rPr>
          <w:spacing w:val="-1"/>
        </w:rPr>
        <w:t>务报表中的账面价值的份额作为长期股权投资的初始投资成本，按照发行股份的面值总额作为股本，长期</w:t>
      </w:r>
      <w:r>
        <w:rPr>
          <w:spacing w:val="-81"/>
        </w:rPr>
        <w:t> </w:t>
      </w:r>
      <w:r>
        <w:rPr>
          <w:spacing w:val="-81"/>
        </w:rPr>
      </w:r>
      <w:r>
        <w:rPr>
          <w:spacing w:val="-1"/>
        </w:rPr>
        <w:t>股权投资初始投资成本与所发行股份面值总额之间的差额，调整资本公积；资本公积不足冲减的，调整留</w:t>
      </w:r>
      <w:r>
        <w:rPr>
          <w:spacing w:val="-83"/>
        </w:rPr>
        <w:t> </w:t>
      </w:r>
      <w:r>
        <w:rPr>
          <w:spacing w:val="-83"/>
        </w:rPr>
      </w:r>
      <w:r>
        <w:rPr>
          <w:spacing w:val="-1"/>
        </w:rPr>
        <w:t>存收益。通过多次交易分步取得同一控制下被合并方的股权，最终形成同一控制下企业合并的，应分别是</w:t>
      </w:r>
      <w:r>
        <w:rPr>
          <w:spacing w:val="-83"/>
        </w:rPr>
        <w:t> </w:t>
      </w:r>
      <w:r>
        <w:rPr>
          <w:spacing w:val="-83"/>
        </w:rPr>
      </w:r>
      <w:r>
        <w:rPr/>
        <w:t>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 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的，在合并日按照应享有被合并方所有者权益在最终控制方合并财务报表中的账 </w:t>
      </w:r>
      <w:r>
        <w:rPr>
          <w:spacing w:val="-1"/>
        </w:rPr>
        <w:t>面价值的份额作为长期股权投资的初始投资成本，长期股权投资初始投资成本与达到合并前的长期股权投</w:t>
      </w:r>
      <w:r>
        <w:rPr>
          <w:spacing w:val="-81"/>
        </w:rPr>
        <w:t> </w:t>
      </w:r>
      <w:r>
        <w:rPr>
          <w:spacing w:val="-81"/>
        </w:rPr>
      </w:r>
      <w:r>
        <w:rPr>
          <w:spacing w:val="-1"/>
        </w:rPr>
        <w:t>资账面价值加上合并日进一步取得股份新支付对价的账面价值之和的差额，调整资本公积；资本公积不足</w:t>
      </w:r>
      <w:r>
        <w:rPr>
          <w:spacing w:val="-81"/>
        </w:rPr>
        <w:t> </w:t>
      </w:r>
      <w:r>
        <w:rPr>
          <w:spacing w:val="-81"/>
        </w:rPr>
      </w:r>
      <w:r>
        <w:rPr/>
        <w:t>冲减的，调整留存收益。</w:t>
      </w:r>
    </w:p>
    <w:p>
      <w:pPr>
        <w:pStyle w:val="BodyText"/>
        <w:spacing w:line="266" w:lineRule="auto" w:before="12"/>
        <w:ind w:right="1121" w:firstLine="480"/>
        <w:jc w:val="left"/>
      </w:pPr>
      <w:r>
        <w:rPr>
          <w:spacing w:val="-2"/>
        </w:rPr>
        <w:t>对于非同一控制下的企业合并取得的长期股权投资，在购买日按照合并成本作为长期股权投资的初始</w:t>
      </w:r>
      <w:r>
        <w:rPr/>
        <w:t> </w:t>
      </w:r>
      <w:r>
        <w:rPr>
          <w:spacing w:val="-1"/>
        </w:rPr>
        <w:t>投资成本，合并成本包括购买方付出的资产、发生或承担的负债、发行的权益性证券的公允价值之和。通</w:t>
      </w:r>
      <w:r>
        <w:rPr>
          <w:spacing w:val="-84"/>
        </w:rPr>
        <w:t> </w:t>
      </w:r>
      <w:r>
        <w:rPr>
          <w:spacing w:val="-84"/>
        </w:rPr>
      </w:r>
      <w:r>
        <w:rPr/>
        <w:t>过多次交易分步取得被购买方的股权，最终形成非同一控制下的企业合并的，应分别是否属于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的，按照原持有被购买方的股权投资账面价值加上新增投资成本之和，作为改按成本法核算的长 </w:t>
      </w:r>
      <w:r>
        <w:rPr>
          <w:spacing w:val="-1"/>
        </w:rPr>
        <w:t>期股权投资的初始投资成本。原持有的股权采用权益法核算的，相关其他综合收益暂不进行会计处理。原</w:t>
      </w:r>
      <w:r>
        <w:rPr>
          <w:spacing w:val="-83"/>
        </w:rPr>
        <w:t> </w:t>
      </w:r>
      <w:r>
        <w:rPr>
          <w:spacing w:val="-83"/>
        </w:rPr>
      </w:r>
      <w:r>
        <w:rPr>
          <w:spacing w:val="-1"/>
        </w:rPr>
        <w:t>持有股权投资为可供出售金融资产的，其公允价值与账面价值之间的差额，以及原计入其他综合收益的累</w:t>
      </w:r>
      <w:r>
        <w:rPr>
          <w:spacing w:val="-81"/>
        </w:rPr>
        <w:t> </w:t>
      </w:r>
      <w:r>
        <w:rPr>
          <w:spacing w:val="-81"/>
        </w:rPr>
      </w:r>
      <w:r>
        <w:rPr/>
        <w:t>计公允价值变动转入当期损益。</w:t>
      </w:r>
    </w:p>
    <w:p>
      <w:pPr>
        <w:pStyle w:val="BodyText"/>
        <w:spacing w:line="273" w:lineRule="auto" w:before="14"/>
        <w:ind w:right="1121" w:firstLine="480"/>
        <w:jc w:val="left"/>
      </w:pPr>
      <w:r>
        <w:rPr>
          <w:spacing w:val="-2"/>
        </w:rPr>
        <w:t>合并方或购买方为企业合并发生的审计、法律服务、评估咨询等中介费用以及其他相关管理费用，于</w:t>
      </w:r>
      <w:r>
        <w:rPr/>
        <w:t> 发生时计入当期损益。</w:t>
      </w:r>
    </w:p>
    <w:p>
      <w:pPr>
        <w:pStyle w:val="BodyText"/>
        <w:spacing w:line="271" w:lineRule="auto"/>
        <w:ind w:right="1110" w:firstLine="480"/>
        <w:jc w:val="both"/>
      </w:pPr>
      <w:r>
        <w:rPr>
          <w:spacing w:val="-2"/>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金融工具确认和计量》确定的原持有股权投资的公允价值加上新增投资成本</w:t>
      </w:r>
      <w:r>
        <w:rPr>
          <w:spacing w:val="-81"/>
        </w:rPr>
        <w:t> </w:t>
      </w:r>
      <w:r>
        <w:rPr>
          <w:spacing w:val="-81"/>
        </w:rPr>
      </w:r>
      <w:r>
        <w:rPr/>
        <w:t>之和。</w:t>
      </w:r>
    </w:p>
    <w:p>
      <w:pPr>
        <w:pStyle w:val="BodyText"/>
        <w:spacing w:line="256" w:lineRule="auto" w:before="10"/>
        <w:ind w:left="634" w:right="1032"/>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w:t>
      </w:r>
    </w:p>
    <w:p>
      <w:pPr>
        <w:pStyle w:val="BodyText"/>
        <w:spacing w:line="240" w:lineRule="auto" w:before="23"/>
        <w:ind w:left="154" w:right="0"/>
        <w:jc w:val="both"/>
      </w:pPr>
      <w:r>
        <w:rPr/>
        <w:t>此外，公司财务报表采用成本法核算能够对被投资单位实施控制的长期股权投资。</w:t>
      </w:r>
    </w:p>
    <w:p>
      <w:pPr>
        <w:pStyle w:val="BodyText"/>
        <w:spacing w:line="273" w:lineRule="auto" w:before="37"/>
        <w:ind w:left="633" w:right="1033"/>
        <w:jc w:val="left"/>
      </w:pPr>
      <w:r>
        <w:rPr/>
        <w:t>①</w:t>
      </w:r>
      <w:r>
        <w:rPr>
          <w:spacing w:val="-21"/>
        </w:rPr>
        <w:t> </w:t>
      </w:r>
      <w:r>
        <w:rPr/>
        <w:t>成本法核算的长期股权投资</w:t>
      </w:r>
      <w:r>
        <w:rPr/>
        <w:t> 采用成本法核算时，长期股权投资按初始投资成本计价，追加或收回投资调整长期股权投资的成本。</w:t>
      </w:r>
    </w:p>
    <w:p>
      <w:pPr>
        <w:pStyle w:val="BodyText"/>
        <w:spacing w:line="240" w:lineRule="auto"/>
        <w:ind w:right="0"/>
        <w:jc w:val="both"/>
      </w:pPr>
      <w:r>
        <w:rPr/>
        <w:t>除取得投资时实际支付的价款或者对价中包含的已宣告但尚未发放的现金股利或者利润外，当期投资收益</w:t>
      </w:r>
    </w:p>
    <w:p>
      <w:pPr>
        <w:spacing w:after="0" w:line="240" w:lineRule="auto"/>
        <w:jc w:val="both"/>
        <w:sectPr>
          <w:footerReference w:type="default" r:id="rId29"/>
          <w:pgSz w:w="11910" w:h="16840"/>
          <w:pgMar w:footer="979" w:header="877" w:top="1100" w:bottom="1160" w:left="980" w:right="0"/>
          <w:pgNumType w:start="101"/>
        </w:sectPr>
      </w:pPr>
    </w:p>
    <w:p>
      <w:pPr>
        <w:spacing w:line="240" w:lineRule="auto" w:before="9"/>
        <w:rPr>
          <w:rFonts w:ascii="宋体" w:hAnsi="宋体" w:cs="宋体" w:eastAsia="宋体" w:hint="default"/>
          <w:sz w:val="20"/>
          <w:szCs w:val="20"/>
        </w:rPr>
      </w:pPr>
    </w:p>
    <w:p>
      <w:pPr>
        <w:pStyle w:val="BodyText"/>
        <w:spacing w:line="240" w:lineRule="auto" w:before="35"/>
        <w:ind w:left="154" w:right="0"/>
        <w:jc w:val="both"/>
      </w:pPr>
      <w:r>
        <w:rPr/>
        <w:t>按照享有被投资单位宣告发放的现金股利或利润确认。</w:t>
      </w:r>
    </w:p>
    <w:p>
      <w:pPr>
        <w:pStyle w:val="BodyText"/>
        <w:spacing w:line="273" w:lineRule="auto" w:before="37"/>
        <w:ind w:left="633" w:right="1121"/>
        <w:jc w:val="left"/>
      </w:pPr>
      <w:r>
        <w:rPr/>
        <w:t>②</w:t>
      </w:r>
      <w:r>
        <w:rPr>
          <w:spacing w:val="-21"/>
        </w:rPr>
        <w:t> </w:t>
      </w:r>
      <w:r>
        <w:rPr/>
        <w:t>权益法核算的长期股权投资</w:t>
      </w:r>
      <w:r>
        <w:rPr/>
        <w:t> </w:t>
      </w:r>
      <w:r>
        <w:rPr>
          <w:spacing w:val="-2"/>
        </w:rPr>
        <w:t>采用权益法核算时，长期股权投资的初始投资成本大于投资时应享有被投资单位可辨认净资产公允价</w:t>
      </w:r>
    </w:p>
    <w:p>
      <w:pPr>
        <w:pStyle w:val="BodyText"/>
        <w:spacing w:line="273" w:lineRule="auto"/>
        <w:ind w:right="1131"/>
        <w:jc w:val="both"/>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271" w:lineRule="auto"/>
        <w:ind w:right="1130" w:firstLine="480"/>
        <w:jc w:val="both"/>
      </w:pPr>
      <w:r>
        <w:rPr>
          <w:spacing w:val="-2"/>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2"/>
        </w:rPr>
        <w:t> </w:t>
      </w:r>
      <w:r>
        <w:rPr>
          <w:spacing w:val="-82"/>
        </w:rPr>
      </w:r>
      <w:r>
        <w:rPr>
          <w:spacing w:val="-1"/>
        </w:rPr>
        <w:t>及合营企业购入的资产构成业务的，按《企业会计准则第</w:t>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企业合并》的规定进行会计处理，全额</w:t>
      </w:r>
      <w:r>
        <w:rPr>
          <w:spacing w:val="-86"/>
        </w:rPr>
        <w:t> </w:t>
      </w:r>
      <w:r>
        <w:rPr>
          <w:spacing w:val="-86"/>
        </w:rPr>
      </w:r>
      <w:r>
        <w:rPr/>
        <w:t>确认与交易相关的利得或损失。</w:t>
      </w:r>
    </w:p>
    <w:p>
      <w:pPr>
        <w:pStyle w:val="BodyText"/>
        <w:spacing w:line="273" w:lineRule="auto" w:before="10"/>
        <w:ind w:left="154" w:right="1131" w:firstLine="480"/>
        <w:jc w:val="both"/>
      </w:pPr>
      <w:r>
        <w:rPr>
          <w:spacing w:val="-2"/>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273" w:lineRule="auto"/>
        <w:ind w:left="633" w:right="1121"/>
        <w:jc w:val="left"/>
      </w:pPr>
      <w:r>
        <w:rPr/>
        <w:t>③</w:t>
      </w:r>
      <w:r>
        <w:rPr>
          <w:spacing w:val="-21"/>
        </w:rPr>
        <w:t> </w:t>
      </w:r>
      <w:r>
        <w:rPr/>
        <w:t>收购少数股权</w:t>
      </w:r>
      <w:r>
        <w:rPr/>
        <w:t> </w:t>
      </w:r>
      <w:r>
        <w:rPr>
          <w:spacing w:val="-2"/>
        </w:rPr>
        <w:t>在编制合并财务报表时，因购买少数股权新增的长期股权投资与按照新增持股比例计算应享有子公司</w:t>
      </w:r>
    </w:p>
    <w:p>
      <w:pPr>
        <w:pStyle w:val="BodyText"/>
        <w:spacing w:line="273" w:lineRule="auto"/>
        <w:ind w:right="1133"/>
        <w:jc w:val="both"/>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273" w:lineRule="auto"/>
        <w:ind w:left="633" w:right="1121"/>
        <w:jc w:val="left"/>
      </w:pPr>
      <w:r>
        <w:rPr/>
        <w:t>④</w:t>
      </w:r>
      <w:r>
        <w:rPr>
          <w:spacing w:val="-21"/>
        </w:rPr>
        <w:t> </w:t>
      </w:r>
      <w:r>
        <w:rPr/>
        <w:t>处置长期股权投资</w:t>
      </w:r>
      <w:r>
        <w:rPr/>
        <w:t> </w:t>
      </w:r>
      <w:r>
        <w:rPr>
          <w:spacing w:val="-2"/>
        </w:rPr>
        <w:t>在合并财务报表中，母公司在不丧失控制权的情况下部分处置对子公司的长期股权投资，处置价款与</w:t>
      </w:r>
    </w:p>
    <w:p>
      <w:pPr>
        <w:pStyle w:val="BodyText"/>
        <w:spacing w:line="264" w:lineRule="auto"/>
        <w:ind w:right="1132"/>
        <w:jc w:val="both"/>
      </w:pPr>
      <w:r>
        <w:rPr>
          <w:spacing w:val="-1"/>
        </w:rPr>
        <w:t>处置长期股权投资相对应享有子公司净资产的差额计入股东权益；母公司部分处置对子公司的长期股权投</w:t>
      </w:r>
      <w:r>
        <w:rPr>
          <w:spacing w:val="-81"/>
        </w:rPr>
        <w:t> </w:t>
      </w:r>
      <w:r>
        <w:rPr>
          <w:spacing w:val="-81"/>
        </w:rPr>
      </w:r>
      <w:r>
        <w:rPr/>
        <w:t>资导致丧失对子公司控制权的，按本附注四、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 处理。</w:t>
      </w:r>
    </w:p>
    <w:p>
      <w:pPr>
        <w:pStyle w:val="BodyText"/>
        <w:spacing w:line="240" w:lineRule="auto" w:before="16"/>
        <w:ind w:left="633" w:right="0"/>
        <w:jc w:val="left"/>
      </w:pPr>
      <w:r>
        <w:rPr/>
        <w:t>其他情形下的长期股权投资处置，对于处置的股权，其账面价值与实际取得价款的差额，计入当期损</w:t>
      </w:r>
    </w:p>
    <w:p>
      <w:pPr>
        <w:pStyle w:val="BodyText"/>
        <w:spacing w:line="240" w:lineRule="auto" w:before="37"/>
        <w:ind w:right="0"/>
        <w:jc w:val="left"/>
      </w:pPr>
      <w:r>
        <w:rPr/>
        <w:t>益。</w:t>
      </w:r>
    </w:p>
    <w:p>
      <w:pPr>
        <w:pStyle w:val="BodyText"/>
        <w:spacing w:line="240" w:lineRule="auto" w:before="37"/>
        <w:ind w:left="634" w:right="0"/>
        <w:jc w:val="left"/>
      </w:pPr>
      <w:r>
        <w:rPr/>
        <w:t>采用权益法核算的长期股权投资，处置后的剩余股权仍采用权益法核算的，在处置时将原计入股东权</w:t>
      </w:r>
    </w:p>
    <w:p>
      <w:pPr>
        <w:pStyle w:val="BodyText"/>
        <w:spacing w:line="273" w:lineRule="auto" w:before="37"/>
        <w:ind w:left="154" w:right="0"/>
        <w:jc w:val="left"/>
      </w:pPr>
      <w:r>
        <w:rPr/>
        <w:t>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273" w:lineRule="auto"/>
        <w:ind w:left="154" w:right="1130" w:firstLine="480"/>
        <w:jc w:val="both"/>
      </w:pPr>
      <w:r>
        <w:rPr>
          <w:spacing w:val="-2"/>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0"/>
        </w:rPr>
        <w:t> </w:t>
      </w:r>
      <w:r>
        <w:rPr>
          <w:spacing w:val="-80"/>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240" w:lineRule="auto"/>
        <w:ind w:left="633" w:right="0"/>
        <w:jc w:val="left"/>
      </w:pPr>
      <w:r>
        <w:rPr/>
        <w:t>本公司因处置部分股权投资丧失了对被投资单位的控制的，在编制个别财务报表时，处置后的剩余股</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left="154" w:right="1131"/>
        <w:jc w:val="both"/>
      </w:pP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273" w:lineRule="auto"/>
        <w:ind w:right="1131" w:firstLine="480"/>
        <w:jc w:val="both"/>
      </w:pPr>
      <w:r>
        <w:rPr>
          <w:spacing w:val="-2"/>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273" w:lineRule="auto"/>
        <w:ind w:right="1033" w:firstLine="480"/>
        <w:jc w:val="left"/>
      </w:pPr>
      <w:r>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bookmarkStart w:name="15、投资性房地产" w:id="180"/>
      <w:bookmarkEnd w:id="18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0"/>
        <w:ind w:left="154" w:right="1050" w:firstLine="480"/>
        <w:jc w:val="both"/>
      </w:pPr>
      <w:r>
        <w:rPr/>
        <w:t>投资性房地产是指为赚取租金或资本增值，或两者兼有而持有的房地产。包括已出租的土地使用权、 持有并准备增值后转让的土地使用权、已出租的建筑物等。</w:t>
      </w:r>
    </w:p>
    <w:p>
      <w:pPr>
        <w:pStyle w:val="BodyText"/>
        <w:spacing w:line="273" w:lineRule="auto"/>
        <w:ind w:left="154" w:right="1110" w:firstLine="480"/>
        <w:jc w:val="right"/>
      </w:pPr>
      <w:r>
        <w:rPr>
          <w:spacing w:val="-2"/>
        </w:rPr>
        <w:t>投资性房地产按成本进行初始计量。与投资性房地产有关的后续支出，如果与该资产有关的经济利益</w:t>
      </w:r>
      <w:r>
        <w:rPr/>
        <w:t> 很可能流入且其成本能可靠地计量，则计入投资性房地产成本。其他后续支出，在发生时计入当期损益。 </w:t>
      </w:r>
      <w:r>
        <w:rPr>
          <w:spacing w:val="-2"/>
        </w:rPr>
        <w:t>本公司采用成本模式对投资性房地产进行后续计量，并按照与房屋建筑物或土地使用权一致的政策进</w:t>
      </w:r>
    </w:p>
    <w:p>
      <w:pPr>
        <w:pStyle w:val="BodyText"/>
        <w:spacing w:line="240" w:lineRule="auto"/>
        <w:ind w:left="154" w:right="0"/>
        <w:jc w:val="both"/>
      </w:pPr>
      <w:r>
        <w:rPr/>
        <w:t>行折旧或摊销。</w:t>
      </w:r>
    </w:p>
    <w:p>
      <w:pPr>
        <w:pStyle w:val="BodyText"/>
        <w:spacing w:line="256" w:lineRule="auto" w:before="37"/>
        <w:ind w:left="633" w:right="1121"/>
        <w:jc w:val="left"/>
      </w:pPr>
      <w:r>
        <w:rPr/>
        <w:t>投资性房地产的减值测试方法和减值准备计提方法详见附注五、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w:t>
      </w:r>
    </w:p>
    <w:p>
      <w:pPr>
        <w:pStyle w:val="BodyText"/>
        <w:spacing w:line="273" w:lineRule="auto" w:before="22"/>
        <w:ind w:left="633" w:right="1033" w:hanging="480"/>
        <w:jc w:val="left"/>
      </w:pPr>
      <w:r>
        <w:rPr/>
        <w:t>为转换后的入账价值。 投资性房地产的用途改变为自用时，自改变之日起，将该投资性房地产转换为固定资产或无形资产。</w:t>
      </w:r>
    </w:p>
    <w:p>
      <w:pPr>
        <w:pStyle w:val="BodyText"/>
        <w:spacing w:line="273" w:lineRule="auto"/>
        <w:ind w:right="1131"/>
        <w:jc w:val="both"/>
      </w:pPr>
      <w:r>
        <w:rPr>
          <w:spacing w:val="-1"/>
        </w:rPr>
        <w:t>自用房地产的用途改变为赚取租金或资本增值时，自改变之日起，将固定资产或无形资产转换为投资性房</w:t>
      </w:r>
      <w:r>
        <w:rPr>
          <w:spacing w:val="-81"/>
        </w:rPr>
        <w:t> </w:t>
      </w:r>
      <w:r>
        <w:rPr>
          <w:spacing w:val="-81"/>
        </w:rPr>
      </w:r>
      <w:r>
        <w:rPr>
          <w:spacing w:val="-1"/>
        </w:rPr>
        <w:t>地产。发生转换时，转换为采用成本模式计量的投资性房地产的，以转换前的账面价值作为转换后的入账</w:t>
      </w:r>
      <w:r>
        <w:rPr>
          <w:spacing w:val="-83"/>
        </w:rPr>
        <w:t> </w:t>
      </w:r>
      <w:r>
        <w:rPr>
          <w:spacing w:val="-83"/>
        </w:rPr>
      </w:r>
      <w:r>
        <w:rPr/>
        <w:t>价值；转换为以公允价值模式计量的投资性房地产的，以转换日的公允价值作为转换后的入账价值。</w:t>
      </w:r>
    </w:p>
    <w:p>
      <w:pPr>
        <w:pStyle w:val="BodyText"/>
        <w:spacing w:line="273" w:lineRule="auto"/>
        <w:ind w:right="1131" w:firstLine="480"/>
        <w:jc w:val="both"/>
      </w:pPr>
      <w:r>
        <w:rPr>
          <w:spacing w:val="-2"/>
        </w:rPr>
        <w:t>当投资性房地产被处置、或者永久退出使用且预计不能从其处置中取得经济利益时，终止确认该项投</w:t>
      </w:r>
      <w:r>
        <w:rPr/>
        <w:t> </w:t>
      </w:r>
      <w:r>
        <w:rPr>
          <w:spacing w:val="-1"/>
        </w:rPr>
        <w:t>资性房地产。投资性房地产出售、转让、报废或毁损的处置收入扣除其账面价值和相关税费后计入当期损</w:t>
      </w:r>
      <w:r>
        <w:rPr>
          <w:spacing w:val="-83"/>
        </w:rPr>
        <w:t> </w:t>
      </w:r>
      <w:r>
        <w:rPr>
          <w:spacing w:val="-83"/>
        </w:rPr>
      </w:r>
      <w:r>
        <w:rPr/>
        <w:t>益。</w:t>
      </w:r>
    </w:p>
    <w:p>
      <w:pPr>
        <w:spacing w:after="0" w:line="273"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16、固定资产" w:id="181"/>
      <w:bookmarkEnd w:id="18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2"/>
      <w:bookmarkEnd w:id="18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w:t>
      </w:r>
      <w:r>
        <w:rPr>
          <w:rFonts w:ascii="宋体" w:hAnsi="宋体" w:cs="宋体" w:eastAsia="宋体" w:hint="default"/>
          <w:sz w:val="18"/>
          <w:szCs w:val="18"/>
        </w:rPr>
        <w:t> </w:t>
      </w:r>
      <w:r>
        <w:rPr>
          <w:rFonts w:ascii="宋体" w:hAnsi="宋体" w:cs="宋体" w:eastAsia="宋体" w:hint="default"/>
          <w:spacing w:val="-2"/>
          <w:sz w:val="18"/>
          <w:szCs w:val="18"/>
        </w:rPr>
        <w:t>在与其有关的经济利益很可能流入本公司，且其成本能够可靠地计量时才予以确认。固定资产按成本并考虑预计弃置费用因</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素的影响进行初始计量。</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折旧方法" w:id="183"/>
      <w:bookmarkEnd w:id="18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7.92%-19.00%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融资租入固定资产的认定依据、计价和折旧方法" w:id="184"/>
      <w:bookmarkEnd w:id="18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1132" w:firstLine="36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w:t>
      </w:r>
      <w:r>
        <w:rPr>
          <w:rFonts w:ascii="宋体" w:hAnsi="宋体" w:cs="宋体" w:eastAsia="宋体" w:hint="default"/>
          <w:sz w:val="18"/>
          <w:szCs w:val="18"/>
        </w:rPr>
        <w:t> 租赁方式租入的固定资产采用与自有固定资产一致的政策计提租赁资产折旧。能 够合理确定租赁期届满时取得租赁资产所 </w:t>
      </w:r>
      <w:r>
        <w:rPr>
          <w:rFonts w:ascii="宋体" w:hAnsi="宋体" w:cs="宋体" w:eastAsia="宋体" w:hint="default"/>
          <w:spacing w:val="-2"/>
          <w:sz w:val="18"/>
          <w:szCs w:val="18"/>
        </w:rPr>
        <w:t>有权的在租赁资产使用寿命内计提折旧，无法合理确定租赁期届满能够取得租赁资产所有权的，在租赁期与租赁资产使用寿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命两者中较短的期间内计提折旧。</w:t>
      </w:r>
    </w:p>
    <w:p>
      <w:pPr>
        <w:spacing w:line="240" w:lineRule="auto" w:before="3"/>
        <w:rPr>
          <w:rFonts w:ascii="宋体" w:hAnsi="宋体" w:cs="宋体" w:eastAsia="宋体" w:hint="default"/>
          <w:sz w:val="22"/>
          <w:szCs w:val="22"/>
        </w:rPr>
      </w:pPr>
    </w:p>
    <w:p>
      <w:pPr>
        <w:pStyle w:val="Heading4"/>
        <w:spacing w:line="240" w:lineRule="auto"/>
        <w:ind w:left="153" w:right="0"/>
        <w:jc w:val="left"/>
        <w:rPr>
          <w:b w:val="0"/>
          <w:bCs w:val="0"/>
        </w:rPr>
      </w:pPr>
      <w:bookmarkStart w:name="17、在建工程" w:id="185"/>
      <w:bookmarkEnd w:id="18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4" w:right="1131" w:firstLine="480"/>
        <w:jc w:val="both"/>
      </w:pPr>
      <w:r>
        <w:rPr>
          <w:spacing w:val="-2"/>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pStyle w:val="BodyText"/>
        <w:spacing w:line="240" w:lineRule="auto"/>
        <w:ind w:left="573" w:right="0"/>
        <w:jc w:val="left"/>
      </w:pPr>
      <w:r>
        <w:rPr/>
        <w:t>在建工程的减值测试方法和减值准备计提方法详见附注五、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4"/>
        <w:spacing w:line="240" w:lineRule="auto"/>
        <w:ind w:left="153" w:right="0"/>
        <w:jc w:val="left"/>
        <w:rPr>
          <w:b w:val="0"/>
          <w:bCs w:val="0"/>
        </w:rPr>
      </w:pPr>
      <w:bookmarkStart w:name="18、借款费用" w:id="186"/>
      <w:bookmarkEnd w:id="18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1" w:firstLine="480"/>
        <w:jc w:val="both"/>
      </w:pPr>
      <w:r>
        <w:rPr>
          <w:spacing w:val="-2"/>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BodyText"/>
        <w:spacing w:line="273" w:lineRule="auto"/>
        <w:ind w:left="154" w:right="1131" w:firstLine="480"/>
        <w:jc w:val="both"/>
      </w:pPr>
      <w:r>
        <w:rPr>
          <w:spacing w:val="-2"/>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273" w:lineRule="auto"/>
        <w:ind w:left="634" w:right="1032"/>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w:t>
      </w:r>
    </w:p>
    <w:p>
      <w:pPr>
        <w:pStyle w:val="BodyText"/>
        <w:spacing w:line="240" w:lineRule="auto"/>
        <w:ind w:left="154" w:right="0"/>
        <w:jc w:val="left"/>
      </w:pPr>
      <w:r>
        <w:rPr/>
        <w:t>态的固定资产、投资性房地产和存货等资产。</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56" w:lineRule="auto" w:before="35"/>
        <w:ind w:right="1133" w:firstLine="480"/>
        <w:jc w:val="both"/>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 暂停借款费用的资本化，直至资产的购建或生产活动重新开始。</w:t>
      </w:r>
    </w:p>
    <w:p>
      <w:pPr>
        <w:spacing w:line="240" w:lineRule="auto" w:before="10"/>
        <w:rPr>
          <w:rFonts w:ascii="宋体" w:hAnsi="宋体" w:cs="宋体" w:eastAsia="宋体" w:hint="default"/>
          <w:sz w:val="24"/>
          <w:szCs w:val="24"/>
        </w:rPr>
      </w:pPr>
    </w:p>
    <w:p>
      <w:pPr>
        <w:pStyle w:val="Heading4"/>
        <w:spacing w:line="240" w:lineRule="auto"/>
        <w:ind w:left="153" w:right="0"/>
        <w:jc w:val="left"/>
        <w:rPr>
          <w:b w:val="0"/>
          <w:bCs w:val="0"/>
        </w:rPr>
      </w:pPr>
      <w:bookmarkStart w:name="19、无形资产" w:id="187"/>
      <w:bookmarkEnd w:id="187"/>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188"/>
      <w:bookmarkEnd w:id="18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633" w:right="1121"/>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w:t>
      </w:r>
    </w:p>
    <w:p>
      <w:pPr>
        <w:pStyle w:val="BodyText"/>
        <w:spacing w:line="273" w:lineRule="auto"/>
        <w:ind w:left="633" w:right="1121" w:hanging="480"/>
        <w:jc w:val="left"/>
      </w:pPr>
      <w:r>
        <w:rPr/>
        <w:t>成本能可靠地计量，则计入无形资产成本。除此以外的其他项目的支出，在发生时计入当期损益。 </w:t>
      </w:r>
      <w:r>
        <w:rPr>
          <w:spacing w:val="-2"/>
        </w:rPr>
        <w:t>取得的土地使用权通常作为无形资产核算。自行开发建造厂房等建筑物，相关的土地使用权支出和建</w:t>
      </w:r>
    </w:p>
    <w:p>
      <w:pPr>
        <w:pStyle w:val="BodyText"/>
        <w:spacing w:line="273" w:lineRule="auto"/>
        <w:ind w:right="0"/>
        <w:jc w:val="left"/>
      </w:pP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BodyText"/>
        <w:spacing w:line="273" w:lineRule="auto"/>
        <w:ind w:right="1132" w:firstLine="480"/>
        <w:jc w:val="both"/>
      </w:pPr>
      <w:r>
        <w:rPr>
          <w:spacing w:val="-2"/>
        </w:rPr>
        <w:t>使用寿命有限的无形资产自可供使用时起，对其原值减去预计净残值和已计提的减值准备累计金额在</w:t>
      </w:r>
      <w:r>
        <w:rPr/>
        <w:t> 其预计使用寿命内采用直线法分期平均摊销。使用寿命不确定的无形资产不予摊销。</w:t>
      </w:r>
    </w:p>
    <w:p>
      <w:pPr>
        <w:pStyle w:val="BodyText"/>
        <w:spacing w:line="273" w:lineRule="auto"/>
        <w:ind w:right="1131" w:firstLine="840"/>
        <w:jc w:val="both"/>
      </w:pPr>
      <w:r>
        <w:rPr>
          <w:spacing w:val="-1"/>
        </w:rPr>
        <w:t>期末，对使用寿命有限的无形资产的使用寿命和摊销方法进行复核，如发生变更则作为会计估计</w:t>
      </w:r>
      <w:r>
        <w:rPr/>
        <w:t> </w:t>
      </w:r>
      <w:r>
        <w:rPr>
          <w:spacing w:val="-1"/>
        </w:rPr>
        <w:t>变更处理。此外，还对使用寿命不确定的无形资产的使用寿命进行复核，如果有证据表明该无形资产为企</w:t>
      </w:r>
      <w:r>
        <w:rPr>
          <w:spacing w:val="-83"/>
        </w:rPr>
        <w:t> </w:t>
      </w:r>
      <w:r>
        <w:rPr>
          <w:spacing w:val="-83"/>
        </w:rPr>
      </w:r>
      <w:r>
        <w:rPr>
          <w:spacing w:val="-1"/>
        </w:rPr>
        <w:t>业带来经济利益的期限是可预见的，则估计其使用寿命并按照使用寿命有限的无形资产的摊销政策进行摊</w:t>
      </w:r>
      <w:r>
        <w:rPr>
          <w:spacing w:val="-81"/>
        </w:rPr>
        <w:t> </w:t>
      </w:r>
      <w:r>
        <w:rPr>
          <w:spacing w:val="-81"/>
        </w:rPr>
      </w:r>
      <w:r>
        <w:rPr/>
        <w:t>销。</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内部研究开发支出会计政策" w:id="189"/>
      <w:bookmarkEnd w:id="18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633" w:right="1121"/>
        <w:jc w:val="left"/>
      </w:pPr>
      <w:r>
        <w:rPr/>
        <w:t>本公司内部研究开发项目的支出分为研究阶段支出与开发阶段支出。 研究阶段的支出，于发生时计入当期损益。 </w:t>
      </w:r>
      <w:r>
        <w:rPr>
          <w:spacing w:val="-2"/>
        </w:rPr>
        <w:t>开发阶段的支出同时满足下列条件的，确认为无形资产，不能满足下述条件的开发阶段的支出计入当</w:t>
      </w:r>
    </w:p>
    <w:p>
      <w:pPr>
        <w:pStyle w:val="BodyText"/>
        <w:spacing w:line="240" w:lineRule="auto"/>
        <w:ind w:left="154" w:right="0"/>
        <w:jc w:val="left"/>
      </w:pPr>
      <w:r>
        <w:rPr/>
        <w:t>期损益：</w:t>
      </w:r>
    </w:p>
    <w:p>
      <w:pPr>
        <w:pStyle w:val="BodyText"/>
        <w:spacing w:line="240" w:lineRule="auto" w:before="37"/>
        <w:ind w:left="634" w:right="0"/>
        <w:jc w:val="left"/>
      </w:pPr>
      <w:r>
        <w:rPr/>
        <w:t>①</w:t>
      </w:r>
      <w:r>
        <w:rPr>
          <w:spacing w:val="-21"/>
        </w:rPr>
        <w:t> </w:t>
      </w:r>
      <w:r>
        <w:rPr/>
        <w:t>完成该无形资产以使其能够使用或出售在技术上具有可行性；</w:t>
      </w:r>
    </w:p>
    <w:p>
      <w:pPr>
        <w:pStyle w:val="BodyText"/>
        <w:spacing w:line="240" w:lineRule="auto" w:before="37"/>
        <w:ind w:left="633" w:right="0"/>
        <w:jc w:val="left"/>
      </w:pPr>
      <w:r>
        <w:rPr/>
        <w:t>②</w:t>
      </w:r>
      <w:r>
        <w:rPr>
          <w:spacing w:val="-21"/>
        </w:rPr>
        <w:t> </w:t>
      </w:r>
      <w:r>
        <w:rPr/>
        <w:t>具有完成该无形资产并使用或出售的意图；</w:t>
      </w:r>
    </w:p>
    <w:p>
      <w:pPr>
        <w:pStyle w:val="BodyText"/>
        <w:spacing w:line="273" w:lineRule="auto" w:before="37"/>
        <w:ind w:right="1177" w:firstLine="480"/>
        <w:jc w:val="both"/>
      </w:pPr>
      <w:r>
        <w:rPr/>
        <w:t>③</w:t>
      </w:r>
      <w:r>
        <w:rPr>
          <w:spacing w:val="-21"/>
        </w:rPr>
        <w:t> </w:t>
      </w:r>
      <w:r>
        <w:rPr/>
        <w:t>无形资产产生经济利益的方式，包括能够证明运用该无形资产生产的产品存在市场或无形资产自</w:t>
      </w:r>
      <w:r>
        <w:rPr/>
        <w:t> 身存在市场，无形资产将在内部使用的，能够证明其有用性；</w:t>
      </w:r>
    </w:p>
    <w:p>
      <w:pPr>
        <w:pStyle w:val="BodyText"/>
        <w:spacing w:line="273" w:lineRule="auto"/>
        <w:ind w:right="1177" w:firstLine="480"/>
        <w:jc w:val="both"/>
      </w:pPr>
      <w:r>
        <w:rPr/>
        <w:t>④</w:t>
      </w:r>
      <w:r>
        <w:rPr>
          <w:spacing w:val="-21"/>
        </w:rPr>
        <w:t> </w:t>
      </w:r>
      <w:r>
        <w:rPr/>
        <w:t>有足够的技术、财务资源和其他资源支持，以完成该无形资产的开发，并有能力使用或出售该无</w:t>
      </w:r>
      <w:r>
        <w:rPr/>
        <w:t> 形资产；</w:t>
      </w:r>
    </w:p>
    <w:p>
      <w:pPr>
        <w:pStyle w:val="BodyText"/>
        <w:spacing w:line="273" w:lineRule="auto"/>
        <w:ind w:left="633" w:right="2713"/>
        <w:jc w:val="left"/>
      </w:pPr>
      <w:r>
        <w:rPr/>
        <w:t>⑤</w:t>
      </w:r>
      <w:r>
        <w:rPr>
          <w:spacing w:val="-21"/>
        </w:rPr>
        <w:t> </w:t>
      </w:r>
      <w:r>
        <w:rPr/>
        <w:t>归属于该无形资产开发阶段的支出能够可靠地计量。</w:t>
      </w:r>
      <w:r>
        <w:rPr/>
        <w:t> 无法区分研究阶段支出和开发阶段支出的，将发生的研发支出全部计入当期损益。</w:t>
      </w:r>
    </w:p>
    <w:p>
      <w:pPr>
        <w:pStyle w:val="BodyText"/>
        <w:spacing w:line="590" w:lineRule="atLeast" w:before="9"/>
        <w:ind w:left="634" w:right="1032" w:hanging="480"/>
        <w:jc w:val="left"/>
      </w:pPr>
      <w:bookmarkStart w:name="20、长期资产减值" w:id="190"/>
      <w:bookmarkEnd w:id="190"/>
      <w:r>
        <w:rPr/>
      </w: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99"/>
        </w:rPr>
        <w:t> </w:t>
      </w:r>
      <w:r>
        <w:rPr/>
        <w:t>对于固定资产、在建工程、使用寿命有限的无形资产、以成本模式计量的投资性房地产及对子公司、</w:t>
      </w:r>
    </w:p>
    <w:p>
      <w:pPr>
        <w:pStyle w:val="BodyText"/>
        <w:spacing w:line="273" w:lineRule="auto" w:before="37"/>
        <w:ind w:left="154" w:right="1023"/>
        <w:jc w:val="left"/>
      </w:pP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273" w:lineRule="auto"/>
        <w:ind w:right="1131" w:firstLine="480"/>
        <w:jc w:val="both"/>
      </w:pPr>
      <w:r>
        <w:rPr>
          <w:spacing w:val="-2"/>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left="154" w:right="1110"/>
        <w:jc w:val="both"/>
      </w:pP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273" w:lineRule="auto"/>
        <w:ind w:left="154" w:right="1131" w:firstLine="480"/>
        <w:jc w:val="both"/>
      </w:pPr>
      <w:r>
        <w:rPr>
          <w:spacing w:val="-2"/>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ind w:left="634" w:right="0"/>
        <w:jc w:val="left"/>
      </w:pPr>
      <w:r>
        <w:rPr/>
        <w:t>上述资产减值损失一经确认，以后期间不予转回价值得以恢复的部分。</w:t>
      </w:r>
    </w:p>
    <w:p>
      <w:pPr>
        <w:pStyle w:val="BodyText"/>
        <w:spacing w:line="590" w:lineRule="atLeast" w:before="39"/>
        <w:ind w:left="634" w:right="1242" w:hanging="480"/>
        <w:jc w:val="left"/>
      </w:pPr>
      <w:bookmarkStart w:name="21、长期待摊费用" w:id="191"/>
      <w:bookmarkEnd w:id="191"/>
      <w:r>
        <w:rPr/>
      </w: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99"/>
        </w:rPr>
        <w:t> </w:t>
      </w:r>
      <w:r>
        <w:rPr/>
        <w:t>本公司将已经发生的但应由本年和以后各期负担的摊销期限在一年以上的经营租赁方式租入的固定</w:t>
      </w:r>
    </w:p>
    <w:p>
      <w:pPr>
        <w:pStyle w:val="BodyText"/>
        <w:spacing w:line="240" w:lineRule="auto" w:before="37"/>
        <w:ind w:left="154" w:right="0"/>
        <w:jc w:val="both"/>
      </w:pPr>
      <w:r>
        <w:rPr/>
        <w:t>资产改良支出等各项费用确认为长期待摊费用，并按项目受益期采用直线法平均摊销。</w:t>
      </w:r>
    </w:p>
    <w:p>
      <w:pPr>
        <w:spacing w:line="240" w:lineRule="auto" w:before="11"/>
        <w:rPr>
          <w:rFonts w:ascii="宋体" w:hAnsi="宋体" w:cs="宋体" w:eastAsia="宋体" w:hint="default"/>
          <w:sz w:val="25"/>
          <w:szCs w:val="25"/>
        </w:rPr>
      </w:pPr>
    </w:p>
    <w:p>
      <w:pPr>
        <w:pStyle w:val="Heading4"/>
        <w:spacing w:line="240" w:lineRule="auto"/>
        <w:ind w:left="153" w:right="0"/>
        <w:jc w:val="both"/>
        <w:rPr>
          <w:b w:val="0"/>
          <w:bCs w:val="0"/>
        </w:rPr>
      </w:pPr>
      <w:bookmarkStart w:name="22、职工薪酬" w:id="192"/>
      <w:bookmarkEnd w:id="192"/>
      <w:r>
        <w:rPr>
          <w:b w:val="0"/>
          <w:bCs w:val="0"/>
        </w:rPr>
      </w:r>
      <w:r>
        <w:rPr>
          <w:rFonts w:ascii="Times New Roman" w:hAnsi="Times New Roman" w:cs="Times New Roman" w:eastAsia="Times New Roman" w:hint="default"/>
        </w:rPr>
        <w:t>22</w:t>
      </w:r>
      <w:r>
        <w:rPr/>
        <w:t>、职工薪酬</w:t>
      </w:r>
      <w:r>
        <w:rPr>
          <w:b w:val="0"/>
          <w:bCs w:val="0"/>
        </w:rPr>
      </w:r>
    </w:p>
    <w:p>
      <w:pPr>
        <w:spacing w:line="590" w:lineRule="atLeast" w:before="23"/>
        <w:ind w:left="634" w:right="1032" w:hanging="480"/>
        <w:jc w:val="left"/>
        <w:rPr>
          <w:rFonts w:ascii="宋体" w:hAnsi="宋体" w:cs="宋体" w:eastAsia="宋体" w:hint="default"/>
          <w:sz w:val="21"/>
          <w:szCs w:val="21"/>
        </w:rPr>
      </w:pPr>
      <w:bookmarkStart w:name="（1）短期薪酬的会计处理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273" w:lineRule="auto" w:before="37"/>
        <w:ind w:left="154" w:right="1131"/>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8"/>
        <w:rPr>
          <w:rFonts w:ascii="宋体" w:hAnsi="宋体" w:cs="宋体" w:eastAsia="宋体" w:hint="default"/>
          <w:sz w:val="24"/>
          <w:szCs w:val="24"/>
        </w:rPr>
      </w:pPr>
    </w:p>
    <w:p>
      <w:pPr>
        <w:spacing w:line="590" w:lineRule="atLeast" w:before="0"/>
        <w:ind w:left="634" w:right="1120" w:hanging="480"/>
        <w:jc w:val="left"/>
        <w:rPr>
          <w:rFonts w:ascii="宋体" w:hAnsi="宋体" w:cs="宋体" w:eastAsia="宋体" w:hint="default"/>
          <w:sz w:val="21"/>
          <w:szCs w:val="21"/>
        </w:rPr>
      </w:pPr>
      <w:bookmarkStart w:name="（2）离职后福利的会计处理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离职后福利主要包括设定提存计划及设定受益计划。其中设定提存计划主要包括基本养老保险、失业</w:t>
      </w:r>
    </w:p>
    <w:p>
      <w:pPr>
        <w:pStyle w:val="BodyText"/>
        <w:spacing w:line="273" w:lineRule="auto" w:before="37"/>
        <w:ind w:left="154" w:right="1131"/>
        <w:jc w:val="both"/>
      </w:pPr>
      <w:r>
        <w:rPr>
          <w:spacing w:val="-1"/>
        </w:rPr>
        <w:t>保险以及年金等，相应的应缴存金额于发生时计入相关资产成本或当期损益。设定受益计划，是指除设定</w:t>
      </w:r>
      <w:r>
        <w:rPr>
          <w:spacing w:val="-83"/>
        </w:rPr>
        <w:t> </w:t>
      </w:r>
      <w:r>
        <w:rPr>
          <w:spacing w:val="-83"/>
        </w:rPr>
      </w:r>
      <w:r>
        <w:rPr/>
        <w:t>提存计划以外的离职后福利计划。</w:t>
      </w:r>
    </w:p>
    <w:p>
      <w:pPr>
        <w:spacing w:line="240" w:lineRule="auto" w:before="8"/>
        <w:rPr>
          <w:rFonts w:ascii="宋体" w:hAnsi="宋体" w:cs="宋体" w:eastAsia="宋体" w:hint="default"/>
          <w:sz w:val="24"/>
          <w:szCs w:val="24"/>
        </w:rPr>
      </w:pPr>
    </w:p>
    <w:p>
      <w:pPr>
        <w:spacing w:line="590" w:lineRule="atLeast" w:before="0"/>
        <w:ind w:left="634" w:right="0" w:hanging="480"/>
        <w:jc w:val="left"/>
        <w:rPr>
          <w:rFonts w:ascii="宋体" w:hAnsi="宋体" w:cs="宋体" w:eastAsia="宋体" w:hint="default"/>
          <w:sz w:val="21"/>
          <w:szCs w:val="21"/>
        </w:rPr>
      </w:pPr>
      <w:bookmarkStart w:name="（3）辞退福利的会计处理方法"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在职工劳动合同到期之前解除与职工的劳动关系，或为鼓励职工自愿接受裁减而提出给予补偿的建</w:t>
      </w:r>
    </w:p>
    <w:p>
      <w:pPr>
        <w:pStyle w:val="BodyText"/>
        <w:spacing w:line="273" w:lineRule="auto" w:before="37"/>
        <w:ind w:left="154" w:right="1131"/>
        <w:jc w:val="both"/>
      </w:pPr>
      <w:r>
        <w:rPr>
          <w:spacing w:val="-1"/>
        </w:rPr>
        <w:t>议，在本公司不能单方面撤回因解除劳动关系计划或裁减建议所提供的辞退福利时，和本公司确认与涉及</w:t>
      </w:r>
      <w:r>
        <w:rPr>
          <w:spacing w:val="-81"/>
        </w:rPr>
        <w:t> </w:t>
      </w:r>
      <w:r>
        <w:rPr>
          <w:spacing w:val="-81"/>
        </w:rPr>
      </w:r>
      <w:r>
        <w:rPr>
          <w:spacing w:val="-1"/>
        </w:rPr>
        <w:t>支付辞退福利的重组相关的成本两者孰早日，确认辞退福利产生的职工薪酬负债，并计入当期损益。但辞</w:t>
      </w:r>
      <w:r>
        <w:rPr>
          <w:spacing w:val="-83"/>
        </w:rPr>
        <w:t> </w:t>
      </w:r>
      <w:r>
        <w:rPr>
          <w:spacing w:val="-83"/>
        </w:rPr>
      </w:r>
      <w:r>
        <w:rPr/>
        <w:t>退福利预期在年度报告期结束后十二个月不能完全支付的，按照其他长期职工薪酬处理。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506" w:lineRule="auto" w:before="0"/>
        <w:ind w:left="633" w:right="1121" w:hanging="480"/>
        <w:jc w:val="left"/>
        <w:rPr>
          <w:rFonts w:ascii="宋体" w:hAnsi="宋体" w:cs="宋体" w:eastAsia="宋体" w:hint="default"/>
          <w:sz w:val="21"/>
          <w:szCs w:val="21"/>
        </w:rPr>
      </w:pPr>
      <w:bookmarkStart w:name="（4）其他长期职工福利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职工内部退休计划采用与上述辞退福利相同的原则处理。本公司将自职工停止提供服务日至正常退休</w:t>
      </w:r>
    </w:p>
    <w:p>
      <w:pPr>
        <w:spacing w:after="0" w:line="506"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left="154" w:right="1131"/>
        <w:jc w:val="both"/>
      </w:pPr>
      <w:r>
        <w:rPr>
          <w:spacing w:val="-1"/>
        </w:rPr>
        <w:t>日的期间拟支付的内退人员工资和缴纳的社会保险费等，在符合预计负债确认条件时，计入当期损益（辞</w:t>
      </w:r>
      <w:r>
        <w:rPr>
          <w:spacing w:val="-83"/>
        </w:rPr>
        <w:t> </w:t>
      </w:r>
      <w:r>
        <w:rPr>
          <w:spacing w:val="-83"/>
        </w:rPr>
      </w:r>
      <w:r>
        <w:rPr/>
        <w:t>退福利）。</w:t>
      </w:r>
    </w:p>
    <w:p>
      <w:pPr>
        <w:pStyle w:val="BodyText"/>
        <w:spacing w:line="273" w:lineRule="auto"/>
        <w:ind w:left="154" w:right="1132" w:firstLine="480"/>
        <w:jc w:val="both"/>
      </w:pPr>
      <w:r>
        <w:rPr>
          <w:spacing w:val="-2"/>
        </w:rPr>
        <w:t>本公司向职工提供的其他长期职工福利，符合设定提存计划的，按照设定提存计划进行会计处理，除</w:t>
      </w:r>
      <w:r>
        <w:rPr/>
        <w:t> 此之外按照设定受益计划进行会计处理。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23、预计负债" w:id="197"/>
      <w:bookmarkEnd w:id="197"/>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55" w:firstLine="480"/>
        <w:jc w:val="both"/>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 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BodyText"/>
        <w:spacing w:line="273" w:lineRule="auto" w:before="5"/>
        <w:ind w:right="1132" w:firstLine="480"/>
        <w:jc w:val="both"/>
      </w:pPr>
      <w:r>
        <w:rPr>
          <w:spacing w:val="-2"/>
        </w:rPr>
        <w:t>在资产负债表日，考虑与或有事项有关的风险、不确定性和货币时间价值等因素，按照履行相关现时</w:t>
      </w:r>
      <w:r>
        <w:rPr/>
        <w:t> 义务所需支出的最佳估计数对预计负债进行计量。</w:t>
      </w:r>
    </w:p>
    <w:p>
      <w:pPr>
        <w:pStyle w:val="BodyText"/>
        <w:spacing w:line="273" w:lineRule="auto"/>
        <w:ind w:right="1131" w:firstLine="480"/>
        <w:jc w:val="both"/>
      </w:pPr>
      <w:r>
        <w:rPr>
          <w:spacing w:val="-2"/>
        </w:rPr>
        <w:t>如果清偿预计负债所需支出全部或部分预期由第三方补偿的，补偿金额在基本确定能够收到时，作为</w:t>
      </w:r>
      <w:r>
        <w:rPr/>
        <w:t> 资产单独确认，且确认的补偿金额不超过预计负债的账面价值。</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bookmarkStart w:name="24、股份支付" w:id="198"/>
      <w:bookmarkEnd w:id="198"/>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34" w:right="1242"/>
        <w:jc w:val="left"/>
      </w:pPr>
      <w:r>
        <w:rPr/>
        <w:t>（</w:t>
      </w: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股份支付是为了获取职工或其他方提供服务而授予权益工具或者承担以权益工具为基础确定的负债</w:t>
      </w:r>
    </w:p>
    <w:p>
      <w:pPr>
        <w:pStyle w:val="BodyText"/>
        <w:spacing w:line="240" w:lineRule="auto" w:before="22"/>
        <w:ind w:left="154" w:right="0"/>
        <w:jc w:val="both"/>
      </w:pPr>
      <w:r>
        <w:rPr/>
        <w:t>的交易。股份支付分为以权益结算的股份支付和以现金结算的股份支付。</w:t>
      </w:r>
    </w:p>
    <w:p>
      <w:pPr>
        <w:pStyle w:val="BodyText"/>
        <w:spacing w:line="273" w:lineRule="auto" w:before="37"/>
        <w:ind w:left="633" w:right="1121"/>
        <w:jc w:val="left"/>
      </w:pPr>
      <w:r>
        <w:rPr/>
        <w:t>①</w:t>
      </w:r>
      <w:r>
        <w:rPr>
          <w:spacing w:val="-21"/>
        </w:rPr>
        <w:t> </w:t>
      </w:r>
      <w:r>
        <w:rPr/>
        <w:t>以权益结算的股份支付</w:t>
      </w:r>
      <w:r>
        <w:rPr/>
        <w:t> </w:t>
      </w:r>
      <w:r>
        <w:rPr>
          <w:spacing w:val="-2"/>
        </w:rPr>
        <w:t>用以换取职工提供的服务的权益结算的股份支付，以授予职工权益工具在授予日的公允价值计量。该</w:t>
      </w:r>
    </w:p>
    <w:p>
      <w:pPr>
        <w:pStyle w:val="BodyText"/>
        <w:spacing w:line="264" w:lineRule="auto" w:before="8"/>
        <w:ind w:right="1132"/>
        <w:jc w:val="both"/>
      </w:pPr>
      <w:r>
        <w:rPr>
          <w:spacing w:val="-1"/>
        </w:rPr>
        <w:t>公允价值的金额在完成等待期内的服务或达到规定业绩条件才可行权的情况下，在等待期内以对可行权权</w:t>
      </w:r>
      <w:r>
        <w:rPr>
          <w:spacing w:val="-81"/>
        </w:rPr>
        <w:t> </w:t>
      </w:r>
      <w:r>
        <w:rPr>
          <w:spacing w:val="-81"/>
        </w:rPr>
      </w:r>
      <w:r>
        <w:rPr>
          <w:spacing w:val="-2"/>
        </w:rPr>
        <w:t>益工具数量的最佳估计为基础，按直线法计算计入相关成本或费用</w:t>
      </w:r>
      <w:r>
        <w:rPr>
          <w:rFonts w:ascii="Times New Roman" w:hAnsi="Times New Roman" w:cs="Times New Roman" w:eastAsia="Times New Roman" w:hint="default"/>
          <w:spacing w:val="-2"/>
        </w:rPr>
        <w:t>/</w:t>
      </w:r>
      <w:r>
        <w:rPr>
          <w:spacing w:val="-2"/>
        </w:rPr>
        <w:t>在授予后立即可行权时，在授予日计入</w:t>
      </w:r>
      <w:r>
        <w:rPr>
          <w:spacing w:val="-95"/>
        </w:rPr>
        <w:t> </w:t>
      </w:r>
      <w:r>
        <w:rPr>
          <w:spacing w:val="-95"/>
        </w:rPr>
      </w:r>
      <w:r>
        <w:rPr/>
        <w:t>相关成本或费用，相应增加资本公积。</w:t>
      </w:r>
    </w:p>
    <w:p>
      <w:pPr>
        <w:pStyle w:val="BodyText"/>
        <w:spacing w:line="273" w:lineRule="auto" w:before="16"/>
        <w:ind w:right="1109" w:firstLine="480"/>
        <w:jc w:val="both"/>
      </w:pPr>
      <w:r>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BodyText"/>
        <w:spacing w:line="273" w:lineRule="auto"/>
        <w:ind w:left="154" w:right="1131" w:firstLine="480"/>
        <w:jc w:val="both"/>
      </w:pPr>
      <w:r>
        <w:rPr>
          <w:spacing w:val="-2"/>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pStyle w:val="BodyText"/>
        <w:spacing w:line="273" w:lineRule="auto"/>
        <w:ind w:left="633" w:right="1243"/>
        <w:jc w:val="left"/>
      </w:pPr>
      <w:r>
        <w:rPr/>
        <w:t>②</w:t>
      </w:r>
      <w:r>
        <w:rPr>
          <w:spacing w:val="-21"/>
        </w:rPr>
        <w:t> </w:t>
      </w:r>
      <w:r>
        <w:rPr/>
        <w:t>以现金结算的股份支付</w:t>
      </w:r>
      <w:r>
        <w:rPr/>
        <w:t> 以现金结算的股份支付，按照本公司承担的以股份或其他权益工具为基础确定的负债的公允价值计</w:t>
      </w:r>
    </w:p>
    <w:p>
      <w:pPr>
        <w:pStyle w:val="BodyText"/>
        <w:spacing w:line="273" w:lineRule="auto"/>
        <w:ind w:right="1131"/>
        <w:jc w:val="both"/>
      </w:pPr>
      <w:r>
        <w:rPr>
          <w:spacing w:val="-1"/>
        </w:rPr>
        <w:t>量。如授予后立即可行权，在授予日计入相关成本或费用，相应增加负债；如须完成等待期内的服务或达</w:t>
      </w:r>
      <w:r>
        <w:rPr>
          <w:spacing w:val="-86"/>
        </w:rPr>
        <w:t> </w:t>
      </w:r>
      <w:r>
        <w:rPr>
          <w:spacing w:val="-86"/>
        </w:rPr>
      </w:r>
      <w:r>
        <w:rPr>
          <w:spacing w:val="-1"/>
        </w:rPr>
        <w:t>到规定业绩条件以后才可行权，在等待期的每个资产负债表日，以对可行权情况的最佳估计为基础，按照</w:t>
      </w:r>
      <w:r>
        <w:rPr>
          <w:spacing w:val="-83"/>
        </w:rPr>
        <w:t> </w:t>
      </w:r>
      <w:r>
        <w:rPr>
          <w:spacing w:val="-83"/>
        </w:rPr>
      </w:r>
      <w:r>
        <w:rPr/>
        <w:t>本公司承担负债的公允价值金额，将当期取得的服务计入成本或费用，相应增加负债。</w:t>
      </w:r>
    </w:p>
    <w:p>
      <w:pPr>
        <w:pStyle w:val="BodyText"/>
        <w:spacing w:line="240" w:lineRule="auto"/>
        <w:ind w:left="633" w:right="0"/>
        <w:jc w:val="left"/>
      </w:pPr>
      <w:r>
        <w:rPr/>
        <w:t>在相关负债结算前的每个资产负债表日以及结算日，对负债的公允价值重新计量，其变动计入当期损</w:t>
      </w:r>
    </w:p>
    <w:p>
      <w:pPr>
        <w:pStyle w:val="BodyText"/>
        <w:spacing w:line="240" w:lineRule="auto" w:before="37"/>
        <w:ind w:right="0"/>
        <w:jc w:val="left"/>
      </w:pPr>
      <w:r>
        <w:rPr/>
        <w:t>益。</w:t>
      </w:r>
    </w:p>
    <w:p>
      <w:pPr>
        <w:pStyle w:val="BodyText"/>
        <w:spacing w:line="256" w:lineRule="auto" w:before="37"/>
        <w:ind w:left="634" w:right="112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w:t>
      </w:r>
    </w:p>
    <w:p>
      <w:pPr>
        <w:pStyle w:val="BodyText"/>
        <w:spacing w:line="273" w:lineRule="auto" w:before="22"/>
        <w:ind w:left="154" w:right="1131"/>
        <w:jc w:val="both"/>
      </w:pPr>
      <w:r>
        <w:rPr>
          <w:spacing w:val="-1"/>
        </w:rPr>
        <w:t>值的增加相应确认取得服务的增加。权益工具公允价值的增加是指修改前后的权益工具在修改日的公允价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值之间的差额。若修改减少了股份支付公允价值总额或采用了其他不利于职工的方式，则仍继续对取得的</w:t>
      </w:r>
      <w:r>
        <w:rPr>
          <w:spacing w:val="-81"/>
        </w:rPr>
        <w:t> </w:t>
      </w:r>
      <w:r>
        <w:rPr>
          <w:spacing w:val="-81"/>
        </w:rPr>
      </w:r>
      <w:r>
        <w:rPr/>
        <w:t>服务进行会计处理，视同该变更从未发生，除非本公司取消了部分或全部已授予的权益工具。</w:t>
      </w:r>
    </w:p>
    <w:p>
      <w:pPr>
        <w:pStyle w:val="BodyText"/>
        <w:spacing w:line="273" w:lineRule="auto"/>
        <w:ind w:left="154" w:right="1120" w:firstLine="480"/>
        <w:jc w:val="left"/>
      </w:pPr>
      <w:r>
        <w:rPr>
          <w:spacing w:val="-2"/>
        </w:rPr>
        <w:t>在等待期内，如果取消了授予的权益工具，本公司对取消所授予的权益性工具作为加速行权处理，将</w:t>
      </w:r>
      <w:r>
        <w:rPr/>
        <w:t> </w:t>
      </w:r>
      <w:r>
        <w:rPr>
          <w:spacing w:val="-1"/>
        </w:rPr>
        <w:t>剩余等待期内应确认的金额立即计入当期损益，同时确认资本公积。职工或其他方能够选择满足非可行权</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40" w:lineRule="auto" w:before="35"/>
        <w:ind w:left="154" w:right="0"/>
        <w:jc w:val="left"/>
      </w:pPr>
      <w:r>
        <w:rPr/>
        <w:t>条件但在等待期内未满足的，本公司将其作为授予权益工具的取消处理。</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25、优先股、永续债等其他金融工具" w:id="199"/>
      <w:bookmarkEnd w:id="199"/>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633" w:right="2713"/>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273" w:lineRule="auto" w:before="22"/>
        <w:ind w:right="1132" w:firstLine="480"/>
        <w:jc w:val="both"/>
      </w:pPr>
      <w:r>
        <w:rPr>
          <w:spacing w:val="-2"/>
        </w:rPr>
        <w:t>①该金融工具不包括交付现金或其他金融资产给其他方，或在潜在不利条件下与其他方交换金融资产</w:t>
      </w:r>
      <w:r>
        <w:rPr/>
        <w:t> 或金融负债的合同义务；</w:t>
      </w:r>
    </w:p>
    <w:p>
      <w:pPr>
        <w:pStyle w:val="BodyText"/>
        <w:spacing w:line="273" w:lineRule="auto"/>
        <w:ind w:right="1131" w:firstLine="480"/>
        <w:jc w:val="both"/>
      </w:pPr>
      <w:r>
        <w:rPr>
          <w:spacing w:val="-2"/>
        </w:rPr>
        <w:t>②如将来须用或可用企业自身权益工具结算该金融工具的，如该金融工具为非衍生工具，则不包括交</w:t>
      </w:r>
      <w:r>
        <w:rPr/>
        <w:t> </w:t>
      </w:r>
      <w:r>
        <w:rPr>
          <w:spacing w:val="-1"/>
        </w:rPr>
        <w:t>付可变数量的自身权益工具进行结算的合同义务；如为衍生工具，则本公司只能通过以固定数量的自身权</w:t>
      </w:r>
      <w:r>
        <w:rPr>
          <w:spacing w:val="-81"/>
        </w:rPr>
        <w:t> </w:t>
      </w:r>
      <w:r>
        <w:rPr>
          <w:spacing w:val="-81"/>
        </w:rPr>
      </w:r>
      <w:r>
        <w:rPr/>
        <w:t>益工具交换固定金额的现金或其他金融资产结算该金融工具。</w:t>
      </w:r>
    </w:p>
    <w:p>
      <w:pPr>
        <w:pStyle w:val="BodyText"/>
        <w:spacing w:line="273" w:lineRule="auto"/>
        <w:ind w:left="633" w:right="1121"/>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w:t>
      </w:r>
    </w:p>
    <w:p>
      <w:pPr>
        <w:pStyle w:val="BodyText"/>
        <w:spacing w:line="256" w:lineRule="auto"/>
        <w:ind w:left="154" w:right="1116"/>
        <w:jc w:val="left"/>
      </w:pPr>
      <w:r>
        <w:rPr/>
        <w:t>金额扣除负债成分的公允价值后的金额，确认为</w:t>
      </w:r>
      <w:r>
        <w:rPr>
          <w:rFonts w:ascii="Times New Roman" w:hAnsi="Times New Roman" w:cs="Times New Roman" w:eastAsia="Times New Roman" w:hint="default"/>
        </w:rPr>
        <w:t>“</w:t>
      </w:r>
      <w:r>
        <w:rPr/>
        <w:t>其他权益工具</w:t>
      </w:r>
      <w:r>
        <w:rPr>
          <w:rFonts w:ascii="Times New Roman" w:hAnsi="Times New Roman" w:cs="Times New Roman" w:eastAsia="Times New Roman" w:hint="default"/>
        </w:rPr>
        <w:t>”</w:t>
      </w:r>
      <w:r>
        <w:rPr/>
        <w:t>。发行复合金融工具发生的交易费用，在 负债成分和权益成分之间按照各自占总发行价款的比例进行分摊。</w:t>
      </w:r>
    </w:p>
    <w:p>
      <w:pPr>
        <w:pStyle w:val="BodyText"/>
        <w:spacing w:line="256" w:lineRule="auto" w:before="22"/>
        <w:ind w:left="634" w:right="1120"/>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w:t>
      </w:r>
    </w:p>
    <w:p>
      <w:pPr>
        <w:pStyle w:val="BodyText"/>
        <w:spacing w:line="256" w:lineRule="auto" w:before="22"/>
        <w:ind w:right="1117"/>
        <w:jc w:val="left"/>
      </w:pPr>
      <w:r>
        <w:rPr/>
        <w:t>回或再融资产生的利得或损失等，除符合资本化条件的借款费用（参见本附注五、</w:t>
      </w:r>
      <w:r>
        <w:rPr>
          <w:rFonts w:ascii="Times New Roman" w:hAnsi="Times New Roman" w:cs="Times New Roman" w:eastAsia="Times New Roman" w:hint="default"/>
        </w:rPr>
        <w:t>18“</w:t>
      </w:r>
      <w:r>
        <w:rPr/>
        <w:t>借款费用</w:t>
      </w:r>
      <w:r>
        <w:rPr>
          <w:rFonts w:ascii="Times New Roman" w:hAnsi="Times New Roman" w:cs="Times New Roman" w:eastAsia="Times New Roman" w:hint="default"/>
        </w:rPr>
        <w:t>”</w:t>
      </w:r>
      <w:r>
        <w:rPr/>
        <w:t>）以外， 均计入当期损益。</w:t>
      </w:r>
    </w:p>
    <w:p>
      <w:pPr>
        <w:pStyle w:val="BodyText"/>
        <w:spacing w:line="273" w:lineRule="auto" w:before="22"/>
        <w:ind w:right="1024" w:firstLine="480"/>
        <w:jc w:val="left"/>
      </w:pPr>
      <w:r>
        <w:rPr>
          <w:spacing w:val="-2"/>
        </w:rPr>
        <w:t>归类为权益工具的永续债和优先股等金融工具，其发行（含再融资）、回购、出售或注销时，本公司</w:t>
      </w:r>
      <w:r>
        <w:rPr/>
        <w:t> </w:t>
      </w:r>
      <w:r>
        <w:rPr>
          <w:spacing w:val="-3"/>
        </w:rPr>
        <w:t>作为权益的变动处理，相关交易费用亦从权益中扣减。本公司对权益工具持有方的分配作为利润分配处理。</w:t>
      </w:r>
    </w:p>
    <w:p>
      <w:pPr>
        <w:pStyle w:val="BodyText"/>
        <w:spacing w:line="240" w:lineRule="auto"/>
        <w:ind w:left="633" w:right="0"/>
        <w:jc w:val="left"/>
      </w:pPr>
      <w:r>
        <w:rPr/>
        <w:t>本公司不确认权益工具的公允价值变动。</w:t>
      </w:r>
    </w:p>
    <w:p>
      <w:pPr>
        <w:spacing w:line="240" w:lineRule="auto" w:before="12"/>
        <w:rPr>
          <w:rFonts w:ascii="宋体" w:hAnsi="宋体" w:cs="宋体" w:eastAsia="宋体" w:hint="default"/>
          <w:sz w:val="25"/>
          <w:szCs w:val="25"/>
        </w:rPr>
      </w:pPr>
    </w:p>
    <w:p>
      <w:pPr>
        <w:pStyle w:val="Heading4"/>
        <w:spacing w:line="240" w:lineRule="auto"/>
        <w:ind w:left="153" w:right="0"/>
        <w:jc w:val="left"/>
        <w:rPr>
          <w:b w:val="0"/>
          <w:bCs w:val="0"/>
        </w:rPr>
      </w:pPr>
      <w:bookmarkStart w:name="26、收入" w:id="200"/>
      <w:bookmarkEnd w:id="200"/>
      <w:r>
        <w:rPr>
          <w:b w:val="0"/>
          <w:bCs w:val="0"/>
        </w:rPr>
      </w:r>
      <w:r>
        <w:rPr>
          <w:rFonts w:ascii="Times New Roman" w:hAnsi="Times New Roman" w:cs="Times New Roman" w:eastAsia="Times New Roman" w:hint="default"/>
        </w:rPr>
        <w:t>26</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4" w:right="1132" w:firstLine="480"/>
        <w:jc w:val="both"/>
      </w:pPr>
      <w:r>
        <w:rPr>
          <w:spacing w:val="-2"/>
        </w:rPr>
        <w:t>本公司的收入包括销售自行开发研制的软件产品收入、销售商品收入、系统集成收入、技术支持与维</w:t>
      </w:r>
      <w:r>
        <w:rPr/>
        <w:t> 护收入、一次性技术开发收入、让渡资产使用权收入。</w:t>
      </w:r>
    </w:p>
    <w:p>
      <w:pPr>
        <w:pStyle w:val="BodyText"/>
        <w:spacing w:line="264" w:lineRule="auto"/>
        <w:ind w:left="634" w:right="1242"/>
        <w:jc w:val="left"/>
      </w:pPr>
      <w:r>
        <w:rPr/>
        <w:t>（</w:t>
      </w:r>
      <w:r>
        <w:rPr>
          <w:rFonts w:ascii="Times New Roman" w:hAnsi="Times New Roman" w:cs="Times New Roman" w:eastAsia="Times New Roman" w:hint="default"/>
        </w:rPr>
        <w:t>1</w:t>
      </w:r>
      <w:r>
        <w:rPr/>
        <w:t>）销售自行开发研制的软件产品收入 自行开发研制的软件产品是指公司拥有著作权，销售时不转让所有权的软件产品。 对于不需要安装就可以使用的软件产品，公司在已将软件产品使用权上的主要风险和报酬转给购货</w:t>
      </w:r>
    </w:p>
    <w:p>
      <w:pPr>
        <w:pStyle w:val="BodyText"/>
        <w:spacing w:line="273" w:lineRule="auto" w:before="16"/>
        <w:ind w:left="154" w:right="0"/>
        <w:jc w:val="left"/>
      </w:pPr>
      <w:r>
        <w:rPr>
          <w:spacing w:val="-1"/>
        </w:rPr>
        <w:t>方；公司既没有保留与使用权相联系的继续管理权；也没有对已售出的软件产品实施控制；与交易相关的</w:t>
      </w:r>
      <w:r>
        <w:rPr>
          <w:spacing w:val="-83"/>
        </w:rPr>
        <w:t> </w:t>
      </w:r>
      <w:r>
        <w:rPr>
          <w:spacing w:val="-83"/>
        </w:rPr>
      </w:r>
      <w:r>
        <w:rPr/>
        <w:t>经济利益能够流入企业；相关的收入和成本能够可靠地计量时，确认收入实现。</w:t>
      </w:r>
    </w:p>
    <w:p>
      <w:pPr>
        <w:pStyle w:val="BodyText"/>
        <w:spacing w:line="240" w:lineRule="auto"/>
        <w:ind w:left="634" w:right="0"/>
        <w:jc w:val="left"/>
      </w:pPr>
      <w:r>
        <w:rPr/>
        <w:t>对于系统集成中的软件产品收入，按系统集成收入确认的原则确认。</w:t>
      </w:r>
    </w:p>
    <w:p>
      <w:pPr>
        <w:pStyle w:val="BodyText"/>
        <w:spacing w:line="256" w:lineRule="auto" w:before="37"/>
        <w:ind w:left="634" w:right="1242"/>
        <w:jc w:val="left"/>
      </w:pPr>
      <w:r>
        <w:rPr/>
        <w:t>（</w:t>
      </w:r>
      <w:r>
        <w:rPr>
          <w:rFonts w:ascii="Times New Roman" w:hAnsi="Times New Roman" w:cs="Times New Roman" w:eastAsia="Times New Roman" w:hint="default"/>
        </w:rPr>
        <w:t>2</w:t>
      </w:r>
      <w:r>
        <w:rPr/>
        <w:t>）销售商品收入 公司已将外购商品的所有权的主要风险和报酬转给购货方；既没有保留与所有权相联系的继续管理</w:t>
      </w:r>
    </w:p>
    <w:p>
      <w:pPr>
        <w:pStyle w:val="BodyText"/>
        <w:spacing w:line="273" w:lineRule="auto" w:before="22"/>
        <w:ind w:left="154" w:right="0"/>
        <w:jc w:val="left"/>
      </w:pPr>
      <w:r>
        <w:rPr>
          <w:spacing w:val="-1"/>
        </w:rPr>
        <w:t>权；也没有对已售出的所有权实施控制；与交易相关的经济利益能够流入企业；相关的收入和成本能够可</w:t>
      </w:r>
      <w:r>
        <w:rPr>
          <w:spacing w:val="-83"/>
        </w:rPr>
        <w:t> </w:t>
      </w:r>
      <w:r>
        <w:rPr>
          <w:spacing w:val="-83"/>
        </w:rPr>
      </w:r>
      <w:r>
        <w:rPr/>
        <w:t>靠地计量时，确认收入实现。</w:t>
      </w:r>
    </w:p>
    <w:p>
      <w:pPr>
        <w:pStyle w:val="BodyText"/>
        <w:spacing w:line="240" w:lineRule="auto"/>
        <w:ind w:left="634" w:right="0"/>
        <w:jc w:val="left"/>
      </w:pPr>
      <w:r>
        <w:rPr/>
        <w:t>对于系统集成中的外购商品收入，按系统集成收入确认的原则确认。</w:t>
      </w:r>
    </w:p>
    <w:p>
      <w:pPr>
        <w:pStyle w:val="BodyText"/>
        <w:spacing w:line="256" w:lineRule="auto" w:before="37"/>
        <w:ind w:left="634" w:right="4812"/>
        <w:jc w:val="left"/>
      </w:pPr>
      <w:r>
        <w:rPr/>
        <w:t>（</w:t>
      </w:r>
      <w:r>
        <w:rPr>
          <w:rFonts w:ascii="Times New Roman" w:hAnsi="Times New Roman" w:cs="Times New Roman" w:eastAsia="Times New Roman" w:hint="default"/>
        </w:rPr>
        <w:t>3</w:t>
      </w:r>
      <w:r>
        <w:rPr/>
        <w:t>）系统集成收入 系统集成包括外购商品、自行开发软件产品的销售及安装。</w:t>
      </w:r>
    </w:p>
    <w:p>
      <w:pPr>
        <w:pStyle w:val="BodyText"/>
        <w:spacing w:line="273" w:lineRule="auto" w:before="23"/>
        <w:ind w:left="154" w:right="1131" w:firstLine="480"/>
        <w:jc w:val="both"/>
      </w:pPr>
      <w:r>
        <w:rPr>
          <w:spacing w:val="-2"/>
        </w:rPr>
        <w:t>公司在将系统集成中外购商品的所有权、自行开发研制的软件产品使用权上的主要风险和报酬转给购</w:t>
      </w:r>
      <w:r>
        <w:rPr/>
        <w:t> </w:t>
      </w:r>
      <w:r>
        <w:rPr>
          <w:spacing w:val="-1"/>
        </w:rPr>
        <w:t>货方，公司既没有保留与所有权及使用权相联系的继续管理权；也没有对已售出的使用权及所有权实施控</w:t>
      </w:r>
      <w:r>
        <w:rPr>
          <w:spacing w:val="-81"/>
        </w:rPr>
        <w:t> </w:t>
      </w:r>
      <w:r>
        <w:rPr>
          <w:spacing w:val="-81"/>
        </w:rPr>
      </w:r>
      <w:r>
        <w:rPr>
          <w:spacing w:val="-1"/>
        </w:rPr>
        <w:t>制；系统安装调试完毕并取得购货方的确认；与交易相关的经济利益能够流入企业；相关的收入和成本能</w:t>
      </w:r>
      <w:r>
        <w:rPr>
          <w:spacing w:val="-83"/>
        </w:rPr>
        <w:t> </w:t>
      </w:r>
      <w:r>
        <w:rPr>
          <w:spacing w:val="-83"/>
        </w:rPr>
      </w:r>
      <w:r>
        <w:rPr/>
        <w:t>够可靠地计量时，确认收入实现。</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56" w:lineRule="auto" w:before="35"/>
        <w:ind w:left="634" w:right="1120"/>
        <w:jc w:val="left"/>
      </w:pPr>
      <w:r>
        <w:rPr/>
        <w:t>（</w:t>
      </w:r>
      <w:r>
        <w:rPr>
          <w:rFonts w:ascii="Times New Roman" w:hAnsi="Times New Roman" w:cs="Times New Roman" w:eastAsia="Times New Roman" w:hint="default"/>
        </w:rPr>
        <w:t>4</w:t>
      </w:r>
      <w:r>
        <w:rPr/>
        <w:t>）技术支持与维护收入 </w:t>
      </w:r>
      <w:r>
        <w:rPr>
          <w:spacing w:val="-2"/>
        </w:rPr>
        <w:t>技术支持与维护主要是指根据合同规定向用户提供的后续服务，后续服务包括系统维护、技术与应用</w:t>
      </w:r>
    </w:p>
    <w:p>
      <w:pPr>
        <w:pStyle w:val="BodyText"/>
        <w:spacing w:line="273" w:lineRule="auto" w:before="22"/>
        <w:ind w:left="634" w:right="1120" w:hanging="480"/>
        <w:jc w:val="left"/>
      </w:pPr>
      <w:r>
        <w:rPr/>
        <w:t>咨询、产品升级等。 </w:t>
      </w:r>
      <w:r>
        <w:rPr>
          <w:spacing w:val="-2"/>
        </w:rPr>
        <w:t>公司在劳务已经提供，收到价款或取得收款的依据后，根据与用户签订的技术支持与维护合同规定的</w:t>
      </w:r>
    </w:p>
    <w:p>
      <w:pPr>
        <w:pStyle w:val="BodyText"/>
        <w:spacing w:line="240" w:lineRule="auto" w:before="8"/>
        <w:ind w:left="154" w:right="0"/>
        <w:jc w:val="left"/>
      </w:pPr>
      <w:r>
        <w:rPr/>
        <w:t>维护期间及合同总金额，按提供技术支持与维护的进度确认技术与维护收入。</w:t>
      </w:r>
    </w:p>
    <w:p>
      <w:pPr>
        <w:pStyle w:val="BodyText"/>
        <w:spacing w:line="256" w:lineRule="auto" w:before="37"/>
        <w:ind w:left="634" w:right="1120"/>
        <w:jc w:val="left"/>
      </w:pPr>
      <w:r>
        <w:rPr/>
        <w:t>（</w:t>
      </w:r>
      <w:r>
        <w:rPr>
          <w:rFonts w:ascii="Times New Roman" w:hAnsi="Times New Roman" w:cs="Times New Roman" w:eastAsia="Times New Roman" w:hint="default"/>
        </w:rPr>
        <w:t>5</w:t>
      </w:r>
      <w:r>
        <w:rPr/>
        <w:t>）一次性技术开发收入 </w:t>
      </w:r>
      <w:r>
        <w:rPr>
          <w:spacing w:val="-2"/>
        </w:rPr>
        <w:t>一次性技术开发主要是指根据公司客户的要求对自行开发研究的软件进行再次开发，向客户一次性收</w:t>
      </w:r>
    </w:p>
    <w:p>
      <w:pPr>
        <w:pStyle w:val="BodyText"/>
        <w:spacing w:line="273" w:lineRule="auto" w:before="22"/>
        <w:ind w:left="634" w:right="2712" w:hanging="480"/>
        <w:jc w:val="left"/>
      </w:pPr>
      <w:r>
        <w:rPr/>
        <w:t>取的技术开发费。 公司在劳务已经提供，收到价款或取得收款的依据，项目完工时确认收入的实现。</w:t>
      </w:r>
    </w:p>
    <w:p>
      <w:pPr>
        <w:pStyle w:val="BodyText"/>
        <w:spacing w:line="256" w:lineRule="auto"/>
        <w:ind w:left="633" w:right="6073"/>
        <w:jc w:val="left"/>
      </w:pPr>
      <w:r>
        <w:rPr/>
        <w:t>（</w:t>
      </w:r>
      <w:r>
        <w:rPr>
          <w:rFonts w:ascii="Times New Roman" w:hAnsi="Times New Roman" w:cs="Times New Roman" w:eastAsia="Times New Roman" w:hint="default"/>
        </w:rPr>
        <w:t>6</w:t>
      </w:r>
      <w:r>
        <w:rPr/>
        <w:t>）让渡资产使用权收入 让渡资产使用权收入包括资金使用费收入等。</w:t>
      </w:r>
    </w:p>
    <w:p>
      <w:pPr>
        <w:pStyle w:val="BodyText"/>
        <w:spacing w:line="240" w:lineRule="auto" w:before="22"/>
        <w:ind w:left="634" w:right="0"/>
        <w:jc w:val="left"/>
      </w:pPr>
      <w:r>
        <w:rPr/>
        <w:t>公司在收入的金额能够可靠地计量，相关的经济利益很可能流入企业时，确认让渡资产使用权收入。</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7、政府补助" w:id="201"/>
      <w:bookmarkEnd w:id="201"/>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资产相关的政府补助判断依据及会计处理方法" w:id="202"/>
      <w:bookmarkEnd w:id="20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633" w:right="1121"/>
        <w:jc w:val="left"/>
      </w:pPr>
      <w:r>
        <w:rPr/>
        <w:t>本公司将所取得的用于购建或以其他方式形成长期资产的政府补助界定为与资产相关的政府补助； </w:t>
      </w:r>
      <w:r>
        <w:rPr>
          <w:spacing w:val="-2"/>
        </w:rPr>
        <w:t>与资产相关的政府补助，确认为递延收益，并在相关资产的使用寿命内平均分配计入当期损益。与收</w:t>
      </w:r>
    </w:p>
    <w:p>
      <w:pPr>
        <w:pStyle w:val="BodyText"/>
        <w:spacing w:line="273" w:lineRule="auto"/>
        <w:ind w:right="0"/>
        <w:jc w:val="left"/>
      </w:pPr>
      <w:r>
        <w:rPr>
          <w:spacing w:val="-1"/>
        </w:rPr>
        <w:t>益相关的政府补助，用于补偿以后期间的相关费用和损失的，确认为递延收益，并在确认相关费用的期间</w:t>
      </w:r>
      <w:r>
        <w:rPr>
          <w:spacing w:val="-83"/>
        </w:rPr>
        <w:t> </w:t>
      </w:r>
      <w:r>
        <w:rPr>
          <w:spacing w:val="-83"/>
        </w:rPr>
      </w:r>
      <w:r>
        <w:rPr/>
        <w:t>计入当期损益；用于补偿已经发生的相关费用和损失的，直接计入当期损益。</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bookmarkStart w:name="（2）与收益相关的政府补助判断依据及会计处理方法" w:id="203"/>
      <w:bookmarkEnd w:id="20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633" w:right="1121"/>
        <w:jc w:val="left"/>
      </w:pPr>
      <w:r>
        <w:rPr/>
        <w:t>除与资产相关的政府补助外的其余政府补助界定为与收益相关的政府补助。 </w:t>
      </w:r>
      <w:r>
        <w:rPr>
          <w:spacing w:val="-2"/>
        </w:rPr>
        <w:t>已确认的政府补助需要返还时，存在相关递延收益余额的，冲减相关递延收益账面余额，超出部分计</w:t>
      </w:r>
    </w:p>
    <w:p>
      <w:pPr>
        <w:pStyle w:val="BodyText"/>
        <w:spacing w:line="240" w:lineRule="auto"/>
        <w:ind w:right="0"/>
        <w:jc w:val="left"/>
      </w:pPr>
      <w:r>
        <w:rPr/>
        <w:t>入当期损益；不存在相关递延收益的，直接计入当期损益。</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28、递延所得税资产/递延所得税负债" w:id="204"/>
      <w:bookmarkEnd w:id="204"/>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33" w:right="1121"/>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w:t>
      </w:r>
    </w:p>
    <w:p>
      <w:pPr>
        <w:pStyle w:val="BodyText"/>
        <w:spacing w:line="273" w:lineRule="auto" w:before="22"/>
        <w:ind w:right="0"/>
        <w:jc w:val="left"/>
      </w:pPr>
      <w:r>
        <w:rPr>
          <w:spacing w:val="-1"/>
        </w:rPr>
        <w:t>应交纳（或返还）的所得税金额计量。计算当期所得税费用所依据的应纳税所得额系根据有关税法规定对</w:t>
      </w:r>
      <w:r>
        <w:rPr>
          <w:spacing w:val="-83"/>
        </w:rPr>
        <w:t> </w:t>
      </w:r>
      <w:r>
        <w:rPr>
          <w:spacing w:val="-83"/>
        </w:rPr>
      </w:r>
      <w:r>
        <w:rPr/>
        <w:t>本年度税前会计利润作相应调整后计算得出。</w:t>
      </w:r>
    </w:p>
    <w:p>
      <w:pPr>
        <w:pStyle w:val="BodyText"/>
        <w:spacing w:line="256" w:lineRule="auto"/>
        <w:ind w:left="634" w:right="112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w:t>
      </w:r>
    </w:p>
    <w:p>
      <w:pPr>
        <w:pStyle w:val="BodyText"/>
        <w:spacing w:line="273" w:lineRule="auto" w:before="22"/>
        <w:ind w:left="154" w:right="0"/>
        <w:jc w:val="left"/>
      </w:pP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pStyle w:val="BodyText"/>
        <w:spacing w:line="273" w:lineRule="auto"/>
        <w:ind w:left="154" w:right="1023" w:firstLine="480"/>
        <w:jc w:val="left"/>
      </w:pPr>
      <w:r>
        <w:rPr>
          <w:spacing w:val="-2"/>
        </w:rPr>
        <w:t>与商誉的初始确认有关，以及与既不是企业合并、发生时也不影响会计利润和应纳税所得额（或可抵</w:t>
      </w:r>
      <w:r>
        <w:rPr/>
        <w:t>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1"/>
        </w:rPr>
        <w:t> </w:t>
      </w:r>
      <w:r>
        <w:rPr>
          <w:spacing w:val="-91"/>
        </w:rPr>
      </w:r>
      <w:r>
        <w:rPr/>
        <w:t>除上述例外情况，本公司确认其他所有应纳税暂时性差异产生的递延所得税负债。</w:t>
      </w:r>
    </w:p>
    <w:p>
      <w:pPr>
        <w:pStyle w:val="BodyText"/>
        <w:spacing w:line="273" w:lineRule="auto"/>
        <w:ind w:right="1121" w:firstLine="480"/>
        <w:jc w:val="left"/>
      </w:pPr>
      <w:r>
        <w:rPr>
          <w:spacing w:val="-2"/>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left="154" w:right="1131"/>
        <w:jc w:val="both"/>
      </w:pP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BodyText"/>
        <w:spacing w:line="273" w:lineRule="auto" w:before="8"/>
        <w:ind w:left="154" w:right="1120" w:firstLine="480"/>
        <w:jc w:val="left"/>
      </w:pPr>
      <w:r>
        <w:rPr>
          <w:spacing w:val="-2"/>
        </w:rPr>
        <w:t>对于能够结转以后年度的可抵扣亏损和税款抵减，以很可能获得用来抵扣可抵扣亏损和税款抵减的未</w:t>
      </w:r>
      <w:r>
        <w:rPr/>
        <w:t> 来应纳税所得额为限，确认相应的递延所得税资产。</w:t>
      </w:r>
    </w:p>
    <w:p>
      <w:pPr>
        <w:pStyle w:val="BodyText"/>
        <w:spacing w:line="273" w:lineRule="auto"/>
        <w:ind w:left="154" w:right="1120" w:firstLine="480"/>
        <w:jc w:val="left"/>
      </w:pPr>
      <w:r>
        <w:rPr>
          <w:spacing w:val="-2"/>
        </w:rPr>
        <w:t>资产负债表日，对于递延所得税资产和递延所得税负债，根据税法规定，按照预期收回相关资产或清</w:t>
      </w:r>
      <w:r>
        <w:rPr/>
        <w:t> 偿相关负债期间的适用税率计量。</w:t>
      </w:r>
    </w:p>
    <w:p>
      <w:pPr>
        <w:pStyle w:val="BodyText"/>
        <w:spacing w:line="273" w:lineRule="auto"/>
        <w:ind w:left="154" w:right="1131" w:firstLine="480"/>
        <w:jc w:val="both"/>
      </w:pPr>
      <w:r>
        <w:rPr>
          <w:spacing w:val="-2"/>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pStyle w:val="BodyText"/>
        <w:spacing w:line="256" w:lineRule="auto"/>
        <w:ind w:left="634" w:right="628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273" w:lineRule="auto" w:before="22"/>
        <w:ind w:left="154" w:right="0" w:firstLine="480"/>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pStyle w:val="BodyText"/>
        <w:spacing w:line="256" w:lineRule="auto"/>
        <w:ind w:left="634" w:right="112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w:t>
      </w:r>
    </w:p>
    <w:p>
      <w:pPr>
        <w:pStyle w:val="BodyText"/>
        <w:spacing w:line="273" w:lineRule="auto" w:before="22"/>
        <w:ind w:left="634" w:right="1120" w:hanging="480"/>
        <w:jc w:val="left"/>
      </w:pPr>
      <w:r>
        <w:rPr/>
        <w:t>得税资产及当期所得税负债以抵销后的净额列报。 </w:t>
      </w:r>
      <w:r>
        <w:rPr>
          <w:spacing w:val="-2"/>
        </w:rPr>
        <w:t>当拥有以净额结算当期所得税资产及当期所得税负债的法定权利，且递延所得税资产及递延所得税负</w:t>
      </w:r>
    </w:p>
    <w:p>
      <w:pPr>
        <w:pStyle w:val="BodyText"/>
        <w:spacing w:line="273" w:lineRule="auto"/>
        <w:ind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bookmarkStart w:name="29、租赁" w:id="205"/>
      <w:bookmarkEnd w:id="205"/>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经营租赁的会计处理方法" w:id="206"/>
      <w:bookmarkEnd w:id="20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634" w:right="1120"/>
        <w:jc w:val="left"/>
      </w:pPr>
      <w:r>
        <w:rPr/>
        <w:t>①</w:t>
      </w:r>
      <w:r>
        <w:rPr>
          <w:spacing w:val="-21"/>
        </w:rPr>
        <w:t> </w:t>
      </w:r>
      <w:r>
        <w:rPr/>
        <w:t>本公司作为承租人记录经营租赁业务</w:t>
      </w:r>
      <w:r>
        <w:rPr/>
        <w:t> </w:t>
      </w:r>
      <w:r>
        <w:rPr>
          <w:spacing w:val="-2"/>
        </w:rPr>
        <w:t>经营租赁的租金支出在租赁期内的各个期间按直线法计入相关资产成本或当期损益。初始直接费用计</w:t>
      </w:r>
    </w:p>
    <w:p>
      <w:pPr>
        <w:pStyle w:val="BodyText"/>
        <w:spacing w:line="240" w:lineRule="auto"/>
        <w:ind w:left="154" w:right="0"/>
        <w:jc w:val="both"/>
      </w:pPr>
      <w:r>
        <w:rPr/>
        <w:t>入当期损益。或有租金于实际发生时计入当期损益。</w:t>
      </w:r>
    </w:p>
    <w:p>
      <w:pPr>
        <w:pStyle w:val="BodyText"/>
        <w:spacing w:line="273" w:lineRule="auto" w:before="37"/>
        <w:ind w:left="633" w:right="1121"/>
        <w:jc w:val="left"/>
      </w:pPr>
      <w:r>
        <w:rPr/>
        <w:t>②</w:t>
      </w:r>
      <w:r>
        <w:rPr>
          <w:spacing w:val="-21"/>
        </w:rPr>
        <w:t> </w:t>
      </w:r>
      <w:r>
        <w:rPr/>
        <w:t>本公司作为出租人记录经营租赁业务</w:t>
      </w:r>
      <w:r>
        <w:rPr/>
        <w:t> </w:t>
      </w:r>
      <w:r>
        <w:rPr>
          <w:spacing w:val="-2"/>
        </w:rPr>
        <w:t>经营租赁的租金收入在租赁期内的各个期间按直线法确认为当期损益。对金额较大的初始直接费用于</w:t>
      </w:r>
    </w:p>
    <w:p>
      <w:pPr>
        <w:pStyle w:val="BodyText"/>
        <w:spacing w:line="273" w:lineRule="auto"/>
        <w:ind w:right="1131"/>
        <w:jc w:val="both"/>
      </w:pPr>
      <w:r>
        <w:rPr>
          <w:spacing w:val="-1"/>
        </w:rPr>
        <w:t>发生时予以资本化，在整个租赁期间内按照与确认租金收入相同的基础分期计入当期损益；其他金额较小</w:t>
      </w:r>
      <w:r>
        <w:rPr>
          <w:spacing w:val="-81"/>
        </w:rPr>
        <w:t> </w:t>
      </w:r>
      <w:r>
        <w:rPr>
          <w:spacing w:val="-81"/>
        </w:rPr>
      </w:r>
      <w:r>
        <w:rPr/>
        <w:t>的初始直接费用于发生时计入当期损益。或有租金于实际发生时计入当期损益。</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bookmarkStart w:name="（2）融资租赁的会计处理方法" w:id="207"/>
      <w:bookmarkEnd w:id="20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633" w:right="1121"/>
        <w:jc w:val="left"/>
      </w:pPr>
      <w:r>
        <w:rPr/>
        <w:t>①</w:t>
      </w:r>
      <w:r>
        <w:rPr>
          <w:spacing w:val="-21"/>
        </w:rPr>
        <w:t> </w:t>
      </w:r>
      <w:r>
        <w:rPr/>
        <w:t>本公司作为承租人记录融资租赁业务</w:t>
      </w:r>
      <w:r>
        <w:rPr/>
        <w:t> </w:t>
      </w:r>
      <w:r>
        <w:rPr>
          <w:spacing w:val="-2"/>
        </w:rPr>
        <w:t>于租赁期开始日，将租赁开始日租赁资产的公允价值与最低租赁付款额现值两者中较低者作为租入资</w:t>
      </w:r>
    </w:p>
    <w:p>
      <w:pPr>
        <w:pStyle w:val="BodyText"/>
        <w:spacing w:line="273" w:lineRule="auto" w:before="8"/>
        <w:ind w:right="1131"/>
        <w:jc w:val="both"/>
      </w:pPr>
      <w:r>
        <w:rPr>
          <w:spacing w:val="-1"/>
        </w:rPr>
        <w:t>产的入账价值，将最低租赁付款额作为长期应付款的入账价值，其差额作为未确认融资费用。此外，在租</w:t>
      </w:r>
      <w:r>
        <w:rPr>
          <w:spacing w:val="-85"/>
        </w:rPr>
        <w:t> </w:t>
      </w:r>
      <w:r>
        <w:rPr>
          <w:spacing w:val="-85"/>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BodyText"/>
        <w:spacing w:line="240" w:lineRule="auto"/>
        <w:ind w:left="633" w:right="0"/>
        <w:jc w:val="left"/>
      </w:pPr>
      <w:r>
        <w:rPr/>
        <w:t>未确认融资费用在租赁期内采用实际利率法计算确认当期的融资费用。或有租金于实际发生时计入当</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t>期损益。</w:t>
      </w:r>
    </w:p>
    <w:p>
      <w:pPr>
        <w:pStyle w:val="BodyText"/>
        <w:spacing w:line="273" w:lineRule="auto" w:before="37"/>
        <w:ind w:left="633" w:right="1243"/>
        <w:jc w:val="left"/>
      </w:pPr>
      <w:r>
        <w:rPr/>
        <w:t>②</w:t>
      </w:r>
      <w:r>
        <w:rPr>
          <w:spacing w:val="-21"/>
        </w:rPr>
        <w:t> </w:t>
      </w:r>
      <w:r>
        <w:rPr/>
        <w:t>本公司作为出租人记录融资租赁业务</w:t>
      </w:r>
      <w:r>
        <w:rPr/>
        <w:t> 于租赁期开始日，将租赁开始日最低租赁收款额与初始直接费用之和作为应收融资租赁款的入账价</w:t>
      </w:r>
    </w:p>
    <w:p>
      <w:pPr>
        <w:pStyle w:val="BodyText"/>
        <w:spacing w:line="273" w:lineRule="auto"/>
        <w:ind w:right="1131"/>
        <w:jc w:val="both"/>
      </w:pPr>
      <w:r>
        <w:rPr>
          <w:spacing w:val="-1"/>
        </w:rPr>
        <w:t>值，同时记录未担保余值；将最低租赁收款额、初始直接费用及未担保余值之和与其现值之和的差额确认</w:t>
      </w:r>
      <w:r>
        <w:rPr>
          <w:spacing w:val="-83"/>
        </w:rPr>
        <w:t> </w:t>
      </w:r>
      <w:r>
        <w:rPr>
          <w:spacing w:val="-83"/>
        </w:rPr>
      </w:r>
      <w:r>
        <w:rPr>
          <w:spacing w:val="-1"/>
        </w:rPr>
        <w:t>为未实现融资收益。应收融资租赁款扣除未实现融资收益后的余额分别长期债权和一年内到期的长期债权</w:t>
      </w:r>
      <w:r>
        <w:rPr>
          <w:spacing w:val="-81"/>
        </w:rPr>
        <w:t> </w:t>
      </w:r>
      <w:r>
        <w:rPr>
          <w:spacing w:val="-81"/>
        </w:rPr>
      </w:r>
      <w:r>
        <w:rPr/>
        <w:t>列示。</w:t>
      </w:r>
    </w:p>
    <w:p>
      <w:pPr>
        <w:pStyle w:val="BodyText"/>
        <w:spacing w:line="273" w:lineRule="auto"/>
        <w:ind w:right="1132" w:firstLine="480"/>
        <w:jc w:val="both"/>
      </w:pPr>
      <w:r>
        <w:rPr>
          <w:spacing w:val="-2"/>
        </w:rPr>
        <w:t>未实现融资收益在租赁期内采用实际利率法计算确认当期的融资收入。或有租金于实际发生时计入当</w:t>
      </w:r>
      <w:r>
        <w:rPr/>
        <w:t> 期损益。</w:t>
      </w:r>
    </w:p>
    <w:p>
      <w:pPr>
        <w:pStyle w:val="Heading4"/>
        <w:spacing w:line="590" w:lineRule="atLeast" w:before="9"/>
        <w:ind w:left="633" w:right="7381" w:hanging="480"/>
        <w:jc w:val="left"/>
        <w:rPr>
          <w:rFonts w:ascii="宋体" w:hAnsi="宋体" w:cs="宋体" w:eastAsia="宋体" w:hint="default"/>
          <w:b w:val="0"/>
          <w:bCs w:val="0"/>
        </w:rPr>
      </w:pPr>
      <w:bookmarkStart w:name="30、其他重要的会计政策和会计估计" w:id="208"/>
      <w:bookmarkEnd w:id="208"/>
      <w:r>
        <w:rPr>
          <w:b w:val="0"/>
          <w:bCs w:val="0"/>
        </w:rPr>
      </w:r>
      <w:r>
        <w:rPr>
          <w:rFonts w:ascii="Times New Roman" w:hAnsi="Times New Roman" w:cs="Times New Roman" w:eastAsia="Times New Roman" w:hint="default"/>
        </w:rPr>
        <w:t>30</w:t>
      </w:r>
      <w:r>
        <w:rPr/>
        <w:t>、其他重要的会计政策和会计估计</w:t>
      </w:r>
      <w:r>
        <w:rPr>
          <w:w w:val="99"/>
        </w:rPr>
        <w:t> </w:t>
      </w:r>
      <w:r>
        <w:rPr>
          <w:rFonts w:ascii="宋体" w:hAnsi="宋体" w:cs="宋体" w:eastAsia="宋体" w:hint="default"/>
          <w:b w:val="0"/>
          <w:bCs w:val="0"/>
        </w:rPr>
        <w:t>终止经营</w:t>
      </w:r>
    </w:p>
    <w:p>
      <w:pPr>
        <w:pStyle w:val="BodyText"/>
        <w:spacing w:line="273" w:lineRule="auto" w:before="37"/>
        <w:ind w:right="1131" w:firstLine="480"/>
        <w:jc w:val="both"/>
      </w:pPr>
      <w:r>
        <w:rPr>
          <w:spacing w:val="-2"/>
        </w:rPr>
        <w:t>终止经营，是指满足下列条件之一的已被本公司处置或划归为持有待售的、在经营和编制财务报表时</w:t>
      </w:r>
      <w:r>
        <w:rPr/>
        <w:t> </w:t>
      </w:r>
      <w:r>
        <w:rPr>
          <w:spacing w:val="-1"/>
        </w:rPr>
        <w:t>能够单独区分的组成部分：①该组成部分代表一项独立的主要业务或一个主要经营地区；②该组成部分是</w:t>
      </w:r>
      <w:r>
        <w:rPr>
          <w:spacing w:val="-81"/>
        </w:rPr>
        <w:t> </w:t>
      </w:r>
      <w:r>
        <w:rPr>
          <w:spacing w:val="-81"/>
        </w:rPr>
      </w:r>
      <w:r>
        <w:rPr>
          <w:spacing w:val="-1"/>
        </w:rPr>
        <w:t>拟对一项独立的主要业务或一个主要经营地区进行处置计划的一部分；③该组成部分是仅仅为了再出售而</w:t>
      </w:r>
      <w:r>
        <w:rPr>
          <w:spacing w:val="-81"/>
        </w:rPr>
        <w:t> </w:t>
      </w:r>
      <w:r>
        <w:rPr>
          <w:spacing w:val="-81"/>
        </w:rPr>
      </w:r>
      <w:r>
        <w:rPr/>
        <w:t>取得的子公司。</w:t>
      </w:r>
    </w:p>
    <w:p>
      <w:pPr>
        <w:pStyle w:val="BodyText"/>
        <w:spacing w:line="240" w:lineRule="auto"/>
        <w:ind w:left="633" w:right="0"/>
        <w:jc w:val="left"/>
      </w:pPr>
      <w:r>
        <w:rPr/>
        <w:t>终止经营的会计处理方法参见第十节、五、</w:t>
      </w:r>
      <w:r>
        <w:rPr>
          <w:rFonts w:ascii="Times New Roman" w:hAnsi="Times New Roman" w:cs="Times New Roman" w:eastAsia="Times New Roman" w:hint="default"/>
        </w:rPr>
        <w:t>13“</w:t>
      </w:r>
      <w:r>
        <w:rPr/>
        <w:t>划分为持有待售资产</w:t>
      </w:r>
      <w:r>
        <w:rPr>
          <w:rFonts w:ascii="Times New Roman" w:hAnsi="Times New Roman" w:cs="Times New Roman" w:eastAsia="Times New Roman" w:hint="default"/>
        </w:rPr>
        <w:t>”</w:t>
      </w:r>
      <w:r>
        <w:rPr/>
        <w:t>相关描述。</w:t>
      </w:r>
    </w:p>
    <w:p>
      <w:pPr>
        <w:spacing w:line="240" w:lineRule="auto" w:before="8"/>
        <w:rPr>
          <w:rFonts w:ascii="宋体" w:hAnsi="宋体" w:cs="宋体" w:eastAsia="宋体" w:hint="default"/>
          <w:sz w:val="24"/>
          <w:szCs w:val="24"/>
        </w:rPr>
      </w:pPr>
    </w:p>
    <w:p>
      <w:pPr>
        <w:pStyle w:val="Heading4"/>
        <w:spacing w:line="240" w:lineRule="auto"/>
        <w:ind w:left="153" w:right="0"/>
        <w:jc w:val="both"/>
        <w:rPr>
          <w:b w:val="0"/>
          <w:bCs w:val="0"/>
        </w:rPr>
      </w:pPr>
      <w:bookmarkStart w:name="31、重要会计政策和会计估计变更" w:id="209"/>
      <w:bookmarkEnd w:id="209"/>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both"/>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pict>
          <v:group style="position:absolute;margin-left:221.179993pt;margin-top:37.631733pt;width:194.15pt;height:101.4pt;mso-position-horizontal-relative:page;mso-position-vertical-relative:paragraph;z-index:-944080" coordorigin="4424,753" coordsize="3883,2028">
            <v:group style="position:absolute;left:4424;top:1065;width:2354;height:352" coordorigin="4424,1065" coordsize="2354,352">
              <v:shape style="position:absolute;left:4424;top:1065;width:2354;height:352" coordorigin="4424,1065" coordsize="2354,352" path="m4424,1416l6777,1416,6777,1065,4424,1065,4424,1416xe" filled="true" fillcolor="#ffffff" stroked="false">
                <v:path arrowok="t"/>
                <v:fill type="solid"/>
              </v:shape>
            </v:group>
            <v:group style="position:absolute;left:6810;top:753;width:1497;height:2028" coordorigin="6810,753" coordsize="1497,2028">
              <v:shape style="position:absolute;left:6810;top:753;width:1497;height:2028" coordorigin="6810,753" coordsize="1497,2028" path="m6810,2781l8306,2781,8306,753,6810,753,6810,2781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73"/>
        <w:gridCol w:w="2397"/>
        <w:gridCol w:w="1506"/>
        <w:gridCol w:w="2392"/>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458" w:hRule="exact"/>
        </w:trPr>
        <w:tc>
          <w:tcPr>
            <w:tcW w:w="327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pacing w:val="-12"/>
                <w:sz w:val="18"/>
                <w:szCs w:val="18"/>
              </w:rPr>
              <w:t>根据《中华人民共和国企业所得税法》（以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下简称《企业所得税法》）及其实施条例、</w:t>
            </w:r>
            <w:r>
              <w:rPr>
                <w:rFonts w:ascii="宋体" w:hAnsi="宋体" w:cs="宋体" w:eastAsia="宋体" w:hint="default"/>
                <w:sz w:val="18"/>
                <w:szCs w:val="18"/>
              </w:rPr>
            </w:r>
          </w:p>
          <w:p>
            <w:pPr>
              <w:pStyle w:val="TableParagraph"/>
              <w:spacing w:line="314" w:lineRule="auto" w:before="19"/>
              <w:ind w:left="22" w:right="27"/>
              <w:jc w:val="left"/>
              <w:rPr>
                <w:rFonts w:ascii="宋体" w:hAnsi="宋体" w:cs="宋体" w:eastAsia="宋体" w:hint="default"/>
                <w:sz w:val="18"/>
                <w:szCs w:val="18"/>
              </w:rPr>
            </w:pPr>
            <w:r>
              <w:rPr>
                <w:rFonts w:ascii="宋体" w:hAnsi="宋体" w:cs="宋体" w:eastAsia="宋体" w:hint="default"/>
                <w:sz w:val="18"/>
                <w:szCs w:val="18"/>
              </w:rPr>
              <w:t>《财政部国家税务总局关于完善固定资 </w:t>
            </w:r>
            <w:r>
              <w:rPr>
                <w:rFonts w:ascii="宋体" w:hAnsi="宋体" w:cs="宋体" w:eastAsia="宋体" w:hint="default"/>
                <w:spacing w:val="-2"/>
                <w:sz w:val="18"/>
                <w:szCs w:val="18"/>
              </w:rPr>
              <w:t>产加速折旧企业所得税政策的通知》（财</w:t>
            </w:r>
            <w:r>
              <w:rPr>
                <w:rFonts w:ascii="宋体" w:hAnsi="宋体" w:cs="宋体" w:eastAsia="宋体" w:hint="default"/>
                <w:sz w:val="18"/>
                <w:szCs w:val="18"/>
              </w:rPr>
              <w:t> </w:t>
            </w:r>
            <w:r>
              <w:rPr>
                <w:rFonts w:ascii="宋体" w:hAnsi="宋体" w:cs="宋体" w:eastAsia="宋体" w:hint="default"/>
                <w:spacing w:val="-5"/>
                <w:sz w:val="18"/>
                <w:szCs w:val="18"/>
              </w:rPr>
              <w:t>税〔</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75</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号）及国家税务总局《关于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固定资产加速折旧税收政策有关问题的 公告》（国家税务总局公告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 </w:t>
            </w:r>
            <w:r>
              <w:rPr>
                <w:rFonts w:ascii="宋体" w:hAnsi="宋体" w:cs="宋体" w:eastAsia="宋体" w:hint="default"/>
                <w:spacing w:val="-3"/>
                <w:sz w:val="18"/>
                <w:szCs w:val="18"/>
              </w:rPr>
              <w:t>号）的相关规定，公司结合自身情况，拟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对公司目前的固定资产折旧方法进行会 </w:t>
            </w:r>
            <w:r>
              <w:rPr>
                <w:rFonts w:ascii="宋体" w:hAnsi="宋体" w:cs="宋体" w:eastAsia="宋体" w:hint="default"/>
                <w:spacing w:val="-2"/>
                <w:sz w:val="18"/>
                <w:szCs w:val="18"/>
              </w:rPr>
              <w:t>计估计变更，采用加速折旧的方法对固定</w:t>
            </w:r>
            <w:r>
              <w:rPr>
                <w:rFonts w:ascii="宋体" w:hAnsi="宋体" w:cs="宋体" w:eastAsia="宋体" w:hint="default"/>
                <w:sz w:val="18"/>
                <w:szCs w:val="18"/>
              </w:rPr>
              <w:t> </w:t>
            </w:r>
            <w:r>
              <w:rPr>
                <w:rFonts w:ascii="宋体" w:hAnsi="宋体" w:cs="宋体" w:eastAsia="宋体" w:hint="default"/>
                <w:spacing w:val="-2"/>
                <w:sz w:val="18"/>
                <w:szCs w:val="18"/>
              </w:rPr>
              <w:t>资产计提折旧；同时公司拟调整计算机应</w:t>
            </w:r>
            <w:r>
              <w:rPr>
                <w:rFonts w:ascii="宋体" w:hAnsi="宋体" w:cs="宋体" w:eastAsia="宋体" w:hint="default"/>
                <w:sz w:val="18"/>
                <w:szCs w:val="18"/>
              </w:rPr>
              <w:t> 用及服务业务应收款项采用账龄分析法 </w:t>
            </w:r>
            <w:r>
              <w:rPr>
                <w:rFonts w:ascii="宋体" w:hAnsi="宋体" w:cs="宋体" w:eastAsia="宋体" w:hint="default"/>
                <w:spacing w:val="-2"/>
                <w:sz w:val="18"/>
                <w:szCs w:val="18"/>
              </w:rPr>
              <w:t>计提坏账准备的会计估计变更，更加客观</w:t>
            </w:r>
            <w:r>
              <w:rPr>
                <w:rFonts w:ascii="宋体" w:hAnsi="宋体" w:cs="宋体" w:eastAsia="宋体" w:hint="default"/>
                <w:sz w:val="18"/>
                <w:szCs w:val="18"/>
              </w:rPr>
              <w:t> 公正的反映公司财务状况和经营成果。</w:t>
            </w:r>
          </w:p>
        </w:tc>
        <w:tc>
          <w:tcPr>
            <w:tcW w:w="239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4" w:right="35"/>
              <w:jc w:val="left"/>
              <w:rPr>
                <w:rFonts w:ascii="宋体" w:hAnsi="宋体" w:cs="宋体" w:eastAsia="宋体" w:hint="default"/>
                <w:sz w:val="18"/>
                <w:szCs w:val="18"/>
              </w:rPr>
            </w:pPr>
            <w:r>
              <w:rPr>
                <w:rFonts w:ascii="宋体" w:hAnsi="宋体" w:cs="宋体" w:eastAsia="宋体" w:hint="default"/>
                <w:sz w:val="18"/>
                <w:szCs w:val="18"/>
              </w:rPr>
              <w:t>经公司第五届董事会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第一次临时会议审议通过，同 意公司本次会计估计变更；同 时根据《证券法》 、 《深圳 证券交易所股票上市规则》</w:t>
            </w:r>
          </w:p>
          <w:p>
            <w:pPr>
              <w:pStyle w:val="TableParagraph"/>
              <w:spacing w:line="309" w:lineRule="auto" w:before="20"/>
              <w:ind w:left="4" w:right="35"/>
              <w:jc w:val="both"/>
              <w:rPr>
                <w:rFonts w:ascii="宋体" w:hAnsi="宋体" w:cs="宋体" w:eastAsia="宋体" w:hint="default"/>
                <w:sz w:val="18"/>
                <w:szCs w:val="18"/>
              </w:rPr>
            </w:pPr>
            <w:r>
              <w:rPr>
                <w:rFonts w:ascii="宋体" w:hAnsi="宋体" w:cs="宋体" w:eastAsia="宋体" w:hint="default"/>
                <w:sz w:val="18"/>
                <w:szCs w:val="18"/>
              </w:rPr>
              <w:t>《深圳证券交易所中小板信息 披露业务备忘录第 </w:t>
            </w:r>
            <w:r>
              <w:rPr>
                <w:rFonts w:ascii="Times New Roman" w:hAnsi="Times New Roman" w:cs="Times New Roman" w:eastAsia="Times New Roman" w:hint="default"/>
                <w:sz w:val="18"/>
                <w:szCs w:val="18"/>
              </w:rPr>
              <w:t>13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会 计政策及会计估计变更》以及</w:t>
            </w:r>
          </w:p>
          <w:p>
            <w:pPr>
              <w:pStyle w:val="TableParagraph"/>
              <w:spacing w:line="319" w:lineRule="auto" w:before="24"/>
              <w:ind w:left="4" w:right="34"/>
              <w:jc w:val="both"/>
              <w:rPr>
                <w:rFonts w:ascii="宋体" w:hAnsi="宋体" w:cs="宋体" w:eastAsia="宋体" w:hint="default"/>
                <w:sz w:val="18"/>
                <w:szCs w:val="18"/>
              </w:rPr>
            </w:pPr>
            <w:r>
              <w:rPr>
                <w:rFonts w:ascii="宋体" w:hAnsi="宋体" w:cs="宋体" w:eastAsia="宋体" w:hint="default"/>
                <w:sz w:val="18"/>
                <w:szCs w:val="18"/>
              </w:rPr>
              <w:t>《公司章程》的有关规定，本 次会计估计变更自董事会、监 事会审议通过即可执行，无需 提交股东大会审议。</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7"/>
              <w:jc w:val="left"/>
              <w:rPr>
                <w:rFonts w:ascii="宋体" w:hAnsi="宋体" w:cs="宋体" w:eastAsia="宋体" w:hint="default"/>
                <w:sz w:val="18"/>
                <w:szCs w:val="18"/>
              </w:rPr>
            </w:pPr>
            <w:r>
              <w:rPr>
                <w:rFonts w:ascii="宋体" w:hAnsi="宋体" w:cs="宋体" w:eastAsia="宋体" w:hint="default"/>
                <w:sz w:val="18"/>
                <w:szCs w:val="18"/>
              </w:rPr>
              <w:t>公司董事会关于会计估计变 更合理性的说明：本次会计估 计变更，符合公司实际情况、 相关法律法规的要求，符合公 司及全体股东的利益，符合财 政部颁布的《企业会计准则》 相关规定，使公司的会计核算 更为合理和有效，能够更加客 观的反映公司实际经营情况 和财务状况。</w:t>
            </w:r>
          </w:p>
        </w:tc>
      </w:tr>
    </w:tbl>
    <w:p>
      <w:pPr>
        <w:pStyle w:val="BodyText"/>
        <w:spacing w:line="260" w:lineRule="exact" w:before="0"/>
        <w:ind w:left="634" w:right="0"/>
        <w:jc w:val="left"/>
      </w:pPr>
      <w:r>
        <w:rPr/>
        <w:t>①固定资产折旧方法会计估计变更前后情况如下：</w:t>
      </w:r>
    </w:p>
    <w:p>
      <w:pPr>
        <w:pStyle w:val="BodyText"/>
        <w:spacing w:line="240" w:lineRule="auto" w:before="37"/>
        <w:ind w:left="634" w:right="0"/>
        <w:jc w:val="left"/>
      </w:pPr>
      <w:r>
        <w:rPr/>
        <w:t>变更前：公司的固定资产折旧方法为年限平均法。</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56" w:lineRule="auto" w:before="35"/>
        <w:ind w:right="1125" w:firstLine="480"/>
        <w:jc w:val="left"/>
      </w:pPr>
      <w:r>
        <w:rPr>
          <w:spacing w:val="-2"/>
        </w:rPr>
        <w:t>变更后：单位价值不超过</w:t>
      </w:r>
      <w:r>
        <w:rPr>
          <w:rFonts w:ascii="Times New Roman" w:hAnsi="Times New Roman" w:cs="Times New Roman" w:eastAsia="Times New Roman" w:hint="default"/>
          <w:spacing w:val="-2"/>
        </w:rPr>
        <w:t>5000</w:t>
      </w:r>
      <w:r>
        <w:rPr>
          <w:spacing w:val="-2"/>
        </w:rPr>
        <w:t>元的固定资产，参照固定资产标准管理，但会计处理一次性计入当期费</w:t>
      </w:r>
      <w:r>
        <w:rPr/>
        <w:t> 用。在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日后购进并专门用于研发活动的仪器、设备，单位价值不超过</w:t>
      </w:r>
      <w:r>
        <w:rPr>
          <w:rFonts w:ascii="Times New Roman" w:hAnsi="Times New Roman" w:cs="Times New Roman" w:eastAsia="Times New Roman" w:hint="default"/>
        </w:rPr>
        <w:t>100</w:t>
      </w:r>
      <w:r>
        <w:rPr/>
        <w:t>万元的，一次性计入 成本费用；单位价值超过</w:t>
      </w:r>
      <w:r>
        <w:rPr>
          <w:rFonts w:ascii="Times New Roman" w:hAnsi="Times New Roman" w:cs="Times New Roman" w:eastAsia="Times New Roman" w:hint="default"/>
        </w:rPr>
        <w:t>100</w:t>
      </w:r>
      <w:r>
        <w:rPr/>
        <w:t>万元的，按不低于企业所得税法规定折旧年限的</w:t>
      </w:r>
      <w:r>
        <w:rPr>
          <w:rFonts w:ascii="Times New Roman" w:hAnsi="Times New Roman" w:cs="Times New Roman" w:eastAsia="Times New Roman" w:hint="default"/>
        </w:rPr>
        <w:t>60%</w:t>
      </w:r>
      <w:r>
        <w:rPr/>
        <w:t>缩短折旧年限。</w:t>
      </w:r>
    </w:p>
    <w:p>
      <w:pPr>
        <w:pStyle w:val="BodyText"/>
        <w:spacing w:line="240" w:lineRule="auto" w:before="5"/>
        <w:ind w:left="633" w:right="0"/>
        <w:jc w:val="left"/>
      </w:pPr>
      <w:r>
        <w:rPr/>
        <w:t>②计算机应用及服务业务应收款项坏账准备计提比例的会计估计变更前后情况如下：</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546"/>
        <w:gridCol w:w="1544"/>
        <w:gridCol w:w="1546"/>
        <w:gridCol w:w="1546"/>
        <w:gridCol w:w="1546"/>
        <w:gridCol w:w="1547"/>
      </w:tblGrid>
      <w:tr>
        <w:trPr>
          <w:trHeight w:val="342" w:hRule="exact"/>
        </w:trPr>
        <w:tc>
          <w:tcPr>
            <w:tcW w:w="46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原计提比例</w:t>
            </w:r>
          </w:p>
        </w:tc>
        <w:tc>
          <w:tcPr>
            <w:tcW w:w="4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新计提比例</w:t>
            </w:r>
          </w:p>
        </w:tc>
      </w:tr>
      <w:tr>
        <w:trPr>
          <w:trHeight w:val="654"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77" w:right="47" w:hanging="631"/>
              <w:jc w:val="left"/>
              <w:rPr>
                <w:rFonts w:ascii="宋体" w:hAnsi="宋体" w:cs="宋体" w:eastAsia="宋体" w:hint="default"/>
                <w:sz w:val="18"/>
                <w:szCs w:val="18"/>
              </w:rPr>
            </w:pPr>
            <w:r>
              <w:rPr>
                <w:rFonts w:ascii="宋体" w:hAnsi="宋体" w:cs="宋体" w:eastAsia="宋体" w:hint="default"/>
                <w:sz w:val="18"/>
                <w:szCs w:val="18"/>
              </w:rPr>
              <w:t>其他应收款计提比 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79" w:right="47" w:hanging="630"/>
              <w:jc w:val="left"/>
              <w:rPr>
                <w:rFonts w:ascii="宋体" w:hAnsi="宋体" w:cs="宋体" w:eastAsia="宋体" w:hint="default"/>
                <w:sz w:val="18"/>
                <w:szCs w:val="18"/>
              </w:rPr>
            </w:pPr>
            <w:r>
              <w:rPr>
                <w:rFonts w:ascii="宋体" w:hAnsi="宋体" w:cs="宋体" w:eastAsia="宋体" w:hint="default"/>
                <w:sz w:val="18"/>
                <w:szCs w:val="18"/>
              </w:rPr>
              <w:t>其他应收款计提比 例</w:t>
            </w:r>
          </w:p>
        </w:tc>
      </w:tr>
      <w:tr>
        <w:trPr>
          <w:trHeight w:val="34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w:t>
            </w:r>
          </w:p>
        </w:tc>
      </w:tr>
      <w:tr>
        <w:trPr>
          <w:trHeight w:val="34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r>
      <w:tr>
        <w:trPr>
          <w:trHeight w:val="34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r>
      <w:tr>
        <w:trPr>
          <w:trHeight w:val="34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r>
      <w:tr>
        <w:trPr>
          <w:trHeight w:val="34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80%</w:t>
            </w:r>
          </w:p>
        </w:tc>
      </w:tr>
      <w:tr>
        <w:trPr>
          <w:trHeight w:val="34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76" w:lineRule="exact" w:before="0"/>
        <w:ind w:right="0" w:firstLine="480"/>
        <w:jc w:val="both"/>
      </w:pPr>
      <w:r>
        <w:rPr/>
        <w:t>根据《企业会计准则第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会计政策、变更会计估计和差错更正》的相关规定，采用未来适用法</w:t>
      </w:r>
    </w:p>
    <w:p>
      <w:pPr>
        <w:pStyle w:val="BodyText"/>
        <w:spacing w:line="273" w:lineRule="auto" w:before="21"/>
        <w:ind w:right="0"/>
        <w:jc w:val="left"/>
      </w:pPr>
      <w:r>
        <w:rPr>
          <w:spacing w:val="-1"/>
        </w:rPr>
        <w:t>对上述会计估计进行调整，故不会对以往各年度财务状况和经营成果产生影响。对公司已披露的财务报表</w:t>
      </w:r>
      <w:r>
        <w:rPr>
          <w:spacing w:val="-81"/>
        </w:rPr>
        <w:t> </w:t>
      </w:r>
      <w:r>
        <w:rPr>
          <w:spacing w:val="-81"/>
        </w:rPr>
      </w:r>
      <w:r>
        <w:rPr/>
        <w:t>不会产生影响，因此本次会计估计变更无需对已披露的财务报告进行追溯调整。</w:t>
      </w:r>
    </w:p>
    <w:p>
      <w:pPr>
        <w:pStyle w:val="BodyText"/>
        <w:spacing w:line="256" w:lineRule="auto"/>
        <w:ind w:right="1130" w:firstLine="480"/>
        <w:jc w:val="both"/>
      </w:pPr>
      <w:r>
        <w:rPr>
          <w:spacing w:val="-2"/>
        </w:rPr>
        <w:t>本次会计估计变更对公司</w:t>
      </w:r>
      <w:r>
        <w:rPr>
          <w:rFonts w:ascii="Times New Roman" w:hAnsi="Times New Roman" w:cs="Times New Roman" w:eastAsia="Times New Roman" w:hint="default"/>
          <w:spacing w:val="-2"/>
        </w:rPr>
        <w:t>2014</w:t>
      </w:r>
      <w:r>
        <w:rPr>
          <w:spacing w:val="-2"/>
        </w:rPr>
        <w:t>年度财务状况和经营成果不产生影响。固定资产折旧方法变更减少</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t>年度公司净利润</w:t>
      </w:r>
      <w:r>
        <w:rPr>
          <w:rFonts w:ascii="Times New Roman" w:hAnsi="Times New Roman" w:cs="Times New Roman" w:eastAsia="Times New Roman" w:hint="default"/>
        </w:rPr>
        <w:t>129.57</w:t>
      </w:r>
      <w:r>
        <w:rPr/>
        <w:t>万元；计算机应用及服务业务应收款项坏账计提比例变更减少</w:t>
      </w:r>
      <w:r>
        <w:rPr>
          <w:rFonts w:ascii="Times New Roman" w:hAnsi="Times New Roman" w:cs="Times New Roman" w:eastAsia="Times New Roman" w:hint="default"/>
        </w:rPr>
        <w:t>2015</w:t>
      </w:r>
      <w:r>
        <w:rPr/>
        <w:t>年度公司净利润 </w:t>
      </w:r>
      <w:r>
        <w:rPr>
          <w:rFonts w:ascii="Times New Roman" w:hAnsi="Times New Roman" w:cs="Times New Roman" w:eastAsia="Times New Roman" w:hint="default"/>
        </w:rPr>
        <w:t>575.37</w:t>
      </w:r>
      <w:r>
        <w:rPr/>
        <w:t>万元。上述两项会计估计的调整不会对公司损益构成重大影响。</w:t>
      </w:r>
    </w:p>
    <w:p>
      <w:pPr>
        <w:pStyle w:val="BodyText"/>
        <w:spacing w:line="240" w:lineRule="auto" w:before="5"/>
        <w:ind w:left="633" w:right="0"/>
        <w:jc w:val="left"/>
      </w:pPr>
      <w:r>
        <w:rPr/>
        <w:t>以上会计估计变更已经公司第五届董事会</w:t>
      </w:r>
      <w:r>
        <w:rPr>
          <w:rFonts w:ascii="Times New Roman" w:hAnsi="Times New Roman" w:cs="Times New Roman" w:eastAsia="Times New Roman" w:hint="default"/>
        </w:rPr>
        <w:t>2015</w:t>
      </w:r>
      <w:r>
        <w:rPr/>
        <w:t>年第一次临时会议审议通过。</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六、税项" w:id="212"/>
      <w:bookmarkEnd w:id="212"/>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主要税种及税率" w:id="213"/>
      <w:bookmarkEnd w:id="21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60"/>
        <w:gridCol w:w="6805"/>
        <w:gridCol w:w="1205"/>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6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566"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5" w:type="dxa"/>
            <w:vMerge w:val="restart"/>
            <w:tcBorders>
              <w:top w:val="single" w:sz="4" w:space="0" w:color="000000"/>
              <w:left w:val="single" w:sz="9" w:space="0" w:color="D2D2D2"/>
              <w:right w:val="single" w:sz="4" w:space="0" w:color="000000"/>
            </w:tcBorders>
          </w:tcPr>
          <w:p>
            <w:pPr>
              <w:pStyle w:val="TableParagraph"/>
              <w:spacing w:line="302" w:lineRule="auto" w:before="52"/>
              <w:ind w:left="16"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）硬件及外购软件销售的销项税率为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，按扣除进项税后的余额缴纳。（</w:t>
            </w:r>
            <w:r>
              <w:rPr>
                <w:rFonts w:ascii="Times New Roman" w:hAnsi="Times New Roman" w:cs="Times New Roman" w:eastAsia="Times New Roman" w:hint="default"/>
                <w:sz w:val="18"/>
                <w:szCs w:val="18"/>
              </w:rPr>
              <w:t>2</w:t>
            </w:r>
            <w:r>
              <w:rPr>
                <w:rFonts w:ascii="宋体" w:hAnsi="宋体" w:cs="宋体" w:eastAsia="宋体" w:hint="default"/>
                <w:sz w:val="18"/>
                <w:szCs w:val="18"/>
              </w:rPr>
              <w:t>）自 行开发软件销售的销项税率为</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，根据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国发</w:t>
            </w:r>
            <w:r>
              <w:rPr>
                <w:rFonts w:ascii="Times New Roman" w:hAnsi="Times New Roman" w:cs="Times New Roman" w:eastAsia="Times New Roman" w:hint="default"/>
                <w:spacing w:val="-3"/>
                <w:sz w:val="18"/>
                <w:szCs w:val="18"/>
              </w:rPr>
              <w:t>[2000]18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文《鼓励软件产业和集成电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路产业发展的若干政策》及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《关于印发进一步鼓励软件产业和集成电 路产业发展若干政策的通知》的规定，对增值税一般纳税人销售其自行开发生产的软 件产品，按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％的法定税率征收增值税，以实际税负超过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％的部分即征即退，自行 开发软件实际税负为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）随同自行开发软件销售向购买方收取的培训费、维护 费等费用，销项税率为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。根据</w:t>
            </w:r>
            <w:r>
              <w:rPr>
                <w:rFonts w:ascii="Times New Roman" w:hAnsi="Times New Roman" w:cs="Times New Roman" w:eastAsia="Times New Roman" w:hint="default"/>
                <w:sz w:val="18"/>
                <w:szCs w:val="18"/>
              </w:rPr>
              <w:t>“</w:t>
            </w:r>
            <w:r>
              <w:rPr>
                <w:rFonts w:ascii="宋体" w:hAnsi="宋体" w:cs="宋体" w:eastAsia="宋体" w:hint="default"/>
                <w:sz w:val="18"/>
                <w:szCs w:val="18"/>
              </w:rPr>
              <w:t>国税函［</w:t>
            </w:r>
            <w:r>
              <w:rPr>
                <w:rFonts w:ascii="Times New Roman" w:hAnsi="Times New Roman" w:cs="Times New Roman" w:eastAsia="Times New Roman" w:hint="default"/>
                <w:sz w:val="18"/>
                <w:szCs w:val="18"/>
              </w:rPr>
              <w:t>2004</w:t>
            </w:r>
            <w:r>
              <w:rPr>
                <w:rFonts w:ascii="宋体" w:hAnsi="宋体" w:cs="宋体" w:eastAsia="宋体" w:hint="default"/>
                <w:sz w:val="18"/>
                <w:szCs w:val="18"/>
              </w:rPr>
              <w:t>］</w:t>
            </w:r>
            <w:r>
              <w:rPr>
                <w:rFonts w:ascii="Times New Roman" w:hAnsi="Times New Roman" w:cs="Times New Roman" w:eastAsia="Times New Roman" w:hint="default"/>
                <w:sz w:val="18"/>
                <w:szCs w:val="18"/>
              </w:rPr>
              <w:t>553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京国税函［</w:t>
            </w:r>
            <w:r>
              <w:rPr>
                <w:rFonts w:ascii="Times New Roman" w:hAnsi="Times New Roman" w:cs="Times New Roman" w:eastAsia="Times New Roman" w:hint="default"/>
                <w:sz w:val="18"/>
                <w:szCs w:val="18"/>
              </w:rPr>
              <w:t>2004</w:t>
            </w:r>
            <w:r>
              <w:rPr>
                <w:rFonts w:ascii="宋体" w:hAnsi="宋体" w:cs="宋体" w:eastAsia="宋体" w:hint="default"/>
                <w:sz w:val="18"/>
                <w:szCs w:val="18"/>
              </w:rPr>
              <w:t>］</w:t>
            </w:r>
            <w:r>
              <w:rPr>
                <w:rFonts w:ascii="Times New Roman" w:hAnsi="Times New Roman" w:cs="Times New Roman" w:eastAsia="Times New Roman" w:hint="default"/>
                <w:sz w:val="18"/>
                <w:szCs w:val="18"/>
              </w:rPr>
              <w:t>547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文的规定，对增值税一般纳税人在销售软件产品的同时向购买方收取的培训费、维 护费等费用，应按现行规定征收增值税，也应享受软件产品增值税即征即退的政策。</w:t>
            </w:r>
          </w:p>
          <w:p>
            <w:pPr>
              <w:pStyle w:val="TableParagraph"/>
              <w:spacing w:line="302" w:lineRule="auto" w:before="29"/>
              <w:ind w:left="16" w:right="9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）公司及其子公司安装及技术支持与维护收入增值税税率为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，按扣除进项税后 的余额缴纳。</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805" w:type="dxa"/>
            <w:vMerge/>
            <w:tcBorders>
              <w:left w:val="single" w:sz="9" w:space="0" w:color="D2D2D2"/>
              <w:right w:val="single" w:sz="4" w:space="0" w:color="000000"/>
            </w:tcBorders>
          </w:tcPr>
          <w:p>
            <w:pPr/>
          </w:p>
        </w:tc>
        <w:tc>
          <w:tcPr>
            <w:tcW w:w="1205" w:type="dxa"/>
            <w:vMerge/>
            <w:tcBorders>
              <w:left w:val="single" w:sz="4" w:space="0" w:color="000000"/>
              <w:right w:val="single" w:sz="4" w:space="0" w:color="000000"/>
            </w:tcBorders>
          </w:tcPr>
          <w:p>
            <w:pPr/>
          </w:p>
        </w:tc>
      </w:tr>
      <w:tr>
        <w:trPr>
          <w:trHeight w:val="1565"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5" w:type="dxa"/>
            <w:vMerge/>
            <w:tcBorders>
              <w:left w:val="single" w:sz="9" w:space="0" w:color="D2D2D2"/>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8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未实施营改增地区 的各子公司安装及技术支持与维护的营业税为应税收入额的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162"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5" w:type="dxa"/>
            <w:vMerge w:val="restart"/>
            <w:tcBorders>
              <w:top w:val="single" w:sz="4" w:space="0" w:color="000000"/>
              <w:left w:val="single" w:sz="9" w:space="0" w:color="D2D2D2"/>
              <w:right w:val="single" w:sz="4" w:space="0" w:color="000000"/>
            </w:tcBorders>
          </w:tcPr>
          <w:p>
            <w:pPr>
              <w:pStyle w:val="TableParagraph"/>
              <w:spacing w:line="316" w:lineRule="auto" w:before="53"/>
              <w:ind w:left="16" w:right="110"/>
              <w:jc w:val="left"/>
              <w:rPr>
                <w:rFonts w:ascii="宋体" w:hAnsi="宋体" w:cs="宋体" w:eastAsia="宋体" w:hint="default"/>
                <w:sz w:val="18"/>
                <w:szCs w:val="18"/>
              </w:rPr>
            </w:pPr>
            <w:r>
              <w:rPr>
                <w:rFonts w:ascii="宋体" w:hAnsi="宋体" w:cs="宋体" w:eastAsia="宋体" w:hint="default"/>
                <w:sz w:val="18"/>
                <w:szCs w:val="18"/>
              </w:rPr>
              <w:t>公司全资子公司上海石基信息技术有限公司及控股子公司上海正品贵德软件有限公司 为应纳流转税额的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，其他各公司为应纳流转税额的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805" w:type="dxa"/>
            <w:vMerge/>
            <w:tcBorders>
              <w:left w:val="single" w:sz="9" w:space="0" w:color="D2D2D2"/>
              <w:right w:val="single" w:sz="4" w:space="0" w:color="000000"/>
            </w:tcBorders>
          </w:tcPr>
          <w:p>
            <w:pPr/>
          </w:p>
        </w:tc>
        <w:tc>
          <w:tcPr>
            <w:tcW w:w="1205"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5" w:type="dxa"/>
            <w:vMerge/>
            <w:tcBorders>
              <w:left w:val="single" w:sz="9" w:space="0" w:color="D2D2D2"/>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142"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5"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111"/>
              <w:jc w:val="left"/>
              <w:rPr>
                <w:rFonts w:ascii="宋体" w:hAnsi="宋体" w:cs="宋体" w:eastAsia="宋体" w:hint="default"/>
                <w:sz w:val="18"/>
                <w:szCs w:val="18"/>
              </w:rPr>
            </w:pPr>
            <w:r>
              <w:rPr>
                <w:rFonts w:ascii="宋体" w:hAnsi="宋体" w:cs="宋体" w:eastAsia="宋体" w:hint="default"/>
                <w:sz w:val="18"/>
                <w:szCs w:val="18"/>
              </w:rPr>
              <w:t>公司及其子公司北京石基昆仑软件有限公司、深圳市思迅软件股份有限公司、南京银 石计算机系统有限公司、现化电脑系统（北京）有限公司为高新技术企业，企业所得</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805" w:type="dxa"/>
            <w:vMerge/>
            <w:tcBorders>
              <w:left w:val="single" w:sz="9" w:space="0" w:color="D2D2D2"/>
              <w:right w:val="single" w:sz="4" w:space="0" w:color="000000"/>
            </w:tcBorders>
          </w:tcPr>
          <w:p>
            <w:pPr/>
          </w:p>
        </w:tc>
        <w:tc>
          <w:tcPr>
            <w:tcW w:w="1205" w:type="dxa"/>
            <w:vMerge/>
            <w:tcBorders>
              <w:left w:val="single" w:sz="4" w:space="0" w:color="000000"/>
              <w:right w:val="single" w:sz="4" w:space="0" w:color="000000"/>
            </w:tcBorders>
          </w:tcPr>
          <w:p>
            <w:pPr/>
          </w:p>
        </w:tc>
      </w:tr>
      <w:tr>
        <w:trPr>
          <w:trHeight w:val="140"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5" w:type="dxa"/>
            <w:vMerge/>
            <w:tcBorders>
              <w:left w:val="single" w:sz="9" w:space="0" w:color="D2D2D2"/>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r>
        <w:rPr/>
        <w:pict>
          <v:group style="position:absolute;margin-left:476.339996pt;margin-top:72.47998pt;width:57.5pt;height:15.6pt;mso-position-horizontal-relative:page;mso-position-vertical-relative:page;z-index:-944008" coordorigin="9527,1450" coordsize="1150,312">
            <v:shape style="position:absolute;left:9527;top:1450;width:1150;height:312" coordorigin="9527,1450" coordsize="1150,312" path="m9527,1762l10676,1762,10676,1450,9527,1450,9527,176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60"/>
        <w:gridCol w:w="6805"/>
        <w:gridCol w:w="1205"/>
      </w:tblGrid>
      <w:tr>
        <w:trPr>
          <w:trHeight w:val="322"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6805" w:type="dxa"/>
            <w:tcBorders>
              <w:top w:val="single" w:sz="4" w:space="0" w:color="000000"/>
              <w:left w:val="single" w:sz="4" w:space="0" w:color="000000"/>
              <w:bottom w:val="nil" w:sz="6" w:space="0" w:color="auto"/>
              <w:right w:val="single" w:sz="9" w:space="0" w:color="FFFFFF"/>
            </w:tcBorders>
          </w:tcPr>
          <w:p>
            <w:pPr>
              <w:pStyle w:val="TableParagraph"/>
              <w:spacing w:line="240"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税税率为</w:t>
            </w:r>
            <w:r>
              <w:rPr>
                <w:rFonts w:ascii="宋体" w:hAnsi="宋体" w:cs="宋体" w:eastAsia="宋体" w:hint="default"/>
                <w:spacing w:val="-27"/>
                <w:sz w:val="18"/>
                <w:szCs w:val="18"/>
              </w:rPr>
              <w:t> </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。公司子公司北京现化信息技术有限公司、杭州西软信息技术有限公司、</w:t>
            </w:r>
            <w:r>
              <w:rPr>
                <w:rFonts w:ascii="宋体" w:hAnsi="宋体" w:cs="宋体" w:eastAsia="宋体" w:hint="default"/>
                <w:sz w:val="18"/>
                <w:szCs w:val="18"/>
              </w:rPr>
            </w:r>
          </w:p>
        </w:tc>
        <w:tc>
          <w:tcPr>
            <w:tcW w:w="1205"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南京银石支付系统科技有限公司系软件企业，根据 </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文《关于进一步</w:t>
            </w:r>
          </w:p>
        </w:tc>
        <w:tc>
          <w:tcPr>
            <w:tcW w:w="1205" w:type="dxa"/>
            <w:tcBorders>
              <w:top w:val="nil" w:sz="6" w:space="0" w:color="auto"/>
              <w:left w:val="single" w:sz="9" w:space="0" w:color="FFFFFF"/>
              <w:bottom w:val="nil" w:sz="6" w:space="0" w:color="auto"/>
              <w:right w:val="single" w:sz="4" w:space="0" w:color="000000"/>
            </w:tcBorders>
          </w:tcPr>
          <w:p>
            <w:pPr>
              <w:pStyle w:val="TableParagraph"/>
              <w:spacing w:line="240" w:lineRule="auto" w:before="6"/>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11"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鼓励软件产业和集成电路产业发展企业所得税政策的通知》的规定，在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日前自获利年度起计算优惠期，第一年至第二年免征企业所得税，第三年至第五年</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的法定税率减半征收企业所得税，并享受至期满为止。。其中北京现化信息</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年度属于减免期，正在申请办理免税手续，企业所得税税率暂按</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宋体" w:hAnsi="宋体" w:cs="宋体" w:eastAsia="宋体" w:hint="default"/>
                <w:sz w:val="18"/>
                <w:szCs w:val="18"/>
              </w:rPr>
              <w:t>计算，最终以实际所得税税率为准。杭州西软信息技术有限公司、南京银石支付</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系统科技有限公司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属于减半征收期间</w:t>
            </w:r>
            <w:r>
              <w:rPr>
                <w:rFonts w:ascii="宋体" w:hAnsi="宋体" w:cs="宋体" w:eastAsia="宋体" w:hint="default"/>
                <w:spacing w:val="-90"/>
                <w:sz w:val="18"/>
                <w:szCs w:val="18"/>
              </w:rPr>
              <w:t>，</w:t>
            </w:r>
            <w:r>
              <w:rPr>
                <w:rFonts w:ascii="宋体" w:hAnsi="宋体" w:cs="宋体" w:eastAsia="宋体" w:hint="default"/>
                <w:sz w:val="18"/>
                <w:szCs w:val="18"/>
              </w:rPr>
              <w:t>实际执行的企业所得税税率为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12.5%</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公司子公司北海石基信息技术有限公司为国家重点软件企业，根据</w:t>
            </w:r>
            <w:r>
              <w:rPr>
                <w:rFonts w:ascii="Times New Roman" w:hAnsi="Times New Roman" w:cs="Times New Roman" w:eastAsia="Times New Roman" w:hint="default"/>
                <w:sz w:val="18"/>
                <w:szCs w:val="18"/>
              </w:rPr>
              <w:t>“</w:t>
            </w:r>
            <w:r>
              <w:rPr>
                <w:rFonts w:ascii="宋体" w:hAnsi="宋体" w:cs="宋体" w:eastAsia="宋体" w:hint="default"/>
                <w:sz w:val="18"/>
                <w:szCs w:val="18"/>
              </w:rPr>
              <w:t>北银国税备字</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文减按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征收企业所得税，同时根据</w:t>
            </w:r>
            <w:r>
              <w:rPr>
                <w:rFonts w:ascii="Times New Roman" w:hAnsi="Times New Roman" w:cs="Times New Roman" w:eastAsia="Times New Roman" w:hint="default"/>
                <w:sz w:val="18"/>
                <w:szCs w:val="18"/>
              </w:rPr>
              <w:t>“</w:t>
            </w:r>
            <w:r>
              <w:rPr>
                <w:rFonts w:ascii="宋体" w:hAnsi="宋体" w:cs="宋体" w:eastAsia="宋体" w:hint="default"/>
                <w:sz w:val="18"/>
                <w:szCs w:val="18"/>
              </w:rPr>
              <w:t>北银国税函</w:t>
            </w:r>
            <w:r>
              <w:rPr>
                <w:rFonts w:ascii="Times New Roman" w:hAnsi="Times New Roman" w:cs="Times New Roman" w:eastAsia="Times New Roman" w:hint="default"/>
                <w:sz w:val="18"/>
                <w:szCs w:val="18"/>
              </w:rPr>
              <w:t>[2015]2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文，减免公</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年度地方分享企业所得税部分，北海石基信息技术有限公司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度实际执行的企业所得税税率为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公司子公司石基（香港）有限公司、</w:t>
            </w:r>
            <w:r>
              <w:rPr>
                <w:rFonts w:ascii="Times New Roman" w:hAnsi="Times New Roman" w:cs="Times New Roman" w:eastAsia="Times New Roman" w:hint="default"/>
                <w:sz w:val="18"/>
                <w:szCs w:val="18"/>
              </w:rPr>
              <w:t>Infrasys</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International Ltd</w:t>
            </w:r>
            <w:r>
              <w:rPr>
                <w:rFonts w:ascii="宋体" w:hAnsi="宋体" w:cs="宋体" w:eastAsia="宋体" w:hint="default"/>
                <w:sz w:val="18"/>
                <w:szCs w:val="18"/>
              </w:rPr>
              <w:t>、</w:t>
            </w:r>
            <w:r>
              <w:rPr>
                <w:rFonts w:ascii="Times New Roman" w:hAnsi="Times New Roman" w:cs="Times New Roman" w:eastAsia="Times New Roman" w:hint="default"/>
                <w:sz w:val="18"/>
                <w:szCs w:val="18"/>
              </w:rPr>
              <w:t>Infrasys (HK)</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3"/>
                <w:sz w:val="18"/>
                <w:szCs w:val="18"/>
              </w:rPr>
              <w:t>Ltd</w:t>
            </w:r>
            <w:r>
              <w:rPr>
                <w:rFonts w:ascii="宋体" w:hAnsi="宋体" w:cs="宋体" w:eastAsia="宋体" w:hint="default"/>
                <w:spacing w:val="-3"/>
                <w:sz w:val="18"/>
                <w:szCs w:val="18"/>
              </w:rPr>
              <w:t>、香港精密模具有限公司、万达控股有限公司，控股</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Master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、浩华管理顾问（亚太）有限公司系在香港境内设立的公司，企</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业所得税税率为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16.50%</w:t>
            </w:r>
            <w:r>
              <w:rPr>
                <w:rFonts w:ascii="宋体" w:hAnsi="宋体" w:cs="宋体" w:eastAsia="宋体" w:hint="default"/>
                <w:sz w:val="18"/>
                <w:szCs w:val="18"/>
              </w:rPr>
              <w:t>。公司子公司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Infrasys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Singapore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系在新加坡境内设立的</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公司，企业所得税税率为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。公司子公司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Infrasys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Malaysia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Sdn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Bhd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系在马来西亚境</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内设立的公司，企业所得税税率为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。公司控股子公司杭州连边科技有限公司系小</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型微利企业，根据</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文《国家税务总局关于小型微利企业所得税优</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惠政策的通知》，自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日，对年应纳税所得额低于</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的小型微利企业，其所得减按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计入应纳税所得额，按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的税</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率缴纳企业所得税，杭州连边科技有限公司本年适用所得税税率为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。除此以外其</w:t>
            </w:r>
          </w:p>
        </w:tc>
        <w:tc>
          <w:tcPr>
            <w:tcW w:w="120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68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他公司均执行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％的企业所得税税率。</w:t>
            </w:r>
          </w:p>
        </w:tc>
        <w:tc>
          <w:tcPr>
            <w:tcW w:w="1205" w:type="dxa"/>
            <w:tcBorders>
              <w:top w:val="nil" w:sz="6" w:space="0" w:color="auto"/>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pict>
          <v:shape style="position:absolute;margin-left:469.079987pt;margin-top:-312.538269pt;width:65.9pt;height:312.05pt;mso-position-horizontal-relative:page;mso-position-vertical-relative:paragraph;z-index:-9440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75.200012pt;margin-top:-312.538269pt;width:59.8pt;height:312.05pt;mso-position-horizontal-relative:page;mso-position-vertical-relative:paragraph;z-index:-944032" coordorigin="9504,-6251" coordsize="1196,6241">
            <v:shape style="position:absolute;left:9504;top:-6251;width:1196;height:6241" coordorigin="9504,-6251" coordsize="1196,6241" path="m9504,-10l10699,-10,10699,-6251,9504,-6251,9504,-10xe" filled="true" fillcolor="#ffffff" stroked="false">
              <v:path arrowok="t"/>
              <v:fill type="solid"/>
            </v:shape>
            <w10:wrap type="none"/>
          </v:group>
        </w:pict>
      </w: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656"/>
        <w:gridCol w:w="1913"/>
      </w:tblGrid>
      <w:tr>
        <w:trPr>
          <w:trHeight w:val="402" w:hRule="exact"/>
        </w:trPr>
        <w:tc>
          <w:tcPr>
            <w:tcW w:w="7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714"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石基（香港）有限公司、</w:t>
            </w:r>
            <w:r>
              <w:rPr>
                <w:rFonts w:ascii="Times New Roman" w:hAnsi="Times New Roman" w:cs="Times New Roman" w:eastAsia="Times New Roman" w:hint="default"/>
                <w:sz w:val="18"/>
                <w:szCs w:val="18"/>
              </w:rPr>
              <w:t>Infrasys</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w:t>
            </w:r>
            <w:r>
              <w:rPr>
                <w:rFonts w:ascii="Times New Roman" w:hAnsi="Times New Roman" w:cs="Times New Roman" w:eastAsia="Times New Roman" w:hint="default"/>
                <w:sz w:val="18"/>
                <w:szCs w:val="18"/>
              </w:rPr>
              <w:t>Infrasys</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、香港精密模具有限公司、万</w:t>
            </w:r>
            <w:r>
              <w:rPr>
                <w:rFonts w:ascii="宋体" w:hAnsi="宋体" w:cs="宋体" w:eastAsia="宋体" w:hint="default"/>
                <w:w w:val="99"/>
                <w:sz w:val="18"/>
                <w:szCs w:val="18"/>
              </w:rPr>
              <w:t> </w:t>
            </w:r>
            <w:r>
              <w:rPr>
                <w:rFonts w:ascii="宋体" w:hAnsi="宋体" w:cs="宋体" w:eastAsia="宋体" w:hint="default"/>
                <w:sz w:val="18"/>
                <w:szCs w:val="18"/>
              </w:rPr>
              <w:t>达控股有限公司，</w:t>
            </w:r>
            <w:r>
              <w:rPr>
                <w:rFonts w:ascii="Times New Roman" w:hAnsi="Times New Roman" w:cs="Times New Roman" w:eastAsia="Times New Roman" w:hint="default"/>
                <w:sz w:val="18"/>
                <w:szCs w:val="18"/>
              </w:rPr>
              <w:t>Pos Master</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、浩华管理顾问（亚太）有限公司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6"/>
                <w:sz w:val="18"/>
              </w:rPr>
              <w:t> </w:t>
            </w:r>
            <w:r>
              <w:rPr>
                <w:rFonts w:ascii="Times New Roman"/>
                <w:sz w:val="18"/>
              </w:rPr>
              <w:t>Ltd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4"/>
                <w:sz w:val="18"/>
              </w:rPr>
              <w:t> </w:t>
            </w:r>
            <w:r>
              <w:rPr>
                <w:rFonts w:ascii="Times New Roman"/>
                <w:sz w:val="18"/>
              </w:rPr>
              <w:t>Bhd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14"/>
      <w:bookmarkEnd w:id="21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61" w:lineRule="auto" w:before="0"/>
        <w:ind w:right="1130" w:firstLine="480"/>
        <w:jc w:val="both"/>
      </w:pPr>
      <w:r>
        <w:rPr>
          <w:spacing w:val="-2"/>
        </w:rPr>
        <w:t>（</w:t>
      </w:r>
      <w:r>
        <w:rPr>
          <w:rFonts w:ascii="Times New Roman" w:hAnsi="Times New Roman" w:cs="Times New Roman" w:eastAsia="Times New Roman" w:hint="default"/>
          <w:spacing w:val="-2"/>
        </w:rPr>
        <w:t>1</w:t>
      </w:r>
      <w:r>
        <w:rPr>
          <w:spacing w:val="-2"/>
        </w:rPr>
        <w:t>）自行开发软件的销项税率为</w:t>
      </w:r>
      <w:r>
        <w:rPr>
          <w:rFonts w:ascii="Times New Roman" w:hAnsi="Times New Roman" w:cs="Times New Roman" w:eastAsia="Times New Roman" w:hint="default"/>
          <w:spacing w:val="-2"/>
        </w:rPr>
        <w:t>17%</w:t>
      </w:r>
      <w:r>
        <w:rPr>
          <w:spacing w:val="-2"/>
        </w:rPr>
        <w:t>，根据</w:t>
      </w:r>
      <w:r>
        <w:rPr>
          <w:rFonts w:ascii="Times New Roman" w:hAnsi="Times New Roman" w:cs="Times New Roman" w:eastAsia="Times New Roman" w:hint="default"/>
          <w:spacing w:val="-2"/>
        </w:rPr>
        <w:t>“</w:t>
      </w:r>
      <w:r>
        <w:rPr>
          <w:spacing w:val="-2"/>
        </w:rPr>
        <w:t>国发</w:t>
      </w:r>
      <w:r>
        <w:rPr>
          <w:rFonts w:ascii="Times New Roman" w:hAnsi="Times New Roman" w:cs="Times New Roman" w:eastAsia="Times New Roman" w:hint="default"/>
          <w:spacing w:val="-2"/>
        </w:rPr>
        <w:t>[2000]18</w:t>
      </w:r>
      <w:r>
        <w:rPr>
          <w:spacing w:val="-2"/>
        </w:rPr>
        <w:t>号</w:t>
      </w:r>
      <w:r>
        <w:rPr>
          <w:rFonts w:ascii="Times New Roman" w:hAnsi="Times New Roman" w:cs="Times New Roman" w:eastAsia="Times New Roman" w:hint="default"/>
          <w:spacing w:val="-2"/>
        </w:rPr>
        <w:t>”</w:t>
      </w:r>
      <w:r>
        <w:rPr>
          <w:spacing w:val="-2"/>
        </w:rPr>
        <w:t>文《鼓励软件产业和集成电路产业发展</w:t>
      </w:r>
      <w:r>
        <w:rPr/>
        <w:t> </w:t>
      </w:r>
      <w:r>
        <w:rPr>
          <w:spacing w:val="-1"/>
        </w:rPr>
        <w:t>的若干政策》及</w:t>
      </w:r>
      <w:r>
        <w:rPr>
          <w:rFonts w:ascii="Times New Roman" w:hAnsi="Times New Roman" w:cs="Times New Roman" w:eastAsia="Times New Roman" w:hint="default"/>
          <w:spacing w:val="-1"/>
        </w:rPr>
        <w:t>“</w:t>
      </w:r>
      <w:r>
        <w:rPr>
          <w:spacing w:val="-1"/>
        </w:rPr>
        <w:t>国发</w:t>
      </w:r>
      <w:r>
        <w:rPr>
          <w:rFonts w:ascii="Times New Roman" w:hAnsi="Times New Roman" w:cs="Times New Roman" w:eastAsia="Times New Roman" w:hint="default"/>
          <w:spacing w:val="-1"/>
        </w:rPr>
        <w:t>[2011]4</w:t>
      </w:r>
      <w:r>
        <w:rPr>
          <w:spacing w:val="-1"/>
        </w:rPr>
        <w:t>号</w:t>
      </w:r>
      <w:r>
        <w:rPr>
          <w:rFonts w:ascii="Times New Roman" w:hAnsi="Times New Roman" w:cs="Times New Roman" w:eastAsia="Times New Roman" w:hint="default"/>
          <w:spacing w:val="-1"/>
        </w:rPr>
        <w:t>”</w:t>
      </w:r>
      <w:r>
        <w:rPr>
          <w:spacing w:val="-1"/>
        </w:rPr>
        <w:t>《关于印发进一步鼓励软件产业和集成电路产业发展若干政策的通知》的</w:t>
      </w:r>
      <w:r>
        <w:rPr>
          <w:spacing w:val="-91"/>
        </w:rPr>
        <w:t> </w:t>
      </w:r>
      <w:r>
        <w:rPr>
          <w:spacing w:val="-91"/>
        </w:rPr>
      </w:r>
      <w:r>
        <w:rPr>
          <w:spacing w:val="-1"/>
        </w:rPr>
        <w:t>规定，对增值税一般纳税人销售其自行开发生产的软件产品，按</w:t>
      </w:r>
      <w:r>
        <w:rPr>
          <w:rFonts w:ascii="Times New Roman" w:hAnsi="Times New Roman" w:cs="Times New Roman" w:eastAsia="Times New Roman" w:hint="default"/>
          <w:spacing w:val="-1"/>
        </w:rPr>
        <w:t>17</w:t>
      </w:r>
      <w:r>
        <w:rPr>
          <w:spacing w:val="-1"/>
        </w:rPr>
        <w:t>％的法定税率征收增值税，以实际税负</w:t>
      </w:r>
      <w:r>
        <w:rPr>
          <w:spacing w:val="-84"/>
        </w:rPr>
        <w:t> </w:t>
      </w:r>
      <w:r>
        <w:rPr>
          <w:spacing w:val="-84"/>
        </w:rPr>
      </w:r>
      <w:r>
        <w:rPr>
          <w:spacing w:val="-4"/>
        </w:rPr>
        <w:t>超过</w:t>
      </w:r>
      <w:r>
        <w:rPr>
          <w:rFonts w:ascii="Times New Roman" w:hAnsi="Times New Roman" w:cs="Times New Roman" w:eastAsia="Times New Roman" w:hint="default"/>
          <w:spacing w:val="-4"/>
        </w:rPr>
        <w:t>3</w:t>
      </w:r>
      <w:r>
        <w:rPr>
          <w:spacing w:val="-4"/>
        </w:rPr>
        <w:t>％的部分即征即退，自行开发软件实际税负为</w:t>
      </w:r>
      <w:r>
        <w:rPr>
          <w:rFonts w:ascii="Times New Roman" w:hAnsi="Times New Roman" w:cs="Times New Roman" w:eastAsia="Times New Roman" w:hint="default"/>
          <w:spacing w:val="-4"/>
        </w:rPr>
        <w:t>3%</w:t>
      </w:r>
      <w:r>
        <w:rPr>
          <w:spacing w:val="-4"/>
        </w:rPr>
        <w:t>。对于即征即退的税款，根据</w:t>
      </w:r>
      <w:r>
        <w:rPr>
          <w:rFonts w:ascii="Times New Roman" w:hAnsi="Times New Roman" w:cs="Times New Roman" w:eastAsia="Times New Roman" w:hint="default"/>
          <w:spacing w:val="-4"/>
        </w:rPr>
        <w:t>“</w:t>
      </w:r>
      <w:r>
        <w:rPr>
          <w:spacing w:val="-4"/>
        </w:rPr>
        <w:t>财税</w:t>
      </w:r>
      <w:r>
        <w:rPr>
          <w:rFonts w:ascii="Times New Roman" w:hAnsi="Times New Roman" w:cs="Times New Roman" w:eastAsia="Times New Roman" w:hint="default"/>
          <w:spacing w:val="-4"/>
        </w:rPr>
        <w:t>[2008]1</w:t>
      </w:r>
      <w:r>
        <w:rPr>
          <w:spacing w:val="-4"/>
        </w:rPr>
        <w:t>号</w:t>
      </w:r>
      <w:r>
        <w:rPr>
          <w:rFonts w:ascii="Times New Roman" w:hAnsi="Times New Roman" w:cs="Times New Roman" w:eastAsia="Times New Roman" w:hint="default"/>
          <w:spacing w:val="-4"/>
        </w:rPr>
        <w:t>”</w:t>
      </w:r>
      <w:r>
        <w:rPr>
          <w:spacing w:val="-4"/>
        </w:rPr>
        <w:t>文《关</w:t>
      </w:r>
      <w:r>
        <w:rPr/>
        <w:t> </w:t>
      </w:r>
      <w:r>
        <w:rPr>
          <w:spacing w:val="-1"/>
        </w:rPr>
        <w:t>于企业所得税若干优惠政策的通知》的规定，用于研究开发软件产品和扩大再生产，不作为企业所得税应</w:t>
      </w:r>
      <w:r>
        <w:rPr>
          <w:spacing w:val="-83"/>
        </w:rPr>
        <w:t> </w:t>
      </w:r>
      <w:r>
        <w:rPr>
          <w:spacing w:val="-83"/>
        </w:rPr>
      </w:r>
      <w:r>
        <w:rPr/>
        <w:t>税收入，不予征收企业所得税。</w:t>
      </w:r>
    </w:p>
    <w:p>
      <w:pPr>
        <w:pStyle w:val="BodyText"/>
        <w:spacing w:line="256" w:lineRule="auto" w:before="18"/>
        <w:ind w:right="0" w:firstLine="480"/>
        <w:jc w:val="left"/>
      </w:pPr>
      <w:r>
        <w:rPr>
          <w:spacing w:val="-6"/>
        </w:rPr>
        <w:t>随同自行开发软件销售向购买方收取的培训费、维护费等费用，销项税率为</w:t>
      </w:r>
      <w:r>
        <w:rPr>
          <w:rFonts w:ascii="Times New Roman" w:hAnsi="Times New Roman" w:cs="Times New Roman" w:eastAsia="Times New Roman" w:hint="default"/>
          <w:spacing w:val="-6"/>
        </w:rPr>
        <w:t>17%</w:t>
      </w:r>
      <w:r>
        <w:rPr>
          <w:spacing w:val="-6"/>
        </w:rPr>
        <w:t>。根据</w:t>
      </w:r>
      <w:r>
        <w:rPr>
          <w:rFonts w:ascii="Times New Roman" w:hAnsi="Times New Roman" w:cs="Times New Roman" w:eastAsia="Times New Roman" w:hint="default"/>
          <w:spacing w:val="-6"/>
        </w:rPr>
        <w:t>“</w:t>
      </w:r>
      <w:r>
        <w:rPr>
          <w:spacing w:val="-6"/>
        </w:rPr>
        <w:t>国税函［</w:t>
      </w:r>
      <w:r>
        <w:rPr>
          <w:rFonts w:ascii="Times New Roman" w:hAnsi="Times New Roman" w:cs="Times New Roman" w:eastAsia="Times New Roman" w:hint="default"/>
          <w:spacing w:val="-6"/>
        </w:rPr>
        <w:t>2004</w:t>
      </w:r>
      <w:r>
        <w:rPr>
          <w:spacing w:val="-6"/>
        </w:rPr>
        <w:t>］</w:t>
      </w:r>
      <w:r>
        <w:rPr/>
        <w:t> </w:t>
      </w:r>
      <w:r>
        <w:rPr>
          <w:rFonts w:ascii="Times New Roman" w:hAnsi="Times New Roman" w:cs="Times New Roman" w:eastAsia="Times New Roman" w:hint="default"/>
          <w:spacing w:val="-2"/>
        </w:rPr>
        <w:t>553</w:t>
      </w:r>
      <w:r>
        <w:rPr>
          <w:spacing w:val="-2"/>
        </w:rPr>
        <w:t>号文</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京国税函［</w:t>
      </w:r>
      <w:r>
        <w:rPr>
          <w:rFonts w:ascii="Times New Roman" w:hAnsi="Times New Roman" w:cs="Times New Roman" w:eastAsia="Times New Roman" w:hint="default"/>
          <w:spacing w:val="-2"/>
        </w:rPr>
        <w:t>2004</w:t>
      </w:r>
      <w:r>
        <w:rPr>
          <w:spacing w:val="-2"/>
        </w:rPr>
        <w:t>］</w:t>
      </w:r>
      <w:r>
        <w:rPr>
          <w:rFonts w:ascii="Times New Roman" w:hAnsi="Times New Roman" w:cs="Times New Roman" w:eastAsia="Times New Roman" w:hint="default"/>
          <w:spacing w:val="-2"/>
        </w:rPr>
        <w:t>547</w:t>
      </w:r>
      <w:r>
        <w:rPr>
          <w:spacing w:val="-2"/>
        </w:rPr>
        <w:t>号</w:t>
      </w:r>
      <w:r>
        <w:rPr>
          <w:rFonts w:ascii="Times New Roman" w:hAnsi="Times New Roman" w:cs="Times New Roman" w:eastAsia="Times New Roman" w:hint="default"/>
          <w:spacing w:val="-2"/>
        </w:rPr>
        <w:t>”</w:t>
      </w:r>
      <w:r>
        <w:rPr>
          <w:spacing w:val="-2"/>
        </w:rPr>
        <w:t>文的规定，对增值税一般纳税人在销售软件产品的同时向购买方收取</w:t>
      </w:r>
      <w:r>
        <w:rPr>
          <w:spacing w:val="-93"/>
        </w:rPr>
        <w:t> </w:t>
      </w:r>
      <w:r>
        <w:rPr>
          <w:spacing w:val="-93"/>
        </w:rPr>
      </w:r>
      <w:r>
        <w:rPr/>
        <w:t>的培训费、维护费等费用，应按现行规定征收增值税，也应享受软件产品增值税即征即退的政策。</w:t>
      </w:r>
    </w:p>
    <w:p>
      <w:pPr>
        <w:pStyle w:val="BodyText"/>
        <w:spacing w:line="256" w:lineRule="auto" w:before="22"/>
        <w:ind w:right="0" w:firstLine="480"/>
        <w:jc w:val="left"/>
      </w:pPr>
      <w:r>
        <w:rPr>
          <w:spacing w:val="-5"/>
        </w:rPr>
        <w:t>（</w:t>
      </w:r>
      <w:r>
        <w:rPr>
          <w:rFonts w:ascii="Times New Roman" w:hAnsi="Times New Roman" w:cs="Times New Roman" w:eastAsia="Times New Roman" w:hint="default"/>
          <w:spacing w:val="-5"/>
        </w:rPr>
        <w:t>2</w:t>
      </w:r>
      <w:r>
        <w:rPr>
          <w:spacing w:val="-5"/>
        </w:rPr>
        <w:t>）公司及其子公司北京石基昆仑软件有限公司、深圳市思迅软件股份有限公司、现化电脑系统（北</w:t>
      </w:r>
      <w:r>
        <w:rPr/>
        <w:t> 京）有限公司、广州万迅电脑软件有限公司为高新技术企业，企业所得税税率为</w:t>
      </w:r>
      <w:r>
        <w:rPr>
          <w:rFonts w:ascii="Times New Roman" w:hAnsi="Times New Roman" w:cs="Times New Roman" w:eastAsia="Times New Roman" w:hint="default"/>
        </w:rPr>
        <w:t>15%</w:t>
      </w:r>
      <w:r>
        <w:rPr/>
        <w:t>。</w:t>
      </w:r>
    </w:p>
    <w:p>
      <w:pPr>
        <w:pStyle w:val="BodyText"/>
        <w:spacing w:line="240" w:lineRule="auto" w:before="5"/>
        <w:ind w:left="633" w:right="0"/>
        <w:jc w:val="left"/>
      </w:pPr>
      <w:r>
        <w:rPr/>
        <w:t>公司子公司北京现化信息技术有限公司、杭州西软信息技术有限公司、南京银石支付系统科技有限公</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56" w:lineRule="auto" w:before="35"/>
        <w:ind w:right="1130"/>
        <w:jc w:val="both"/>
      </w:pPr>
      <w:r>
        <w:rPr/>
        <w:t>司系软件企业，根据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文《关于进一步鼓励软件产业和集成电路产业发展企业所得税政策</w:t>
      </w:r>
      <w:r>
        <w:rPr>
          <w:spacing w:val="-47"/>
        </w:rPr>
        <w:t> </w:t>
      </w:r>
      <w:r>
        <w:rPr>
          <w:spacing w:val="-47"/>
        </w:rPr>
      </w:r>
      <w:r>
        <w:rPr>
          <w:spacing w:val="-1"/>
        </w:rPr>
        <w:t>的通知》的规定，在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日前自获利年度起计算优惠期，第一年至第二年免征企业所得税，第三</w:t>
      </w:r>
      <w:r>
        <w:rPr>
          <w:spacing w:val="-85"/>
        </w:rPr>
        <w:t> </w:t>
      </w:r>
      <w:r>
        <w:rPr>
          <w:spacing w:val="-85"/>
        </w:rPr>
      </w:r>
      <w:r>
        <w:rPr/>
        <w:t>年至第五年按照</w:t>
      </w:r>
      <w:r>
        <w:rPr>
          <w:rFonts w:ascii="Times New Roman" w:hAnsi="Times New Roman" w:cs="Times New Roman" w:eastAsia="Times New Roman" w:hint="default"/>
        </w:rPr>
        <w:t>25%</w:t>
      </w:r>
      <w:r>
        <w:rPr/>
        <w:t>的法定税率减半征收企业所得税，并享受至期满为止。其中北京现化信息技术有限公</w:t>
      </w:r>
      <w:r>
        <w:rPr>
          <w:spacing w:val="-98"/>
        </w:rPr>
        <w:t> </w:t>
      </w:r>
      <w:r>
        <w:rPr>
          <w:spacing w:val="-98"/>
        </w:rPr>
      </w:r>
      <w:r>
        <w:rPr>
          <w:spacing w:val="-1"/>
        </w:rPr>
        <w:t>司</w:t>
      </w:r>
      <w:r>
        <w:rPr>
          <w:rFonts w:ascii="Times New Roman" w:hAnsi="Times New Roman" w:cs="Times New Roman" w:eastAsia="Times New Roman" w:hint="default"/>
          <w:spacing w:val="-1"/>
        </w:rPr>
        <w:t>2015</w:t>
      </w:r>
      <w:r>
        <w:rPr>
          <w:spacing w:val="-1"/>
        </w:rPr>
        <w:t>年度属于减免期；杭州西软信息技术有限公司、南京银石支付系统科技有限公司</w:t>
      </w:r>
      <w:r>
        <w:rPr>
          <w:rFonts w:ascii="Times New Roman" w:hAnsi="Times New Roman" w:cs="Times New Roman" w:eastAsia="Times New Roman" w:hint="default"/>
          <w:spacing w:val="-1"/>
        </w:rPr>
        <w:t>2015</w:t>
      </w:r>
      <w:r>
        <w:rPr>
          <w:spacing w:val="-1"/>
        </w:rPr>
        <w:t>年度属于减半</w:t>
      </w:r>
      <w:r>
        <w:rPr>
          <w:spacing w:val="-78"/>
        </w:rPr>
        <w:t> </w:t>
      </w:r>
      <w:r>
        <w:rPr/>
        <w:t>征收期间，实际执行的企业所得税税率为</w:t>
      </w:r>
      <w:r>
        <w:rPr>
          <w:rFonts w:ascii="Times New Roman" w:hAnsi="Times New Roman" w:cs="Times New Roman" w:eastAsia="Times New Roman" w:hint="default"/>
        </w:rPr>
        <w:t>12.5%</w:t>
      </w:r>
      <w:r>
        <w:rPr>
          <w:rFonts w:ascii="Times New Roman" w:hAnsi="Times New Roman" w:cs="Times New Roman" w:eastAsia="Times New Roman" w:hint="default"/>
          <w:spacing w:val="30"/>
        </w:rPr>
        <w:t> </w:t>
      </w:r>
      <w:r>
        <w:rPr/>
        <w:t>。</w:t>
      </w:r>
    </w:p>
    <w:p>
      <w:pPr>
        <w:pStyle w:val="BodyText"/>
        <w:spacing w:line="256" w:lineRule="auto" w:before="5"/>
        <w:ind w:right="1128" w:firstLine="480"/>
        <w:jc w:val="both"/>
      </w:pPr>
      <w:r>
        <w:rPr>
          <w:spacing w:val="2"/>
        </w:rPr>
        <w:t>公司子公司北海石基信息技术有限公司为国家重点软件企业，根据</w:t>
      </w:r>
      <w:r>
        <w:rPr>
          <w:rFonts w:ascii="Times New Roman" w:hAnsi="Times New Roman" w:cs="Times New Roman" w:eastAsia="Times New Roman" w:hint="default"/>
          <w:spacing w:val="2"/>
        </w:rPr>
        <w:t>“</w:t>
      </w:r>
      <w:r>
        <w:rPr>
          <w:spacing w:val="2"/>
        </w:rPr>
        <w:t>北银国税备字</w:t>
      </w:r>
      <w:r>
        <w:rPr>
          <w:rFonts w:ascii="Times New Roman" w:hAnsi="Times New Roman" w:cs="Times New Roman" w:eastAsia="Times New Roman" w:hint="default"/>
          <w:spacing w:val="2"/>
        </w:rPr>
        <w:t>[2014]3</w:t>
      </w:r>
      <w:r>
        <w:rPr>
          <w:spacing w:val="2"/>
        </w:rPr>
        <w:t>号</w:t>
      </w:r>
      <w:r>
        <w:rPr>
          <w:rFonts w:ascii="Times New Roman" w:hAnsi="Times New Roman" w:cs="Times New Roman" w:eastAsia="Times New Roman" w:hint="default"/>
          <w:spacing w:val="2"/>
        </w:rPr>
        <w:t>”</w:t>
      </w:r>
      <w:r>
        <w:rPr>
          <w:spacing w:val="2"/>
        </w:rPr>
        <w:t>文减按 </w:t>
      </w:r>
      <w:r>
        <w:rPr>
          <w:rFonts w:ascii="Times New Roman" w:hAnsi="Times New Roman" w:cs="Times New Roman" w:eastAsia="Times New Roman" w:hint="default"/>
        </w:rPr>
        <w:t>10%</w:t>
      </w:r>
      <w:r>
        <w:rPr/>
        <w:t>征收企业所得税，同时根据</w:t>
      </w:r>
      <w:r>
        <w:rPr>
          <w:rFonts w:ascii="Times New Roman" w:hAnsi="Times New Roman" w:cs="Times New Roman" w:eastAsia="Times New Roman" w:hint="default"/>
        </w:rPr>
        <w:t>“</w:t>
      </w:r>
      <w:r>
        <w:rPr/>
        <w:t>北银国税函</w:t>
      </w:r>
      <w:r>
        <w:rPr>
          <w:rFonts w:ascii="Times New Roman" w:hAnsi="Times New Roman" w:cs="Times New Roman" w:eastAsia="Times New Roman" w:hint="default"/>
        </w:rPr>
        <w:t>[2015]2</w:t>
      </w:r>
      <w:r>
        <w:rPr/>
        <w:t>号</w:t>
      </w:r>
      <w:r>
        <w:rPr>
          <w:rFonts w:ascii="Times New Roman" w:hAnsi="Times New Roman" w:cs="Times New Roman" w:eastAsia="Times New Roman" w:hint="default"/>
        </w:rPr>
        <w:t>”</w:t>
      </w:r>
      <w:r>
        <w:rPr/>
        <w:t>文，减免公司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2020</w:t>
      </w:r>
      <w:r>
        <w:rPr/>
        <w:t>年度地方分享企业所得 税部分，北海石基信息技术有限公司</w:t>
      </w:r>
      <w:r>
        <w:rPr>
          <w:rFonts w:ascii="Times New Roman" w:hAnsi="Times New Roman" w:cs="Times New Roman" w:eastAsia="Times New Roman" w:hint="default"/>
        </w:rPr>
        <w:t>2015</w:t>
      </w:r>
      <w:r>
        <w:rPr/>
        <w:t>年度实际执行的企业所得税税率为</w:t>
      </w:r>
      <w:r>
        <w:rPr>
          <w:rFonts w:ascii="Times New Roman" w:hAnsi="Times New Roman" w:cs="Times New Roman" w:eastAsia="Times New Roman" w:hint="default"/>
        </w:rPr>
        <w:t>6.00%</w:t>
      </w:r>
      <w:r>
        <w:rPr>
          <w:rFonts w:ascii="Times New Roman" w:hAnsi="Times New Roman" w:cs="Times New Roman" w:eastAsia="Times New Roman" w:hint="default"/>
          <w:spacing w:val="29"/>
        </w:rPr>
        <w:t> </w:t>
      </w:r>
      <w:r>
        <w:rPr/>
        <w:t>。</w:t>
      </w:r>
    </w:p>
    <w:p>
      <w:pPr>
        <w:pStyle w:val="BodyText"/>
        <w:spacing w:line="256" w:lineRule="auto" w:before="5"/>
        <w:ind w:right="1131" w:firstLine="480"/>
        <w:jc w:val="both"/>
      </w:pPr>
      <w:r>
        <w:rPr>
          <w:spacing w:val="-2"/>
        </w:rPr>
        <w:t>公司控股子公司杭州连边科技有限公司系小型微利企业，根据</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34</w:t>
      </w:r>
      <w:r>
        <w:rPr>
          <w:spacing w:val="-2"/>
        </w:rPr>
        <w:t>号</w:t>
      </w:r>
      <w:r>
        <w:rPr>
          <w:rFonts w:ascii="Times New Roman" w:hAnsi="Times New Roman" w:cs="Times New Roman" w:eastAsia="Times New Roman" w:hint="default"/>
          <w:spacing w:val="-2"/>
        </w:rPr>
        <w:t>”</w:t>
      </w:r>
      <w:r>
        <w:rPr>
          <w:spacing w:val="-2"/>
        </w:rPr>
        <w:t>文《国家税务总局</w:t>
      </w:r>
      <w:r>
        <w:rPr/>
        <w:t> </w:t>
      </w:r>
      <w:r>
        <w:rPr>
          <w:spacing w:val="-1"/>
        </w:rPr>
        <w:t>关于小型微利企业所得税优惠政策的通知》，自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日，对年应纳税所得额低于</w:t>
      </w:r>
      <w:r>
        <w:rPr>
          <w:spacing w:val="-83"/>
        </w:rPr>
        <w:t> </w:t>
      </w:r>
      <w:r>
        <w:rPr>
          <w:spacing w:val="-83"/>
        </w:rPr>
      </w:r>
      <w:r>
        <w:rPr>
          <w:rFonts w:ascii="Times New Roman" w:hAnsi="Times New Roman" w:cs="Times New Roman" w:eastAsia="Times New Roman" w:hint="default"/>
          <w:spacing w:val="-2"/>
        </w:rPr>
        <w:t>20</w:t>
      </w:r>
      <w:r>
        <w:rPr>
          <w:spacing w:val="-2"/>
        </w:rPr>
        <w:t>万元</w:t>
      </w:r>
      <w:r>
        <w:rPr>
          <w:rFonts w:ascii="Times New Roman" w:hAnsi="Times New Roman" w:cs="Times New Roman" w:eastAsia="Times New Roman" w:hint="default"/>
          <w:spacing w:val="-2"/>
        </w:rPr>
        <w:t>(</w:t>
      </w:r>
      <w:r>
        <w:rPr>
          <w:spacing w:val="-2"/>
        </w:rPr>
        <w:t>含</w:t>
      </w:r>
      <w:r>
        <w:rPr>
          <w:rFonts w:ascii="Times New Roman" w:hAnsi="Times New Roman" w:cs="Times New Roman" w:eastAsia="Times New Roman" w:hint="default"/>
          <w:spacing w:val="-2"/>
        </w:rPr>
        <w:t>20</w:t>
      </w:r>
      <w:r>
        <w:rPr>
          <w:spacing w:val="-2"/>
        </w:rPr>
        <w:t>万元</w:t>
      </w:r>
      <w:r>
        <w:rPr>
          <w:rFonts w:ascii="Times New Roman" w:hAnsi="Times New Roman" w:cs="Times New Roman" w:eastAsia="Times New Roman" w:hint="default"/>
          <w:spacing w:val="-2"/>
        </w:rPr>
        <w:t>)</w:t>
      </w:r>
      <w:r>
        <w:rPr>
          <w:spacing w:val="-2"/>
        </w:rPr>
        <w:t>的小型微利企业，其所得减按</w:t>
      </w:r>
      <w:r>
        <w:rPr>
          <w:rFonts w:ascii="Times New Roman" w:hAnsi="Times New Roman" w:cs="Times New Roman" w:eastAsia="Times New Roman" w:hint="default"/>
          <w:spacing w:val="-2"/>
        </w:rPr>
        <w:t>50%</w:t>
      </w:r>
      <w:r>
        <w:rPr>
          <w:spacing w:val="-2"/>
        </w:rPr>
        <w:t>计入应纳税所得额，按</w:t>
      </w:r>
      <w:r>
        <w:rPr>
          <w:rFonts w:ascii="Times New Roman" w:hAnsi="Times New Roman" w:cs="Times New Roman" w:eastAsia="Times New Roman" w:hint="default"/>
          <w:spacing w:val="-2"/>
        </w:rPr>
        <w:t>20%</w:t>
      </w:r>
      <w:r>
        <w:rPr>
          <w:spacing w:val="-2"/>
        </w:rPr>
        <w:t>的税率缴纳企业所得税，杭</w:t>
      </w:r>
      <w:r>
        <w:rPr>
          <w:spacing w:val="-101"/>
        </w:rPr>
        <w:t> </w:t>
      </w:r>
      <w:r>
        <w:rPr>
          <w:spacing w:val="-101"/>
        </w:rPr>
      </w:r>
      <w:r>
        <w:rPr/>
        <w:t>州连边科技有限公司本年适用所得税税率为</w:t>
      </w:r>
      <w:r>
        <w:rPr>
          <w:rFonts w:ascii="Times New Roman" w:hAnsi="Times New Roman" w:cs="Times New Roman" w:eastAsia="Times New Roman" w:hint="default"/>
        </w:rPr>
        <w:t>10%</w:t>
      </w:r>
      <w:r>
        <w:rPr/>
        <w:t>。</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bookmarkStart w:name="七、合并财务报表项目注释" w:id="215"/>
      <w:bookmarkEnd w:id="21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bookmarkStart w:name="1、货币资金" w:id="216"/>
      <w:bookmarkEnd w:id="21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331,113.61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306,492.52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2,000,086,803.53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677,889,861.85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21,231,774.65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16,855,648.09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2,021,649,691.79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695,052,002.46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66,579,422.78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23,608,158.69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left="633" w:right="4708"/>
        <w:jc w:val="left"/>
      </w:pPr>
      <w:r>
        <w:rPr/>
        <w:t>注</w:t>
      </w:r>
      <w:r>
        <w:rPr>
          <w:rFonts w:ascii="Times New Roman" w:hAnsi="Times New Roman" w:cs="Times New Roman" w:eastAsia="Times New Roman" w:hint="default"/>
        </w:rPr>
        <w:t>1</w:t>
      </w:r>
      <w:r>
        <w:rPr/>
        <w:t>：其他货币资金主要系所有权受限的保函及票据保证金。 注</w:t>
      </w:r>
      <w:r>
        <w:rPr>
          <w:rFonts w:ascii="Times New Roman" w:hAnsi="Times New Roman" w:cs="Times New Roman" w:eastAsia="Times New Roman" w:hint="default"/>
        </w:rPr>
        <w:t>2</w:t>
      </w:r>
      <w:r>
        <w:rPr/>
        <w:t>：货币资金所有权受限情况：</w:t>
      </w:r>
    </w:p>
    <w:p>
      <w:pPr>
        <w:pStyle w:val="BodyText"/>
        <w:spacing w:line="240" w:lineRule="auto" w:before="5"/>
        <w:ind w:left="1264" w:right="0"/>
        <w:jc w:val="left"/>
      </w:pPr>
      <w:r>
        <w:rPr/>
        <w:t>所有权或使用权受限制的资产</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240"/>
        <w:gridCol w:w="2601"/>
        <w:gridCol w:w="3688"/>
      </w:tblGrid>
      <w:tr>
        <w:trPr>
          <w:trHeight w:val="342"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tabs>
                <w:tab w:pos="397" w:val="left" w:leader="none"/>
              </w:tabs>
              <w:spacing w:line="240" w:lineRule="auto" w:before="21"/>
              <w:ind w:right="32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6" w:right="0"/>
              <w:jc w:val="left"/>
              <w:rPr>
                <w:rFonts w:ascii="宋体" w:hAnsi="宋体" w:cs="宋体" w:eastAsia="宋体" w:hint="default"/>
                <w:sz w:val="18"/>
                <w:szCs w:val="18"/>
              </w:rPr>
            </w:pPr>
            <w:r>
              <w:rPr>
                <w:rFonts w:ascii="宋体" w:hAnsi="宋体" w:cs="宋体" w:eastAsia="宋体" w:hint="default"/>
                <w:sz w:val="18"/>
                <w:szCs w:val="18"/>
              </w:rPr>
              <w:t>年末账面价值（元）</w:t>
            </w:r>
          </w:p>
        </w:tc>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2"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55"/>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53,963,507.82</w:t>
            </w:r>
          </w:p>
        </w:tc>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保函、票据保证金及质押存款</w:t>
            </w:r>
          </w:p>
        </w:tc>
      </w:tr>
      <w:tr>
        <w:trPr>
          <w:trHeight w:val="343"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21"/>
              <w:ind w:right="25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53,963,507.82</w:t>
            </w:r>
          </w:p>
        </w:tc>
        <w:tc>
          <w:tcPr>
            <w:tcW w:w="36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收票据" w:id="217"/>
      <w:bookmarkEnd w:id="217"/>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18"/>
      <w:bookmarkEnd w:id="21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3,314,200.00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3,314,200.00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期末公司已背书或贴现且在资产负债表日尚未到期的应收票据" w:id="219"/>
      <w:bookmarkEnd w:id="219"/>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应收账款" w:id="220"/>
      <w:bookmarkEnd w:id="220"/>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21"/>
      <w:bookmarkEnd w:id="22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298,387,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773.19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39,947,4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07.12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13.39%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258,440,3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66.07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264,145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,061.97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15,967,18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248,177,87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5.49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552,662.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552,662.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12,390,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897.15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12,390,89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298,940,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435.79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40,500,0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13.50%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258,440,3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66.07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276,535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,959.12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28,358,08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3.63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248,177,87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5.49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113,763,775.78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5,688,188.79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107,383,584.35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1,073,835.84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221,147,360.13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6,762,024.63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29,753,951.97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4,296,269.06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14.44%</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15,949,764.16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3,335,994.92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12,194,368.72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7,877,857.17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8,335,334.36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6,668,267.49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11,006,993.85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11,006,993.85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298,387,773.19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39,947,407.12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0"/>
        <w:ind w:left="634" w:right="0"/>
        <w:jc w:val="left"/>
      </w:pPr>
      <w:r>
        <w:rPr/>
        <w:t>不同组合的确定依据：</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240"/>
        <w:gridCol w:w="8259"/>
      </w:tblGrid>
      <w:tr>
        <w:trPr>
          <w:trHeight w:val="342"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54"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8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 w:right="3"/>
              <w:jc w:val="left"/>
              <w:rPr>
                <w:rFonts w:ascii="宋体" w:hAnsi="宋体" w:cs="宋体" w:eastAsia="宋体" w:hint="default"/>
                <w:sz w:val="18"/>
                <w:szCs w:val="18"/>
              </w:rPr>
            </w:pPr>
            <w:r>
              <w:rPr>
                <w:rFonts w:ascii="宋体" w:hAnsi="宋体" w:cs="宋体" w:eastAsia="宋体" w:hint="default"/>
                <w:spacing w:val="-1"/>
                <w:sz w:val="18"/>
                <w:szCs w:val="18"/>
              </w:rPr>
              <w:t>根据以前年度与之相同或类似的、按账龄段划分的具有类似信用风险特征的应收款项组合的实际损失率为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基础，结合现实情况分析法对计算机及服务行业确定坏账准备计提的比例。</w:t>
            </w:r>
          </w:p>
        </w:tc>
      </w:tr>
      <w:tr>
        <w:trPr>
          <w:trHeight w:val="654"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8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 w:right="3"/>
              <w:jc w:val="left"/>
              <w:rPr>
                <w:rFonts w:ascii="宋体" w:hAnsi="宋体" w:cs="宋体" w:eastAsia="宋体" w:hint="default"/>
                <w:sz w:val="18"/>
                <w:szCs w:val="18"/>
              </w:rPr>
            </w:pPr>
            <w:r>
              <w:rPr>
                <w:rFonts w:ascii="宋体" w:hAnsi="宋体" w:cs="宋体" w:eastAsia="宋体" w:hint="default"/>
                <w:spacing w:val="-1"/>
                <w:sz w:val="18"/>
                <w:szCs w:val="18"/>
              </w:rPr>
              <w:t>根据以前年度与之相同或类似的、按账龄段划分的具有类似信用风险特征的应收款项组合的实际损失率为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基础，结合现实情况分析法对商品批发行业确定坏账准备计提的比例。</w:t>
            </w:r>
          </w:p>
        </w:tc>
      </w:tr>
      <w:tr>
        <w:trPr>
          <w:trHeight w:val="342" w:hRule="exact"/>
        </w:trPr>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8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不存在减值风险，不计提坏账准备的应收款项组合。</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不适用</w:t>
      </w:r>
    </w:p>
    <w:p>
      <w:pPr>
        <w:spacing w:line="240" w:lineRule="auto" w:before="7"/>
        <w:rPr>
          <w:rFonts w:ascii="宋体" w:hAnsi="宋体" w:cs="宋体" w:eastAsia="宋体" w:hint="default"/>
          <w:sz w:val="20"/>
          <w:szCs w:val="20"/>
        </w:rPr>
      </w:pPr>
    </w:p>
    <w:p>
      <w:pPr>
        <w:pStyle w:val="Heading4"/>
        <w:spacing w:line="240" w:lineRule="auto"/>
        <w:ind w:left="153" w:right="0"/>
        <w:jc w:val="left"/>
        <w:rPr>
          <w:b w:val="0"/>
          <w:bCs w:val="0"/>
        </w:rPr>
      </w:pPr>
      <w:bookmarkStart w:name="（2）本期计提、收回或转回的坏账准备情况" w:id="222"/>
      <w:bookmarkEnd w:id="2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11,195,241.14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本期实际核销的应收账款情况" w:id="223"/>
      <w:bookmarkEnd w:id="22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204,578.00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74"/>
        <w:gridCol w:w="1251"/>
        <w:gridCol w:w="1306"/>
        <w:gridCol w:w="972"/>
        <w:gridCol w:w="1962"/>
        <w:gridCol w:w="1202"/>
      </w:tblGrid>
      <w:tr>
        <w:trPr>
          <w:trHeight w:val="713"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5"/>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5" w:right="55"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百樂門宴會廳 </w:t>
            </w:r>
            <w:r>
              <w:rPr>
                <w:rFonts w:ascii="Times New Roman" w:hAnsi="Times New Roman" w:cs="Times New Roman" w:eastAsia="Times New Roman" w:hint="default"/>
                <w:sz w:val="18"/>
                <w:szCs w:val="18"/>
              </w:rPr>
              <w:t>(MegaBox)</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2,680.90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百樂門宴會廳 </w:t>
            </w:r>
            <w:r>
              <w:rPr>
                <w:rFonts w:ascii="Times New Roman" w:hAnsi="Times New Roman" w:cs="Times New Roman" w:eastAsia="Times New Roman" w:hint="default"/>
                <w:sz w:val="18"/>
                <w:szCs w:val="18"/>
              </w:rPr>
              <w:t>(</w:t>
            </w:r>
            <w:r>
              <w:rPr>
                <w:rFonts w:ascii="宋体" w:hAnsi="宋体" w:cs="宋体" w:eastAsia="宋体" w:hint="default"/>
                <w:sz w:val="18"/>
                <w:szCs w:val="18"/>
              </w:rPr>
              <w:t>銅鑼灣</w:t>
            </w:r>
            <w:r>
              <w:rPr>
                <w:rFonts w:ascii="Times New Roman" w:hAnsi="Times New Roman" w:cs="Times New Roman" w:eastAsia="Times New Roman" w:hint="default"/>
                <w:sz w:val="18"/>
                <w:szCs w:val="18"/>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3,016.01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御苑皇宴 </w:t>
            </w:r>
            <w:r>
              <w:rPr>
                <w:rFonts w:ascii="Times New Roman" w:hAnsi="Times New Roman" w:cs="Times New Roman" w:eastAsia="Times New Roman" w:hint="default"/>
                <w:sz w:val="18"/>
                <w:szCs w:val="18"/>
              </w:rPr>
              <w:t>(</w:t>
            </w:r>
            <w:r>
              <w:rPr>
                <w:rFonts w:ascii="宋体" w:hAnsi="宋体" w:cs="宋体" w:eastAsia="宋体" w:hint="default"/>
                <w:sz w:val="18"/>
                <w:szCs w:val="18"/>
              </w:rPr>
              <w:t>尖沙咀店</w:t>
            </w:r>
            <w:r>
              <w:rPr>
                <w:rFonts w:ascii="Times New Roman" w:hAnsi="Times New Roman" w:cs="Times New Roman" w:eastAsia="Times New Roman" w:hint="default"/>
                <w:sz w:val="18"/>
                <w:szCs w:val="18"/>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1,055.60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敘福樓集團</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58,849.02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敘福樓集團 </w:t>
            </w:r>
            <w:r>
              <w:rPr>
                <w:rFonts w:ascii="Times New Roman" w:hAnsi="Times New Roman" w:cs="Times New Roman" w:eastAsia="Times New Roman" w:hint="default"/>
                <w:sz w:val="18"/>
                <w:szCs w:val="18"/>
              </w:rPr>
              <w:t>-  </w:t>
            </w:r>
            <w:r>
              <w:rPr>
                <w:rFonts w:ascii="宋体" w:hAnsi="宋体" w:cs="宋体" w:eastAsia="宋体" w:hint="default"/>
                <w:sz w:val="18"/>
                <w:szCs w:val="18"/>
              </w:rPr>
              <w:t>南京東路 </w:t>
            </w:r>
            <w:r>
              <w:rPr>
                <w:rFonts w:ascii="Times New Roman" w:hAnsi="Times New Roman" w:cs="Times New Roman" w:eastAsia="Times New Roman" w:hint="default"/>
                <w:sz w:val="18"/>
                <w:szCs w:val="18"/>
              </w:rPr>
              <w:t>(</w:t>
            </w:r>
            <w:r>
              <w:rPr>
                <w:rFonts w:ascii="宋体" w:hAnsi="宋体" w:cs="宋体" w:eastAsia="宋体" w:hint="default"/>
                <w:sz w:val="18"/>
                <w:szCs w:val="18"/>
              </w:rPr>
              <w:t>銅鑼灣</w:t>
            </w:r>
            <w:r>
              <w:rPr>
                <w:rFonts w:ascii="Times New Roman" w:hAnsi="Times New Roman" w:cs="Times New Roman" w:eastAsia="Times New Roman" w:hint="default"/>
                <w:sz w:val="18"/>
                <w:szCs w:val="18"/>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531.99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敘福樓集團 </w:t>
            </w:r>
            <w:r>
              <w:rPr>
                <w:rFonts w:ascii="Times New Roman" w:hAnsi="Times New Roman" w:cs="Times New Roman" w:eastAsia="Times New Roman" w:hint="default"/>
                <w:sz w:val="18"/>
                <w:szCs w:val="18"/>
              </w:rPr>
              <w:t>-  </w:t>
            </w:r>
            <w:r>
              <w:rPr>
                <w:rFonts w:ascii="宋体" w:hAnsi="宋体" w:cs="宋体" w:eastAsia="宋体" w:hint="default"/>
                <w:sz w:val="18"/>
                <w:szCs w:val="18"/>
              </w:rPr>
              <w:t>南京東路 </w:t>
            </w:r>
            <w:r>
              <w:rPr>
                <w:rFonts w:ascii="Times New Roman" w:hAnsi="Times New Roman" w:cs="Times New Roman" w:eastAsia="Times New Roman" w:hint="default"/>
                <w:sz w:val="18"/>
                <w:szCs w:val="18"/>
              </w:rPr>
              <w:t>(</w:t>
            </w:r>
            <w:r>
              <w:rPr>
                <w:rFonts w:ascii="宋体" w:hAnsi="宋体" w:cs="宋体" w:eastAsia="宋体" w:hint="default"/>
                <w:sz w:val="18"/>
                <w:szCs w:val="18"/>
              </w:rPr>
              <w:t>銅鑼灣</w:t>
            </w:r>
            <w:r>
              <w:rPr>
                <w:rFonts w:ascii="Times New Roman" w:hAnsi="Times New Roman" w:cs="Times New Roman" w:eastAsia="Times New Roman" w:hint="default"/>
                <w:sz w:val="18"/>
                <w:szCs w:val="18"/>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536.18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中国银行股份有限公司沈阳分行</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上海加非餐饮管理有限公司</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7"/>
              <w:jc w:val="righ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上海加非餐饮管理有限公司</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74"/>
        <w:gridCol w:w="1251"/>
        <w:gridCol w:w="1306"/>
        <w:gridCol w:w="972"/>
        <w:gridCol w:w="1962"/>
        <w:gridCol w:w="1202"/>
      </w:tblGrid>
      <w:tr>
        <w:trPr>
          <w:trHeight w:val="71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北京金悦世界餐饮投资顾问有限公 司</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四川天伦檀香楼企业管理有限公司</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47"/>
              <w:jc w:val="left"/>
              <w:rPr>
                <w:rFonts w:ascii="Times New Roman" w:hAnsi="Times New Roman" w:cs="Times New Roman" w:eastAsia="Times New Roman" w:hint="default"/>
                <w:sz w:val="18"/>
                <w:szCs w:val="18"/>
              </w:rPr>
            </w:pPr>
            <w:r>
              <w:rPr>
                <w:rFonts w:ascii="Times New Roman"/>
                <w:sz w:val="18"/>
              </w:rPr>
              <w:t>Loama Maamigili Resort &amp; Spa</w:t>
            </w:r>
            <w:r>
              <w:rPr>
                <w:rFonts w:ascii="Times New Roman"/>
                <w:spacing w:val="-9"/>
                <w:sz w:val="18"/>
              </w:rPr>
              <w:t> </w:t>
            </w:r>
            <w:r>
              <w:rPr>
                <w:rFonts w:ascii="Times New Roman"/>
                <w:sz w:val="18"/>
              </w:rPr>
              <w:t>PVT</w:t>
            </w:r>
            <w:r>
              <w:rPr>
                <w:rFonts w:ascii="Times New Roman"/>
                <w:sz w:val="18"/>
              </w:rPr>
              <w:t> Ltd</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128,108.30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经各子公司审批通过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204,578.00</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4" w:right="9132" w:firstLine="0"/>
        <w:jc w:val="left"/>
        <w:rPr>
          <w:rFonts w:ascii="宋体" w:hAnsi="宋体" w:cs="宋体" w:eastAsia="宋体" w:hint="default"/>
          <w:sz w:val="18"/>
          <w:szCs w:val="18"/>
        </w:rPr>
      </w:pPr>
      <w:r>
        <w:rPr>
          <w:rFonts w:ascii="宋体" w:hAnsi="宋体" w:cs="宋体" w:eastAsia="宋体" w:hint="default"/>
          <w:sz w:val="18"/>
          <w:szCs w:val="18"/>
        </w:rPr>
        <w:t>应收账款核销说明：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按欠款方归集的期末余额前五名的应收账款情况" w:id="224"/>
      <w:bookmarkEnd w:id="22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4"/>
          <w:szCs w:val="24"/>
        </w:rPr>
      </w:pPr>
    </w:p>
    <w:p>
      <w:pPr>
        <w:spacing w:before="44"/>
        <w:ind w:left="0" w:right="1190" w:firstLine="0"/>
        <w:jc w:val="right"/>
        <w:rPr>
          <w:rFonts w:ascii="宋体" w:hAnsi="宋体" w:cs="宋体" w:eastAsia="宋体" w:hint="default"/>
          <w:sz w:val="18"/>
          <w:szCs w:val="18"/>
        </w:rPr>
      </w:pPr>
      <w:r>
        <w:rPr/>
        <w:pict>
          <v:shape style="position:absolute;margin-left:56.459999pt;margin-top:.651724pt;width:475.7pt;height:120.2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1560"/>
                    <w:gridCol w:w="2658"/>
                    <w:gridCol w:w="2444"/>
                  </w:tblGrid>
                  <w:tr>
                    <w:trPr>
                      <w:trHeight w:val="342" w:hRule="exact"/>
                    </w:trPr>
                    <w:tc>
                      <w:tcPr>
                        <w:tcW w:w="283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21"/>
                          <w:ind w:left="143" w:right="0"/>
                          <w:jc w:val="left"/>
                          <w:rPr>
                            <w:rFonts w:ascii="宋体" w:hAnsi="宋体" w:cs="宋体" w:eastAsia="宋体" w:hint="default"/>
                            <w:sz w:val="18"/>
                            <w:szCs w:val="18"/>
                          </w:rPr>
                        </w:pPr>
                        <w:r>
                          <w:rPr>
                            <w:rFonts w:ascii="宋体" w:hAnsi="宋体" w:cs="宋体" w:eastAsia="宋体" w:hint="default"/>
                            <w:sz w:val="18"/>
                            <w:szCs w:val="18"/>
                          </w:rPr>
                          <w:t>年末余额（元）</w:t>
                        </w:r>
                      </w:p>
                    </w:tc>
                    <w:tc>
                      <w:tcPr>
                        <w:tcW w:w="265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21"/>
                          <w:ind w:right="-27"/>
                          <w:jc w:val="right"/>
                          <w:rPr>
                            <w:rFonts w:ascii="宋体" w:hAnsi="宋体" w:cs="宋体" w:eastAsia="宋体" w:hint="default"/>
                            <w:sz w:val="18"/>
                            <w:szCs w:val="18"/>
                          </w:rPr>
                        </w:pPr>
                        <w:r>
                          <w:rPr>
                            <w:rFonts w:ascii="宋体" w:hAnsi="宋体" w:cs="宋体" w:eastAsia="宋体" w:hint="default"/>
                            <w:sz w:val="18"/>
                            <w:szCs w:val="18"/>
                          </w:rPr>
                          <w:t>占应收账款年末余额的比例（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44"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计提的坏账准备期末金额（元</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北京凯普创网络技术有限公司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9,326,700.00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3.12</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93,267.00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金航数码科技有限责任公司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8,759,000.00</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2.93</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87,590.00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青岛海信智能商用系统有限公司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8,476,821.73</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2.84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84,768.21</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台山核电合营有限公司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7,139,773.06</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71,397.73</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北京健铭伟业科技有限公司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5,736,997.58</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1.92</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57,369.98</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39,439,292.37</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13.19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394,392.92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5"/>
        <w:ind w:right="0"/>
        <w:jc w:val="left"/>
        <w:rPr>
          <w:b w:val="0"/>
          <w:bCs w:val="0"/>
        </w:rPr>
      </w:pPr>
      <w:bookmarkStart w:name="4、预付款项" w:id="225"/>
      <w:bookmarkEnd w:id="225"/>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26"/>
      <w:bookmarkEnd w:id="22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28,971,426.02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21,908,219.19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978,391.53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888,042.68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469,529.61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30,419,347.16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22,797,461.87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54" w:right="589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按预付对象归集的期末余额前五名的预付款情况" w:id="227"/>
      <w:bookmarkEnd w:id="22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60"/>
        <w:gridCol w:w="1701"/>
        <w:gridCol w:w="3545"/>
      </w:tblGrid>
      <w:tr>
        <w:trPr>
          <w:trHeight w:val="342" w:hRule="exact"/>
        </w:trPr>
        <w:tc>
          <w:tcPr>
            <w:tcW w:w="356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1"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21"/>
              <w:ind w:left="215" w:right="0"/>
              <w:jc w:val="left"/>
              <w:rPr>
                <w:rFonts w:ascii="宋体" w:hAnsi="宋体" w:cs="宋体" w:eastAsia="宋体" w:hint="default"/>
                <w:sz w:val="18"/>
                <w:szCs w:val="18"/>
              </w:rPr>
            </w:pPr>
            <w:r>
              <w:rPr>
                <w:rFonts w:ascii="宋体" w:hAnsi="宋体" w:cs="宋体" w:eastAsia="宋体" w:hint="default"/>
                <w:sz w:val="18"/>
                <w:szCs w:val="18"/>
              </w:rPr>
              <w:t>年末余额（元）</w:t>
            </w:r>
          </w:p>
        </w:tc>
        <w:tc>
          <w:tcPr>
            <w:tcW w:w="3545"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auto" w:before="21"/>
              <w:ind w:left="433" w:right="0"/>
              <w:jc w:val="left"/>
              <w:rPr>
                <w:rFonts w:ascii="宋体" w:hAnsi="宋体" w:cs="宋体" w:eastAsia="宋体" w:hint="default"/>
                <w:sz w:val="18"/>
                <w:szCs w:val="18"/>
              </w:rPr>
            </w:pPr>
            <w:r>
              <w:rPr>
                <w:rFonts w:ascii="宋体" w:hAnsi="宋体" w:cs="宋体" w:eastAsia="宋体" w:hint="default"/>
                <w:sz w:val="18"/>
                <w:szCs w:val="18"/>
              </w:rPr>
              <w:t>占预付账款期末余额的比例（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北京泰能软件有限公司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13,000,000.00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42.74</w:t>
            </w:r>
          </w:p>
        </w:tc>
      </w:tr>
      <w:tr>
        <w:trPr>
          <w:trHeight w:val="34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联想（北京）有限公司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2,422,082.99</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7.96</w:t>
            </w:r>
          </w:p>
        </w:tc>
      </w:tr>
      <w:tr>
        <w:trPr>
          <w:trHeight w:val="34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北京华氏未来信息技术有限公司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1,690,600.00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5.56</w:t>
            </w:r>
          </w:p>
        </w:tc>
      </w:tr>
      <w:tr>
        <w:trPr>
          <w:trHeight w:val="34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上海红蚂蚁装潢设计有限公司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1,626,710.10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560"/>
        <w:gridCol w:w="1701"/>
        <w:gridCol w:w="3545"/>
      </w:tblGrid>
      <w:tr>
        <w:trPr>
          <w:trHeight w:val="34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韶关市龙飞数码科技有限公司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769,782.00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2.53</w:t>
            </w:r>
          </w:p>
        </w:tc>
      </w:tr>
      <w:tr>
        <w:trPr>
          <w:trHeight w:val="34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19,509,175.09</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64.13</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5"/>
        <w:ind w:right="0"/>
        <w:jc w:val="left"/>
        <w:rPr>
          <w:b w:val="0"/>
          <w:bCs w:val="0"/>
        </w:rPr>
      </w:pPr>
      <w:bookmarkStart w:name="5、应收利息" w:id="228"/>
      <w:bookmarkEnd w:id="228"/>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利息分类" w:id="229"/>
      <w:bookmarkEnd w:id="22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协议存款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1,613,698.63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1,613,698.63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应收股利" w:id="230"/>
      <w:bookmarkEnd w:id="230"/>
      <w:r>
        <w:rPr>
          <w:b w:val="0"/>
          <w:bCs w:val="0"/>
        </w:rPr>
      </w:r>
      <w:r>
        <w:rPr>
          <w:rFonts w:ascii="Times New Roman" w:hAnsi="Times New Roman" w:cs="Times New Roman" w:eastAsia="Times New Roman" w:hint="default"/>
        </w:rPr>
        <w:t>6</w:t>
      </w:r>
      <w:r>
        <w:rPr/>
        <w:t>、应收股利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股利" w:id="231"/>
      <w:bookmarkEnd w:id="231"/>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深圳垅运照明电器股份有限公司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3,214,260.00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3,214,260.00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15,295,693.47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18,509,953.47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3,214,260.00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的账龄超过1年的应收股利" w:id="232"/>
      <w:bookmarkEnd w:id="232"/>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134"/>
        <w:gridCol w:w="851"/>
        <w:gridCol w:w="2410"/>
        <w:gridCol w:w="2340"/>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深圳垅运照明电器股份有限公司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3,214,260.00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5"/>
              <w:jc w:val="left"/>
              <w:rPr>
                <w:rFonts w:ascii="宋体" w:hAnsi="宋体" w:cs="宋体" w:eastAsia="宋体" w:hint="default"/>
                <w:sz w:val="18"/>
                <w:szCs w:val="18"/>
              </w:rPr>
            </w:pPr>
            <w:r>
              <w:rPr>
                <w:rFonts w:ascii="宋体" w:hAnsi="宋体" w:cs="宋体" w:eastAsia="宋体" w:hint="default"/>
                <w:sz w:val="18"/>
                <w:szCs w:val="18"/>
              </w:rPr>
              <w:t>因被投资单位营运资占用较 多，未能及时现金分红。</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5"/>
                <w:sz w:val="18"/>
                <w:szCs w:val="18"/>
              </w:rPr>
              <w:t>未发生减值。因此单位仍处于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正常经营，且能盈利。</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 w:right="0"/>
              <w:jc w:val="left"/>
              <w:rPr>
                <w:rFonts w:ascii="Times New Roman" w:hAnsi="Times New Roman" w:cs="Times New Roman" w:eastAsia="Times New Roman" w:hint="default"/>
                <w:sz w:val="18"/>
                <w:szCs w:val="18"/>
              </w:rPr>
            </w:pPr>
            <w:r>
              <w:rPr>
                <w:rFonts w:ascii="Times New Roman"/>
                <w:sz w:val="18"/>
              </w:rPr>
              <w:t>3,214,260.00</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1213" w:firstLine="0"/>
        <w:jc w:val="left"/>
        <w:rPr>
          <w:rFonts w:ascii="宋体" w:hAnsi="宋体" w:cs="宋体" w:eastAsia="宋体" w:hint="default"/>
          <w:sz w:val="18"/>
          <w:szCs w:val="18"/>
        </w:rPr>
      </w:pPr>
      <w:r>
        <w:rPr>
          <w:rFonts w:ascii="宋体" w:hAnsi="宋体" w:cs="宋体" w:eastAsia="宋体" w:hint="default"/>
          <w:sz w:val="18"/>
          <w:szCs w:val="18"/>
        </w:rPr>
        <w:t>其他说明： 注：应收深圳垅运照明电器股份有限公司股利款账龄超过一年，暂未发放，目前公司正在与垅运公司协商股利支付事项。</w:t>
      </w:r>
    </w:p>
    <w:p>
      <w:pPr>
        <w:spacing w:line="240" w:lineRule="auto" w:before="2"/>
        <w:rPr>
          <w:rFonts w:ascii="宋体" w:hAnsi="宋体" w:cs="宋体" w:eastAsia="宋体" w:hint="default"/>
          <w:sz w:val="20"/>
          <w:szCs w:val="20"/>
        </w:rPr>
      </w:pPr>
    </w:p>
    <w:p>
      <w:pPr>
        <w:pStyle w:val="Heading4"/>
        <w:spacing w:line="240" w:lineRule="auto"/>
        <w:ind w:left="153" w:right="0"/>
        <w:jc w:val="left"/>
        <w:rPr>
          <w:b w:val="0"/>
          <w:bCs w:val="0"/>
        </w:rPr>
      </w:pPr>
      <w:bookmarkStart w:name="7、其他应收款" w:id="233"/>
      <w:bookmarkEnd w:id="233"/>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其他应收款分类披露" w:id="234"/>
      <w:bookmarkEnd w:id="23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41,385,7</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74.09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9,364,12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32,021,65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61,872,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968.03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6,636,949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55,236,018.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1,985,5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84.30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3.11%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1,985,584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41,385,7</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74.09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9,364,12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22.63%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32,021,65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1.68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63,858,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552.33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8,622,533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13.50%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55,236,018.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23,752,138.17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1,187,606.89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2,128,104.34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21,281.05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25,880,242.51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1,208,887.94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3,973,889.14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436,415.71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3,462,805.75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704,204.16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5,098,176.40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4,259,727.93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1,078,868.07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863,094.45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1,891,792.22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1,891,792.22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41,385,774.09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9,364,122.41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89"/>
        <w:ind w:left="634" w:right="0"/>
        <w:jc w:val="left"/>
      </w:pPr>
      <w:r>
        <w:rPr/>
        <w:t>不同组合的确定依据：</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080"/>
        <w:gridCol w:w="7419"/>
      </w:tblGrid>
      <w:tr>
        <w:trPr>
          <w:trHeight w:val="342" w:hRule="exact"/>
        </w:trPr>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5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54" w:hRule="exact"/>
        </w:trPr>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7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1"/>
              <w:jc w:val="left"/>
              <w:rPr>
                <w:rFonts w:ascii="宋体" w:hAnsi="宋体" w:cs="宋体" w:eastAsia="宋体" w:hint="default"/>
                <w:sz w:val="18"/>
                <w:szCs w:val="18"/>
              </w:rPr>
            </w:pPr>
            <w:r>
              <w:rPr>
                <w:rFonts w:ascii="宋体" w:hAnsi="宋体" w:cs="宋体" w:eastAsia="宋体" w:hint="default"/>
                <w:sz w:val="18"/>
                <w:szCs w:val="18"/>
              </w:rPr>
              <w:t>根据以前年度与之相同或类似的、按账龄段划分的具有类似信用风险特征的应收款项组合的实 际损失率为基础，结合现实情况分析法对计算机及服务行业确定坏账准备计提的比例。</w:t>
            </w:r>
          </w:p>
        </w:tc>
      </w:tr>
      <w:tr>
        <w:trPr>
          <w:trHeight w:val="654" w:hRule="exact"/>
        </w:trPr>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p>
        </w:tc>
        <w:tc>
          <w:tcPr>
            <w:tcW w:w="7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20"/>
              <w:jc w:val="left"/>
              <w:rPr>
                <w:rFonts w:ascii="宋体" w:hAnsi="宋体" w:cs="宋体" w:eastAsia="宋体" w:hint="default"/>
                <w:sz w:val="18"/>
                <w:szCs w:val="18"/>
              </w:rPr>
            </w:pPr>
            <w:r>
              <w:rPr>
                <w:rFonts w:ascii="宋体" w:hAnsi="宋体" w:cs="宋体" w:eastAsia="宋体" w:hint="default"/>
                <w:sz w:val="18"/>
                <w:szCs w:val="18"/>
              </w:rPr>
              <w:t>根据以前年度与之相同或类似的、按账龄段划分的具有类似信用风险特征的应收款项组合的实 际损失率为基础，结合现实情况分析法对商品批发行业确定坏账准备计提的比例。</w:t>
            </w:r>
          </w:p>
        </w:tc>
      </w:tr>
      <w:tr>
        <w:trPr>
          <w:trHeight w:val="344" w:hRule="exact"/>
        </w:trPr>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p>
        </w:tc>
        <w:tc>
          <w:tcPr>
            <w:tcW w:w="7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不存在减值风险，不计提坏账准备的应收款项组合。</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本期计提、收回或转回的坏账准备情况" w:id="235"/>
      <w:bookmarkEnd w:id="2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402,550.08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其他应收款按款项性质分类情况" w:id="236"/>
      <w:bookmarkEnd w:id="236"/>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14,312,215.58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27,741,434.60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11,557,392.97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9,043,394.61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8,184,225.99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6,645,514.09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3,158,000.00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4,173,939.55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2,428,209.03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41,385,774.09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63,858,552.33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按欠款方归集的期末余额前五名的其他应收款情况" w:id="237"/>
      <w:bookmarkEnd w:id="237"/>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993"/>
        <w:gridCol w:w="1276"/>
        <w:gridCol w:w="1130"/>
        <w:gridCol w:w="1596"/>
        <w:gridCol w:w="1595"/>
      </w:tblGrid>
      <w:tr>
        <w:trPr>
          <w:trHeight w:val="7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78"/>
              <w:jc w:val="right"/>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南京市雨花区国家税务局</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3,217,141.62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160,857.08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深圳市垅运照明电器有限公司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3,000,000.00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北京市海淀区国家税务局第六税务所</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2,728,499.19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136,424.96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杭州市滨江区国家税务局</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2,721,424.35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136,071.22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北海市银海区国家税务局</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2,450,448.17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2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122,522.41</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 w:right="0"/>
              <w:jc w:val="left"/>
              <w:rPr>
                <w:rFonts w:ascii="Times New Roman" w:hAnsi="Times New Roman" w:cs="Times New Roman" w:eastAsia="Times New Roman" w:hint="default"/>
                <w:sz w:val="18"/>
                <w:szCs w:val="18"/>
              </w:rPr>
            </w:pPr>
            <w:r>
              <w:rPr>
                <w:rFonts w:ascii="Times New Roman"/>
                <w:sz w:val="18"/>
              </w:rPr>
              <w:t>14,117,513.33</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34.11%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3,555,875.67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涉及政府补助的应收款项" w:id="238"/>
      <w:bookmarkEnd w:id="238"/>
      <w:r>
        <w:rPr>
          <w:b w:val="0"/>
          <w:bCs w:val="0"/>
        </w:rPr>
      </w: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560"/>
        <w:gridCol w:w="1275"/>
        <w:gridCol w:w="1134"/>
        <w:gridCol w:w="3900"/>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3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3"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92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应收税务机关退税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07" w:right="0"/>
              <w:jc w:val="left"/>
              <w:rPr>
                <w:rFonts w:ascii="Times New Roman" w:hAnsi="Times New Roman" w:cs="Times New Roman" w:eastAsia="Times New Roman" w:hint="default"/>
                <w:sz w:val="18"/>
                <w:szCs w:val="18"/>
              </w:rPr>
            </w:pPr>
            <w:r>
              <w:rPr>
                <w:rFonts w:ascii="Times New Roman"/>
                <w:sz w:val="18"/>
              </w:rPr>
              <w:t>14,312,215.58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预计收取时间：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日之前，金额： </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312</w:t>
            </w:r>
            <w:r>
              <w:rPr>
                <w:rFonts w:ascii="宋体" w:hAnsi="宋体" w:cs="宋体" w:eastAsia="宋体" w:hint="default"/>
                <w:sz w:val="18"/>
                <w:szCs w:val="18"/>
              </w:rPr>
              <w:t>，</w:t>
            </w:r>
            <w:r>
              <w:rPr>
                <w:rFonts w:ascii="Times New Roman" w:hAnsi="Times New Roman" w:cs="Times New Roman" w:eastAsia="Times New Roman" w:hint="default"/>
                <w:sz w:val="18"/>
                <w:szCs w:val="18"/>
              </w:rPr>
              <w:t>215.58</w:t>
            </w:r>
            <w:r>
              <w:rPr>
                <w:rFonts w:ascii="宋体" w:hAnsi="宋体" w:cs="宋体" w:eastAsia="宋体" w:hint="default"/>
                <w:sz w:val="18"/>
                <w:szCs w:val="18"/>
              </w:rPr>
              <w:t>。依据：增值税返还系公司根据 </w:t>
            </w:r>
            <w:r>
              <w:rPr>
                <w:rFonts w:ascii="宋体" w:hAnsi="宋体" w:cs="宋体" w:eastAsia="宋体" w:hint="default"/>
                <w:spacing w:val="-1"/>
                <w:w w:val="100"/>
                <w:sz w:val="18"/>
                <w:szCs w:val="18"/>
              </w:rPr>
              <w:t>国务院</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国发</w:t>
            </w:r>
            <w:r>
              <w:rPr>
                <w:rFonts w:ascii="Times New Roman" w:hAnsi="Times New Roman" w:cs="Times New Roman" w:eastAsia="Times New Roman" w:hint="default"/>
                <w:spacing w:val="-1"/>
                <w:w w:val="100"/>
                <w:sz w:val="18"/>
                <w:szCs w:val="18"/>
              </w:rPr>
              <w:t>[2000]18</w:t>
            </w:r>
            <w:r>
              <w:rPr>
                <w:rFonts w:ascii="Times New Roman" w:hAnsi="Times New Roman" w:cs="Times New Roman" w:eastAsia="Times New Roman" w:hint="default"/>
                <w:spacing w:val="16"/>
                <w:w w:val="100"/>
                <w:sz w:val="18"/>
                <w:szCs w:val="18"/>
              </w:rPr>
              <w:t> </w:t>
            </w:r>
            <w:r>
              <w:rPr>
                <w:rFonts w:ascii="宋体" w:hAnsi="宋体" w:cs="宋体" w:eastAsia="宋体" w:hint="default"/>
                <w:spacing w:val="-7"/>
                <w:w w:val="100"/>
                <w:sz w:val="18"/>
                <w:szCs w:val="18"/>
              </w:rPr>
              <w:t>号</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《鼓励软件产业和集成电</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路产业发展的若干政策》及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 于印发进一步鼓励软件产业和集成电路产业发展 若干政策的通知》的规定，报告期内应收到的自</w:t>
            </w:r>
          </w:p>
        </w:tc>
      </w:tr>
    </w:tbl>
    <w:p>
      <w:pPr>
        <w:spacing w:after="0" w:line="304"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2"/>
        <w:gridCol w:w="1560"/>
        <w:gridCol w:w="1275"/>
        <w:gridCol w:w="1134"/>
        <w:gridCol w:w="3900"/>
      </w:tblGrid>
      <w:tr>
        <w:trPr>
          <w:trHeight w:val="362"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行开发软件销售增值税退税收入。</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14,312,215.58</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存货" w:id="239"/>
      <w:bookmarkEnd w:id="239"/>
      <w:r>
        <w:rPr>
          <w:b w:val="0"/>
          <w:bCs w:val="0"/>
        </w:rPr>
      </w:r>
      <w:r>
        <w:rPr>
          <w:rFonts w:ascii="Times New Roman" w:hAnsi="Times New Roman" w:cs="Times New Roman" w:eastAsia="Times New Roman" w:hint="default"/>
        </w:rPr>
        <w:t>8</w:t>
      </w:r>
      <w:r>
        <w:rPr/>
        <w:t>、存货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存货分类" w:id="240"/>
      <w:bookmarkEnd w:id="24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32,164.64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32,164.64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32,164.64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32,164.64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154,325,078.62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3,076,477.55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151,248,601.07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184,274,248.78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3,030,167.60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181,244,081.18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在建系统集成项 目成本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39,378,442.59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39,378,442.59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39,959,762.33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39,959,762.33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53,377,557.82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53,377,557.82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35,505,879.68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35,505,879.68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247,113,243.67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3,076,477.55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244,036,766.12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259,772,055.43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3,030,167.60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256,741,887.83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存货跌价准备" w:id="241"/>
      <w:bookmarkEnd w:id="24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3,030,167.60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1,042,488.52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996,178.57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3,076,477.55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3,030,167.60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1,042,488.52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996,178.57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3,076,477.55</w:t>
            </w:r>
          </w:p>
        </w:tc>
      </w:tr>
    </w:tbl>
    <w:p>
      <w:pPr>
        <w:spacing w:line="240" w:lineRule="auto" w:before="11"/>
        <w:rPr>
          <w:rFonts w:ascii="宋体" w:hAnsi="宋体" w:cs="宋体" w:eastAsia="宋体" w:hint="default"/>
          <w:sz w:val="23"/>
          <w:szCs w:val="23"/>
        </w:rPr>
      </w:pPr>
    </w:p>
    <w:tbl>
      <w:tblPr>
        <w:tblW w:w="0" w:type="auto"/>
        <w:jc w:val="left"/>
        <w:tblInd w:w="167" w:type="dxa"/>
        <w:tblLayout w:type="fixed"/>
        <w:tblCellMar>
          <w:top w:w="0" w:type="dxa"/>
          <w:left w:w="0" w:type="dxa"/>
          <w:bottom w:w="0" w:type="dxa"/>
          <w:right w:w="0" w:type="dxa"/>
        </w:tblCellMar>
        <w:tblLook w:val="01E0"/>
      </w:tblPr>
      <w:tblGrid>
        <w:gridCol w:w="1242"/>
        <w:gridCol w:w="3119"/>
        <w:gridCol w:w="1985"/>
        <w:gridCol w:w="2177"/>
      </w:tblGrid>
      <w:tr>
        <w:trPr>
          <w:trHeight w:val="65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16" w:right="86" w:hanging="630"/>
              <w:jc w:val="left"/>
              <w:rPr>
                <w:rFonts w:ascii="宋体" w:hAnsi="宋体" w:cs="宋体" w:eastAsia="宋体" w:hint="default"/>
                <w:sz w:val="18"/>
                <w:szCs w:val="18"/>
              </w:rPr>
            </w:pPr>
            <w:r>
              <w:rPr>
                <w:rFonts w:ascii="宋体" w:hAnsi="宋体" w:cs="宋体" w:eastAsia="宋体" w:hint="default"/>
                <w:sz w:val="18"/>
                <w:szCs w:val="18"/>
              </w:rPr>
              <w:t>本年转回存货跌价准备 的原因</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03" w:right="93" w:hanging="811"/>
              <w:jc w:val="left"/>
              <w:rPr>
                <w:rFonts w:ascii="宋体" w:hAnsi="宋体" w:cs="宋体" w:eastAsia="宋体" w:hint="default"/>
                <w:sz w:val="18"/>
                <w:szCs w:val="18"/>
              </w:rPr>
            </w:pPr>
            <w:r>
              <w:rPr>
                <w:rFonts w:ascii="宋体" w:hAnsi="宋体" w:cs="宋体" w:eastAsia="宋体" w:hint="default"/>
                <w:sz w:val="18"/>
                <w:szCs w:val="18"/>
              </w:rPr>
              <w:t>本年转销存货跌价准备的 原因</w:t>
            </w:r>
          </w:p>
        </w:tc>
      </w:tr>
      <w:tr>
        <w:trPr>
          <w:trHeight w:val="34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可变现净值低于账面价值</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对外销售</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9、划分为持有待售的资产" w:id="242"/>
      <w:bookmarkEnd w:id="242"/>
      <w:r>
        <w:rPr>
          <w:b w:val="0"/>
          <w:bCs w:val="0"/>
        </w:rPr>
      </w:r>
      <w:r>
        <w:rPr>
          <w:rFonts w:ascii="Times New Roman" w:hAnsi="Times New Roman" w:cs="Times New Roman" w:eastAsia="Times New Roman" w:hint="default"/>
        </w:rPr>
        <w:t>9</w:t>
      </w:r>
      <w:r>
        <w:rPr/>
        <w:t>、划分为持有待售的资产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023" w:firstLine="480"/>
        <w:jc w:val="left"/>
      </w:pPr>
      <w:r>
        <w:rPr/>
        <w:t>公司控股子公司深圳市思迅软件股份有限公司与自然人葛春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月达成协议，双方约定未来一年 内，公司以</w:t>
      </w:r>
      <w:r>
        <w:rPr>
          <w:rFonts w:ascii="Times New Roman" w:hAnsi="Times New Roman" w:cs="Times New Roman" w:eastAsia="Times New Roman" w:hint="default"/>
        </w:rPr>
        <w:t>19.00</w:t>
      </w:r>
      <w:r>
        <w:rPr/>
        <w:t>万元价格将其持有的南京万国思迅软件有限公司剩余全部</w:t>
      </w:r>
      <w:r>
        <w:rPr>
          <w:rFonts w:ascii="Times New Roman" w:hAnsi="Times New Roman" w:cs="Times New Roman" w:eastAsia="Times New Roman" w:hint="default"/>
        </w:rPr>
        <w:t>19.00%</w:t>
      </w:r>
      <w:r>
        <w:rPr/>
        <w:t>股权转让给自然人葛春，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日已经转让完毕。</w:t>
      </w:r>
    </w:p>
    <w:p>
      <w:pPr>
        <w:spacing w:after="0" w:line="256"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10、其他流动资产" w:id="243"/>
      <w:bookmarkEnd w:id="243"/>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976,500,000.00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21,298,566.22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732,715.49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在途资金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50,010,730.00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1,047,809,296.22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122,232,715.49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left="154" w:right="1120" w:firstLine="480"/>
        <w:jc w:val="left"/>
      </w:pPr>
      <w:r>
        <w:rPr>
          <w:spacing w:val="-2"/>
        </w:rPr>
        <w:t>其他流动资产年末余额主要为公司购买的银行短期保本型理财产品，在途资金为公司期末转账给香港</w:t>
      </w:r>
      <w:r>
        <w:rPr/>
        <w:t> 子公司款项，已从银行账户转出，子公司于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日收到该款项。</w:t>
      </w:r>
    </w:p>
    <w:p>
      <w:pPr>
        <w:spacing w:line="240" w:lineRule="auto" w:before="2"/>
        <w:rPr>
          <w:rFonts w:ascii="宋体" w:hAnsi="宋体" w:cs="宋体" w:eastAsia="宋体" w:hint="default"/>
          <w:sz w:val="22"/>
          <w:szCs w:val="22"/>
        </w:rPr>
      </w:pPr>
    </w:p>
    <w:p>
      <w:pPr>
        <w:pStyle w:val="Heading4"/>
        <w:spacing w:line="240" w:lineRule="auto"/>
        <w:ind w:left="153" w:right="0"/>
        <w:jc w:val="left"/>
        <w:rPr>
          <w:b w:val="0"/>
          <w:bCs w:val="0"/>
        </w:rPr>
      </w:pPr>
      <w:bookmarkStart w:name="11、可供出售金融资产" w:id="244"/>
      <w:bookmarkEnd w:id="244"/>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可供出售金融资产情况" w:id="245"/>
      <w:bookmarkEnd w:id="24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363"/>
        <w:gridCol w:w="1251"/>
        <w:gridCol w:w="1264"/>
        <w:gridCol w:w="1432"/>
        <w:gridCol w:w="1124"/>
        <w:gridCol w:w="1135"/>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78" w:type="dxa"/>
            <w:gridSpan w:val="3"/>
            <w:vMerge/>
            <w:tcBorders>
              <w:left w:val="single" w:sz="4" w:space="0" w:color="000000"/>
              <w:bottom w:val="single" w:sz="4" w:space="0" w:color="000000"/>
              <w:right w:val="single" w:sz="4" w:space="0" w:color="000000"/>
            </w:tcBorders>
            <w:shd w:val="clear" w:color="auto" w:fill="D2D2D2"/>
          </w:tcPr>
          <w:p>
            <w:pPr/>
          </w:p>
        </w:tc>
        <w:tc>
          <w:tcPr>
            <w:tcW w:w="369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251" w:type="dxa"/>
            <w:vMerge/>
            <w:tcBorders>
              <w:left w:val="single" w:sz="4" w:space="0" w:color="000000"/>
              <w:bottom w:val="single" w:sz="4" w:space="0" w:color="000000"/>
              <w:right w:val="single" w:sz="4" w:space="0" w:color="000000"/>
            </w:tcBorders>
            <w:shd w:val="clear" w:color="auto" w:fill="D2D2D2"/>
          </w:tcPr>
          <w:p>
            <w:pPr/>
          </w:p>
        </w:tc>
        <w:tc>
          <w:tcPr>
            <w:tcW w:w="1264" w:type="dxa"/>
            <w:vMerge/>
            <w:tcBorders>
              <w:left w:val="single" w:sz="4" w:space="0" w:color="000000"/>
              <w:bottom w:val="single" w:sz="4" w:space="0" w:color="000000"/>
              <w:right w:val="single" w:sz="4" w:space="0" w:color="000000"/>
            </w:tcBorders>
            <w:shd w:val="clear" w:color="auto" w:fill="D2D2D2"/>
          </w:tcPr>
          <w:p>
            <w:pPr/>
          </w:p>
        </w:tc>
        <w:tc>
          <w:tcPr>
            <w:tcW w:w="1432"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363" w:type="dxa"/>
            <w:tcBorders>
              <w:top w:val="single" w:sz="4" w:space="0" w:color="000000"/>
              <w:left w:val="single" w:sz="13" w:space="0" w:color="D2D2D2"/>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162,864,616.82</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466,707.61</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162,397,909.21</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10,880,170.40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466,707.61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10,413,462.79</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3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158,638,218.36</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466,707.61</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158,638,218.36</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10,880,170.40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466,707.61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10,413,462.79</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4,226,398.46</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466,707.61</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3,759,690.85</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10,880,170.40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466,707.61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10,413,462.79</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162,864,616.82</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466,707.61</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162,397,909.21</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10,880,170.40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466,707.61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10,413,462.79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46"/>
      <w:bookmarkEnd w:id="24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89"/>
        <w:gridCol w:w="1712"/>
        <w:gridCol w:w="1702"/>
        <w:gridCol w:w="566"/>
        <w:gridCol w:w="149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8"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566"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130,684,404.74</w:t>
            </w: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130,684,404.74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158,638,218.36</w:t>
            </w: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158,638,218.36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27,953,813.62</w:t>
            </w:r>
          </w:p>
        </w:tc>
        <w:tc>
          <w:tcPr>
            <w:tcW w:w="17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27,953,813.62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按成本计量的可供出售金融资产" w:id="247"/>
      <w:bookmarkEnd w:id="24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3480"/>
        <w:gridCol w:w="3480"/>
        <w:gridCol w:w="870"/>
        <w:gridCol w:w="870"/>
      </w:tblGrid>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6"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9" w:right="68"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红利</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汕头华汕 电子器件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3,759,690.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3,759,690.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700,000.00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深圳京宝 实业有限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天津房地 产股份公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166,707.61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166,707.61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166,707.61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166,707.61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38"/>
              <w:jc w:val="left"/>
              <w:rPr>
                <w:rFonts w:ascii="Times New Roman" w:hAnsi="Times New Roman" w:cs="Times New Roman" w:eastAsia="Times New Roman" w:hint="default"/>
                <w:sz w:val="18"/>
                <w:szCs w:val="18"/>
              </w:rPr>
            </w:pPr>
            <w:r>
              <w:rPr>
                <w:rFonts w:ascii="Times New Roman"/>
                <w:sz w:val="18"/>
              </w:rPr>
              <w:t>SnapShot</w:t>
            </w:r>
            <w:r>
              <w:rPr>
                <w:rFonts w:ascii="Times New Roman"/>
                <w:w w:val="99"/>
                <w:sz w:val="18"/>
              </w:rPr>
              <w:t> </w:t>
            </w:r>
            <w:r>
              <w:rPr>
                <w:rFonts w:ascii="Times New Roman"/>
                <w:sz w:val="18"/>
              </w:rPr>
              <w:t>GmbH</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10,880,170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4,226,398.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466,707.61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466,707.61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48"/>
      <w:bookmarkEnd w:id="24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466,707.61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466,707.61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466,707.61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466,707.61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0" w:firstLine="480"/>
        <w:jc w:val="left"/>
      </w:pPr>
      <w:r>
        <w:rPr>
          <w:spacing w:val="-1"/>
        </w:rPr>
        <w:t>注</w:t>
      </w:r>
      <w:r>
        <w:rPr>
          <w:rFonts w:ascii="Times New Roman" w:hAnsi="Times New Roman" w:cs="Times New Roman" w:eastAsia="Times New Roman" w:hint="default"/>
          <w:spacing w:val="-1"/>
        </w:rPr>
        <w:t>1</w:t>
      </w:r>
      <w:r>
        <w:rPr>
          <w:spacing w:val="-1"/>
        </w:rPr>
        <w:t>：根据深圳市市场监督管理局工商查询信息显示，深圳京宝实业有限公司注册资本为</w:t>
      </w:r>
      <w:r>
        <w:rPr>
          <w:rFonts w:ascii="Times New Roman" w:hAnsi="Times New Roman" w:cs="Times New Roman" w:eastAsia="Times New Roman" w:hint="default"/>
          <w:spacing w:val="-1"/>
        </w:rPr>
        <w:t>517.00</w:t>
      </w:r>
      <w:r>
        <w:rPr>
          <w:spacing w:val="-1"/>
        </w:rPr>
        <w:t>万元，</w:t>
      </w:r>
      <w:r>
        <w:rPr/>
        <w:t> 公司出资额为</w:t>
      </w:r>
      <w:r>
        <w:rPr>
          <w:rFonts w:ascii="Times New Roman" w:hAnsi="Times New Roman" w:cs="Times New Roman" w:eastAsia="Times New Roman" w:hint="default"/>
        </w:rPr>
        <w:t>310.00</w:t>
      </w:r>
      <w:r>
        <w:rPr/>
        <w:t>万元，出资比例为</w:t>
      </w:r>
      <w:r>
        <w:rPr>
          <w:rFonts w:ascii="Times New Roman" w:hAnsi="Times New Roman" w:cs="Times New Roman" w:eastAsia="Times New Roman" w:hint="default"/>
        </w:rPr>
        <w:t>59.9613%</w:t>
      </w:r>
      <w:r>
        <w:rPr/>
        <w:t>。公司目前账面投资成本</w:t>
      </w:r>
      <w:r>
        <w:rPr>
          <w:rFonts w:ascii="Times New Roman" w:hAnsi="Times New Roman" w:cs="Times New Roman" w:eastAsia="Times New Roman" w:hint="default"/>
        </w:rPr>
        <w:t>30.00</w:t>
      </w:r>
      <w:r>
        <w:rPr/>
        <w:t>万元系根据子公司中国电子 器件工业有限公司</w:t>
      </w:r>
      <w:r>
        <w:rPr>
          <w:rFonts w:ascii="Times New Roman" w:hAnsi="Times New Roman" w:cs="Times New Roman" w:eastAsia="Times New Roman" w:hint="default"/>
        </w:rPr>
        <w:t>2006</w:t>
      </w:r>
      <w:r>
        <w:rPr/>
        <w:t>年改制时的评估报告入账，深圳京宝实业有限公司的经营期限已于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到期，相关的清算工作正在准备当中。</w:t>
      </w:r>
    </w:p>
    <w:p>
      <w:pPr>
        <w:pStyle w:val="BodyText"/>
        <w:spacing w:line="256" w:lineRule="auto" w:before="22"/>
        <w:ind w:right="1130" w:firstLine="480"/>
        <w:jc w:val="both"/>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年公司之全资子公司石基（香港）有限公司出资</w:t>
      </w:r>
      <w:r>
        <w:rPr>
          <w:rFonts w:ascii="Times New Roman" w:hAnsi="Times New Roman" w:cs="Times New Roman" w:eastAsia="Times New Roman" w:hint="default"/>
        </w:rPr>
        <w:t>700.00</w:t>
      </w:r>
      <w:r>
        <w:rPr/>
        <w:t>万欧元投资并购买</w:t>
      </w:r>
      <w:r>
        <w:rPr>
          <w:rFonts w:ascii="Times New Roman" w:hAnsi="Times New Roman" w:cs="Times New Roman" w:eastAsia="Times New Roman" w:hint="default"/>
        </w:rPr>
        <w:t>SnapShot</w:t>
      </w:r>
      <w:r>
        <w:rPr>
          <w:rFonts w:ascii="Times New Roman" w:hAnsi="Times New Roman" w:cs="Times New Roman" w:eastAsia="Times New Roman" w:hint="default"/>
          <w:spacing w:val="44"/>
        </w:rPr>
        <w:t> </w:t>
      </w:r>
      <w:r>
        <w:rPr>
          <w:rFonts w:ascii="Times New Roman" w:hAnsi="Times New Roman" w:cs="Times New Roman" w:eastAsia="Times New Roman" w:hint="default"/>
        </w:rPr>
        <w:t>GmbH</w:t>
      </w:r>
      <w:r>
        <w:rPr>
          <w:rFonts w:ascii="Times New Roman" w:hAnsi="Times New Roman" w:cs="Times New Roman" w:eastAsia="Times New Roman" w:hint="default"/>
          <w:w w:val="99"/>
        </w:rPr>
        <w:t> </w:t>
      </w:r>
      <w:r>
        <w:rPr/>
        <w:t>新发行的股份，投资后公司持有</w:t>
      </w:r>
      <w:r>
        <w:rPr>
          <w:rFonts w:ascii="Times New Roman" w:hAnsi="Times New Roman" w:cs="Times New Roman" w:eastAsia="Times New Roman" w:hint="default"/>
        </w:rPr>
        <w:t>SnapShot</w:t>
      </w:r>
      <w:r>
        <w:rPr>
          <w:rFonts w:ascii="Times New Roman" w:hAnsi="Times New Roman" w:cs="Times New Roman" w:eastAsia="Times New Roman" w:hint="default"/>
          <w:spacing w:val="22"/>
        </w:rPr>
        <w:t> </w:t>
      </w:r>
      <w:r>
        <w:rPr>
          <w:rFonts w:ascii="Times New Roman" w:hAnsi="Times New Roman" w:cs="Times New Roman" w:eastAsia="Times New Roman" w:hint="default"/>
        </w:rPr>
        <w:t>GmbH</w:t>
      </w:r>
      <w:r>
        <w:rPr/>
        <w:t>的股权占比由</w:t>
      </w:r>
      <w:r>
        <w:rPr>
          <w:rFonts w:ascii="Times New Roman" w:hAnsi="Times New Roman" w:cs="Times New Roman" w:eastAsia="Times New Roman" w:hint="default"/>
        </w:rPr>
        <w:t>12.5%</w:t>
      </w:r>
      <w:r>
        <w:rPr/>
        <w:t>增加到</w:t>
      </w:r>
      <w:r>
        <w:rPr>
          <w:rFonts w:ascii="Times New Roman" w:hAnsi="Times New Roman" w:cs="Times New Roman" w:eastAsia="Times New Roman" w:hint="default"/>
        </w:rPr>
        <w:t>38.83%</w:t>
      </w:r>
      <w:r>
        <w:rPr/>
        <w:t>，对被投资公司具有重</w:t>
      </w:r>
      <w:r>
        <w:rPr>
          <w:spacing w:val="-98"/>
        </w:rPr>
        <w:t> </w:t>
      </w:r>
      <w:r>
        <w:rPr>
          <w:spacing w:val="-98"/>
        </w:rPr>
      </w:r>
      <w:r>
        <w:rPr/>
        <w:t>大影响，转入长期股权投资以权益法对该投资进行核算；</w:t>
      </w:r>
    </w:p>
    <w:p>
      <w:pPr>
        <w:pStyle w:val="BodyText"/>
        <w:spacing w:line="264" w:lineRule="auto" w:before="22"/>
        <w:ind w:right="1131" w:firstLine="480"/>
        <w:jc w:val="both"/>
      </w:pPr>
      <w:r>
        <w:rPr>
          <w:spacing w:val="-2"/>
        </w:rPr>
        <w:t>注</w:t>
      </w:r>
      <w:r>
        <w:rPr>
          <w:rFonts w:ascii="Times New Roman" w:hAnsi="Times New Roman" w:cs="Times New Roman" w:eastAsia="Times New Roman" w:hint="default"/>
          <w:spacing w:val="-2"/>
        </w:rPr>
        <w:t>3</w:t>
      </w:r>
      <w:r>
        <w:rPr>
          <w:spacing w:val="-2"/>
        </w:rPr>
        <w:t>：根据中国电子器件工业公司（系公司子公司中国电子器件工业有限公司的前身）于</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1"/>
        </w:rPr>
        <w:t> </w:t>
      </w:r>
      <w:r>
        <w:rPr>
          <w:spacing w:val="-1"/>
        </w:rPr>
        <w:t>日出具的《委托书》及相关银行单据凭证，中电器件工业公司曾委托中国信息信托投资公司认购天津市房</w:t>
      </w:r>
      <w:r>
        <w:rPr>
          <w:spacing w:val="-83"/>
        </w:rPr>
        <w:t> </w:t>
      </w:r>
      <w:r>
        <w:rPr>
          <w:spacing w:val="-83"/>
        </w:rPr>
      </w:r>
      <w:r>
        <w:rPr/>
        <w:t>地产股份公司法人股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万股，并累计向其支付股份认购款</w:t>
      </w:r>
      <w:r>
        <w:rPr>
          <w:rFonts w:ascii="Times New Roman" w:hAnsi="Times New Roman" w:cs="Times New Roman" w:eastAsia="Times New Roman" w:hint="default"/>
        </w:rPr>
        <w:t>16</w:t>
      </w:r>
      <w:r>
        <w:rPr/>
        <w:t>余万元。根据中电器件的说明，因未与该中 </w:t>
      </w:r>
      <w:r>
        <w:rPr>
          <w:spacing w:val="-1"/>
        </w:rPr>
        <w:t>国信息信托投资公司签署股权认购委托协议，且相关文件缺失，无法在证券交易所办理股权过户手续，造</w:t>
      </w:r>
      <w:r>
        <w:rPr>
          <w:spacing w:val="-83"/>
        </w:rPr>
        <w:t> </w:t>
      </w:r>
      <w:r>
        <w:rPr>
          <w:spacing w:val="-83"/>
        </w:rPr>
      </w:r>
      <w:r>
        <w:rPr/>
        <w:t>成在交易所股东信息目录中并无中电器件股东信息记录。中电器件对上述投资全额计提减值准备。</w:t>
      </w:r>
    </w:p>
    <w:p>
      <w:pPr>
        <w:pStyle w:val="BodyText"/>
        <w:spacing w:line="256" w:lineRule="auto" w:before="16"/>
        <w:ind w:right="1131" w:firstLine="480"/>
        <w:jc w:val="both"/>
      </w:pPr>
      <w:r>
        <w:rPr>
          <w:spacing w:val="-5"/>
        </w:rPr>
        <w:t>注</w:t>
      </w:r>
      <w:r>
        <w:rPr>
          <w:rFonts w:ascii="Times New Roman" w:hAnsi="Times New Roman" w:cs="Times New Roman" w:eastAsia="Times New Roman" w:hint="default"/>
          <w:spacing w:val="-5"/>
        </w:rPr>
        <w:t>4</w:t>
      </w:r>
      <w:r>
        <w:rPr>
          <w:spacing w:val="-5"/>
        </w:rPr>
        <w:t>：公司之全资子公司石基（香港）有限公司在美国纳斯达克市场购买</w:t>
      </w:r>
      <w:r>
        <w:rPr>
          <w:rFonts w:ascii="Times New Roman" w:hAnsi="Times New Roman" w:cs="Times New Roman" w:eastAsia="Times New Roman" w:hint="default"/>
          <w:spacing w:val="-5"/>
        </w:rPr>
        <w:t>eFuture </w:t>
      </w:r>
      <w:r>
        <w:rPr>
          <w:rFonts w:ascii="Times New Roman" w:hAnsi="Times New Roman" w:cs="Times New Roman" w:eastAsia="Times New Roman" w:hint="default"/>
        </w:rPr>
        <w:t>Information</w:t>
      </w:r>
      <w:r>
        <w:rPr>
          <w:rFonts w:ascii="Times New Roman" w:hAnsi="Times New Roman" w:cs="Times New Roman" w:eastAsia="Times New Roman" w:hint="default"/>
          <w:spacing w:val="-19"/>
        </w:rPr>
        <w:t> </w:t>
      </w:r>
      <w:r>
        <w:rPr>
          <w:rFonts w:ascii="Times New Roman" w:hAnsi="Times New Roman" w:cs="Times New Roman" w:eastAsia="Times New Roman" w:hint="default"/>
        </w:rPr>
        <w:t>Technology</w:t>
      </w:r>
      <w:r>
        <w:rPr>
          <w:rFonts w:ascii="Times New Roman" w:hAnsi="Times New Roman" w:cs="Times New Roman" w:eastAsia="Times New Roman" w:hint="default"/>
        </w:rPr>
        <w:t> Inc.</w:t>
      </w:r>
      <w:r>
        <w:rPr/>
        <w:t>（以下简称</w:t>
      </w:r>
      <w:r>
        <w:rPr>
          <w:rFonts w:ascii="Times New Roman" w:hAnsi="Times New Roman" w:cs="Times New Roman" w:eastAsia="Times New Roman" w:hint="default"/>
        </w:rPr>
        <w:t>eFuture</w:t>
      </w:r>
      <w:r>
        <w:rPr/>
        <w:t>公司）</w:t>
      </w:r>
      <w:r>
        <w:rPr>
          <w:rFonts w:ascii="Times New Roman" w:hAnsi="Times New Roman" w:cs="Times New Roman" w:eastAsia="Times New Roman" w:hint="default"/>
        </w:rPr>
        <w:t>56.49%</w:t>
      </w:r>
      <w:r>
        <w:rPr/>
        <w:t>股权，截止到期末，公司暂未取得</w:t>
      </w:r>
      <w:r>
        <w:rPr>
          <w:rFonts w:ascii="Times New Roman" w:hAnsi="Times New Roman" w:cs="Times New Roman" w:eastAsia="Times New Roman" w:hint="default"/>
        </w:rPr>
        <w:t>eFuture</w:t>
      </w:r>
      <w:r>
        <w:rPr/>
        <w:t>公司实际控制权，故本期未</w:t>
      </w:r>
      <w:r>
        <w:rPr>
          <w:spacing w:val="-75"/>
        </w:rPr>
        <w:t> </w:t>
      </w:r>
      <w:r>
        <w:rPr>
          <w:spacing w:val="-75"/>
        </w:rPr>
      </w:r>
      <w:r>
        <w:rPr/>
        <w:t>将</w:t>
      </w:r>
      <w:r>
        <w:rPr>
          <w:rFonts w:ascii="Times New Roman" w:hAnsi="Times New Roman" w:cs="Times New Roman" w:eastAsia="Times New Roman" w:hint="default"/>
        </w:rPr>
        <w:t>eFuture</w:t>
      </w:r>
      <w:r>
        <w:rPr/>
        <w:t>公司纳入合并范围，以</w:t>
      </w:r>
      <w:r>
        <w:rPr>
          <w:rFonts w:ascii="Times New Roman" w:hAnsi="Times New Roman" w:cs="Times New Roman" w:eastAsia="Times New Roman" w:hint="default"/>
        </w:rPr>
        <w:t>eFuture</w:t>
      </w:r>
      <w:r>
        <w:rPr/>
        <w:t>公司在纳斯达克交易市场的股价为公允价值进行计量。</w:t>
      </w:r>
    </w:p>
    <w:p>
      <w:pPr>
        <w:spacing w:line="240" w:lineRule="auto" w:before="5"/>
        <w:rPr>
          <w:rFonts w:ascii="宋体" w:hAnsi="宋体" w:cs="宋体" w:eastAsia="宋体" w:hint="default"/>
          <w:sz w:val="23"/>
          <w:szCs w:val="23"/>
        </w:rPr>
      </w:pPr>
    </w:p>
    <w:p>
      <w:pPr>
        <w:pStyle w:val="Heading4"/>
        <w:spacing w:line="240" w:lineRule="auto"/>
        <w:ind w:left="153" w:right="0"/>
        <w:jc w:val="left"/>
        <w:rPr>
          <w:b w:val="0"/>
          <w:bCs w:val="0"/>
        </w:rPr>
      </w:pPr>
      <w:bookmarkStart w:name="12、长期股权投资" w:id="249"/>
      <w:bookmarkEnd w:id="249"/>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迅付信息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75,724,87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-2,384,25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-362,972.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15,295,69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57,681,94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8.91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深圳市垅 运照明电 器有限公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26,183,57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6.05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1,284,030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27,467,60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0"/>
              <w:jc w:val="left"/>
              <w:rPr>
                <w:rFonts w:ascii="Times New Roman" w:hAnsi="Times New Roman" w:cs="Times New Roman" w:eastAsia="Times New Roman" w:hint="default"/>
                <w:sz w:val="18"/>
                <w:szCs w:val="18"/>
              </w:rPr>
            </w:pPr>
            <w:r>
              <w:rPr>
                <w:rFonts w:ascii="Times New Roman"/>
                <w:sz w:val="18"/>
              </w:rPr>
              <w:t>Galasys</w:t>
            </w:r>
            <w:r>
              <w:rPr>
                <w:rFonts w:ascii="Times New Roman"/>
                <w:w w:val="99"/>
                <w:sz w:val="18"/>
              </w:rPr>
              <w:t> </w:t>
            </w:r>
            <w:r>
              <w:rPr>
                <w:rFonts w:ascii="Times New Roman"/>
                <w:sz w:val="18"/>
              </w:rPr>
              <w:t>Plc</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44,162,15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1,796,437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1,819,643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108,473.5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296,001.4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47,590,70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
              <w:jc w:val="left"/>
              <w:rPr>
                <w:rFonts w:ascii="Times New Roman" w:hAnsi="Times New Roman" w:cs="Times New Roman" w:eastAsia="Times New Roman" w:hint="default"/>
                <w:sz w:val="18"/>
                <w:szCs w:val="18"/>
              </w:rPr>
            </w:pPr>
            <w:r>
              <w:rPr>
                <w:rFonts w:ascii="Times New Roman"/>
                <w:sz w:val="18"/>
              </w:rPr>
              <w:t>Snap</w:t>
            </w:r>
            <w:r>
              <w:rPr>
                <w:rFonts w:ascii="Times New Roman"/>
                <w:spacing w:val="-1"/>
                <w:sz w:val="18"/>
              </w:rPr>
              <w:t> </w:t>
            </w:r>
            <w:r>
              <w:rPr>
                <w:rFonts w:ascii="Times New Roman"/>
                <w:sz w:val="18"/>
              </w:rPr>
              <w:t>Shot</w:t>
            </w:r>
            <w:r>
              <w:rPr>
                <w:rFonts w:ascii="Times New Roman"/>
                <w:w w:val="99"/>
                <w:sz w:val="18"/>
              </w:rPr>
              <w:t> </w:t>
            </w:r>
            <w:r>
              <w:rPr>
                <w:rFonts w:ascii="Times New Roman"/>
                <w:sz w:val="18"/>
              </w:rPr>
              <w:t>GmbH</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49,450,30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-3,667,04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302,432.0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6,653,771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52,739,46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科传计算 机科技控 股有限公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5,761,738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-787,729.</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3,638,616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98,612,62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上海仁大 商业保理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11,250,00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-1,834.71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11,248,16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5.29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101,908,4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48.79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194,862,4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57.66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2,789,071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668,941.3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4,049,521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15,591,69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6,653,771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295,340,5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18.59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101,908,4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48.79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194,862,4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57.66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2,789,071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668,941.3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4,049,521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15,591,69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6,653,771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295,340,5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18.59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130" w:firstLine="480"/>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月，公司之子公司石基（香港）有限公司以</w:t>
      </w:r>
      <w:r>
        <w:rPr>
          <w:rFonts w:ascii="Times New Roman" w:hAnsi="Times New Roman" w:cs="Times New Roman" w:eastAsia="Times New Roman" w:hint="default"/>
        </w:rPr>
        <w:t>4,593,402.00</w:t>
      </w:r>
      <w:r>
        <w:rPr/>
        <w:t>英镑通过购买</w:t>
      </w:r>
      <w:r>
        <w:rPr>
          <w:rFonts w:ascii="Times New Roman" w:hAnsi="Times New Roman" w:cs="Times New Roman" w:eastAsia="Times New Roman" w:hint="default"/>
        </w:rPr>
        <w:t>Galasys</w:t>
      </w:r>
      <w:r>
        <w:rPr/>
        <w:t>公司原股</w:t>
      </w:r>
      <w:r>
        <w:rPr>
          <w:spacing w:val="1"/>
        </w:rPr>
        <w:t> </w:t>
      </w:r>
      <w:r>
        <w:rPr/>
        <w:t>东持有股票</w:t>
      </w:r>
      <w:r>
        <w:rPr>
          <w:rFonts w:ascii="Times New Roman" w:hAnsi="Times New Roman" w:cs="Times New Roman" w:eastAsia="Times New Roman" w:hint="default"/>
        </w:rPr>
        <w:t>5,325,685</w:t>
      </w:r>
      <w:r>
        <w:rPr/>
        <w:t>股及认购</w:t>
      </w:r>
      <w:r>
        <w:rPr>
          <w:rFonts w:ascii="Times New Roman" w:hAnsi="Times New Roman" w:cs="Times New Roman" w:eastAsia="Times New Roman" w:hint="default"/>
        </w:rPr>
        <w:t>Galasys</w:t>
      </w:r>
      <w:r>
        <w:rPr/>
        <w:t>公司新发行股票</w:t>
      </w:r>
      <w:r>
        <w:rPr>
          <w:rFonts w:ascii="Times New Roman" w:hAnsi="Times New Roman" w:cs="Times New Roman" w:eastAsia="Times New Roman" w:hint="default"/>
        </w:rPr>
        <w:t>9,985,655</w:t>
      </w:r>
      <w:r>
        <w:rPr/>
        <w:t>股合计持有</w:t>
      </w:r>
      <w:r>
        <w:rPr>
          <w:rFonts w:ascii="Times New Roman" w:hAnsi="Times New Roman" w:cs="Times New Roman" w:eastAsia="Times New Roman" w:hint="default"/>
        </w:rPr>
        <w:t>15,311,340</w:t>
      </w:r>
      <w:r>
        <w:rPr/>
        <w:t>股，占</w:t>
      </w:r>
      <w:r>
        <w:rPr>
          <w:rFonts w:ascii="Times New Roman" w:hAnsi="Times New Roman" w:cs="Times New Roman" w:eastAsia="Times New Roman" w:hint="default"/>
        </w:rPr>
        <w:t>Galasys</w:t>
      </w:r>
      <w:r>
        <w:rPr/>
        <w:t>公司总</w:t>
      </w:r>
      <w:r>
        <w:rPr>
          <w:spacing w:val="-102"/>
        </w:rPr>
        <w:t> </w:t>
      </w:r>
      <w:r>
        <w:rPr/>
        <w:t>股本</w:t>
      </w:r>
      <w:r>
        <w:rPr>
          <w:rFonts w:ascii="Times New Roman" w:hAnsi="Times New Roman" w:cs="Times New Roman" w:eastAsia="Times New Roman" w:hint="default"/>
        </w:rPr>
        <w:t>20%</w:t>
      </w:r>
      <w:r>
        <w:rPr/>
        <w:t>。</w:t>
      </w:r>
    </w:p>
    <w:p>
      <w:pPr>
        <w:pStyle w:val="BodyText"/>
        <w:spacing w:line="256" w:lineRule="auto" w:before="5"/>
        <w:ind w:right="1131" w:firstLine="480"/>
        <w:jc w:val="both"/>
      </w:pPr>
      <w:r>
        <w:rPr>
          <w:spacing w:val="-3"/>
        </w:rPr>
        <w:t>注</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月，公司之子公司石基（香港）有限公司以</w:t>
      </w:r>
      <w:r>
        <w:rPr>
          <w:rFonts w:ascii="Times New Roman" w:hAnsi="Times New Roman" w:cs="Times New Roman" w:eastAsia="Times New Roman" w:hint="default"/>
          <w:spacing w:val="-3"/>
        </w:rPr>
        <w:t>700.00</w:t>
      </w:r>
      <w:r>
        <w:rPr>
          <w:spacing w:val="-3"/>
        </w:rPr>
        <w:t>万欧元认购</w:t>
      </w:r>
      <w:r>
        <w:rPr>
          <w:rFonts w:ascii="Times New Roman" w:hAnsi="Times New Roman" w:cs="Times New Roman" w:eastAsia="Times New Roman" w:hint="default"/>
          <w:spacing w:val="-3"/>
        </w:rPr>
        <w:t>SnapShot</w:t>
      </w:r>
      <w:r>
        <w:rPr>
          <w:spacing w:val="-3"/>
        </w:rPr>
        <w:t>公司发行的</w:t>
      </w:r>
      <w:r>
        <w:rPr>
          <w:rFonts w:ascii="Times New Roman" w:hAnsi="Times New Roman" w:cs="Times New Roman" w:eastAsia="Times New Roman" w:hint="default"/>
          <w:spacing w:val="-3"/>
        </w:rPr>
        <w:t>21,519</w:t>
      </w:r>
      <w:r>
        <w:rPr>
          <w:rFonts w:ascii="Times New Roman" w:hAnsi="Times New Roman" w:cs="Times New Roman" w:eastAsia="Times New Roman" w:hint="default"/>
        </w:rPr>
        <w:t> </w:t>
      </w:r>
      <w:r>
        <w:rPr/>
        <w:t>股，本次交易后，共持有</w:t>
      </w:r>
      <w:r>
        <w:rPr>
          <w:rFonts w:ascii="Times New Roman" w:hAnsi="Times New Roman" w:cs="Times New Roman" w:eastAsia="Times New Roman" w:hint="default"/>
        </w:rPr>
        <w:t>SnapShot</w:t>
      </w:r>
      <w:r>
        <w:rPr/>
        <w:t>公司</w:t>
      </w:r>
      <w:r>
        <w:rPr>
          <w:rFonts w:ascii="Times New Roman" w:hAnsi="Times New Roman" w:cs="Times New Roman" w:eastAsia="Times New Roman" w:hint="default"/>
        </w:rPr>
        <w:t>38.83%</w:t>
      </w:r>
      <w:r>
        <w:rPr/>
        <w:t>股份。</w:t>
      </w:r>
    </w:p>
    <w:p>
      <w:pPr>
        <w:pStyle w:val="BodyText"/>
        <w:spacing w:line="256" w:lineRule="auto" w:before="5"/>
        <w:ind w:right="1133" w:firstLine="480"/>
        <w:jc w:val="both"/>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月，公司之子公司石基（香港）有限公司以</w:t>
      </w:r>
      <w:r>
        <w:rPr>
          <w:rFonts w:ascii="Times New Roman" w:hAnsi="Times New Roman" w:cs="Times New Roman" w:eastAsia="Times New Roman" w:hint="default"/>
        </w:rPr>
        <w:t>9,000.00</w:t>
      </w:r>
      <w:r>
        <w:rPr/>
        <w:t>万元人民币收购科传控股有限公司 原股东持有科传公司共计</w:t>
      </w:r>
      <w:r>
        <w:rPr>
          <w:rFonts w:ascii="Times New Roman" w:hAnsi="Times New Roman" w:cs="Times New Roman" w:eastAsia="Times New Roman" w:hint="default"/>
        </w:rPr>
        <w:t>30.00%</w:t>
      </w:r>
      <w:r>
        <w:rPr/>
        <w:t>股份。</w:t>
      </w:r>
    </w:p>
    <w:p>
      <w:pPr>
        <w:pStyle w:val="BodyText"/>
        <w:spacing w:line="256" w:lineRule="auto" w:before="5"/>
        <w:ind w:right="1132" w:firstLine="480"/>
        <w:jc w:val="both"/>
        <w:rPr>
          <w:rFonts w:ascii="Times New Roman" w:hAnsi="Times New Roman" w:cs="Times New Roman" w:eastAsia="Times New Roman" w:hint="default"/>
        </w:rPr>
      </w:pPr>
      <w:r>
        <w:rPr>
          <w:spacing w:val="-2"/>
        </w:rPr>
        <w:t>注</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月，公司之子公司北海石基信息技术有限公司出资</w:t>
      </w:r>
      <w:r>
        <w:rPr>
          <w:rFonts w:ascii="Times New Roman" w:hAnsi="Times New Roman" w:cs="Times New Roman" w:eastAsia="Times New Roman" w:hint="default"/>
          <w:spacing w:val="-2"/>
        </w:rPr>
        <w:t>1,125.00</w:t>
      </w:r>
      <w:r>
        <w:rPr>
          <w:spacing w:val="-2"/>
        </w:rPr>
        <w:t>万元人民币参股设立上海仁</w:t>
      </w:r>
      <w:r>
        <w:rPr/>
        <w:t> 大商业保理有限公司，占公司股权比例为</w:t>
      </w:r>
      <w:r>
        <w:rPr>
          <w:rFonts w:ascii="Times New Roman" w:hAnsi="Times New Roman" w:cs="Times New Roman" w:eastAsia="Times New Roman" w:hint="default"/>
        </w:rPr>
        <w:t>22.50%</w:t>
      </w:r>
    </w:p>
    <w:p>
      <w:pPr>
        <w:spacing w:after="0" w:line="256" w:lineRule="auto"/>
        <w:jc w:val="both"/>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right="0"/>
        <w:jc w:val="left"/>
        <w:rPr>
          <w:b w:val="0"/>
          <w:bCs w:val="0"/>
        </w:rPr>
      </w:pPr>
      <w:bookmarkStart w:name="13、投资性房地产" w:id="250"/>
      <w:bookmarkEnd w:id="250"/>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51"/>
      <w:bookmarkEnd w:id="25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1559"/>
        <w:gridCol w:w="1560"/>
        <w:gridCol w:w="992"/>
        <w:gridCol w:w="1348"/>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59"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112,570,982.02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47,296,193.90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159,867,175.92</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22,308,047.30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12,732,230.99</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35,040,278.29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59"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559"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59" w:type="dxa"/>
            <w:tcBorders>
              <w:top w:val="single" w:sz="4" w:space="0" w:color="000000"/>
              <w:left w:val="single" w:sz="10"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无形资产转入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22,135,703.87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12,732,230.99</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34,867,934.86</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172,343.43</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172,343.43</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134,879,029.32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60,028,424.89</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194,907,454.21</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33,997,423.58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2,613,570.31</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36,610,993.89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17,340,951.67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3,753,117.65</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21,094,069.32</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11,163,752.38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2,263,042.45</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13,426,794.83</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无形资产转入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6,177,199.29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1,490,075.20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7,667,274.49</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51,338,375.25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6,366,687.96</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57,705,063.21</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12"/>
        <w:gridCol w:w="1559"/>
        <w:gridCol w:w="1560"/>
        <w:gridCol w:w="992"/>
        <w:gridCol w:w="1348"/>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83,540,654.07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53,661,736.93</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137,202,391.00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78,573,558.44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44,682,623.59</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123,256,182.03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4、固定资产" w:id="252"/>
      <w:bookmarkEnd w:id="252"/>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固定资产情况" w:id="253"/>
      <w:bookmarkEnd w:id="25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418"/>
        <w:gridCol w:w="1417"/>
        <w:gridCol w:w="1276"/>
        <w:gridCol w:w="1277"/>
        <w:gridCol w:w="1342"/>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379,540,952.05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7,934,672.69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26,109,750.65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11,965,690.82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425,551,066.21</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46,583,622.29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932,570.47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4,804,445.12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6,092,436.88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58,413,074.76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46,583,622.29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256,776.47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4,804,445.12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2,750,561.15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54,395,405.03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675,794.00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3,341,875.73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4,017,669.73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25,149,930.01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299,408.00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380,427.20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1,232,722.37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27,062,487.58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3,014,226.14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299,408.00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380,427.20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1,102,348.39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4,796,409.73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55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22,135,703.87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22,135,703.87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）处置子公司减少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130,373.98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130,373.98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400,974,644.33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8,567,835.16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30,533,768.57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16,825,405.33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456,901,653.39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60,518,616.68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4,771,996.32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20,182,218.28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8,533,650.20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94,006,481.48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15,713,423.55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1,201,281.80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3,867,000.90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5,431,282.50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26,212,988.75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15,713,423.55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714,710.12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3,867,000.90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2,736,175.48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23,031,310.05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486,571.68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2,695,107.02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3,181,678.70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7,303,132.95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287,559.35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321,141.29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1,093,630.58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9,005,464.17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1,125,933.66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287,559.35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321,141.29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1,012,078.26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2,746,712.56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55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6,177,199.29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6,177,199.29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6"/>
        <w:gridCol w:w="1418"/>
        <w:gridCol w:w="1417"/>
        <w:gridCol w:w="1276"/>
        <w:gridCol w:w="1277"/>
        <w:gridCol w:w="1342"/>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）处置子公司减少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81,552.32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81,552.32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68,928,907.28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5,685,718.77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23,728,077.89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12,871,302.12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111,214,006.06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59,460.72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439,420.38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649,396.07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103,760.66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1,252,037.83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62,144.25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3,802.39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65,946.64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62,144.25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3,802.39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65,946.64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59,460.72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377,276.13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649,396.07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99,958.27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1,186,091.19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331,986,276.33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2,504,840.26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6,156,294.61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3,854,144.94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344,501,556.14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318,962,874.65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2,723,255.99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5,278,136.30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3,328,279.96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330,292,546.90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办妥产权证书的固定资产情况" w:id="254"/>
      <w:bookmarkEnd w:id="254"/>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843"/>
        <w:gridCol w:w="6451"/>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6" w:right="0"/>
              <w:jc w:val="left"/>
              <w:rPr>
                <w:rFonts w:ascii="Times New Roman" w:hAnsi="Times New Roman" w:cs="Times New Roman" w:eastAsia="Times New Roman" w:hint="default"/>
                <w:sz w:val="18"/>
                <w:szCs w:val="18"/>
              </w:rPr>
            </w:pPr>
            <w:r>
              <w:rPr>
                <w:rFonts w:ascii="Times New Roman"/>
                <w:sz w:val="18"/>
              </w:rPr>
              <w:t>49,375,979.97</w:t>
            </w:r>
          </w:p>
        </w:tc>
        <w:tc>
          <w:tcPr>
            <w:tcW w:w="6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3"/>
                <w:sz w:val="18"/>
                <w:szCs w:val="18"/>
              </w:rPr>
              <w:t>未办妥产权证书的房产，其中公司子公司北海石基信息技术有限公司拟继续新建房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产，待新建房产后一并办理；公司子公司杭州西软信息技术有限公司本年购置的房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产正在办理产权证书中，截止期末尚未办理完成。</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634" w:right="0"/>
        <w:jc w:val="left"/>
      </w:pPr>
      <w:r>
        <w:rPr/>
        <w:t>（</w:t>
      </w:r>
      <w:r>
        <w:rPr>
          <w:rFonts w:ascii="Times New Roman" w:hAnsi="Times New Roman" w:cs="Times New Roman" w:eastAsia="Times New Roman" w:hint="default"/>
        </w:rPr>
        <w:t>3</w:t>
      </w:r>
      <w:r>
        <w:rPr/>
        <w:t>）产权有瑕疵的固定资产</w:t>
      </w:r>
    </w:p>
    <w:p>
      <w:pPr>
        <w:pStyle w:val="BodyText"/>
        <w:spacing w:line="256" w:lineRule="auto" w:before="21"/>
        <w:ind w:right="1131" w:firstLine="480"/>
        <w:jc w:val="both"/>
      </w:pPr>
      <w:r>
        <w:rPr>
          <w:spacing w:val="8"/>
        </w:rPr>
        <w:t>房屋建筑物中公司子公司中国电子器件工业有限公司固定资产</w:t>
      </w:r>
      <w:r>
        <w:rPr>
          <w:rFonts w:ascii="Times New Roman" w:hAnsi="Times New Roman" w:cs="Times New Roman" w:eastAsia="Times New Roman" w:hint="default"/>
          <w:spacing w:val="8"/>
        </w:rPr>
        <w:t>--</w:t>
      </w:r>
      <w:r>
        <w:rPr>
          <w:spacing w:val="8"/>
        </w:rPr>
        <w:t>房屋及建筑物年末余额中原值为</w:t>
      </w:r>
      <w:r>
        <w:rPr/>
        <w:t> </w:t>
      </w:r>
      <w:r>
        <w:rPr>
          <w:rFonts w:ascii="Times New Roman" w:hAnsi="Times New Roman" w:cs="Times New Roman" w:eastAsia="Times New Roman" w:hint="default"/>
        </w:rPr>
        <w:t>1,157.83</w:t>
      </w:r>
      <w:r>
        <w:rPr/>
        <w:t>万元的房产未取得土地使用权证。该房产位于北京朝阳区新源街</w:t>
      </w:r>
      <w:r>
        <w:rPr>
          <w:rFonts w:ascii="Times New Roman" w:hAnsi="Times New Roman" w:cs="Times New Roman" w:eastAsia="Times New Roman" w:hint="default"/>
        </w:rPr>
        <w:t>18</w:t>
      </w:r>
      <w:r>
        <w:rPr/>
        <w:t>号楼，目前用于对外出租，该</w:t>
      </w:r>
      <w:r>
        <w:rPr>
          <w:spacing w:val="-30"/>
        </w:rPr>
        <w:t> </w:t>
      </w:r>
      <w:r>
        <w:rPr>
          <w:spacing w:val="-30"/>
        </w:rPr>
      </w:r>
      <w:r>
        <w:rPr/>
        <w:t>房产在子公司</w:t>
      </w:r>
      <w:r>
        <w:rPr>
          <w:rFonts w:ascii="Times New Roman" w:hAnsi="Times New Roman" w:cs="Times New Roman" w:eastAsia="Times New Roman" w:hint="default"/>
        </w:rPr>
        <w:t>2006</w:t>
      </w:r>
      <w:r>
        <w:rPr/>
        <w:t>年改制前由子公司的前身中国电子器件工业总公司所有，并已取得</w:t>
      </w:r>
      <w:r>
        <w:rPr>
          <w:rFonts w:ascii="Times New Roman" w:hAnsi="Times New Roman" w:cs="Times New Roman" w:eastAsia="Times New Roman" w:hint="default"/>
        </w:rPr>
        <w:t>“</w:t>
      </w:r>
      <w:r>
        <w:rPr/>
        <w:t>朝全字第</w:t>
      </w:r>
      <w:r>
        <w:rPr>
          <w:rFonts w:ascii="Times New Roman" w:hAnsi="Times New Roman" w:cs="Times New Roman" w:eastAsia="Times New Roman" w:hint="default"/>
        </w:rPr>
        <w:t>08263</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spacing w:val="-1"/>
        </w:rPr>
        <w:t>房产证，但未取得对应土地使用权证。公司子公司中国电子器件工业有限公司</w:t>
      </w:r>
      <w:r>
        <w:rPr>
          <w:rFonts w:ascii="Times New Roman" w:hAnsi="Times New Roman" w:cs="Times New Roman" w:eastAsia="Times New Roman" w:hint="default"/>
          <w:spacing w:val="-1"/>
        </w:rPr>
        <w:t>2006</w:t>
      </w:r>
      <w:r>
        <w:rPr>
          <w:spacing w:val="-1"/>
        </w:rPr>
        <w:t>年改制后，该房产一直</w:t>
      </w:r>
      <w:r>
        <w:rPr>
          <w:spacing w:val="-81"/>
        </w:rPr>
        <w:t> </w:t>
      </w:r>
      <w:r>
        <w:rPr>
          <w:spacing w:val="-81"/>
        </w:rPr>
      </w:r>
      <w:r>
        <w:rPr/>
        <w:t>由其实际所有并用于对外出租，且租金收益归公司所有。</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15、无形资产" w:id="255"/>
      <w:bookmarkEnd w:id="255"/>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56"/>
      <w:bookmarkEnd w:id="25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33"/>
        <w:gridCol w:w="1289"/>
        <w:gridCol w:w="991"/>
        <w:gridCol w:w="1134"/>
        <w:gridCol w:w="1277"/>
        <w:gridCol w:w="1342"/>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7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15" w:right="0"/>
              <w:jc w:val="left"/>
              <w:rPr>
                <w:rFonts w:ascii="Times New Roman" w:hAnsi="Times New Roman" w:cs="Times New Roman" w:eastAsia="Times New Roman" w:hint="default"/>
                <w:sz w:val="18"/>
                <w:szCs w:val="18"/>
              </w:rPr>
            </w:pPr>
            <w:r>
              <w:rPr>
                <w:rFonts w:ascii="Times New Roman"/>
                <w:sz w:val="18"/>
              </w:rPr>
              <w:t>64,760,048.84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0" w:right="0"/>
              <w:jc w:val="left"/>
              <w:rPr>
                <w:rFonts w:ascii="Times New Roman" w:hAnsi="Times New Roman" w:cs="Times New Roman" w:eastAsia="Times New Roman" w:hint="default"/>
                <w:sz w:val="18"/>
                <w:szCs w:val="18"/>
              </w:rPr>
            </w:pPr>
            <w:r>
              <w:rPr>
                <w:rFonts w:ascii="Times New Roman"/>
                <w:sz w:val="18"/>
              </w:rPr>
              <w:t>200,221,221.22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4" w:right="0"/>
              <w:jc w:val="left"/>
              <w:rPr>
                <w:rFonts w:ascii="Times New Roman" w:hAnsi="Times New Roman" w:cs="Times New Roman" w:eastAsia="Times New Roman" w:hint="default"/>
                <w:sz w:val="18"/>
                <w:szCs w:val="18"/>
              </w:rPr>
            </w:pPr>
            <w:r>
              <w:rPr>
                <w:rFonts w:ascii="Times New Roman"/>
                <w:sz w:val="18"/>
              </w:rPr>
              <w:t>264,981,270.06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33"/>
        <w:gridCol w:w="1289"/>
        <w:gridCol w:w="991"/>
        <w:gridCol w:w="1134"/>
        <w:gridCol w:w="1277"/>
        <w:gridCol w:w="1342"/>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4,403,313.91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4,403,313.91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59,829.06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59,829.06</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908,677.43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908,677.43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3,434,807.42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3,434,807.42</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89" w:type="dxa"/>
            <w:tcBorders>
              <w:top w:val="single" w:sz="4" w:space="0" w:color="000000"/>
              <w:left w:val="single" w:sz="9" w:space="0" w:color="E0FFFF"/>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12,732,230.99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12,732,230.99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）转入投资性房地产</w:t>
            </w:r>
          </w:p>
        </w:tc>
        <w:tc>
          <w:tcPr>
            <w:tcW w:w="1289"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12,732,230.99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12,732,230.99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52,027,817.85</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140,316,873.64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146,053,253.49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4,973,023.85</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111,111,077.68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116,084,101.53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2,253,431.20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29,205,795.96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31,459,227.16</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2,253,431.20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27,631,022.81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29,884,454.01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89" w:type="dxa"/>
            <w:tcBorders>
              <w:top w:val="single" w:sz="4" w:space="0" w:color="000000"/>
              <w:left w:val="single" w:sz="9" w:space="0" w:color="E0FFFF"/>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1,574,773.15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1,574,773.15</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1,490,075.20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1,490,075.20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）转入投资性房地产</w:t>
            </w:r>
          </w:p>
        </w:tc>
        <w:tc>
          <w:tcPr>
            <w:tcW w:w="1289"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1,490,075.20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1,490,075.20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5,736,379.85</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139,668,839.70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145,405,219.55</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89" w:type="dxa"/>
            <w:tcBorders>
              <w:top w:val="single" w:sz="4" w:space="0" w:color="000000"/>
              <w:left w:val="single" w:sz="9" w:space="0" w:color="E0FFFF"/>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89" w:type="dxa"/>
            <w:tcBorders>
              <w:top w:val="single" w:sz="4" w:space="0" w:color="000000"/>
              <w:left w:val="single" w:sz="9" w:space="0" w:color="E0FFFF"/>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89"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46,291,438.00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64,307,661.49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110,599,099.49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59,787,024.99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89,110,143.54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148,897,168.53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45.49%</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16、商誉" w:id="257"/>
      <w:bookmarkEnd w:id="257"/>
      <w:r>
        <w:rPr>
          <w:b w:val="0"/>
          <w:bCs w:val="0"/>
        </w:rPr>
      </w: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58"/>
      <w:bookmarkEnd w:id="25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61"/>
        <w:gridCol w:w="1417"/>
        <w:gridCol w:w="1418"/>
        <w:gridCol w:w="1134"/>
        <w:gridCol w:w="568"/>
        <w:gridCol w:w="566"/>
        <w:gridCol w:w="1205"/>
      </w:tblGrid>
      <w:tr>
        <w:trPr>
          <w:trHeight w:val="206" w:hRule="exact"/>
        </w:trPr>
        <w:tc>
          <w:tcPr>
            <w:tcW w:w="32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32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3"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3261"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9" w:space="0" w:color="E0FFFF"/>
            </w:tcBorders>
            <w:shd w:val="clear" w:color="auto" w:fill="D2D2D2"/>
          </w:tcPr>
          <w:p>
            <w:pPr>
              <w:pStyle w:val="TableParagraph"/>
              <w:spacing w:line="240" w:lineRule="auto" w:before="52"/>
              <w:ind w:left="74"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134" w:type="dxa"/>
            <w:vMerge w:val="restart"/>
            <w:tcBorders>
              <w:top w:val="single" w:sz="4" w:space="0" w:color="000000"/>
              <w:left w:val="single" w:sz="13" w:space="0" w:color="D2D2D2"/>
              <w:right w:val="single" w:sz="13" w:space="0" w:color="D2D2D2"/>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566"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52"/>
              <w:ind w:left="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3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9" w:space="0" w:color="E0FFFF"/>
            </w:tcBorders>
            <w:shd w:val="clear" w:color="auto" w:fill="D2D2D2"/>
          </w:tcPr>
          <w:p>
            <w:pPr/>
          </w:p>
        </w:tc>
        <w:tc>
          <w:tcPr>
            <w:tcW w:w="1134" w:type="dxa"/>
            <w:vMerge/>
            <w:tcBorders>
              <w:left w:val="single" w:sz="13" w:space="0" w:color="D2D2D2"/>
              <w:bottom w:val="single" w:sz="4" w:space="0" w:color="000000"/>
              <w:right w:val="single" w:sz="13" w:space="0" w:color="D2D2D2"/>
            </w:tcBorders>
            <w:shd w:val="clear" w:color="auto" w:fill="E0FFFF"/>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13" w:space="0" w:color="D2D2D2"/>
              <w:bottom w:val="single" w:sz="4" w:space="0" w:color="000000"/>
              <w:right w:val="single" w:sz="9" w:space="0" w:color="D2D2D2"/>
            </w:tcBorders>
            <w:shd w:val="clear" w:color="auto" w:fill="E0FFFF"/>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41,079,739.22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41,079,739.22</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4"/>
                <w:sz w:val="18"/>
              </w:rPr>
              <w:t> </w:t>
            </w:r>
            <w:r>
              <w:rPr>
                <w:rFonts w:ascii="Times New Roman"/>
                <w:sz w:val="18"/>
              </w:rPr>
              <w:t>Ltd</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17,998,450.56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1,115,634.52</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19,114,085.08</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47,742,187.30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47,742,187.30</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19,522,150.61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19,522,150.61</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155,906,824.65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155,906,824.65</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520,173.45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520,173.45</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79,090,040.70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79,090,040.70</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56,516,207.92</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56,516,207.92</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1,333,142.76</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1,333,142.76</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282,769,525.79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136,939,391.38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1,115,634.52</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420,824,551.69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59"/>
      <w:bookmarkEnd w:id="25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992"/>
        <w:gridCol w:w="992"/>
        <w:gridCol w:w="993"/>
        <w:gridCol w:w="972"/>
        <w:gridCol w:w="1367"/>
      </w:tblGrid>
      <w:tr>
        <w:trPr>
          <w:trHeight w:val="40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6,360,774.78</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6,360,774.78</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6,360,774.78</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6,360,774.78</w:t>
            </w:r>
          </w:p>
        </w:tc>
      </w:tr>
    </w:tbl>
    <w:p>
      <w:pPr>
        <w:spacing w:line="357" w:lineRule="auto" w:before="51"/>
        <w:ind w:left="574" w:right="2592" w:hanging="42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本年本公司评估了商誉的可收回金额，根据可收回金额与商誉的比较，确认本期商誉未发生减值。</w:t>
      </w:r>
    </w:p>
    <w:p>
      <w:pPr>
        <w:spacing w:line="240" w:lineRule="auto" w:before="1"/>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注</w:t>
      </w:r>
      <w:r>
        <w:rPr>
          <w:rFonts w:ascii="Times New Roman" w:hAnsi="Times New Roman" w:cs="Times New Roman" w:eastAsia="Times New Roman" w:hint="default"/>
        </w:rPr>
        <w:t>1</w:t>
      </w:r>
      <w:r>
        <w:rPr/>
        <w:t>： </w:t>
      </w:r>
      <w:r>
        <w:rPr>
          <w:rFonts w:ascii="Times New Roman" w:hAnsi="Times New Roman" w:cs="Times New Roman" w:eastAsia="Times New Roman" w:hint="default"/>
        </w:rPr>
        <w:t>Infrasys International</w:t>
      </w:r>
      <w:r>
        <w:rPr>
          <w:rFonts w:ascii="Times New Roman" w:hAnsi="Times New Roman" w:cs="Times New Roman" w:eastAsia="Times New Roman" w:hint="default"/>
          <w:spacing w:val="-24"/>
        </w:rPr>
        <w:t> </w:t>
      </w:r>
      <w:r>
        <w:rPr>
          <w:rFonts w:ascii="Times New Roman" w:hAnsi="Times New Roman" w:cs="Times New Roman" w:eastAsia="Times New Roman" w:hint="default"/>
        </w:rPr>
        <w:t>Ltd</w:t>
      </w:r>
      <w:r>
        <w:rPr/>
        <w:t>的商誉本期变动额系港币汇率变动导致的外币报表折算差额所致。</w:t>
      </w:r>
    </w:p>
    <w:p>
      <w:pPr>
        <w:pStyle w:val="BodyText"/>
        <w:spacing w:line="256" w:lineRule="auto" w:before="21"/>
        <w:ind w:left="154" w:right="1152" w:firstLine="420"/>
        <w:jc w:val="left"/>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月，公司完成了万达控股有限公司</w:t>
      </w:r>
      <w:r>
        <w:rPr>
          <w:rFonts w:ascii="Times New Roman" w:hAnsi="Times New Roman" w:cs="Times New Roman" w:eastAsia="Times New Roman" w:hint="default"/>
        </w:rPr>
        <w:t>100%</w:t>
      </w:r>
      <w:r>
        <w:rPr/>
        <w:t>的股权收购，合并成本与对方可辨认净资产公 允价值之间的差额</w:t>
      </w:r>
      <w:r>
        <w:rPr>
          <w:rFonts w:ascii="Times New Roman" w:hAnsi="Times New Roman" w:cs="Times New Roman" w:eastAsia="Times New Roman" w:hint="default"/>
        </w:rPr>
        <w:t>79,090,040.70</w:t>
      </w:r>
      <w:r>
        <w:rPr/>
        <w:t>元计入商誉。</w:t>
      </w:r>
    </w:p>
    <w:p>
      <w:pPr>
        <w:pStyle w:val="BodyText"/>
        <w:spacing w:line="256" w:lineRule="auto" w:before="5"/>
        <w:ind w:right="1206" w:firstLine="420"/>
        <w:jc w:val="left"/>
      </w:pPr>
      <w:r>
        <w:rPr/>
        <w:t>注</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月，公司子公司杭州西软科技有限公司完成了杭州连边科技有限公司</w:t>
      </w:r>
      <w:r>
        <w:rPr>
          <w:rFonts w:ascii="Times New Roman" w:hAnsi="Times New Roman" w:cs="Times New Roman" w:eastAsia="Times New Roman" w:hint="default"/>
        </w:rPr>
        <w:t>70.00%</w:t>
      </w:r>
      <w:r>
        <w:rPr/>
        <w:t>的股权收 购，合并成本与对方可辨认净资产公允价值之间的差额</w:t>
      </w:r>
      <w:r>
        <w:rPr>
          <w:rFonts w:ascii="Times New Roman" w:hAnsi="Times New Roman" w:cs="Times New Roman" w:eastAsia="Times New Roman" w:hint="default"/>
        </w:rPr>
        <w:t>1,333,142.76</w:t>
      </w:r>
      <w:r>
        <w:rPr/>
        <w:t>元计入商誉。</w:t>
      </w:r>
    </w:p>
    <w:p>
      <w:pPr>
        <w:pStyle w:val="BodyText"/>
        <w:spacing w:line="256" w:lineRule="auto" w:before="5"/>
        <w:ind w:right="1018" w:firstLine="420"/>
        <w:jc w:val="left"/>
      </w:pPr>
      <w:r>
        <w:rPr>
          <w:spacing w:val="-3"/>
        </w:rPr>
        <w:t>注</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月，公司子公司香港石基公司完成了浩华管理顾问（亚太）有限公司</w:t>
      </w:r>
      <w:r>
        <w:rPr>
          <w:rFonts w:ascii="Times New Roman" w:hAnsi="Times New Roman" w:cs="Times New Roman" w:eastAsia="Times New Roman" w:hint="default"/>
          <w:spacing w:val="-3"/>
        </w:rPr>
        <w:t>75.00%</w:t>
      </w:r>
      <w:r>
        <w:rPr>
          <w:spacing w:val="-3"/>
        </w:rPr>
        <w:t>的股权收购，</w:t>
      </w:r>
      <w:r>
        <w:rPr/>
        <w:t> 合并成本与对方可辨认净资产公允价值之间的差额</w:t>
      </w:r>
      <w:r>
        <w:rPr>
          <w:rFonts w:ascii="Times New Roman" w:hAnsi="Times New Roman" w:cs="Times New Roman" w:eastAsia="Times New Roman" w:hint="default"/>
        </w:rPr>
        <w:t>56,516,207.92</w:t>
      </w:r>
      <w:r>
        <w:rPr/>
        <w:t>元计入商誉。</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bookmarkStart w:name="17、长期待摊费用" w:id="260"/>
      <w:bookmarkEnd w:id="260"/>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250,833.31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1,899,166.69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250,833.31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1,899,166.69</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8、递延所得税资产/递延所得税负债" w:id="261"/>
      <w:bookmarkEnd w:id="261"/>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未经抵销的递延所得税资产" w:id="262"/>
      <w:bookmarkEnd w:id="26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44,827,640.26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9,409,334.36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27,461,557.40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6,700,797.76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1,547,528.92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386,882.23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1,972,062.50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271,257.43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2,521,490.23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630,372.56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3,117,984.03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779,496.01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48,896,659.41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10,426,589.15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32,551,603.93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7,751,551.20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63"/>
      <w:bookmarkEnd w:id="26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1560"/>
        <w:gridCol w:w="1417"/>
        <w:gridCol w:w="1559"/>
        <w:gridCol w:w="1490"/>
      </w:tblGrid>
      <w:tr>
        <w:trPr>
          <w:trHeight w:val="402" w:hRule="exact"/>
        </w:trPr>
        <w:tc>
          <w:tcPr>
            <w:tcW w:w="35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544"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境外股东分配股利应交的税金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4,585,050.91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756,533.40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4,317,434.55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712,376.70</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非同一控制下合并形成的资产账面价值与计 税基础之间的差异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226,317,003.50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54,039,818.59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249,397,026.36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59,657,246.06</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230,902,054.41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54,796,351.99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253,714,460.91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60,369,622.76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264"/>
      <w:bookmarkEnd w:id="26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10,426,589.15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7,751,551.20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54,796,351.99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60,369,622.76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65"/>
      <w:bookmarkEnd w:id="26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17,312,694.19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20,910,747.70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19,612,127.01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18,922,709.39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1,624,107.56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36,924,821.20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41,457,564.65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66"/>
      <w:bookmarkEnd w:id="26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4,522,773.31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2,877,495.07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2,877,495.07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1,404,539.82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1,404,539.82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4,327,598.33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9,364,174.65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753,726.54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753,726.54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10,896,801.19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20,260,160.95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18,922,709.39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9、其他非流动资产" w:id="267"/>
      <w:bookmarkEnd w:id="267"/>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预付股权转让款定金及购房款等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143,771,084.00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67,812,441.05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143,771,084.00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67,812,441.05</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0、短期借款" w:id="268"/>
      <w:bookmarkEnd w:id="268"/>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69"/>
      <w:bookmarkEnd w:id="26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28,511,052.33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6,652,074.81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28,511,052.33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6,652,074.81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40" w:lineRule="auto" w:before="35"/>
        <w:ind w:left="634" w:right="0"/>
        <w:jc w:val="left"/>
      </w:pPr>
      <w:r>
        <w:rPr/>
        <w:t>质押借款为公司之子公司石基（香港）有限公司以存款为质押取得</w:t>
      </w:r>
      <w:r>
        <w:rPr>
          <w:rFonts w:ascii="Times New Roman" w:hAnsi="Times New Roman" w:cs="Times New Roman" w:eastAsia="Times New Roman" w:hint="default"/>
        </w:rPr>
        <w:t>4,018,357.81</w:t>
      </w:r>
      <w:r>
        <w:rPr/>
        <w:t>欧元的借款。</w:t>
      </w:r>
    </w:p>
    <w:p>
      <w:pPr>
        <w:spacing w:line="240" w:lineRule="auto" w:before="8"/>
        <w:rPr>
          <w:rFonts w:ascii="宋体" w:hAnsi="宋体" w:cs="宋体" w:eastAsia="宋体" w:hint="default"/>
          <w:sz w:val="24"/>
          <w:szCs w:val="24"/>
        </w:rPr>
      </w:pPr>
    </w:p>
    <w:p>
      <w:pPr>
        <w:pStyle w:val="Heading4"/>
        <w:spacing w:line="240" w:lineRule="auto"/>
        <w:ind w:left="153" w:right="0"/>
        <w:jc w:val="left"/>
        <w:rPr>
          <w:b w:val="0"/>
          <w:bCs w:val="0"/>
        </w:rPr>
      </w:pPr>
      <w:bookmarkStart w:name="21、应付票据" w:id="270"/>
      <w:bookmarkEnd w:id="270"/>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38,700,157.52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37,622,475.61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38,700,157.52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37,622,475.61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2、应付账款" w:id="271"/>
      <w:bookmarkEnd w:id="271"/>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272"/>
      <w:bookmarkEnd w:id="27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应付供应商货款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114,771,269.10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143,176,755.31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114,771,269.10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143,176,755.31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3、预收款项" w:id="273"/>
      <w:bookmarkEnd w:id="273"/>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74"/>
      <w:bookmarkEnd w:id="27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预收客户货款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234,716,663.03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208,029,955.96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234,716,663.03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208,029,955.96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4、应付职工薪酬" w:id="275"/>
      <w:bookmarkEnd w:id="275"/>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76"/>
      <w:bookmarkEnd w:id="27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33"/>
        <w:gridCol w:w="1572"/>
        <w:gridCol w:w="1560"/>
        <w:gridCol w:w="1416"/>
        <w:gridCol w:w="1490"/>
      </w:tblGrid>
      <w:tr>
        <w:trPr>
          <w:trHeight w:val="40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29,224,730.94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259,741,794.71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257,024,947.96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31,941,577.69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404,038.26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20,834,374.77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20,994,141.90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244,271.13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572"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447,229.15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447,229.15</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29,628,769.20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281,023,398.63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278,466,319.01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32,185,848.82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2）短期薪酬列示" w:id="277"/>
      <w:bookmarkEnd w:id="27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80"/>
        <w:gridCol w:w="1713"/>
        <w:gridCol w:w="1560"/>
        <w:gridCol w:w="1416"/>
        <w:gridCol w:w="1490"/>
      </w:tblGrid>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12,919,924.17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232,964,403.70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231,644,497.30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14,239,830.57</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3,192,800.47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3,192,800.47</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257,788.25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10,779,199.92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10,747,881.68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289,106.49</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275,484.59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9,541,653.32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9,496,743.51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320,394.40</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-10,146.96</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527,366.08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515,350.56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1,868.56</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-7,549.38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710,180.52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735,787.61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-33,156.47</w:t>
            </w:r>
            <w:r>
              <w:rPr>
                <w:rFonts w:ascii="Times New Roman"/>
                <w:sz w:val="18"/>
              </w:rPr>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83,148.69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9,983,740.61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9,944,885.30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122,004.00</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15,963,869.83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2,821,650.01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1,494,883.21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17,290,636.63</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29,224,730.94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259,741,794.71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257,024,947.96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31,941,577.69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78"/>
      <w:bookmarkEnd w:id="27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404,244.63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19,638,067.21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19,818,206.33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224,105.51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1,196,307.56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1,175,935.57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20,165.62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404,038.26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20,834,374.77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20,994,141.90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244,271.13</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5、应交税费" w:id="279"/>
      <w:bookmarkEnd w:id="279"/>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9,631,468.38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135,991.24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70,334.42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23,283,936.30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39,085,398.87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1,341,654.98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609,330.67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938,132.35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1,135,700.47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235,134.39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675,539.79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588,541.46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河道工程修建维护管理费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4,428.43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水利建设专项基金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320,285.46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338,219.46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58,028.33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68,043.59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地方教育发展费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263,052.48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36,464,971.61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42,328,698.22</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6、其他应付款" w:id="280"/>
      <w:bookmarkEnd w:id="280"/>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281"/>
      <w:bookmarkEnd w:id="28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3,050,178.91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2,523,469.85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保修期维护费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703,673.38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1,060,143.76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代付离退休人员费用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3,615,445.41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5,031,415.49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北京广厦世纪房地产开发有限责任公司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4,792,800.00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4,792,800.00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9,119,397.86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6,454,251.24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26,281,495.56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27,762,080.34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其他应付款" w:id="282"/>
      <w:bookmarkEnd w:id="28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1775"/>
        <w:gridCol w:w="4607"/>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227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代付离退休人员费用</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3,615,445.41</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代付离退休人员费用系公司子公司中国电子器件工业有限 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年度改制时根据国家、政府部门的相关文件规定 及改制方案，可从彩虹集团公司在子公司前身中国电子器 件工业总公司的国有净资产中支付、预留的费用，该款项 包括在岗职工经济补偿金、内退人员预留费用、退休人员 预留费用及公司改制后离休人员费用，根据改制方案，公 司代为管理并支付。</w:t>
            </w:r>
          </w:p>
        </w:tc>
      </w:tr>
      <w:tr>
        <w:trPr>
          <w:trHeight w:val="133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北京广夏世纪房地产开发有限责任公司</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4,792,800.00</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应付北京广厦世纪房地产开发有限责任公司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4,792,800.00 </w:t>
            </w:r>
            <w:r>
              <w:rPr>
                <w:rFonts w:ascii="宋体" w:hAnsi="宋体" w:cs="宋体" w:eastAsia="宋体" w:hint="default"/>
                <w:sz w:val="18"/>
                <w:szCs w:val="18"/>
              </w:rPr>
              <w:t>元，系公司子公司中国电子器件工业有限公司中央级基本 建设经营性基金，由于双方对债务金额存在争议，故一直 未进行偿还。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8,408,245.41</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line="357" w:lineRule="auto" w:before="44"/>
        <w:ind w:left="154" w:right="1003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7、其他流动负债" w:id="283"/>
      <w:bookmarkEnd w:id="283"/>
      <w:r>
        <w:rPr>
          <w:b w:val="0"/>
          <w:bCs w:val="0"/>
        </w:rPr>
      </w:r>
      <w:r>
        <w:rPr>
          <w:rFonts w:ascii="Times New Roman" w:hAnsi="Times New Roman" w:cs="Times New Roman" w:eastAsia="Times New Roman" w:hint="default"/>
        </w:rPr>
        <w:t>27</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预估股权转让款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left="154" w:right="1120" w:firstLine="480"/>
        <w:jc w:val="left"/>
      </w:pPr>
      <w:r>
        <w:rPr>
          <w:spacing w:val="-2"/>
        </w:rPr>
        <w:t>注：预估股权转让款系公司之子公司石基（香港）有限公司根据股权转让协议，预估期后一年以内根</w:t>
      </w:r>
      <w:r>
        <w:rPr/>
        <w:t> 据协议约定可能需要支付的对价。</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8、长期应付款" w:id="284"/>
      <w:bookmarkEnd w:id="284"/>
      <w:r>
        <w:rPr>
          <w:b w:val="0"/>
          <w:bCs w:val="0"/>
        </w:rPr>
      </w:r>
      <w:r>
        <w:rPr>
          <w:rFonts w:ascii="Times New Roman" w:hAnsi="Times New Roman" w:cs="Times New Roman" w:eastAsia="Times New Roman" w:hint="default"/>
        </w:rPr>
        <w:t>28</w:t>
      </w:r>
      <w:r>
        <w:rPr/>
        <w:t>、长期应付款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长期应付款" w:id="285"/>
      <w:bookmarkEnd w:id="28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预估股权转让款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19,480,800.00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19,480,800.00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left="154" w:right="1120" w:firstLine="480"/>
        <w:jc w:val="left"/>
      </w:pPr>
      <w:r>
        <w:rPr>
          <w:spacing w:val="-2"/>
        </w:rPr>
        <w:t>注：预估股权转让款系公司之子公司石基（香港）有限公司根据股权转让协议，预估期后一年以上根</w:t>
      </w:r>
      <w:r>
        <w:rPr/>
        <w:t> 据协议约定可能需要支付的对价。</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9、递延收益" w:id="286"/>
      <w:bookmarkEnd w:id="286"/>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53"/>
        <w:gridCol w:w="1418"/>
        <w:gridCol w:w="992"/>
        <w:gridCol w:w="1276"/>
        <w:gridCol w:w="600"/>
        <w:gridCol w:w="1367"/>
        <w:gridCol w:w="1367"/>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3" w:right="24"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石基银行卡收单一体化系统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石基第三方支付业务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面向电子商务领域的新一代供 应链云计算平台研发及产业化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53"/>
        <w:gridCol w:w="1418"/>
        <w:gridCol w:w="992"/>
        <w:gridCol w:w="1276"/>
        <w:gridCol w:w="600"/>
        <w:gridCol w:w="1367"/>
        <w:gridCol w:w="1367"/>
      </w:tblGrid>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自治区级研发中心项目款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西软酒店集团网络数据中心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广西科学研究与技术开 发计划 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SHI JI CRM </w:t>
            </w:r>
            <w:r>
              <w:rPr>
                <w:rFonts w:ascii="宋体" w:hAnsi="宋体" w:cs="宋体" w:eastAsia="宋体" w:hint="default"/>
                <w:sz w:val="18"/>
                <w:szCs w:val="18"/>
              </w:rPr>
              <w:t>客户关系管</w:t>
            </w:r>
            <w:r>
              <w:rPr>
                <w:rFonts w:ascii="宋体" w:hAnsi="宋体" w:cs="宋体" w:eastAsia="宋体" w:hint="default"/>
                <w:spacing w:val="-2"/>
                <w:sz w:val="18"/>
                <w:szCs w:val="18"/>
              </w:rPr>
              <w:t> </w:t>
            </w:r>
            <w:r>
              <w:rPr>
                <w:rFonts w:ascii="宋体" w:hAnsi="宋体" w:cs="宋体" w:eastAsia="宋体" w:hint="default"/>
                <w:sz w:val="18"/>
                <w:szCs w:val="18"/>
              </w:rPr>
              <w:t>理系 统软件项目款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3,952,000.00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154" w:right="1129" w:firstLine="480"/>
        <w:jc w:val="both"/>
      </w:pPr>
      <w:r>
        <w:rPr>
          <w:spacing w:val="-3"/>
        </w:rPr>
        <w:t>注</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月，根据</w:t>
      </w:r>
      <w:r>
        <w:rPr>
          <w:rFonts w:ascii="Times New Roman" w:hAnsi="Times New Roman" w:cs="Times New Roman" w:eastAsia="Times New Roman" w:hint="default"/>
          <w:spacing w:val="-3"/>
        </w:rPr>
        <w:t>“</w:t>
      </w:r>
      <w:r>
        <w:rPr>
          <w:spacing w:val="-3"/>
        </w:rPr>
        <w:t>北财企</w:t>
      </w:r>
      <w:r>
        <w:rPr>
          <w:rFonts w:ascii="Times New Roman" w:hAnsi="Times New Roman" w:cs="Times New Roman" w:eastAsia="Times New Roman" w:hint="default"/>
          <w:spacing w:val="-3"/>
        </w:rPr>
        <w:t>[2014]26</w:t>
      </w:r>
      <w:r>
        <w:rPr>
          <w:spacing w:val="-3"/>
        </w:rPr>
        <w:t>号</w:t>
      </w:r>
      <w:r>
        <w:rPr>
          <w:rFonts w:ascii="Times New Roman" w:hAnsi="Times New Roman" w:cs="Times New Roman" w:eastAsia="Times New Roman" w:hint="default"/>
          <w:spacing w:val="-3"/>
        </w:rPr>
        <w:t>”</w:t>
      </w:r>
      <w:r>
        <w:rPr>
          <w:spacing w:val="-3"/>
        </w:rPr>
        <w:t>文，公司收到</w:t>
      </w:r>
      <w:r>
        <w:rPr>
          <w:rFonts w:ascii="Times New Roman" w:hAnsi="Times New Roman" w:cs="Times New Roman" w:eastAsia="Times New Roman" w:hint="default"/>
          <w:spacing w:val="-3"/>
        </w:rPr>
        <w:t>“</w:t>
      </w:r>
      <w:r>
        <w:rPr>
          <w:spacing w:val="-3"/>
        </w:rPr>
        <w:t>石基银行卡收单一体化系统</w:t>
      </w:r>
      <w:r>
        <w:rPr>
          <w:rFonts w:ascii="Times New Roman" w:hAnsi="Times New Roman" w:cs="Times New Roman" w:eastAsia="Times New Roman" w:hint="default"/>
          <w:spacing w:val="-3"/>
        </w:rPr>
        <w:t>”</w:t>
      </w:r>
      <w:r>
        <w:rPr>
          <w:spacing w:val="-3"/>
        </w:rPr>
        <w:t>补助资金</w:t>
      </w:r>
      <w:r>
        <w:rPr>
          <w:rFonts w:ascii="Times New Roman" w:hAnsi="Times New Roman" w:cs="Times New Roman" w:eastAsia="Times New Roman" w:hint="default"/>
          <w:spacing w:val="-3"/>
        </w:rPr>
        <w:t>40.00</w:t>
      </w:r>
      <w:r>
        <w:rPr>
          <w:rFonts w:ascii="Times New Roman" w:hAnsi="Times New Roman" w:cs="Times New Roman" w:eastAsia="Times New Roman" w:hint="default"/>
        </w:rPr>
        <w:t> </w:t>
      </w:r>
      <w:r>
        <w:rPr/>
        <w:t>万元。</w:t>
      </w:r>
    </w:p>
    <w:p>
      <w:pPr>
        <w:pStyle w:val="BodyText"/>
        <w:spacing w:line="256" w:lineRule="auto" w:before="22"/>
        <w:ind w:right="1130" w:firstLine="480"/>
        <w:jc w:val="both"/>
      </w:pP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月，广西自治区工业和信息化委员会补助北海石基信息技术有限公司</w:t>
      </w:r>
      <w:r>
        <w:rPr>
          <w:rFonts w:ascii="Times New Roman" w:hAnsi="Times New Roman" w:cs="Times New Roman" w:eastAsia="Times New Roman" w:hint="default"/>
          <w:spacing w:val="-2"/>
        </w:rPr>
        <w:t>“</w:t>
      </w:r>
      <w:r>
        <w:rPr>
          <w:spacing w:val="-2"/>
        </w:rPr>
        <w:t>石基第三方支付</w:t>
      </w:r>
      <w:r>
        <w:rPr/>
        <w:t> 业务</w:t>
      </w:r>
      <w:r>
        <w:rPr>
          <w:rFonts w:ascii="Times New Roman" w:hAnsi="Times New Roman" w:cs="Times New Roman" w:eastAsia="Times New Roman" w:hint="default"/>
        </w:rPr>
        <w:t>”100.00</w:t>
      </w:r>
      <w:r>
        <w:rPr/>
        <w:t>万元资金，若未经验收或验收不合格将退回补助资金。</w:t>
      </w:r>
    </w:p>
    <w:p>
      <w:pPr>
        <w:pStyle w:val="BodyText"/>
        <w:spacing w:line="256" w:lineRule="auto" w:before="5"/>
        <w:ind w:right="1130" w:firstLine="480"/>
        <w:jc w:val="both"/>
      </w:pPr>
      <w:r>
        <w:rPr>
          <w:spacing w:val="-2"/>
        </w:rPr>
        <w:t>注</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月，深圳市科技创新委员会补助公司子公司深圳万国思迅软件有限公司</w:t>
      </w:r>
      <w:r>
        <w:rPr>
          <w:rFonts w:ascii="Times New Roman" w:hAnsi="Times New Roman" w:cs="Times New Roman" w:eastAsia="Times New Roman" w:hint="default"/>
          <w:spacing w:val="-2"/>
        </w:rPr>
        <w:t>“</w:t>
      </w:r>
      <w:r>
        <w:rPr>
          <w:spacing w:val="-2"/>
        </w:rPr>
        <w:t>面向电子商务</w:t>
      </w:r>
      <w:r>
        <w:rPr/>
        <w:t> 领域的新一代供应链云计算平台研发及产业化</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100.00</w:t>
      </w:r>
      <w:r>
        <w:rPr/>
        <w:t>万元，该项目尚未验收。</w:t>
      </w:r>
    </w:p>
    <w:p>
      <w:pPr>
        <w:pStyle w:val="BodyText"/>
        <w:spacing w:line="256" w:lineRule="auto" w:before="5"/>
        <w:ind w:right="1132" w:firstLine="480"/>
        <w:jc w:val="both"/>
      </w:pP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月，广西自治区工业和信息化委员会补助公司子公司北海石基信息技术有限公司</w:t>
      </w:r>
      <w:r>
        <w:rPr>
          <w:rFonts w:ascii="Times New Roman" w:hAnsi="Times New Roman" w:cs="Times New Roman" w:eastAsia="Times New Roman" w:hint="default"/>
        </w:rPr>
        <w:t>“</w:t>
      </w:r>
      <w:r>
        <w:rPr/>
        <w:t>自 治区级研发中心</w:t>
      </w:r>
      <w:r>
        <w:rPr>
          <w:rFonts w:ascii="Times New Roman" w:hAnsi="Times New Roman" w:cs="Times New Roman" w:eastAsia="Times New Roman" w:hint="default"/>
        </w:rPr>
        <w:t>”100.00</w:t>
      </w:r>
      <w:r>
        <w:rPr/>
        <w:t>万元项目经费，若验收不合格，将退回资金，该项目尚未验收。</w:t>
      </w:r>
    </w:p>
    <w:p>
      <w:pPr>
        <w:pStyle w:val="BodyText"/>
        <w:spacing w:line="256" w:lineRule="auto" w:before="5"/>
        <w:ind w:right="1130" w:firstLine="480"/>
        <w:jc w:val="both"/>
      </w:pPr>
      <w:r>
        <w:rPr>
          <w:spacing w:val="-2"/>
        </w:rPr>
        <w:t>注</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月，公司子公司杭州西软科技有限公司与杭州市信息化办公室签订的</w:t>
      </w:r>
      <w:r>
        <w:rPr>
          <w:rFonts w:ascii="Times New Roman" w:hAnsi="Times New Roman" w:cs="Times New Roman" w:eastAsia="Times New Roman" w:hint="default"/>
          <w:spacing w:val="-2"/>
        </w:rPr>
        <w:t>“</w:t>
      </w:r>
      <w:r>
        <w:rPr>
          <w:spacing w:val="-2"/>
        </w:rPr>
        <w:t>杭州市信息服务</w:t>
      </w:r>
      <w:r>
        <w:rPr/>
        <w:t> </w:t>
      </w:r>
      <w:r>
        <w:rPr>
          <w:spacing w:val="5"/>
        </w:rPr>
        <w:t>业发展资助项目合同书</w:t>
      </w:r>
      <w:r>
        <w:rPr>
          <w:rFonts w:ascii="Times New Roman" w:hAnsi="Times New Roman" w:cs="Times New Roman" w:eastAsia="Times New Roman" w:hint="default"/>
          <w:spacing w:val="5"/>
        </w:rPr>
        <w:t>”</w:t>
      </w:r>
      <w:r>
        <w:rPr>
          <w:spacing w:val="5"/>
        </w:rPr>
        <w:t>，项目合同书约定杭州市信息化办公室向杭州西软科技有限公司资助经费总额</w:t>
      </w:r>
      <w:r>
        <w:rPr>
          <w:spacing w:val="-72"/>
        </w:rPr>
        <w:t> </w:t>
      </w:r>
      <w:r>
        <w:rPr>
          <w:spacing w:val="-72"/>
        </w:rPr>
      </w:r>
      <w:r>
        <w:rPr>
          <w:rFonts w:ascii="Times New Roman" w:hAnsi="Times New Roman" w:cs="Times New Roman" w:eastAsia="Times New Roman" w:hint="default"/>
        </w:rPr>
        <w:t>42.00</w:t>
      </w:r>
      <w:r>
        <w:rPr/>
        <w:t>万元，用于西软酒店集团网络数据中心的研究开发，资助款于</w:t>
      </w:r>
      <w:r>
        <w:rPr>
          <w:rFonts w:ascii="Times New Roman" w:hAnsi="Times New Roman" w:cs="Times New Roman" w:eastAsia="Times New Roman" w:hint="default"/>
        </w:rPr>
        <w:t>2010</w:t>
      </w:r>
      <w:r>
        <w:rPr/>
        <w:t>年度拨付</w:t>
      </w:r>
      <w:r>
        <w:rPr>
          <w:rFonts w:ascii="Times New Roman" w:hAnsi="Times New Roman" w:cs="Times New Roman" w:eastAsia="Times New Roman" w:hint="default"/>
        </w:rPr>
        <w:t>25.20</w:t>
      </w:r>
      <w:r>
        <w:rPr/>
        <w:t>万元，若验收不合</w:t>
      </w:r>
      <w:r>
        <w:rPr>
          <w:spacing w:val="-29"/>
        </w:rPr>
        <w:t> </w:t>
      </w:r>
      <w:r>
        <w:rPr>
          <w:spacing w:val="-29"/>
        </w:rPr>
      </w:r>
      <w:r>
        <w:rPr/>
        <w:t>格，将退回资金，该项目尚未验收。</w:t>
      </w:r>
    </w:p>
    <w:p>
      <w:pPr>
        <w:pStyle w:val="BodyText"/>
        <w:spacing w:line="256" w:lineRule="auto" w:before="23"/>
        <w:ind w:right="1130" w:firstLine="480"/>
        <w:jc w:val="both"/>
      </w:pPr>
      <w:r>
        <w:rPr/>
        <w:t>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月，公司子公司北海石基信息技术有限公司与广西科技厅签订的</w:t>
      </w:r>
      <w:r>
        <w:rPr>
          <w:rFonts w:ascii="Times New Roman" w:hAnsi="Times New Roman" w:cs="Times New Roman" w:eastAsia="Times New Roman" w:hint="default"/>
        </w:rPr>
        <w:t>“</w:t>
      </w:r>
      <w:r>
        <w:rPr/>
        <w:t>广西科学研究与技术 开发计划项目合同</w:t>
      </w:r>
      <w:r>
        <w:rPr>
          <w:rFonts w:ascii="Times New Roman" w:hAnsi="Times New Roman" w:cs="Times New Roman" w:eastAsia="Times New Roman" w:hint="default"/>
        </w:rPr>
        <w:t>”</w:t>
      </w:r>
      <w:r>
        <w:rPr/>
        <w:t>，广西科技厅向北海石基信息技术有限公司提供补助经费</w:t>
      </w:r>
      <w:r>
        <w:rPr>
          <w:rFonts w:ascii="Times New Roman" w:hAnsi="Times New Roman" w:cs="Times New Roman" w:eastAsia="Times New Roman" w:hint="default"/>
        </w:rPr>
        <w:t>15.00</w:t>
      </w:r>
      <w:r>
        <w:rPr/>
        <w:t>万元，该项目已于</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年验收，该项目根据资产折旧与摊销进度计入损益。</w:t>
      </w:r>
    </w:p>
    <w:p>
      <w:pPr>
        <w:pStyle w:val="BodyText"/>
        <w:spacing w:line="256" w:lineRule="auto" w:before="22"/>
        <w:ind w:left="154" w:right="1130" w:firstLine="480"/>
        <w:jc w:val="both"/>
      </w:pPr>
      <w:r>
        <w:rPr>
          <w:spacing w:val="-2"/>
        </w:rPr>
        <w:t>注</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月，广西自治区工业和信息化委员会补助北海石基信息技术有限公司</w:t>
      </w:r>
      <w:r>
        <w:rPr>
          <w:rFonts w:ascii="Times New Roman" w:hAnsi="Times New Roman" w:cs="Times New Roman" w:eastAsia="Times New Roman" w:hint="default"/>
          <w:spacing w:val="-2"/>
        </w:rPr>
        <w:t>“SHI</w:t>
      </w:r>
      <w:r>
        <w:rPr>
          <w:rFonts w:ascii="Times New Roman" w:hAnsi="Times New Roman" w:cs="Times New Roman" w:eastAsia="Times New Roman" w:hint="default"/>
        </w:rPr>
        <w:t> JI</w:t>
      </w:r>
      <w:r>
        <w:rPr>
          <w:rFonts w:ascii="Times New Roman" w:hAnsi="Times New Roman" w:cs="Times New Roman" w:eastAsia="Times New Roman" w:hint="default"/>
          <w:spacing w:val="-5"/>
        </w:rPr>
        <w:t> </w:t>
      </w:r>
      <w:r>
        <w:rPr>
          <w:rFonts w:ascii="Times New Roman" w:hAnsi="Times New Roman" w:cs="Times New Roman" w:eastAsia="Times New Roman" w:hint="default"/>
        </w:rPr>
        <w:t>CRM</w:t>
      </w:r>
      <w:r>
        <w:rPr/>
        <w:t>客户 关系管理系统软件</w:t>
      </w:r>
      <w:r>
        <w:rPr>
          <w:rFonts w:ascii="Times New Roman" w:hAnsi="Times New Roman" w:cs="Times New Roman" w:eastAsia="Times New Roman" w:hint="default"/>
        </w:rPr>
        <w:t>”60.00</w:t>
      </w:r>
      <w:r>
        <w:rPr/>
        <w:t>万元项目经费，该项目已于</w:t>
      </w:r>
      <w:r>
        <w:rPr>
          <w:rFonts w:ascii="Times New Roman" w:hAnsi="Times New Roman" w:cs="Times New Roman" w:eastAsia="Times New Roman" w:hint="default"/>
        </w:rPr>
        <w:t>2014</w:t>
      </w:r>
      <w:r>
        <w:rPr/>
        <w:t>年验收，该项目根据资产折旧与摊销进度计入损</w:t>
      </w:r>
      <w:r>
        <w:rPr>
          <w:spacing w:val="-69"/>
        </w:rPr>
        <w:t> </w:t>
      </w:r>
      <w:r>
        <w:rPr>
          <w:spacing w:val="-69"/>
        </w:rPr>
      </w:r>
      <w:r>
        <w:rPr/>
        <w:t>益。</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30、股本" w:id="287"/>
      <w:bookmarkEnd w:id="287"/>
      <w:r>
        <w:rPr>
          <w:b w:val="0"/>
          <w:bCs w:val="0"/>
        </w:rPr>
      </w:r>
      <w:r>
        <w:rPr>
          <w:rFonts w:ascii="Times New Roman" w:hAnsi="Times New Roman" w:cs="Times New Roman" w:eastAsia="Times New Roman" w:hint="default"/>
        </w:rPr>
        <w:t>30</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309,120,000.00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46,476,251.00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46,476,251.00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355,596,251.00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634" w:right="0"/>
        <w:jc w:val="left"/>
      </w:pPr>
      <w:r>
        <w:rPr/>
        <w:t>本期新增股本为向淘宝（中国）软件有限公司非公开发行股份，发行股票数量为</w:t>
      </w:r>
      <w:r>
        <w:rPr>
          <w:rFonts w:ascii="Times New Roman" w:hAnsi="Times New Roman" w:cs="Times New Roman" w:eastAsia="Times New Roman" w:hint="default"/>
        </w:rPr>
        <w:t>46,476,251.00</w:t>
      </w:r>
      <w:r>
        <w:rPr/>
        <w:t>股。</w:t>
      </w:r>
    </w:p>
    <w:p>
      <w:pPr>
        <w:spacing w:line="240" w:lineRule="auto" w:before="8"/>
        <w:rPr>
          <w:rFonts w:ascii="宋体" w:hAnsi="宋体" w:cs="宋体" w:eastAsia="宋体" w:hint="default"/>
          <w:sz w:val="24"/>
          <w:szCs w:val="24"/>
        </w:rPr>
      </w:pPr>
    </w:p>
    <w:p>
      <w:pPr>
        <w:pStyle w:val="Heading4"/>
        <w:spacing w:line="240" w:lineRule="auto"/>
        <w:ind w:left="153" w:right="0"/>
        <w:jc w:val="left"/>
        <w:rPr>
          <w:b w:val="0"/>
          <w:bCs w:val="0"/>
        </w:rPr>
      </w:pPr>
      <w:bookmarkStart w:name="31、资本公积" w:id="288"/>
      <w:bookmarkEnd w:id="288"/>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2,325,696,175.15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2,325,696,175.15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2,325,696,175.15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2,325,696,175.15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66" w:lineRule="auto" w:before="90"/>
        <w:ind w:left="154" w:right="1130" w:firstLine="421"/>
        <w:jc w:val="both"/>
      </w:pPr>
      <w:r>
        <w:rPr>
          <w:spacing w:val="14"/>
        </w:rPr>
        <w:t>本报告期资本公积增加主要系公司向淘宝（中国）软件有限公司非公开发行股份，共募集资金</w:t>
      </w:r>
      <w:r>
        <w:rPr/>
        <w:t> </w:t>
      </w:r>
      <w:r>
        <w:rPr>
          <w:rFonts w:ascii="Times New Roman" w:hAnsi="Times New Roman" w:cs="Times New Roman" w:eastAsia="Times New Roman" w:hint="default"/>
        </w:rPr>
        <w:t>2,388,879,301.40</w:t>
      </w:r>
      <w:r>
        <w:rPr>
          <w:rFonts w:ascii="Times New Roman" w:hAnsi="Times New Roman" w:cs="Times New Roman" w:eastAsia="Times New Roman" w:hint="default"/>
          <w:spacing w:val="-10"/>
        </w:rPr>
        <w:t> </w:t>
      </w:r>
      <w:r>
        <w:rPr/>
        <w:t>元，其中</w:t>
      </w:r>
      <w:r>
        <w:rPr>
          <w:spacing w:val="-48"/>
        </w:rPr>
        <w:t> </w:t>
      </w:r>
      <w:r>
        <w:rPr>
          <w:rFonts w:ascii="Times New Roman" w:hAnsi="Times New Roman" w:cs="Times New Roman" w:eastAsia="Times New Roman" w:hint="default"/>
        </w:rPr>
        <w:t>46,476,251.00</w:t>
      </w:r>
      <w:r>
        <w:rPr>
          <w:rFonts w:ascii="Times New Roman" w:hAnsi="Times New Roman" w:cs="Times New Roman" w:eastAsia="Times New Roman" w:hint="default"/>
          <w:spacing w:val="-11"/>
        </w:rPr>
        <w:t> </w:t>
      </w:r>
      <w:r>
        <w:rPr/>
        <w:t>元计入股本，扣除各项发行费用后</w:t>
      </w:r>
      <w:r>
        <w:rPr>
          <w:spacing w:val="-46"/>
        </w:rPr>
        <w:t> </w:t>
      </w:r>
      <w:r>
        <w:rPr>
          <w:rFonts w:ascii="Times New Roman" w:hAnsi="Times New Roman" w:cs="Times New Roman" w:eastAsia="Times New Roman" w:hint="default"/>
        </w:rPr>
        <w:t>2,325,696,175.15</w:t>
      </w:r>
      <w:r>
        <w:rPr>
          <w:rFonts w:ascii="Times New Roman" w:hAnsi="Times New Roman" w:cs="Times New Roman" w:eastAsia="Times New Roman" w:hint="default"/>
          <w:spacing w:val="-10"/>
        </w:rPr>
        <w:t> </w:t>
      </w:r>
      <w:r>
        <w:rPr>
          <w:spacing w:val="-2"/>
        </w:rPr>
        <w:t>元计入资本公 </w:t>
      </w:r>
      <w:r>
        <w:rPr/>
        <w:t>积。</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bookmarkStart w:name="32、其他综合收益" w:id="289"/>
      <w:bookmarkEnd w:id="289"/>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-1,288,615.61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46,594,513.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46,594,513.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45,305,89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8.32</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8,146.59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668,941.30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668,941.30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677,087.8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27,953,813.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27,953,813.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27,953,81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3.62</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-1,296,762.20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17,971,759.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17,971,759.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16,674,99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6.81</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-1,288,615.61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46,594,513.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46,594,513.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45,305,89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8.32</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357" w:lineRule="auto" w:before="51"/>
        <w:ind w:left="153" w:right="4093"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3、盈余公积" w:id="290"/>
      <w:bookmarkEnd w:id="290"/>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4,780,320.47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5,163,687.48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9,944,007.95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4,780,320.47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5,163,687.48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9,944,007.95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56" w:lineRule="auto" w:before="90"/>
        <w:ind w:left="154" w:right="0" w:firstLine="480"/>
        <w:jc w:val="left"/>
      </w:pPr>
      <w:r>
        <w:rPr/>
        <w:t>注</w:t>
      </w:r>
      <w:r>
        <w:rPr>
          <w:rFonts w:ascii="Times New Roman" w:hAnsi="Times New Roman" w:cs="Times New Roman" w:eastAsia="Times New Roman" w:hint="default"/>
        </w:rPr>
        <w:t>1</w:t>
      </w:r>
      <w:r>
        <w:rPr/>
        <w:t>：根据公司法、章程的规定，本公司按净利润的</w:t>
      </w:r>
      <w:r>
        <w:rPr>
          <w:rFonts w:ascii="Times New Roman" w:hAnsi="Times New Roman" w:cs="Times New Roman" w:eastAsia="Times New Roman" w:hint="default"/>
        </w:rPr>
        <w:t>10%</w:t>
      </w:r>
      <w:r>
        <w:rPr/>
        <w:t>提取法定盈余公积金。法定盈余公积累计额 为本公司注册资本</w:t>
      </w:r>
      <w:r>
        <w:rPr>
          <w:rFonts w:ascii="Times New Roman" w:hAnsi="Times New Roman" w:cs="Times New Roman" w:eastAsia="Times New Roman" w:hint="default"/>
        </w:rPr>
        <w:t>50%</w:t>
      </w:r>
      <w:r>
        <w:rPr/>
        <w:t>以上的，可不再提取。</w:t>
      </w:r>
    </w:p>
    <w:p>
      <w:pPr>
        <w:pStyle w:val="BodyText"/>
        <w:spacing w:line="256" w:lineRule="auto" w:before="5"/>
        <w:ind w:right="0" w:firstLine="480"/>
        <w:jc w:val="left"/>
      </w:pPr>
      <w:r>
        <w:rPr/>
        <w:t>注</w:t>
      </w:r>
      <w:r>
        <w:rPr>
          <w:rFonts w:ascii="Times New Roman" w:hAnsi="Times New Roman" w:cs="Times New Roman" w:eastAsia="Times New Roman" w:hint="default"/>
        </w:rPr>
        <w:t>2</w:t>
      </w:r>
      <w:r>
        <w:rPr/>
        <w:t>：本公司在提取法定盈余公积金后，可提取任意盈余公积金。经批准，任意盈余公积金可用于弥 补以前年度亏损或增加股本。</w:t>
      </w:r>
    </w:p>
    <w:p>
      <w:pPr>
        <w:pStyle w:val="BodyText"/>
        <w:spacing w:line="240" w:lineRule="auto" w:before="22"/>
        <w:ind w:left="634" w:right="0"/>
        <w:jc w:val="left"/>
      </w:pPr>
      <w:r>
        <w:rPr/>
        <w:t>注</w:t>
      </w:r>
      <w:r>
        <w:rPr>
          <w:rFonts w:ascii="Times New Roman" w:hAnsi="Times New Roman" w:cs="Times New Roman" w:eastAsia="Times New Roman" w:hint="default"/>
        </w:rPr>
        <w:t>3</w:t>
      </w:r>
      <w:r>
        <w:rPr/>
        <w:t>：本报告期比期初增长</w:t>
      </w:r>
      <w:r>
        <w:rPr>
          <w:rFonts w:ascii="Times New Roman" w:hAnsi="Times New Roman" w:cs="Times New Roman" w:eastAsia="Times New Roman" w:hint="default"/>
        </w:rPr>
        <w:t>108.02%</w:t>
      </w:r>
      <w:r>
        <w:rPr/>
        <w:t>，主要系母公司本期计提盈余公积所致。</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34、未分配利润" w:id="291"/>
      <w:bookmarkEnd w:id="291"/>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1,571,672,670.09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1,228,393,386.10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1,571,672,670.09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1,228,393,386.10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360,995,723.54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382,047,507.19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5,163,687.48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1,673,823.20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37,094,400.00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37,094,400.00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1,890,410,306.15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1,571,672,670.09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2"/>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2"/>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5、营业收入和营业成本" w:id="292"/>
      <w:bookmarkEnd w:id="292"/>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1,973,376,322.35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1,172,874,989.92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2,166,920,023.24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1,378,528,116.19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13,287,292.30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13,170,025.99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19,152,037.79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9,395,718.25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1,986,663,614.65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1,186,045,015.91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2,186,072,061.03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1,387,923,834.44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6、营业税金及附加" w:id="293"/>
      <w:bookmarkEnd w:id="293"/>
      <w:r>
        <w:rPr>
          <w:b w:val="0"/>
          <w:bCs w:val="0"/>
        </w:rPr>
      </w:r>
      <w:r>
        <w:rPr>
          <w:rFonts w:ascii="Times New Roman" w:hAnsi="Times New Roman" w:cs="Times New Roman" w:eastAsia="Times New Roman" w:hint="default"/>
        </w:rPr>
        <w:t>36</w:t>
      </w:r>
      <w:r>
        <w:rPr/>
        <w:t>、营业税金及附加</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788,729.30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1,335,546.44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7,012,147.71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7,772,188.09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3,092,835.32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3,220,236.42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2,026,752.44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2,406,689.83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河道工程修建维护管理费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34,646.14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295,223.75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409,710.71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78,902.52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13,364,821.62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15,108,787.05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line="357" w:lineRule="auto" w:before="44"/>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7、销售费用" w:id="294"/>
      <w:bookmarkEnd w:id="294"/>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73,964,302.65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68,749,290.14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14,046,322.73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15,616,367.79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8,280,786.91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9,765,885.92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1,291,110.77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1,664,553.69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4,757,352.34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3,515,595.54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1,225,577.98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1,204,423.35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4,754,926.99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4,159,449.66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3,738,122.66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3,658,481.55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6,476,515.07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6,493,946.18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126,917.55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245,324.69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589,820.04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533,308.91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384,310.34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2,106,988.79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1,909,637.14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1,379,513.33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121,545,703.17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119,093,129.54</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8、管理费用" w:id="295"/>
      <w:bookmarkEnd w:id="295"/>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154,240,813.96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125,527,885.06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96,183,190.68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95,198,471.96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12,554,690.78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11,128,769.26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1,177,436.22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1,550,243.63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10,016,108.83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6,984,442.75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3,558,990.43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2,531,202.83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1,690,703.93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1,453,115.44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214,661.29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245,819.30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11,131,921.05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6,955,775.80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2,352,726.80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2,265,700.83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2,975,501.21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2,050,547.94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11,781,144.45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9,518,547.14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1,133,080.74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1,037,464.03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22,289,228.50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16,843,501.15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3,660,782.57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9,931,634.71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334,960,981.44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293,223,121.83</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9、财务费用" w:id="296"/>
      <w:bookmarkEnd w:id="296"/>
      <w:r>
        <w:rPr>
          <w:b w:val="0"/>
          <w:bCs w:val="0"/>
        </w:rPr>
      </w:r>
      <w:r>
        <w:rPr>
          <w:rFonts w:ascii="Times New Roman" w:hAnsi="Times New Roman" w:cs="Times New Roman" w:eastAsia="Times New Roman" w:hint="default"/>
        </w:rPr>
        <w:t>39</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428,656.11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494,109.63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-14,122,336.58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-4,522,820.31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1,567,564.87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-4,370.79</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584,905.85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549,291.45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-11,541,209.75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-3,483,790.02</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0、资产减值损失" w:id="297"/>
      <w:bookmarkEnd w:id="297"/>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11,597,791.22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6,390,519.00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1,042,488.52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1,889,780.74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12,640,279.74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8,280,299.74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1、公允价值变动收益" w:id="298"/>
      <w:bookmarkEnd w:id="298"/>
      <w:r>
        <w:rPr>
          <w:b w:val="0"/>
          <w:bCs w:val="0"/>
        </w:rPr>
      </w:r>
      <w:r>
        <w:rPr>
          <w:rFonts w:ascii="Times New Roman" w:hAnsi="Times New Roman" w:cs="Times New Roman" w:eastAsia="Times New Roman" w:hint="default"/>
        </w:rPr>
        <w:t>41</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2280"/>
        <w:gridCol w:w="1914"/>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0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w:t>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979" w:header="877" w:top="1100" w:bottom="1160" w:left="980" w:right="0"/>
          <w:pgNumType w:start="14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42、投资收益" w:id="299"/>
      <w:bookmarkEnd w:id="299"/>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2,789,071.82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8,110,814.25</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17,871.91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151,758.32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14,750,342.47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11,599,166.89</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处置子公司取得的投资收益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1,500,839.69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109,343.13</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19,740,253.98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19,988,954.50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3、营业外收入" w:id="300"/>
      <w:bookmarkEnd w:id="300"/>
      <w:r>
        <w:rPr>
          <w:b w:val="0"/>
          <w:bCs w:val="0"/>
        </w:rPr>
      </w:r>
      <w:r>
        <w:rPr>
          <w:rFonts w:ascii="Times New Roman" w:hAnsi="Times New Roman" w:cs="Times New Roman" w:eastAsia="Times New Roman" w:hint="default"/>
        </w:rPr>
        <w:t>43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3,835.97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3,835.97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1,342,900.00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52,579,759.66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53,941,506.54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所得税退税</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420,700.00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40,855.79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224,975.56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40,855.79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1,957,407.49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462,936.46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1,957,407.49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55,924,758.91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58,613,409.69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3,344,999.25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346"/>
        <w:gridCol w:w="994"/>
        <w:gridCol w:w="708"/>
        <w:gridCol w:w="1206"/>
        <w:gridCol w:w="1204"/>
        <w:gridCol w:w="992"/>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7" w:right="78"/>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7"/>
              <w:jc w:val="right"/>
              <w:rPr>
                <w:rFonts w:ascii="宋体" w:hAnsi="宋体" w:cs="宋体" w:eastAsia="宋体" w:hint="default"/>
                <w:sz w:val="18"/>
                <w:szCs w:val="18"/>
              </w:rPr>
            </w:pPr>
            <w:r>
              <w:rPr>
                <w:rFonts w:ascii="宋体" w:hAnsi="宋体" w:cs="宋体" w:eastAsia="宋体" w:hint="default"/>
                <w:sz w:val="18"/>
                <w:szCs w:val="18"/>
              </w:rPr>
              <w:t>本期发生金额</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6"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2" w:lineRule="auto" w:before="75"/>
              <w:ind w:left="400" w:right="104"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老旧车更新 淘汰补助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北京市环境 保护局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1"/>
              <w:jc w:val="both"/>
              <w:rPr>
                <w:rFonts w:ascii="宋体" w:hAnsi="宋体" w:cs="宋体" w:eastAsia="宋体" w:hint="default"/>
                <w:sz w:val="18"/>
                <w:szCs w:val="18"/>
              </w:rPr>
            </w:pPr>
            <w:r>
              <w:rPr>
                <w:rFonts w:ascii="宋体" w:hAnsi="宋体" w:cs="宋体" w:eastAsia="宋体" w:hint="default"/>
                <w:sz w:val="18"/>
                <w:szCs w:val="18"/>
              </w:rPr>
              <w:t>因承担国家为保 障某种公用事业 或社会必要产品 供应或价格控制 职能而获得的补 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软件及信息</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4"/>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8"/>
              <w:jc w:val="center"/>
              <w:rPr>
                <w:rFonts w:ascii="宋体" w:hAnsi="宋体" w:cs="宋体" w:eastAsia="宋体" w:hint="default"/>
                <w:sz w:val="18"/>
                <w:szCs w:val="18"/>
              </w:rPr>
            </w:pPr>
            <w:r>
              <w:rPr>
                <w:rFonts w:ascii="宋体" w:hAnsi="宋体" w:cs="宋体" w:eastAsia="宋体" w:hint="default"/>
                <w:sz w:val="18"/>
                <w:szCs w:val="18"/>
              </w:rPr>
              <w:t>因研究开发、技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385,900.00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346"/>
        <w:gridCol w:w="994"/>
        <w:gridCol w:w="708"/>
        <w:gridCol w:w="1206"/>
        <w:gridCol w:w="1204"/>
        <w:gridCol w:w="992"/>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服务业房租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软件谷管理 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1"/>
              <w:jc w:val="left"/>
              <w:rPr>
                <w:rFonts w:ascii="宋体" w:hAnsi="宋体" w:cs="宋体" w:eastAsia="宋体" w:hint="default"/>
                <w:sz w:val="18"/>
                <w:szCs w:val="18"/>
              </w:rPr>
            </w:pPr>
            <w:r>
              <w:rPr>
                <w:rFonts w:ascii="宋体" w:hAnsi="宋体" w:cs="宋体" w:eastAsia="宋体" w:hint="default"/>
                <w:sz w:val="18"/>
                <w:szCs w:val="18"/>
              </w:rPr>
              <w:t>术更新及改造等 获得的补助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物流扶持专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7" w:firstLine="90"/>
              <w:jc w:val="left"/>
              <w:rPr>
                <w:rFonts w:ascii="宋体" w:hAnsi="宋体" w:cs="宋体" w:eastAsia="宋体" w:hint="default"/>
                <w:sz w:val="18"/>
                <w:szCs w:val="18"/>
              </w:rPr>
            </w:pPr>
            <w:r>
              <w:rPr>
                <w:rFonts w:ascii="宋体" w:hAnsi="宋体" w:cs="宋体" w:eastAsia="宋体" w:hint="default"/>
                <w:sz w:val="18"/>
                <w:szCs w:val="18"/>
              </w:rPr>
              <w:t>北海市高新 技术产业开 发区管理委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1"/>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科技创新成 果奖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firstLine="90"/>
              <w:jc w:val="left"/>
              <w:rPr>
                <w:rFonts w:ascii="宋体" w:hAnsi="宋体" w:cs="宋体" w:eastAsia="宋体" w:hint="default"/>
                <w:sz w:val="18"/>
                <w:szCs w:val="18"/>
              </w:rPr>
            </w:pPr>
            <w:r>
              <w:rPr>
                <w:rFonts w:ascii="宋体" w:hAnsi="宋体" w:cs="宋体" w:eastAsia="宋体" w:hint="default"/>
                <w:sz w:val="18"/>
                <w:szCs w:val="18"/>
              </w:rPr>
              <w:t>北海市高新 技术产业开 发区管理委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1"/>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285,000.00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创新示范企 业补助资金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广西壮族自 治区工业和 信息化委员 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1"/>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新产品补助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广西科学研 究与技术开 发计划项目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2" w:right="0"/>
              <w:jc w:val="left"/>
              <w:rPr>
                <w:rFonts w:ascii="宋体" w:hAnsi="宋体" w:cs="宋体" w:eastAsia="宋体" w:hint="default"/>
                <w:sz w:val="18"/>
                <w:szCs w:val="18"/>
              </w:rPr>
            </w:pPr>
            <w:r>
              <w:rPr>
                <w:rFonts w:ascii="宋体" w:hAnsi="宋体" w:cs="宋体" w:eastAsia="宋体" w:hint="default"/>
                <w:sz w:val="18"/>
                <w:szCs w:val="18"/>
              </w:rPr>
              <w:t>广西科技厅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SHI JI</w:t>
            </w:r>
            <w:r>
              <w:rPr>
                <w:rFonts w:ascii="Times New Roman"/>
                <w:spacing w:val="-2"/>
                <w:sz w:val="18"/>
              </w:rPr>
              <w:t> </w:t>
            </w:r>
            <w:r>
              <w:rPr>
                <w:rFonts w:ascii="Times New Roman"/>
                <w:sz w:val="18"/>
              </w:rPr>
              <w:t>CRM</w:t>
            </w:r>
          </w:p>
          <w:p>
            <w:pPr>
              <w:pStyle w:val="TableParagraph"/>
              <w:spacing w:line="319" w:lineRule="auto" w:before="64"/>
              <w:ind w:left="22" w:right="131"/>
              <w:jc w:val="both"/>
              <w:rPr>
                <w:rFonts w:ascii="宋体" w:hAnsi="宋体" w:cs="宋体" w:eastAsia="宋体" w:hint="default"/>
                <w:sz w:val="18"/>
                <w:szCs w:val="18"/>
              </w:rPr>
            </w:pPr>
            <w:r>
              <w:rPr>
                <w:rFonts w:ascii="宋体" w:hAnsi="宋体" w:cs="宋体" w:eastAsia="宋体" w:hint="default"/>
                <w:sz w:val="18"/>
                <w:szCs w:val="18"/>
              </w:rPr>
              <w:t>客户关系管 理系统软件 项目款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广西工信委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1"/>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240,000.00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360,000.00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5"/>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创建节水奖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7" w:firstLine="90"/>
              <w:jc w:val="left"/>
              <w:rPr>
                <w:rFonts w:ascii="宋体" w:hAnsi="宋体" w:cs="宋体" w:eastAsia="宋体" w:hint="default"/>
                <w:sz w:val="18"/>
                <w:szCs w:val="18"/>
              </w:rPr>
            </w:pPr>
            <w:r>
              <w:rPr>
                <w:rFonts w:ascii="宋体" w:hAnsi="宋体" w:cs="宋体" w:eastAsia="宋体" w:hint="default"/>
                <w:sz w:val="18"/>
                <w:szCs w:val="18"/>
              </w:rPr>
              <w:t>北海市节约 用水办公室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因承担国家为保 障某种公用事业 或社会必要产品 供应或价格控制 职能而获得的补 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国家税务部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52,579,759.66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53,941,506.54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其他税费返 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国家税务部 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40,855.79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224,975.56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所得税退税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国家税务部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420,700.00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346"/>
        <w:gridCol w:w="994"/>
        <w:gridCol w:w="708"/>
        <w:gridCol w:w="1206"/>
        <w:gridCol w:w="1204"/>
        <w:gridCol w:w="992"/>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1"/>
              <w:jc w:val="both"/>
              <w:rPr>
                <w:rFonts w:ascii="宋体" w:hAnsi="宋体" w:cs="宋体" w:eastAsia="宋体" w:hint="default"/>
                <w:sz w:val="18"/>
                <w:szCs w:val="18"/>
              </w:rPr>
            </w:pPr>
            <w:r>
              <w:rPr>
                <w:rFonts w:ascii="宋体" w:hAnsi="宋体" w:cs="宋体" w:eastAsia="宋体" w:hint="default"/>
                <w:sz w:val="18"/>
                <w:szCs w:val="18"/>
              </w:rPr>
              <w:t>招商引资等地方 性扶持政策而获 得的补助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石基全球数 码酒店管理 系统项目款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37" w:firstLine="90"/>
              <w:jc w:val="left"/>
              <w:rPr>
                <w:rFonts w:ascii="宋体" w:hAnsi="宋体" w:cs="宋体" w:eastAsia="宋体" w:hint="default"/>
                <w:sz w:val="18"/>
                <w:szCs w:val="18"/>
              </w:rPr>
            </w:pPr>
            <w:r>
              <w:rPr>
                <w:rFonts w:ascii="宋体" w:hAnsi="宋体" w:cs="宋体" w:eastAsia="宋体" w:hint="default"/>
                <w:sz w:val="18"/>
                <w:szCs w:val="18"/>
              </w:rPr>
              <w:t>北海市财政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广西工信委 </w:t>
            </w:r>
            <w:r>
              <w:rPr>
                <w:rFonts w:ascii="Times New Roman" w:hAnsi="Times New Roman" w:cs="Times New Roman" w:eastAsia="Times New Roman" w:hint="default"/>
                <w:sz w:val="18"/>
                <w:szCs w:val="18"/>
              </w:rPr>
              <w:t>“</w:t>
            </w:r>
            <w:r>
              <w:rPr>
                <w:rFonts w:ascii="宋体" w:hAnsi="宋体" w:cs="宋体" w:eastAsia="宋体" w:hint="default"/>
                <w:sz w:val="18"/>
                <w:szCs w:val="18"/>
              </w:rPr>
              <w:t>企业技术中 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广西工信委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石基智能支 付平台开发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7" w:firstLine="90"/>
              <w:jc w:val="left"/>
              <w:rPr>
                <w:rFonts w:ascii="宋体" w:hAnsi="宋体" w:cs="宋体" w:eastAsia="宋体" w:hint="default"/>
                <w:sz w:val="18"/>
                <w:szCs w:val="18"/>
              </w:rPr>
            </w:pPr>
            <w:r>
              <w:rPr>
                <w:rFonts w:ascii="宋体" w:hAnsi="宋体" w:cs="宋体" w:eastAsia="宋体" w:hint="default"/>
                <w:sz w:val="18"/>
                <w:szCs w:val="18"/>
              </w:rPr>
              <w:t>北海市财政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53,963,515.45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58,150,182.10</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44、营业外支出" w:id="301"/>
      <w:bookmarkEnd w:id="301"/>
      <w:r>
        <w:rPr>
          <w:b w:val="0"/>
          <w:bCs w:val="0"/>
        </w:rPr>
      </w:r>
      <w:r>
        <w:rPr>
          <w:rFonts w:ascii="Times New Roman" w:hAnsi="Times New Roman" w:cs="Times New Roman" w:eastAsia="Times New Roman" w:hint="default"/>
        </w:rPr>
        <w:t>44</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392,132.50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20,019.14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392,132.50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392,132.50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20,019.14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392,132.50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117,799.90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税款滞纳金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7,311.91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11,166.73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7,311.91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111,305.63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104,473.97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111,305.63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510,750.04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253,459.74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510,750.04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5、所得税费用" w:id="302"/>
      <w:bookmarkEnd w:id="302"/>
      <w:r>
        <w:rPr>
          <w:b w:val="0"/>
          <w:bCs w:val="0"/>
        </w:rPr>
      </w:r>
      <w:r>
        <w:rPr>
          <w:rFonts w:ascii="Times New Roman" w:hAnsi="Times New Roman" w:cs="Times New Roman" w:eastAsia="Times New Roman" w:hint="default"/>
        </w:rPr>
        <w:t>45</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03"/>
      <w:bookmarkEnd w:id="30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40,223,195.82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55,992,206.41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-8,281,112.68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-6,832,583.43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31,942,083.14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49,159,622.98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04"/>
      <w:bookmarkEnd w:id="30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6357"/>
        <w:gridCol w:w="3201"/>
      </w:tblGrid>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404,802,285.37</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60,720,342.80</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-24,164,532.22</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339,863.73</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-3,856,381.02</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685,235.98</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-930,246.54</w:t>
            </w:r>
            <w:r>
              <w:rPr>
                <w:rFonts w:ascii="Times New Roman"/>
                <w:sz w:val="18"/>
              </w:rPr>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3,520,729.08</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-857,068.11</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-3,772,017.71</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256,157.15</w:t>
            </w:r>
          </w:p>
        </w:tc>
      </w:tr>
      <w:tr>
        <w:trPr>
          <w:trHeight w:val="402" w:hRule="exact"/>
        </w:trPr>
        <w:tc>
          <w:tcPr>
            <w:tcW w:w="6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31,942,083.14</w:t>
            </w:r>
          </w:p>
        </w:tc>
      </w:tr>
    </w:tbl>
    <w:p>
      <w:pPr>
        <w:spacing w:line="240" w:lineRule="auto" w:before="2"/>
        <w:rPr>
          <w:rFonts w:ascii="宋体" w:hAnsi="宋体" w:cs="宋体" w:eastAsia="宋体" w:hint="default"/>
          <w:sz w:val="19"/>
          <w:szCs w:val="19"/>
        </w:rPr>
      </w:pPr>
    </w:p>
    <w:p>
      <w:pPr>
        <w:spacing w:line="547" w:lineRule="auto" w:before="35"/>
        <w:ind w:left="153" w:right="8856" w:firstLine="0"/>
        <w:jc w:val="left"/>
        <w:rPr>
          <w:rFonts w:ascii="宋体" w:hAnsi="宋体" w:cs="宋体" w:eastAsia="宋体" w:hint="default"/>
          <w:sz w:val="21"/>
          <w:szCs w:val="21"/>
        </w:rPr>
      </w:pPr>
      <w:bookmarkStart w:name="46、其他综合收益" w:id="305"/>
      <w:bookmarkEnd w:id="305"/>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bookmarkStart w:name="47、现金流量表项目" w:id="306"/>
      <w:bookmarkEnd w:id="306"/>
      <w:r>
        <w:rPr>
          <w:rFonts w:ascii="宋体" w:hAnsi="宋体" w:cs="宋体" w:eastAsia="宋体" w:hint="default"/>
          <w:sz w:val="18"/>
          <w:szCs w:val="18"/>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5"/>
        <w:ind w:left="153" w:right="0"/>
        <w:jc w:val="left"/>
        <w:rPr>
          <w:b w:val="0"/>
          <w:bCs w:val="0"/>
        </w:rPr>
      </w:pPr>
      <w:bookmarkStart w:name="（1）收到的其他与经营活动有关的现金" w:id="307"/>
      <w:bookmarkEnd w:id="30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1,035,182.44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12,507,074.93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4,522,820.31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2,765,081.88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687,912.02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16,307,339.25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6,923,732.33</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支付的其他与经营活动有关的现金" w:id="308"/>
      <w:bookmarkEnd w:id="30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专有技术转让及许可费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47,963,254.17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19,330,733.22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48,698,906.49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33,072,181.88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4,780,200.38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3,735,626.18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2,468,536.99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3,214,797.32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12,722,098.48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13,155,118.51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8,271,135.91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9,765,885.92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3,973,619.95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3,904,300.85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12,642,963.97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16,012,493.32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6,209,648.95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5,612,565.10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50,010,730.00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20,066,668.24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21,426,033.75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217,807,763.53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129,229,736.05</w:t>
            </w:r>
          </w:p>
        </w:tc>
      </w:tr>
    </w:tbl>
    <w:p>
      <w:pPr>
        <w:spacing w:line="357" w:lineRule="auto" w:before="51"/>
        <w:ind w:left="513" w:right="1123" w:hanging="36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注</w:t>
      </w:r>
      <w:r>
        <w:rPr>
          <w:rFonts w:ascii="Times New Roman" w:hAnsi="Times New Roman" w:cs="Times New Roman" w:eastAsia="Times New Roman" w:hint="default"/>
          <w:sz w:val="18"/>
          <w:szCs w:val="18"/>
        </w:rPr>
        <w:t>1</w:t>
      </w:r>
      <w:r>
        <w:rPr>
          <w:rFonts w:ascii="宋体" w:hAnsi="宋体" w:cs="宋体" w:eastAsia="宋体" w:hint="default"/>
          <w:sz w:val="18"/>
          <w:szCs w:val="18"/>
        </w:rPr>
        <w:t>：支付的在途资金系公司于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日汇款给境外子公司石基（香港）有限公司的款项，由于跨境汇款结算时</w:t>
      </w:r>
    </w:p>
    <w:p>
      <w:pPr>
        <w:spacing w:line="214" w:lineRule="exact" w:before="0"/>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间较长，截止</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日，子公司石基（香港）有限公司的银行账户暂未收到此笔汇款，该项资金列示在其他流动资产，</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做为支付的其他与经营活动有关的现金列示。</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3）收到的其他与投资活动有关的现金" w:id="309"/>
      <w:bookmarkEnd w:id="30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收大连信开数码有限公司款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112,393,567.05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5,281,050.30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20,281,050.30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112,393,567.05</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支付的其他与投资活动有关的现金" w:id="310"/>
      <w:bookmarkEnd w:id="31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付大连信开数码有限公司款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处置子公司收到的净现金负数</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19,437,293.18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用于借款的质押存款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34,526,214.64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处置固定资产收到的净现金负数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53,964,384.22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80,016,134.76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支付的其他与筹资活动有关的现金" w:id="311"/>
      <w:bookmarkEnd w:id="311"/>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12"/>
        <w:gridCol w:w="2269"/>
        <w:gridCol w:w="3189"/>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购买中国电子器件工业有限公司少数股权</w:t>
            </w:r>
          </w:p>
        </w:tc>
        <w:tc>
          <w:tcPr>
            <w:tcW w:w="2269"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315,000,000.00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315,000,000.00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8、现金流量表补充资料" w:id="312"/>
      <w:bookmarkEnd w:id="312"/>
      <w:r>
        <w:rPr>
          <w:b w:val="0"/>
          <w:bCs w:val="0"/>
        </w:rPr>
      </w:r>
      <w:r>
        <w:rPr>
          <w:rFonts w:ascii="Times New Roman" w:hAnsi="Times New Roman" w:cs="Times New Roman" w:eastAsia="Times New Roman" w:hint="default"/>
        </w:rPr>
        <w:t>48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现金流量表补充资料" w:id="313"/>
      <w:bookmarkEnd w:id="31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932"/>
        <w:gridCol w:w="1856"/>
        <w:gridCol w:w="1770"/>
      </w:tblGrid>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372,860,202.23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395,151,959.92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12,640,279.74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8,280,299.74</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35,730,157.45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32,423,472.45</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30,312,050.94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28,175,637.78</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250,833.31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4,387.49</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388,296.53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19,728.01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6" w:type="dxa"/>
            <w:tcBorders>
              <w:top w:val="single" w:sz="4" w:space="0" w:color="000000"/>
              <w:left w:val="single" w:sz="13" w:space="0" w:color="D2D2D2"/>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-36,000.00</w:t>
            </w:r>
            <w:r>
              <w:rPr>
                <w:rFonts w:ascii="Times New Roman"/>
                <w:sz w:val="18"/>
              </w:rPr>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1,547,710.22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494,109.63</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-19,740,253.98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-19,988,954.51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-2,706,481.34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-886,376.48</w:t>
            </w:r>
            <w:r>
              <w:rPr>
                <w:rFonts w:ascii="Times New Roman"/>
                <w:sz w:val="18"/>
              </w:rPr>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-5,617,427.47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-5,946,206.95</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11,335,746.13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22,697,847.92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-41,329,651.87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61,863,700.51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-57,361,529.52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-37,052,454.22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-741,234.34</w:t>
            </w:r>
            <w:r>
              <w:rPr>
                <w:rFonts w:ascii="Times New Roman"/>
                <w:sz w:val="18"/>
              </w:rPr>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338,309,932.37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484,459,916.95</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1,967,686,183.97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692,599,701.32</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692,599,701.32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400,605,560.11</w:t>
            </w:r>
          </w:p>
        </w:tc>
      </w:tr>
      <w:tr>
        <w:trPr>
          <w:trHeight w:val="40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1,275,086,482.65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291,994,141.21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14"/>
      <w:bookmarkEnd w:id="31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946"/>
        <w:gridCol w:w="2622"/>
      </w:tblGrid>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2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103,406,514.60</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45,456,514.60</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53,750,000.00</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2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20,771,652.47</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其中：浩华管理顾问（亚太）公司</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15,820,640.55</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1,777,356.56</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3,173,655.36</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26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82,634,862.13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收到的处置子公司的现金净额" w:id="315"/>
      <w:bookmarkEnd w:id="31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6,131,171.04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北京中电创新科技有限公司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6,131,171.04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146,400.87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北京中电创新科技有限公司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146,400.87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5,984,770.17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现金和现金等价物的构成" w:id="316"/>
      <w:bookmarkEnd w:id="31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2280"/>
        <w:gridCol w:w="1913"/>
      </w:tblGrid>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1,967,686,183.97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692,599,701.32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331,113.61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306,492.52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1,965,560,588.89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677,889,861.85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1,794,481.47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14,403,346.94</w:t>
            </w:r>
          </w:p>
        </w:tc>
      </w:tr>
      <w:tr>
        <w:trPr>
          <w:trHeight w:val="403"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1,967,686,183.97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692,599,701.32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388"/>
        <w:gridCol w:w="2268"/>
        <w:gridCol w:w="1913"/>
      </w:tblGrid>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0" w:right="0"/>
              <w:jc w:val="left"/>
              <w:rPr>
                <w:rFonts w:ascii="Times New Roman" w:hAnsi="Times New Roman" w:cs="Times New Roman" w:eastAsia="Times New Roman" w:hint="default"/>
                <w:sz w:val="18"/>
                <w:szCs w:val="18"/>
              </w:rPr>
            </w:pPr>
            <w:r>
              <w:rPr>
                <w:rFonts w:ascii="Times New Roman"/>
                <w:sz w:val="18"/>
              </w:rPr>
              <w:t>53,963,507.82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21,403,346.94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9、所有权或使用权受到限制的资产" w:id="317"/>
      <w:bookmarkEnd w:id="317"/>
      <w:r>
        <w:rPr>
          <w:b w:val="0"/>
          <w:bCs w:val="0"/>
        </w:rPr>
      </w:r>
      <w:r>
        <w:rPr>
          <w:rFonts w:ascii="Times New Roman" w:hAnsi="Times New Roman" w:cs="Times New Roman" w:eastAsia="Times New Roman" w:hint="default"/>
        </w:rPr>
        <w:t>49</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53,963,507.82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保函、票据保证金及质押存款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53,963,507.82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0、外币货币性项目" w:id="318"/>
      <w:bookmarkEnd w:id="318"/>
      <w:r>
        <w:rPr>
          <w:b w:val="0"/>
          <w:bCs w:val="0"/>
        </w:rPr>
      </w:r>
      <w:r>
        <w:rPr>
          <w:rFonts w:ascii="Times New Roman" w:hAnsi="Times New Roman" w:cs="Times New Roman" w:eastAsia="Times New Roman" w:hint="default"/>
        </w:rPr>
        <w:t>50</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外币货币性项目" w:id="319"/>
      <w:bookmarkEnd w:id="31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9,856,459.20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64,003,903.46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3,308,545.93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2,771,891.97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28,969.41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278,566.95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2,211,674.00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3,348,430.20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360,345.00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1,653,082.69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2,883,130.72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18,721,897.64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8,475,357.00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7,100,654.09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491,046.00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743,433.82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32,561.00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149,373.59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1,563,074.00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1,309,543.40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63,413.05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203,529.38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1,321,638.38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4,018,357.81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28,511,052.33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1,956,724.89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12,706,188.78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1,670,536.00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1,399,575.06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43,287.65</w:t>
            </w:r>
          </w:p>
        </w:tc>
      </w:tr>
      <w:tr>
        <w:trPr>
          <w:trHeight w:val="406"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13,408.00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1.51398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20,299.44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91,867.00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596,547.55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86,287.00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1.51398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130,636.79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3,307,108.63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2,770,695.61</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303,690.00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1,393,177.88</w:t>
            </w:r>
          </w:p>
        </w:tc>
      </w:tr>
    </w:tbl>
    <w:p>
      <w:pPr>
        <w:spacing w:line="240" w:lineRule="auto" w:before="2"/>
        <w:rPr>
          <w:rFonts w:ascii="宋体" w:hAnsi="宋体" w:cs="宋体" w:eastAsia="宋体" w:hint="default"/>
          <w:sz w:val="19"/>
          <w:szCs w:val="19"/>
        </w:rPr>
      </w:pPr>
    </w:p>
    <w:p>
      <w:pPr>
        <w:pStyle w:val="Heading4"/>
        <w:spacing w:line="259" w:lineRule="auto" w:before="35"/>
        <w:ind w:right="0"/>
        <w:jc w:val="left"/>
        <w:rPr>
          <w:b w:val="0"/>
          <w:bCs w:val="0"/>
        </w:rPr>
      </w:pPr>
      <w:bookmarkStart w:name="（2）境外经营实体说明，包括对于重要的境外经营实体，应披露其境外主要经营地、记账" w:id="320"/>
      <w:bookmarkEnd w:id="32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3480"/>
        <w:gridCol w:w="1847"/>
        <w:gridCol w:w="1385"/>
        <w:gridCol w:w="2946"/>
      </w:tblGrid>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境外主要经营地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7" w:right="0"/>
              <w:jc w:val="left"/>
              <w:rPr>
                <w:rFonts w:ascii="宋体" w:hAnsi="宋体" w:cs="宋体" w:eastAsia="宋体" w:hint="default"/>
                <w:sz w:val="18"/>
                <w:szCs w:val="18"/>
              </w:rPr>
            </w:pPr>
            <w:r>
              <w:rPr>
                <w:rFonts w:ascii="宋体" w:hAnsi="宋体" w:cs="宋体" w:eastAsia="宋体" w:hint="default"/>
                <w:sz w:val="18"/>
                <w:szCs w:val="18"/>
              </w:rPr>
              <w:t>记账本位币的选择依据</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4"/>
                <w:sz w:val="18"/>
              </w:rPr>
              <w:t> </w:t>
            </w:r>
            <w:r>
              <w:rPr>
                <w:rFonts w:ascii="Times New Roman"/>
                <w:sz w:val="18"/>
              </w:rPr>
              <w:t>Ltd</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6"/>
                <w:sz w:val="18"/>
              </w:rPr>
              <w:t> </w:t>
            </w:r>
            <w:r>
              <w:rPr>
                <w:rFonts w:ascii="Times New Roman"/>
                <w:sz w:val="18"/>
              </w:rPr>
              <w:t>Ltd</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主要经营业务位于新加坡</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4"/>
                <w:sz w:val="18"/>
              </w:rPr>
              <w:t> </w:t>
            </w:r>
            <w:r>
              <w:rPr>
                <w:rFonts w:ascii="Times New Roman"/>
                <w:sz w:val="18"/>
              </w:rPr>
              <w:t>Bhd</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林吉特元</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主要经营业务位于马来西亚</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2"/>
                <w:sz w:val="18"/>
              </w:rPr>
              <w:t> </w:t>
            </w:r>
            <w:r>
              <w:rPr>
                <w:rFonts w:ascii="Times New Roman"/>
                <w:sz w:val="18"/>
              </w:rPr>
              <w:t>Ltd</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3"/>
                <w:sz w:val="18"/>
              </w:rPr>
              <w:t> </w:t>
            </w:r>
            <w:r>
              <w:rPr>
                <w:rFonts w:ascii="Times New Roman"/>
                <w:sz w:val="18"/>
              </w:rPr>
              <w:t>Ltd</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r>
        <w:trPr>
          <w:trHeight w:val="342"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主要经营业务位于香港</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八、合并范围的变更" w:id="321"/>
      <w:bookmarkEnd w:id="321"/>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非同一控制下企业合并" w:id="322"/>
      <w:bookmarkEnd w:id="322"/>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本期发生的非同一控制下企业合并" w:id="323"/>
      <w:bookmarkEnd w:id="32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浩华管理顾 </w:t>
            </w:r>
            <w:r>
              <w:rPr>
                <w:rFonts w:ascii="宋体" w:hAnsi="宋体" w:cs="宋体" w:eastAsia="宋体" w:hint="default"/>
                <w:spacing w:val="-12"/>
                <w:sz w:val="18"/>
                <w:szCs w:val="18"/>
              </w:rPr>
              <w:t>问（亚太）有</w:t>
            </w:r>
            <w:r>
              <w:rPr>
                <w:rFonts w:ascii="宋体" w:hAnsi="宋体" w:cs="宋体" w:eastAsia="宋体" w:hint="default"/>
                <w:sz w:val="18"/>
                <w:szCs w:val="18"/>
              </w:rPr>
              <w:t>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64,937,314.6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已经股东会 </w:t>
            </w:r>
            <w:r>
              <w:rPr>
                <w:rFonts w:ascii="宋体" w:hAnsi="宋体" w:cs="宋体" w:eastAsia="宋体" w:hint="default"/>
                <w:spacing w:val="-13"/>
                <w:sz w:val="18"/>
                <w:szCs w:val="18"/>
              </w:rPr>
              <w:t>批准、股权价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款已经支付 大部分</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12,984,897.1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-2,281,079.70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万达控股有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已经股东会 </w:t>
            </w:r>
            <w:r>
              <w:rPr>
                <w:rFonts w:ascii="宋体" w:hAnsi="宋体" w:cs="宋体" w:eastAsia="宋体" w:hint="default"/>
                <w:spacing w:val="-13"/>
                <w:sz w:val="18"/>
                <w:szCs w:val="18"/>
              </w:rPr>
              <w:t>批准、股权价</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12,916,830.0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-45,777.00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款已经支付 大部分</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9"/>
              <w:jc w:val="left"/>
              <w:rPr>
                <w:rFonts w:ascii="宋体" w:hAnsi="宋体" w:cs="宋体" w:eastAsia="宋体" w:hint="default"/>
                <w:sz w:val="18"/>
                <w:szCs w:val="18"/>
              </w:rPr>
            </w:pPr>
            <w:r>
              <w:rPr>
                <w:rFonts w:ascii="宋体" w:hAnsi="宋体" w:cs="宋体" w:eastAsia="宋体" w:hint="default"/>
                <w:sz w:val="18"/>
                <w:szCs w:val="18"/>
              </w:rPr>
              <w:t>杭州连边科 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4,200,000.00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已经股东会 </w:t>
            </w:r>
            <w:r>
              <w:rPr>
                <w:rFonts w:ascii="宋体" w:hAnsi="宋体" w:cs="宋体" w:eastAsia="宋体" w:hint="default"/>
                <w:spacing w:val="-13"/>
                <w:sz w:val="18"/>
                <w:szCs w:val="18"/>
              </w:rPr>
              <w:t>批准、股权价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款已经支付 大部分</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334,368.94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-228,425.05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合并成本及商誉" w:id="324"/>
      <w:bookmarkEnd w:id="32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2836"/>
        <w:gridCol w:w="1984"/>
        <w:gridCol w:w="2054"/>
      </w:tblGrid>
      <w:tr>
        <w:trPr>
          <w:trHeight w:val="401" w:hRule="exact"/>
        </w:trPr>
        <w:tc>
          <w:tcPr>
            <w:tcW w:w="269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w:t>
            </w:r>
          </w:p>
        </w:tc>
        <w:tc>
          <w:tcPr>
            <w:tcW w:w="19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86" w:right="0"/>
              <w:jc w:val="left"/>
              <w:rPr>
                <w:rFonts w:ascii="宋体" w:hAnsi="宋体" w:cs="宋体" w:eastAsia="宋体" w:hint="default"/>
                <w:sz w:val="18"/>
                <w:szCs w:val="18"/>
              </w:rPr>
            </w:pPr>
            <w:r>
              <w:rPr>
                <w:rFonts w:ascii="宋体" w:hAnsi="宋体" w:cs="宋体" w:eastAsia="宋体" w:hint="default"/>
                <w:sz w:val="18"/>
                <w:szCs w:val="18"/>
              </w:rPr>
              <w:t>万达控股有限公司公司</w:t>
            </w:r>
          </w:p>
        </w:tc>
        <w:tc>
          <w:tcPr>
            <w:tcW w:w="205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45,456,514.60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53,750,000.00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19,480,800.00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21,250,000.00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64,937,314.60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4,200,000.00</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减：取得的可辨认净资产公允价值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份额</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8,421,106.68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-4,090,040.70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2,866,857.24</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 净资产公允价值份额的金额</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56,516,207.92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79,090,040.70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1,333,142.76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pStyle w:val="BodyText"/>
        <w:spacing w:line="266" w:lineRule="auto" w:before="89"/>
        <w:ind w:right="1121" w:firstLine="480"/>
        <w:jc w:val="left"/>
      </w:pPr>
      <w:r>
        <w:rPr>
          <w:spacing w:val="-2"/>
        </w:rPr>
        <w:t>对于非同一控制下的企业合并取得的长期股权投资，在购买日按照合并成本作为长期股权投资的初始</w:t>
      </w:r>
      <w:r>
        <w:rPr/>
        <w:t> </w:t>
      </w:r>
      <w:r>
        <w:rPr>
          <w:spacing w:val="-1"/>
        </w:rPr>
        <w:t>投资成本，合并成本包括购买方付出的资产、发生或承担的负债、发行的权益性证券的公允价值之和。通</w:t>
      </w:r>
      <w:r>
        <w:rPr>
          <w:spacing w:val="-85"/>
        </w:rPr>
        <w:t> </w:t>
      </w:r>
      <w:r>
        <w:rPr>
          <w:spacing w:val="-85"/>
        </w:rPr>
      </w:r>
      <w:r>
        <w:rPr/>
        <w:t>过多次交易分步取得被购买方的股权，最终形成非同一控制下的企业合并的，应分别是否属于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的，按照原持有被购买方的股权投资账面价值加上新增投资成本之和，作为改按成本法核算的长 </w:t>
      </w:r>
      <w:r>
        <w:rPr>
          <w:spacing w:val="-1"/>
        </w:rPr>
        <w:t>期股权投资的初始投资成本。原持有的股权采用权益法核算的，相关其他综合收益暂不进行会计处理。原</w:t>
      </w:r>
      <w:r>
        <w:rPr>
          <w:spacing w:val="-83"/>
        </w:rPr>
        <w:t> </w:t>
      </w:r>
      <w:r>
        <w:rPr>
          <w:spacing w:val="-83"/>
        </w:rPr>
      </w:r>
      <w:r>
        <w:rPr>
          <w:spacing w:val="-1"/>
        </w:rPr>
        <w:t>持有股权投资为可供出售金融资产的，其公允价值与账面价值之间的差额，以及原计入其他综合收益的累</w:t>
      </w:r>
      <w:r>
        <w:rPr>
          <w:spacing w:val="-81"/>
        </w:rPr>
        <w:t> </w:t>
      </w:r>
      <w:r>
        <w:rPr>
          <w:spacing w:val="-81"/>
        </w:rPr>
      </w:r>
      <w:r>
        <w:rPr/>
        <w:t>计公允价值变动转入当期损益。</w:t>
      </w:r>
    </w:p>
    <w:p>
      <w:pPr>
        <w:pStyle w:val="BodyText"/>
        <w:spacing w:line="273" w:lineRule="auto" w:before="14"/>
        <w:ind w:right="1121" w:firstLine="480"/>
        <w:jc w:val="left"/>
      </w:pPr>
      <w:r>
        <w:rPr>
          <w:spacing w:val="-2"/>
        </w:rPr>
        <w:t>合并方或购买方为企业合并发生的审计、法律服务、评估咨询等中介费用以及其他相关管理费用，于</w:t>
      </w:r>
      <w:r>
        <w:rPr/>
        <w:t> 发生时计入当期损益。</w:t>
      </w:r>
    </w:p>
    <w:p>
      <w:pPr>
        <w:spacing w:line="240" w:lineRule="auto" w:before="7"/>
        <w:rPr>
          <w:rFonts w:ascii="宋体" w:hAnsi="宋体" w:cs="宋体" w:eastAsia="宋体" w:hint="default"/>
          <w:sz w:val="29"/>
          <w:szCs w:val="2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pStyle w:val="BodyText"/>
        <w:spacing w:line="256" w:lineRule="auto" w:before="90"/>
        <w:ind w:left="154" w:right="1152" w:firstLine="420"/>
        <w:jc w:val="left"/>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月，公司完成了万达控股有限公司</w:t>
      </w:r>
      <w:r>
        <w:rPr>
          <w:rFonts w:ascii="Times New Roman" w:hAnsi="Times New Roman" w:cs="Times New Roman" w:eastAsia="Times New Roman" w:hint="default"/>
        </w:rPr>
        <w:t>100%</w:t>
      </w:r>
      <w:r>
        <w:rPr/>
        <w:t>的股权收购，合并成本与对方可辨认净资产公 允价值之间的差额</w:t>
      </w:r>
      <w:r>
        <w:rPr>
          <w:rFonts w:ascii="Times New Roman" w:hAnsi="Times New Roman" w:cs="Times New Roman" w:eastAsia="Times New Roman" w:hint="default"/>
        </w:rPr>
        <w:t>79,090,040.70</w:t>
      </w:r>
      <w:r>
        <w:rPr/>
        <w:t>元计入商誉。</w:t>
      </w:r>
    </w:p>
    <w:p>
      <w:pPr>
        <w:pStyle w:val="BodyText"/>
        <w:spacing w:line="256" w:lineRule="auto" w:before="5"/>
        <w:ind w:right="1206" w:firstLine="420"/>
        <w:jc w:val="left"/>
      </w:pP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月，公司子公司杭州西软科技有限公司完成了杭州连边科技有限公司</w:t>
      </w:r>
      <w:r>
        <w:rPr>
          <w:rFonts w:ascii="Times New Roman" w:hAnsi="Times New Roman" w:cs="Times New Roman" w:eastAsia="Times New Roman" w:hint="default"/>
        </w:rPr>
        <w:t>70.00%</w:t>
      </w:r>
      <w:r>
        <w:rPr/>
        <w:t>的股权收 购，合并成本与对方可辨认净资产公允价值之间的差额</w:t>
      </w:r>
      <w:r>
        <w:rPr>
          <w:rFonts w:ascii="Times New Roman" w:hAnsi="Times New Roman" w:cs="Times New Roman" w:eastAsia="Times New Roman" w:hint="default"/>
        </w:rPr>
        <w:t>1,333,142.76</w:t>
      </w:r>
      <w:r>
        <w:rPr/>
        <w:t>元计入商誉。</w:t>
      </w:r>
    </w:p>
    <w:p>
      <w:pPr>
        <w:pStyle w:val="BodyText"/>
        <w:spacing w:line="256" w:lineRule="auto" w:before="5"/>
        <w:ind w:right="1018" w:firstLine="420"/>
        <w:jc w:val="left"/>
      </w:pPr>
      <w:r>
        <w:rPr>
          <w:spacing w:val="-3"/>
        </w:rPr>
        <w:t>注</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月，公司子公司香港石基公司完成了浩华管理顾问（亚太）有限公司</w:t>
      </w:r>
      <w:r>
        <w:rPr>
          <w:rFonts w:ascii="Times New Roman" w:hAnsi="Times New Roman" w:cs="Times New Roman" w:eastAsia="Times New Roman" w:hint="default"/>
          <w:spacing w:val="-3"/>
        </w:rPr>
        <w:t>75.00%</w:t>
      </w:r>
      <w:r>
        <w:rPr>
          <w:spacing w:val="-3"/>
        </w:rPr>
        <w:t>的股权收购，</w:t>
      </w:r>
      <w:r>
        <w:rPr/>
        <w:t> 合并成本与对方可辨认净资产公允价值之间的差额</w:t>
      </w:r>
      <w:r>
        <w:rPr>
          <w:rFonts w:ascii="Times New Roman" w:hAnsi="Times New Roman" w:cs="Times New Roman" w:eastAsia="Times New Roman" w:hint="default"/>
        </w:rPr>
        <w:t>56,516,207.92</w:t>
      </w:r>
      <w:r>
        <w:rPr/>
        <w:t>元计入商誉。</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bookmarkStart w:name="（3）被购买方于购买日可辨认资产、负债" w:id="325"/>
      <w:bookmarkEnd w:id="32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8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47" w:type="dxa"/>
            <w:gridSpan w:val="2"/>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浩华管理顾问（亚太）有限公司</w:t>
            </w:r>
          </w:p>
          <w:p>
            <w:pPr>
              <w:pStyle w:val="TableParagraph"/>
              <w:spacing w:line="240" w:lineRule="auto" w:before="117"/>
              <w:ind w:left="3" w:right="0"/>
              <w:jc w:val="center"/>
              <w:rPr>
                <w:rFonts w:ascii="宋体" w:hAnsi="宋体" w:cs="宋体" w:eastAsia="宋体" w:hint="default"/>
                <w:sz w:val="18"/>
                <w:szCs w:val="18"/>
              </w:rPr>
            </w:pPr>
            <w:r>
              <w:rPr>
                <w:rFonts w:ascii="宋体" w:hAnsi="宋体" w:cs="宋体" w:eastAsia="宋体" w:hint="default"/>
                <w:sz w:val="18"/>
                <w:szCs w:val="18"/>
              </w:rPr>
              <w:t>（单位：美元）</w:t>
            </w:r>
          </w:p>
        </w:tc>
        <w:tc>
          <w:tcPr>
            <w:tcW w:w="2734"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p>
            <w:pPr>
              <w:pStyle w:val="TableParagraph"/>
              <w:spacing w:line="240" w:lineRule="auto" w:before="117"/>
              <w:ind w:left="552" w:right="0"/>
              <w:jc w:val="left"/>
              <w:rPr>
                <w:rFonts w:ascii="宋体" w:hAnsi="宋体" w:cs="宋体" w:eastAsia="宋体" w:hint="default"/>
                <w:sz w:val="18"/>
                <w:szCs w:val="18"/>
              </w:rPr>
            </w:pPr>
            <w:r>
              <w:rPr>
                <w:rFonts w:ascii="宋体" w:hAnsi="宋体" w:cs="宋体" w:eastAsia="宋体" w:hint="default"/>
                <w:sz w:val="18"/>
                <w:szCs w:val="18"/>
              </w:rPr>
              <w:t>（单位：人民币元）</w:t>
            </w:r>
          </w:p>
        </w:tc>
        <w:tc>
          <w:tcPr>
            <w:tcW w:w="2734" w:type="dxa"/>
            <w:gridSpan w:val="2"/>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p>
            <w:pPr>
              <w:pStyle w:val="TableParagraph"/>
              <w:spacing w:line="240" w:lineRule="auto" w:before="117"/>
              <w:ind w:left="552" w:right="0"/>
              <w:jc w:val="lef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
        </w:tc>
        <w:tc>
          <w:tcPr>
            <w:tcW w:w="2747" w:type="dxa"/>
            <w:gridSpan w:val="2"/>
            <w:vMerge/>
            <w:tcBorders>
              <w:left w:val="single" w:sz="9" w:space="0" w:color="D2D2D2"/>
              <w:right w:val="single" w:sz="4" w:space="0" w:color="000000"/>
            </w:tcBorders>
            <w:shd w:val="clear" w:color="auto" w:fill="E0FFFF"/>
          </w:tcPr>
          <w:p>
            <w:pPr/>
          </w:p>
        </w:tc>
        <w:tc>
          <w:tcPr>
            <w:tcW w:w="2734" w:type="dxa"/>
            <w:gridSpan w:val="2"/>
            <w:vMerge/>
            <w:tcBorders>
              <w:left w:val="single" w:sz="4" w:space="0" w:color="000000"/>
              <w:right w:val="single" w:sz="4" w:space="0" w:color="000000"/>
            </w:tcBorders>
            <w:shd w:val="clear" w:color="auto" w:fill="E0FFFF"/>
          </w:tcPr>
          <w:p>
            <w:pPr/>
          </w:p>
        </w:tc>
        <w:tc>
          <w:tcPr>
            <w:tcW w:w="2734" w:type="dxa"/>
            <w:gridSpan w:val="2"/>
            <w:vMerge/>
            <w:tcBorders>
              <w:left w:val="single" w:sz="4" w:space="0" w:color="000000"/>
              <w:right w:val="single" w:sz="4" w:space="0" w:color="000000"/>
            </w:tcBorders>
            <w:shd w:val="clear" w:color="auto" w:fill="E0FFFF"/>
          </w:tcPr>
          <w:p>
            <w:pPr/>
          </w:p>
        </w:tc>
      </w:tr>
      <w:tr>
        <w:trPr>
          <w:trHeight w:val="18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747" w:type="dxa"/>
            <w:gridSpan w:val="2"/>
            <w:vMerge/>
            <w:tcBorders>
              <w:left w:val="single" w:sz="9" w:space="0" w:color="D2D2D2"/>
              <w:bottom w:val="single" w:sz="4" w:space="0" w:color="000000"/>
              <w:right w:val="single" w:sz="4" w:space="0" w:color="000000"/>
            </w:tcBorders>
            <w:shd w:val="clear" w:color="auto" w:fill="E0FFFF"/>
          </w:tcPr>
          <w:p>
            <w:pPr/>
          </w:p>
        </w:tc>
        <w:tc>
          <w:tcPr>
            <w:tcW w:w="2734" w:type="dxa"/>
            <w:gridSpan w:val="2"/>
            <w:vMerge/>
            <w:tcBorders>
              <w:left w:val="single" w:sz="4" w:space="0" w:color="000000"/>
              <w:bottom w:val="single" w:sz="4" w:space="0" w:color="000000"/>
              <w:right w:val="single" w:sz="4" w:space="0" w:color="000000"/>
            </w:tcBorders>
            <w:shd w:val="clear" w:color="auto" w:fill="E0FFFF"/>
          </w:tcPr>
          <w:p>
            <w:pPr/>
          </w:p>
        </w:tc>
        <w:tc>
          <w:tcPr>
            <w:tcW w:w="2734" w:type="dxa"/>
            <w:gridSpan w:val="2"/>
            <w:vMerge/>
            <w:tcBorders>
              <w:left w:val="single" w:sz="4" w:space="0" w:color="000000"/>
              <w:bottom w:val="single" w:sz="4" w:space="0" w:color="000000"/>
              <w:right w:val="single" w:sz="4" w:space="0" w:color="000000"/>
            </w:tcBorders>
            <w:shd w:val="clear" w:color="auto" w:fill="E0FFFF"/>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3,656,739.00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3,656,739.00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8,215,510.59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8,215,510.59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4,187,308.25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4,187,308.25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2,437,695.00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2,437,695.00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1,777,356.56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1,777,356.56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3,173,655.36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3,173,655.36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600,506.00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600,506.00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1,439,743.69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1,439,743.69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109,821.90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109,821.90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363,473.76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363,473.76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51,623.00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51,623.00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424,020.67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424,020.67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76,751.25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76,751.25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1,860,034.27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1,860,034.27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195,671.00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195,671.00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163,015.16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163,015.16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13,951.57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13,951.57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141,570.00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141,570.00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1,347,535.82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1,347,535.82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111,872.24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111,872.24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25,374.00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25,374.00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204,300.00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809,025.26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809,025.26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31,305.40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31,305.40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1,255.93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1,927,680.00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1,927,680.00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12,305,551.29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12,305,551.29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91,797.91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91,797.91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169,850.05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169,850.05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618,372.00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618,372.00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9,879,615.05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9,879,615.05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1,240,375.97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1,240,375.97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84,063.00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597,895.09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597,895.09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6,134.91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6,134.91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275,096.00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275,096.00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417,815.13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417,815.13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1,729,059.00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1,729,059.00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-4,090,040.70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-4,090,040.70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4,095,510.34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4,095,510.34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减：少数股东权 益</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432,264.75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432,264.75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1,228,653.10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1,228,653.10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1,296,794.25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1,296,794.25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-4,090,040.70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-4,090,040.70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2,866,857.24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2,866,857.24</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 账面价值确认法 企业合并中承担的被购买方的或有负债：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4）购买日之前持有的股权按照公允价值重新计量产生的利得或损失" w:id="326"/>
      <w:bookmarkEnd w:id="32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购买日或合并当期期末无法合理确定合并对价或被购买方可辨认资产、负债公允价值" w:id="327"/>
      <w:bookmarkEnd w:id="32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4"/>
          <w:szCs w:val="24"/>
        </w:rPr>
      </w:pPr>
    </w:p>
    <w:p>
      <w:pPr>
        <w:pStyle w:val="BodyText"/>
        <w:spacing w:line="256" w:lineRule="auto" w:before="0"/>
        <w:ind w:right="1027" w:firstLine="480"/>
        <w:jc w:val="both"/>
      </w:pPr>
      <w:r>
        <w:rPr/>
        <w:t>①公司本年收购浩华管理顾问（亚太）有限公司</w:t>
      </w:r>
      <w:r>
        <w:rPr>
          <w:rFonts w:ascii="Times New Roman" w:hAnsi="Times New Roman" w:cs="Times New Roman" w:eastAsia="Times New Roman" w:hint="default"/>
        </w:rPr>
        <w:t>75%</w:t>
      </w:r>
      <w:r>
        <w:rPr/>
        <w:t>股权的协议中，对支付对价的约定如下</w:t>
      </w:r>
      <w:r>
        <w:rPr>
          <w:rFonts w:ascii="Times New Roman" w:hAnsi="Times New Roman" w:cs="Times New Roman" w:eastAsia="Times New Roman" w:hint="default"/>
        </w:rPr>
        <w:t>“</w:t>
      </w:r>
      <w:r>
        <w:rPr/>
        <w:t>对价包</w:t>
      </w:r>
      <w:r>
        <w:rPr>
          <w:spacing w:val="1"/>
        </w:rPr>
        <w:t> </w:t>
      </w:r>
      <w:r>
        <w:rPr/>
        <w:t>含完成时应支付的首笔</w:t>
      </w:r>
      <w:r>
        <w:rPr>
          <w:rFonts w:ascii="Times New Roman" w:hAnsi="Times New Roman" w:cs="Times New Roman" w:eastAsia="Times New Roman" w:hint="default"/>
        </w:rPr>
        <w:t>7,000,000.00</w:t>
      </w:r>
      <w:r>
        <w:rPr/>
        <w:t>美元的款项（</w:t>
      </w:r>
      <w:r>
        <w:rPr>
          <w:rFonts w:ascii="Times New Roman" w:hAnsi="Times New Roman" w:cs="Times New Roman" w:eastAsia="Times New Roman" w:hint="default"/>
        </w:rPr>
        <w:t>“</w:t>
      </w:r>
      <w:r>
        <w:rPr/>
        <w:t>第一笔付款</w:t>
      </w:r>
      <w:r>
        <w:rPr>
          <w:rFonts w:ascii="Times New Roman" w:hAnsi="Times New Roman" w:cs="Times New Roman" w:eastAsia="Times New Roman" w:hint="default"/>
        </w:rPr>
        <w:t>”</w:t>
      </w:r>
      <w:r>
        <w:rPr/>
        <w:t>）和三笔后续付款（</w:t>
      </w:r>
      <w:r>
        <w:rPr>
          <w:rFonts w:ascii="Times New Roman" w:hAnsi="Times New Roman" w:cs="Times New Roman" w:eastAsia="Times New Roman" w:hint="default"/>
        </w:rPr>
        <w:t>“</w:t>
      </w:r>
      <w:r>
        <w:rPr/>
        <w:t>第二笔付款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第三</w:t>
      </w:r>
      <w:r>
        <w:rPr>
          <w:spacing w:val="-22"/>
        </w:rPr>
        <w:t> </w:t>
      </w:r>
      <w:r>
        <w:rPr/>
        <w:t>笔付款</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第四笔付款</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后续付款</w:t>
      </w:r>
      <w:r>
        <w:rPr>
          <w:rFonts w:ascii="Times New Roman" w:hAnsi="Times New Roman" w:cs="Times New Roman" w:eastAsia="Times New Roman" w:hint="default"/>
        </w:rPr>
        <w:t>”</w:t>
      </w:r>
      <w:r>
        <w:rPr/>
        <w:t>），每笔款项的金额为</w:t>
      </w:r>
      <w:r>
        <w:rPr>
          <w:rFonts w:ascii="Times New Roman" w:hAnsi="Times New Roman" w:cs="Times New Roman" w:eastAsia="Times New Roman" w:hint="default"/>
        </w:rPr>
        <w:t>1,000,000.00</w:t>
      </w:r>
      <w:r>
        <w:rPr/>
        <w:t>美元，但应以达到第</w:t>
      </w:r>
      <w:r>
        <w:rPr>
          <w:rFonts w:ascii="Times New Roman" w:hAnsi="Times New Roman" w:cs="Times New Roman" w:eastAsia="Times New Roman" w:hint="default"/>
        </w:rPr>
        <w:t>3.2</w:t>
      </w:r>
      <w:r>
        <w:rPr/>
        <w:t>条所</w:t>
      </w:r>
      <w:r>
        <w:rPr>
          <w:spacing w:val="-72"/>
        </w:rPr>
        <w:t> </w:t>
      </w:r>
      <w:r>
        <w:rPr/>
        <w:t>列若干财政目标为条件。</w:t>
      </w:r>
      <w:r>
        <w:rPr>
          <w:rFonts w:ascii="Times New Roman" w:hAnsi="Times New Roman" w:cs="Times New Roman" w:eastAsia="Times New Roman" w:hint="default"/>
        </w:rPr>
        <w:t>”</w:t>
      </w:r>
      <w:r>
        <w:rPr/>
        <w:t>协议中</w:t>
      </w:r>
      <w:r>
        <w:rPr>
          <w:rFonts w:ascii="Times New Roman" w:hAnsi="Times New Roman" w:cs="Times New Roman" w:eastAsia="Times New Roman" w:hint="default"/>
        </w:rPr>
        <w:t>3.2</w:t>
      </w:r>
      <w:r>
        <w:rPr/>
        <w:t>条所列若干财政目标分别对</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年度的经营成</w:t>
      </w:r>
      <w:r>
        <w:rPr>
          <w:spacing w:val="-69"/>
        </w:rPr>
        <w:t> </w:t>
      </w:r>
      <w:r>
        <w:rPr>
          <w:spacing w:val="-69"/>
        </w:rPr>
      </w:r>
      <w:r>
        <w:rPr>
          <w:spacing w:val="-3"/>
        </w:rPr>
        <w:t>果做了要求，公司根据预计的未来经营状况及价款支付的期限，将可能支付的合并对价列示在长期应付款。</w:t>
      </w:r>
    </w:p>
    <w:p>
      <w:pPr>
        <w:pStyle w:val="BodyText"/>
        <w:spacing w:line="256" w:lineRule="auto" w:before="22"/>
        <w:ind w:right="1104" w:firstLine="480"/>
        <w:jc w:val="both"/>
      </w:pPr>
      <w:r>
        <w:rPr>
          <w:spacing w:val="8"/>
        </w:rPr>
        <w:t>②公司本年收购万达控股有限公司</w:t>
      </w:r>
      <w:r>
        <w:rPr>
          <w:rFonts w:ascii="Times New Roman" w:hAnsi="Times New Roman" w:cs="Times New Roman" w:eastAsia="Times New Roman" w:hint="default"/>
          <w:spacing w:val="8"/>
        </w:rPr>
        <w:t>100%</w:t>
      </w:r>
      <w:r>
        <w:rPr>
          <w:spacing w:val="8"/>
        </w:rPr>
        <w:t>股权的协议中，对支付对价的约定如下</w:t>
      </w:r>
      <w:r>
        <w:rPr>
          <w:rFonts w:ascii="Times New Roman" w:hAnsi="Times New Roman" w:cs="Times New Roman" w:eastAsia="Times New Roman" w:hint="default"/>
          <w:spacing w:val="8"/>
        </w:rPr>
        <w:t>“</w:t>
      </w:r>
      <w:r>
        <w:rPr>
          <w:spacing w:val="8"/>
        </w:rPr>
        <w:t>除预付的人民币</w:t>
      </w:r>
      <w:r>
        <w:rPr/>
        <w:t> </w:t>
      </w:r>
      <w:r>
        <w:rPr>
          <w:rFonts w:ascii="Times New Roman" w:hAnsi="Times New Roman" w:cs="Times New Roman" w:eastAsia="Times New Roman" w:hint="default"/>
          <w:spacing w:val="-7"/>
        </w:rPr>
        <w:t>2,250.00</w:t>
      </w:r>
      <w:r>
        <w:rPr>
          <w:spacing w:val="-7"/>
        </w:rPr>
        <w:t>万元外，于本协议之交割日后</w:t>
      </w:r>
      <w:r>
        <w:rPr>
          <w:rFonts w:ascii="Times New Roman" w:hAnsi="Times New Roman" w:cs="Times New Roman" w:eastAsia="Times New Roman" w:hint="default"/>
          <w:spacing w:val="-7"/>
        </w:rPr>
        <w:t>10</w:t>
      </w:r>
      <w:r>
        <w:rPr>
          <w:spacing w:val="-7"/>
        </w:rPr>
        <w:t>个工作日内，买方向卖方支付人民币</w:t>
      </w:r>
      <w:r>
        <w:rPr>
          <w:rFonts w:ascii="Times New Roman" w:hAnsi="Times New Roman" w:cs="Times New Roman" w:eastAsia="Times New Roman" w:hint="default"/>
          <w:spacing w:val="-7"/>
        </w:rPr>
        <w:t>3,125.00</w:t>
      </w:r>
      <w:r>
        <w:rPr>
          <w:spacing w:val="-7"/>
        </w:rPr>
        <w:t>万元（</w:t>
      </w:r>
      <w:r>
        <w:rPr>
          <w:rFonts w:ascii="Times New Roman" w:hAnsi="Times New Roman" w:cs="Times New Roman" w:eastAsia="Times New Roman" w:hint="default"/>
          <w:spacing w:val="-7"/>
        </w:rPr>
        <w:t>“</w:t>
      </w:r>
      <w:r>
        <w:rPr>
          <w:spacing w:val="-7"/>
        </w:rPr>
        <w:t>第一笔对价</w:t>
      </w:r>
      <w:r>
        <w:rPr>
          <w:rFonts w:ascii="Times New Roman" w:hAnsi="Times New Roman" w:cs="Times New Roman" w:eastAsia="Times New Roman" w:hint="default"/>
          <w:spacing w:val="-7"/>
        </w:rPr>
        <w:t>”</w:t>
      </w:r>
      <w:r>
        <w:rPr>
          <w:spacing w:val="-7"/>
        </w:rPr>
        <w:t>）；</w:t>
      </w:r>
      <w:r>
        <w:rPr>
          <w:spacing w:val="-87"/>
        </w:rPr>
        <w:t> </w:t>
      </w:r>
      <w:r>
        <w:rPr/>
        <w:t>于本协议之交割日后至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日，买方依据业务考核情况分期向卖方支付剩余的股权转让款即人民 </w:t>
      </w:r>
      <w:r>
        <w:rPr>
          <w:spacing w:val="-4"/>
        </w:rPr>
        <w:t>币</w:t>
      </w:r>
      <w:r>
        <w:rPr>
          <w:rFonts w:ascii="Times New Roman" w:hAnsi="Times New Roman" w:cs="Times New Roman" w:eastAsia="Times New Roman" w:hint="default"/>
          <w:spacing w:val="-4"/>
        </w:rPr>
        <w:t>2,125.00</w:t>
      </w:r>
      <w:r>
        <w:rPr>
          <w:spacing w:val="-4"/>
        </w:rPr>
        <w:t>万元。</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t>公司根据预计的未来经营状况以及价款支付的期限，将可能支付的合并对价列示在其他 流动负债。</w:t>
      </w:r>
    </w:p>
    <w:p>
      <w:pPr>
        <w:spacing w:line="240" w:lineRule="auto" w:before="10"/>
        <w:rPr>
          <w:rFonts w:ascii="宋体" w:hAnsi="宋体" w:cs="宋体" w:eastAsia="宋体" w:hint="default"/>
          <w:sz w:val="24"/>
          <w:szCs w:val="24"/>
        </w:rPr>
      </w:pPr>
    </w:p>
    <w:p>
      <w:pPr>
        <w:pStyle w:val="Heading4"/>
        <w:spacing w:line="240" w:lineRule="auto"/>
        <w:ind w:left="153" w:right="0"/>
        <w:jc w:val="left"/>
        <w:rPr>
          <w:b w:val="0"/>
          <w:bCs w:val="0"/>
        </w:rPr>
      </w:pPr>
      <w:bookmarkStart w:name="2、处置子公司" w:id="328"/>
      <w:bookmarkEnd w:id="328"/>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北京中 电创新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6,131,17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股权已 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1,500,83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left="154" w:right="0"/>
        <w:jc w:val="left"/>
        <w:rPr>
          <w:b w:val="0"/>
          <w:bCs w:val="0"/>
        </w:rPr>
      </w:pPr>
      <w:bookmarkStart w:name="九、在其他主体中的权益" w:id="329"/>
      <w:bookmarkEnd w:id="329"/>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30"/>
      <w:bookmarkEnd w:id="33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31"/>
      <w:bookmarkEnd w:id="33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94"/>
        <w:gridCol w:w="992"/>
        <w:gridCol w:w="850"/>
        <w:gridCol w:w="1985"/>
        <w:gridCol w:w="993"/>
        <w:gridCol w:w="992"/>
        <w:gridCol w:w="1066"/>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82.40%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杭州西软信息技术有限公司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杭州连边科技有限公司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北海乐宿国际旅行社有限公司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银石科技有限公司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南京银石支付系统科技有限公司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南京银石电脑系统工程有限公司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北京现化信息技术有限公司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4"/>
                <w:sz w:val="18"/>
              </w:rPr>
              <w:t> </w:t>
            </w:r>
            <w:r>
              <w:rPr>
                <w:rFonts w:ascii="Times New Roman"/>
                <w:sz w:val="18"/>
              </w:rPr>
              <w:t>Ltd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6"/>
                <w:sz w:val="18"/>
              </w:rPr>
              <w:t> </w:t>
            </w:r>
            <w:r>
              <w:rPr>
                <w:rFonts w:ascii="Times New Roman"/>
                <w:sz w:val="18"/>
              </w:rPr>
              <w:t>Ltd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4"/>
                <w:sz w:val="18"/>
              </w:rPr>
              <w:t> </w:t>
            </w:r>
            <w:r>
              <w:rPr>
                <w:rFonts w:ascii="Times New Roman"/>
                <w:sz w:val="18"/>
              </w:rPr>
              <w:t>Bhd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Pos Master</w:t>
            </w:r>
            <w:r>
              <w:rPr>
                <w:rFonts w:ascii="Times New Roman"/>
                <w:spacing w:val="-1"/>
                <w:sz w:val="18"/>
              </w:rPr>
              <w:t> </w:t>
            </w:r>
            <w:r>
              <w:rPr>
                <w:rFonts w:ascii="Times New Roman"/>
                <w:sz w:val="18"/>
              </w:rPr>
              <w:t>Ltd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Infrasys (HK)</w:t>
            </w:r>
            <w:r>
              <w:rPr>
                <w:rFonts w:ascii="Times New Roman"/>
                <w:spacing w:val="-3"/>
                <w:sz w:val="18"/>
              </w:rPr>
              <w:t> </w:t>
            </w:r>
            <w:r>
              <w:rPr>
                <w:rFonts w:ascii="Times New Roman"/>
                <w:sz w:val="18"/>
              </w:rPr>
              <w:t>Ltd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销售终端系统</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中国电子器件工业海南有限公司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香港精密模具有限公司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北京中长商通科技有限公司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北京中电创新科技有限公司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海南中电器件精模公司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电子设备销售</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992"/>
        <w:gridCol w:w="850"/>
        <w:gridCol w:w="1985"/>
        <w:gridCol w:w="993"/>
        <w:gridCol w:w="992"/>
        <w:gridCol w:w="1066"/>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深圳万国思迅网络有限公司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深圳市奥凯软件有限公司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浩华管理顾问（亚太）有限公司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万达控股有限公司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广州万迅电脑软件有限公司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line="357" w:lineRule="auto" w:before="51"/>
        <w:ind w:left="154" w:right="697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无</w:t>
      </w:r>
    </w:p>
    <w:p>
      <w:pPr>
        <w:spacing w:line="357" w:lineRule="auto" w:before="29"/>
        <w:ind w:left="153" w:right="2833"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无</w:t>
      </w:r>
    </w:p>
    <w:p>
      <w:pPr>
        <w:spacing w:line="357" w:lineRule="auto" w:before="29"/>
        <w:ind w:left="154" w:right="6432"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无</w:t>
      </w:r>
    </w:p>
    <w:p>
      <w:pPr>
        <w:spacing w:line="240" w:lineRule="auto" w:before="1"/>
        <w:rPr>
          <w:rFonts w:ascii="宋体" w:hAnsi="宋体" w:cs="宋体" w:eastAsia="宋体" w:hint="default"/>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重要的非全资子公司" w:id="332"/>
      <w:bookmarkEnd w:id="33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1276"/>
        <w:gridCol w:w="1916"/>
        <w:gridCol w:w="1913"/>
        <w:gridCol w:w="1913"/>
      </w:tblGrid>
      <w:tr>
        <w:trPr>
          <w:trHeight w:val="759"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452" w:right="93" w:hanging="360"/>
              <w:jc w:val="left"/>
              <w:rPr>
                <w:rFonts w:ascii="宋体" w:hAnsi="宋体" w:cs="宋体" w:eastAsia="宋体" w:hint="default"/>
                <w:sz w:val="18"/>
                <w:szCs w:val="18"/>
              </w:rPr>
            </w:pPr>
            <w:r>
              <w:rPr>
                <w:rFonts w:ascii="宋体" w:hAnsi="宋体" w:cs="宋体" w:eastAsia="宋体" w:hint="default"/>
                <w:sz w:val="18"/>
                <w:szCs w:val="18"/>
              </w:rPr>
              <w:t>少数股东持股 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772" w:right="53"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154,322.97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665,998.00</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2,706,451.53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7,377,606.79</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9,877,455.11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28,637,740.78</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浩华管理顾问（亚太）有限公司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-570,269.86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2,219,658.94</w:t>
            </w: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重要非全资子公司的主要财务信息" w:id="333"/>
      <w:bookmarkEnd w:id="33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上海正 品贵德 软件有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4,420,24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322,532.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4,742,77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2,522,78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4.49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2,522,78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5,263,27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135,092.</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5,398,36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3,692,78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3,692,78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1.52</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北京石 基昆仑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62,319,3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74.79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1,421,91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63,741,2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93.84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21,823,0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73.44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21,823,0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56,418,3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1,842,72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1.89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58,261,0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21,720,4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36.65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21,720,4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36.65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软件有 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 思迅软 件股份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83,777,6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07.84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59,831,4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90.12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143,609,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097.96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28,058,1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34.86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29,058,1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61,503,6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59,985,2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121,488,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822.61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25,447,6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79.95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26,447,6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79.95</w:t>
            </w:r>
          </w:p>
        </w:tc>
      </w:tr>
      <w:tr>
        <w:trPr>
          <w:trHeight w:val="1650" w:hRule="exact"/>
        </w:trPr>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浩华管 理顾问</w:t>
            </w:r>
          </w:p>
          <w:p>
            <w:pPr>
              <w:pStyle w:val="TableParagraph"/>
              <w:spacing w:line="316" w:lineRule="auto" w:before="19"/>
              <w:ind w:left="22" w:right="-29"/>
              <w:jc w:val="left"/>
              <w:rPr>
                <w:rFonts w:ascii="宋体" w:hAnsi="宋体" w:cs="宋体" w:eastAsia="宋体" w:hint="default"/>
                <w:sz w:val="18"/>
                <w:szCs w:val="18"/>
              </w:rPr>
            </w:pPr>
            <w:r>
              <w:rPr>
                <w:rFonts w:ascii="宋体" w:hAnsi="宋体" w:cs="宋体" w:eastAsia="宋体" w:hint="default"/>
                <w:sz w:val="18"/>
                <w:szCs w:val="18"/>
              </w:rPr>
              <w:t>（亚太） 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15,859,5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56.51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357,221.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16,216,7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77.67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7,508,11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3.94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7,508,11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3.94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上海正品贵 德软件有限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11,798,608.3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514,409.90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514,409.90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-823,556.98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13,233,118.0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1,422,136.18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1,422,136.18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1,259,301.98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北京石基昆 仑软件有限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29,317,818.6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15,377,565.5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15,377,565.5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9,948,832.74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26,277,157.0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13,795,730.5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13,795,730.5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2,422,750.94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深圳市思迅 软件股份有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78,141,324.3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39,509,820.4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39,509,820.4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41,876,475.5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61,743,306.4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29,577,172.9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29,577,172.9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11,796,994.9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浩华管理顾 </w:t>
            </w:r>
            <w:r>
              <w:rPr>
                <w:rFonts w:ascii="宋体" w:hAnsi="宋体" w:cs="宋体" w:eastAsia="宋体" w:hint="default"/>
                <w:spacing w:val="-13"/>
                <w:sz w:val="18"/>
                <w:szCs w:val="18"/>
              </w:rPr>
              <w:t>问（亚太）有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12,984,897.1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-2,281,079.70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-2,446,100.36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1,392,086.15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634" w:right="0"/>
        <w:jc w:val="left"/>
      </w:pPr>
      <w:r>
        <w:rPr/>
        <w:t>注：公司之子公司石基（香港）有限公司本年现金收购浩华管理顾问（亚太）有限公司</w:t>
      </w:r>
      <w:r>
        <w:rPr>
          <w:rFonts w:ascii="Times New Roman" w:hAnsi="Times New Roman" w:cs="Times New Roman" w:eastAsia="Times New Roman" w:hint="default"/>
        </w:rPr>
        <w:t>75%</w:t>
      </w:r>
      <w:r>
        <w:rPr/>
        <w:t>股权，自</w:t>
      </w:r>
    </w:p>
    <w:p>
      <w:pPr>
        <w:pStyle w:val="BodyText"/>
        <w:spacing w:line="240" w:lineRule="auto" w:before="21"/>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日起开始纳入合并范围，年初数不纳入合并范围，故年初数及上年发生额为</w:t>
      </w:r>
      <w:r>
        <w:rPr>
          <w:rFonts w:ascii="Times New Roman" w:hAnsi="Times New Roman" w:cs="Times New Roman" w:eastAsia="Times New Roman" w:hint="default"/>
        </w:rPr>
        <w:t>0</w:t>
      </w:r>
      <w:r>
        <w:rPr/>
        <w:t>，本年指</w:t>
      </w:r>
      <w:r>
        <w:rPr>
          <w:rFonts w:ascii="Times New Roman" w:hAnsi="Times New Roman" w:cs="Times New Roman" w:eastAsia="Times New Roman" w:hint="default"/>
        </w:rPr>
        <w:t>2015</w:t>
      </w:r>
      <w:r>
        <w:rPr/>
        <w:t>年</w:t>
      </w:r>
    </w:p>
    <w:p>
      <w:pPr>
        <w:pStyle w:val="BodyText"/>
        <w:spacing w:line="240" w:lineRule="auto" w:before="21"/>
        <w:ind w:right="0"/>
        <w:jc w:val="left"/>
      </w:pP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8"/>
        <w:rPr>
          <w:rFonts w:ascii="宋体" w:hAnsi="宋体" w:cs="宋体" w:eastAsia="宋体" w:hint="default"/>
          <w:sz w:val="24"/>
          <w:szCs w:val="24"/>
        </w:rPr>
      </w:pPr>
    </w:p>
    <w:p>
      <w:pPr>
        <w:pStyle w:val="Heading4"/>
        <w:spacing w:line="240" w:lineRule="auto"/>
        <w:ind w:left="153" w:right="0"/>
        <w:jc w:val="left"/>
        <w:rPr>
          <w:b w:val="0"/>
          <w:bCs w:val="0"/>
        </w:rPr>
      </w:pPr>
      <w:bookmarkStart w:name="2、在合营安排或联营企业中的权益" w:id="334"/>
      <w:bookmarkEnd w:id="334"/>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重要的合营企业或联营企业" w:id="335"/>
      <w:bookmarkEnd w:id="33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迅付信息科技有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深圳市垅运照明 电器有限公司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电子镇流器生产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Snap Shot</w:t>
            </w:r>
            <w:r>
              <w:rPr>
                <w:rFonts w:ascii="Times New Roman"/>
                <w:spacing w:val="-2"/>
                <w:sz w:val="18"/>
              </w:rPr>
              <w:t> </w:t>
            </w:r>
            <w:r>
              <w:rPr>
                <w:rFonts w:ascii="Times New Roman"/>
                <w:sz w:val="18"/>
              </w:rPr>
              <w:t>GmbH</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奥地利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奥地利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科传计算机科技 控股有限公司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2"/>
                <w:sz w:val="18"/>
              </w:rPr>
              <w:t> </w:t>
            </w:r>
            <w:r>
              <w:rPr>
                <w:rFonts w:ascii="Times New Roman"/>
                <w:sz w:val="18"/>
              </w:rPr>
              <w:t>PLC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英属泽西岛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英属泽西岛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上海仁大商业保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357" w:lineRule="auto" w:before="51"/>
        <w:ind w:left="154" w:right="5892"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line="338" w:lineRule="auto" w:before="29"/>
        <w:ind w:left="154" w:right="334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不适用</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重要联营企业的主要财务信息" w:id="336"/>
      <w:bookmarkEnd w:id="336"/>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0"/>
        <w:gridCol w:w="1075"/>
        <w:gridCol w:w="1063"/>
        <w:gridCol w:w="1062"/>
        <w:gridCol w:w="1063"/>
        <w:gridCol w:w="1063"/>
        <w:gridCol w:w="1064"/>
        <w:gridCol w:w="1063"/>
        <w:gridCol w:w="1063"/>
      </w:tblGrid>
      <w:tr>
        <w:trPr>
          <w:trHeight w:val="402"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7"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0" w:right="77"/>
              <w:jc w:val="left"/>
              <w:rPr>
                <w:rFonts w:ascii="宋体" w:hAnsi="宋体" w:cs="宋体" w:eastAsia="宋体" w:hint="default"/>
                <w:sz w:val="18"/>
                <w:szCs w:val="18"/>
              </w:rPr>
            </w:pPr>
            <w:r>
              <w:rPr>
                <w:rFonts w:ascii="宋体" w:hAnsi="宋体" w:cs="宋体" w:eastAsia="宋体" w:hint="default"/>
                <w:sz w:val="18"/>
                <w:szCs w:val="18"/>
              </w:rPr>
              <w:t>迅付信息科 技有限公司</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深圳市垅运 照明电器有 限公司</w:t>
            </w:r>
          </w:p>
        </w:tc>
        <w:tc>
          <w:tcPr>
            <w:tcW w:w="1062"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80" w:right="156" w:hanging="123"/>
              <w:jc w:val="left"/>
              <w:rPr>
                <w:rFonts w:ascii="Times New Roman" w:hAnsi="Times New Roman" w:cs="Times New Roman" w:eastAsia="Times New Roman" w:hint="default"/>
                <w:sz w:val="18"/>
                <w:szCs w:val="18"/>
              </w:rPr>
            </w:pPr>
            <w:r>
              <w:rPr>
                <w:rFonts w:ascii="Times New Roman"/>
                <w:sz w:val="18"/>
              </w:rPr>
              <w:t>Snap</w:t>
            </w:r>
            <w:r>
              <w:rPr>
                <w:rFonts w:ascii="Times New Roman"/>
                <w:spacing w:val="-1"/>
                <w:sz w:val="18"/>
              </w:rPr>
              <w:t> </w:t>
            </w:r>
            <w:r>
              <w:rPr>
                <w:rFonts w:ascii="Times New Roman"/>
                <w:sz w:val="18"/>
              </w:rPr>
              <w:t>Shot</w:t>
            </w:r>
            <w:r>
              <w:rPr>
                <w:rFonts w:ascii="Times New Roman"/>
                <w:w w:val="99"/>
                <w:sz w:val="18"/>
              </w:rPr>
              <w:t> </w:t>
            </w:r>
            <w:r>
              <w:rPr>
                <w:rFonts w:ascii="Times New Roman"/>
                <w:sz w:val="18"/>
              </w:rPr>
              <w:t>GmbH</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科传计算机 科技控股有 限公司</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Galasys</w:t>
            </w:r>
            <w:r>
              <w:rPr>
                <w:rFonts w:ascii="Times New Roman"/>
                <w:spacing w:val="-3"/>
                <w:sz w:val="18"/>
              </w:rPr>
              <w:t> </w:t>
            </w:r>
            <w:r>
              <w:rPr>
                <w:rFonts w:ascii="Times New Roman"/>
                <w:sz w:val="18"/>
              </w:rPr>
              <w:t>PLC</w:t>
            </w:r>
          </w:p>
        </w:tc>
        <w:tc>
          <w:tcPr>
            <w:tcW w:w="106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上海仁大商 业保理有限 公司</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迅付信息科 技有限公司</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深圳市垅运 照明电器有 限公司</w:t>
            </w:r>
          </w:p>
        </w:tc>
      </w:tr>
      <w:tr>
        <w:trPr>
          <w:trHeight w:val="393"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
        </w:tc>
        <w:tc>
          <w:tcPr>
            <w:tcW w:w="1075" w:type="dxa"/>
            <w:vMerge/>
            <w:tcBorders>
              <w:left w:val="single" w:sz="10"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2"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r>
      <w:tr>
        <w:trPr>
          <w:trHeight w:val="317"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2"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r>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466,078,659.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92,985,044.9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17,197,631.0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72,070,184.1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114,641,593.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50,001,845.7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544,754,042.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88,710,533.3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40,327,017.9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29,178,862.0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18,230,063.1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4,044,993.07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18,128,396.5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45,943,958.8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30,138,657.0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506,405,677.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122,163,906.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35,427,694.1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76,115,177.2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132,769,990.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50,001,845.7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590,698,001.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118,849,190.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379,374,421.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36,761,902.1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4,724,719.79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20,773,152.1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24,608,230.9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373,105,176.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36,515,544.3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402"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2,181,207.83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5,530,231.01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2,314,180.44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5,910,781.82</w:t>
            </w:r>
          </w:p>
        </w:tc>
      </w:tr>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381,555,629.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42,292,133.1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7,038,900.23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20,773,152.1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24,608,230.9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373,105,176.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42,426,326.1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75" w:type="dxa"/>
            <w:vMerge/>
            <w:tcBorders>
              <w:left w:val="single" w:sz="10"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2,961,861.54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-16,538.16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3,108,264.88</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7"/>
              <w:jc w:val="left"/>
              <w:rPr>
                <w:rFonts w:ascii="宋体" w:hAnsi="宋体" w:cs="宋体" w:eastAsia="宋体" w:hint="default"/>
                <w:sz w:val="18"/>
                <w:szCs w:val="18"/>
              </w:rPr>
            </w:pPr>
            <w:r>
              <w:rPr>
                <w:rFonts w:ascii="宋体" w:hAnsi="宋体" w:cs="宋体" w:eastAsia="宋体" w:hint="default"/>
                <w:sz w:val="18"/>
                <w:szCs w:val="18"/>
              </w:rPr>
              <w:t>归属于母公 司股东权益</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124,850,048.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76,909,912.2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28,388,793.9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55,358,563.2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108,161,759.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49,991,845.7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217,592,824.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73,314,599.4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7"/>
              <w:jc w:val="both"/>
              <w:rPr>
                <w:rFonts w:ascii="宋体" w:hAnsi="宋体" w:cs="宋体" w:eastAsia="宋体" w:hint="default"/>
                <w:sz w:val="18"/>
                <w:szCs w:val="18"/>
              </w:rPr>
            </w:pPr>
            <w:r>
              <w:rPr>
                <w:rFonts w:ascii="宋体" w:hAnsi="宋体" w:cs="宋体" w:eastAsia="宋体" w:hint="default"/>
                <w:sz w:val="18"/>
                <w:szCs w:val="18"/>
              </w:rPr>
              <w:t>按持股比例 计算的净资 产份额</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28,091,260.8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27,467,606.0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11,023,368.6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16,607,568.9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21,632,351.8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11,248,165.2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48,958,385.5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26,183,576.0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26,766,487.1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41,716,100.2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82,005,056.7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25,958,351.8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26,766,487.1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2,824,200.87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对联营企业 权益投资的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57,681,948.9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27,467,606.0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52,739,468.9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98,612,625.6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47,590,703.7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11,248,165.2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75,724,872.7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26,183,576.0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260,982,291.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115,322,739.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1,414,728.23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75,504,016.0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32,965,400.5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310,455,960.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114,820,268.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-10,596,699.7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3,448,909.46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-9,443,838.90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19,205,794.8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8,386,944.54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-8,154.25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26,370,476.7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5,797,298.94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-1,613,212.93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-2,450,684.00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9,653,136.48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36,207.06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-12,209,912.7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3,448,909.46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-9,443,838.90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16,755,110.8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18,040,081.0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-8,154.25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26,406,683.7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5,797,298.94</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5"/>
        <w:rPr>
          <w:rFonts w:ascii="宋体" w:hAnsi="宋体" w:cs="宋体" w:eastAsia="宋体" w:hint="default"/>
          <w:sz w:val="18"/>
          <w:szCs w:val="18"/>
        </w:rPr>
      </w:pPr>
    </w:p>
    <w:p>
      <w:pPr>
        <w:pStyle w:val="Heading2"/>
        <w:spacing w:line="240" w:lineRule="auto"/>
        <w:ind w:left="154" w:right="0"/>
        <w:jc w:val="left"/>
        <w:rPr>
          <w:b w:val="0"/>
          <w:bCs w:val="0"/>
        </w:rPr>
      </w:pPr>
      <w:bookmarkStart w:name="十、与金融工具相关的风险" w:id="337"/>
      <w:bookmarkEnd w:id="337"/>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50" w:firstLine="480"/>
        <w:jc w:val="both"/>
      </w:pPr>
      <w:r>
        <w:rPr/>
        <w:t>本公司的主要金融工具，包括货币资金等，这些金融工具的主要目的在于为保证本公司的正常运营。 本公司还有多种因经营而直接产生的其他金融资产和负债，如应收账款、应收票据、应付账款等。</w:t>
      </w:r>
    </w:p>
    <w:p>
      <w:pPr>
        <w:pStyle w:val="BodyText"/>
        <w:spacing w:line="240" w:lineRule="auto"/>
        <w:ind w:left="633" w:right="0"/>
        <w:jc w:val="left"/>
      </w:pPr>
      <w:r>
        <w:rPr/>
        <w:t>本公司金融工具导致的主要风险是信用风险、流动风险和市场风险。</w:t>
      </w:r>
    </w:p>
    <w:p>
      <w:pPr>
        <w:pStyle w:val="BodyText"/>
        <w:spacing w:line="256" w:lineRule="auto" w:before="37"/>
        <w:ind w:left="633" w:right="2713"/>
        <w:jc w:val="left"/>
      </w:pPr>
      <w:r>
        <w:rPr>
          <w:rFonts w:ascii="Times New Roman" w:hAnsi="Times New Roman" w:cs="Times New Roman" w:eastAsia="Times New Roman" w:hint="default"/>
        </w:rPr>
        <w:t>1</w:t>
      </w:r>
      <w:r>
        <w:rPr/>
        <w:t>、信用风险 信用风险，是指金融工具的一方不能履行义务，造成另一方发生财务损失的风险。</w:t>
      </w:r>
    </w:p>
    <w:p>
      <w:pPr>
        <w:pStyle w:val="BodyText"/>
        <w:spacing w:line="266" w:lineRule="auto" w:before="22"/>
        <w:ind w:right="1131" w:firstLine="480"/>
        <w:jc w:val="both"/>
      </w:pPr>
      <w:r>
        <w:rPr>
          <w:spacing w:val="-2"/>
        </w:rPr>
        <w:t>本公司金融资产包括货币资金、应收账款、其他应收款等，这些金融资产的信用风险源自交易对手违</w:t>
      </w:r>
      <w:r>
        <w:rPr/>
        <w:t> </w:t>
      </w:r>
      <w:r>
        <w:rPr>
          <w:spacing w:val="-1"/>
        </w:rPr>
        <w:t>约，最大风险敞口等于这些工具的账面金额。本公司银行存款主要存放于大中型银行，本公司认为其不存</w:t>
      </w:r>
      <w:r>
        <w:rPr>
          <w:spacing w:val="-83"/>
        </w:rPr>
        <w:t> </w:t>
      </w:r>
      <w:r>
        <w:rPr>
          <w:spacing w:val="-83"/>
        </w:rPr>
      </w:r>
      <w:r>
        <w:rPr>
          <w:spacing w:val="-1"/>
        </w:rPr>
        <w:t>在重大的信用风险，不会产生因对方单位违约而导致的任何重大损失；合并资产负债表中应收账款的账面</w:t>
      </w:r>
      <w:r>
        <w:rPr>
          <w:spacing w:val="-81"/>
        </w:rPr>
        <w:t> </w:t>
      </w:r>
      <w:r>
        <w:rPr>
          <w:spacing w:val="-81"/>
        </w:rPr>
      </w:r>
      <w:r>
        <w:rPr/>
        <w:t>价值正是本公司可能面临的最大信用风险，于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日，公司应收账款前</w:t>
      </w:r>
      <w:r>
        <w:rPr>
          <w:rFonts w:ascii="Times New Roman" w:hAnsi="Times New Roman" w:cs="Times New Roman" w:eastAsia="Times New Roman" w:hint="default"/>
        </w:rPr>
        <w:t>5</w:t>
      </w:r>
      <w:r>
        <w:rPr/>
        <w:t>名占全部应收账款的比</w:t>
      </w:r>
      <w:r>
        <w:rPr>
          <w:spacing w:val="-29"/>
        </w:rPr>
        <w:t> </w:t>
      </w:r>
      <w:r>
        <w:rPr>
          <w:spacing w:val="-29"/>
        </w:rPr>
      </w:r>
      <w:r>
        <w:rPr>
          <w:spacing w:val="-1"/>
        </w:rPr>
        <w:t>重为</w:t>
      </w:r>
      <w:r>
        <w:rPr>
          <w:rFonts w:ascii="Times New Roman" w:hAnsi="Times New Roman" w:cs="Times New Roman" w:eastAsia="Times New Roman" w:hint="default"/>
          <w:spacing w:val="-1"/>
        </w:rPr>
        <w:t>13.19%</w:t>
      </w:r>
      <w:r>
        <w:rPr>
          <w:spacing w:val="-1"/>
        </w:rPr>
        <w:t>，本公司并未面临重大信用集中风险。本公司因应收账款和其他应收款产生的信用风险敞口的</w:t>
      </w:r>
      <w:r>
        <w:rPr>
          <w:spacing w:val="-97"/>
        </w:rPr>
        <w:t> </w:t>
      </w:r>
      <w:r>
        <w:rPr>
          <w:spacing w:val="-97"/>
        </w:rPr>
      </w:r>
      <w:r>
        <w:rPr/>
        <w:t>量化数据，参见附注七、</w:t>
      </w:r>
      <w:r>
        <w:rPr>
          <w:rFonts w:ascii="Times New Roman" w:hAnsi="Times New Roman" w:cs="Times New Roman" w:eastAsia="Times New Roman" w:hint="default"/>
        </w:rPr>
        <w:t>3</w:t>
      </w:r>
      <w:r>
        <w:rPr/>
        <w:t>、应收账款和附注六、</w:t>
      </w:r>
      <w:r>
        <w:rPr>
          <w:rFonts w:ascii="Times New Roman" w:hAnsi="Times New Roman" w:cs="Times New Roman" w:eastAsia="Times New Roman" w:hint="default"/>
        </w:rPr>
        <w:t>7</w:t>
      </w:r>
      <w:r>
        <w:rPr/>
        <w:t>、其他应收款的披露。</w:t>
      </w:r>
    </w:p>
    <w:p>
      <w:pPr>
        <w:pStyle w:val="BodyText"/>
        <w:spacing w:line="264" w:lineRule="auto" w:before="0"/>
        <w:ind w:left="633" w:right="1121"/>
        <w:jc w:val="left"/>
      </w:pPr>
      <w:r>
        <w:rPr>
          <w:rFonts w:ascii="Times New Roman" w:hAnsi="Times New Roman" w:cs="Times New Roman" w:eastAsia="Times New Roman" w:hint="default"/>
        </w:rPr>
        <w:t>2</w:t>
      </w:r>
      <w:r>
        <w:rPr/>
        <w:t>、流动风险 流动风险，是指企业在履行以交付现金或其他金融资产的方式结算的义务时发生资金短缺的风险。 </w:t>
      </w:r>
      <w:r>
        <w:rPr>
          <w:spacing w:val="-2"/>
        </w:rPr>
        <w:t>本公司通过利用银行存款及债务维持资金延续性与灵活性之间的平衡，以管理其流动性风险，本公司</w:t>
      </w:r>
    </w:p>
    <w:p>
      <w:pPr>
        <w:pStyle w:val="BodyText"/>
        <w:spacing w:line="273" w:lineRule="auto" w:before="16"/>
        <w:ind w:right="0"/>
        <w:jc w:val="left"/>
      </w:pPr>
      <w:r>
        <w:rPr>
          <w:spacing w:val="-1"/>
        </w:rPr>
        <w:t>的目标是运用多种融资手段以保持公司的正常运行。本公司金融负债按未折现的合同现金流量所作的到期</w:t>
      </w:r>
      <w:r>
        <w:rPr>
          <w:spacing w:val="-81"/>
        </w:rPr>
        <w:t> </w:t>
      </w:r>
      <w:r>
        <w:rPr>
          <w:spacing w:val="-81"/>
        </w:rPr>
      </w:r>
      <w:r>
        <w:rPr/>
        <w:t>期限分析如下：</w:t>
      </w:r>
    </w:p>
    <w:p>
      <w:pPr>
        <w:pStyle w:val="BodyText"/>
        <w:spacing w:line="240" w:lineRule="auto"/>
        <w:ind w:left="7194" w:right="0"/>
        <w:jc w:val="left"/>
      </w:pPr>
      <w:r>
        <w:rPr/>
        <w:t>单位：元</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1508"/>
        <w:gridCol w:w="1838"/>
        <w:gridCol w:w="1575"/>
        <w:gridCol w:w="1327"/>
        <w:gridCol w:w="1574"/>
        <w:gridCol w:w="1837"/>
      </w:tblGrid>
      <w:tr>
        <w:trPr>
          <w:trHeight w:val="342"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4"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28,511,052.33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88" w:right="0"/>
              <w:jc w:val="left"/>
              <w:rPr>
                <w:rFonts w:ascii="Times New Roman" w:hAnsi="Times New Roman" w:cs="Times New Roman" w:eastAsia="Times New Roman" w:hint="default"/>
                <w:sz w:val="18"/>
                <w:szCs w:val="18"/>
              </w:rPr>
            </w:pPr>
            <w:r>
              <w:rPr>
                <w:rFonts w:ascii="Times New Roman"/>
                <w:sz w:val="18"/>
              </w:rPr>
              <w:t>28,511,052.33</w:t>
            </w:r>
          </w:p>
        </w:tc>
      </w:tr>
      <w:tr>
        <w:trPr>
          <w:trHeight w:val="342"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38,700,157.52</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88" w:right="0"/>
              <w:jc w:val="left"/>
              <w:rPr>
                <w:rFonts w:ascii="Times New Roman" w:hAnsi="Times New Roman" w:cs="Times New Roman" w:eastAsia="Times New Roman" w:hint="default"/>
                <w:sz w:val="18"/>
                <w:szCs w:val="18"/>
              </w:rPr>
            </w:pPr>
            <w:r>
              <w:rPr>
                <w:rFonts w:ascii="Times New Roman"/>
                <w:sz w:val="18"/>
              </w:rPr>
              <w:t>38,700,157.52</w:t>
            </w:r>
          </w:p>
        </w:tc>
      </w:tr>
      <w:tr>
        <w:trPr>
          <w:trHeight w:val="342"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106,696,628.87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5,340,802.11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227,007.56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2,506,830.56</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98" w:right="0"/>
              <w:jc w:val="left"/>
              <w:rPr>
                <w:rFonts w:ascii="Times New Roman" w:hAnsi="Times New Roman" w:cs="Times New Roman" w:eastAsia="Times New Roman" w:hint="default"/>
                <w:sz w:val="18"/>
                <w:szCs w:val="18"/>
              </w:rPr>
            </w:pPr>
            <w:r>
              <w:rPr>
                <w:rFonts w:ascii="Times New Roman"/>
                <w:sz w:val="18"/>
              </w:rPr>
              <w:t>114,771,269.10</w:t>
            </w:r>
          </w:p>
        </w:tc>
      </w:tr>
      <w:tr>
        <w:trPr>
          <w:trHeight w:val="342"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10,716,032.99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5,372,043.94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499,462.34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9,693,956.29</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88" w:right="0"/>
              <w:jc w:val="left"/>
              <w:rPr>
                <w:rFonts w:ascii="Times New Roman" w:hAnsi="Times New Roman" w:cs="Times New Roman" w:eastAsia="Times New Roman" w:hint="default"/>
                <w:sz w:val="18"/>
                <w:szCs w:val="18"/>
              </w:rPr>
            </w:pPr>
            <w:r>
              <w:rPr>
                <w:rFonts w:ascii="Times New Roman"/>
                <w:sz w:val="18"/>
              </w:rPr>
              <w:t>26,281,495.56</w:t>
            </w:r>
          </w:p>
        </w:tc>
      </w:tr>
    </w:tbl>
    <w:p>
      <w:pPr>
        <w:pStyle w:val="BodyText"/>
        <w:spacing w:line="276" w:lineRule="exact" w:before="0"/>
        <w:ind w:left="634" w:right="0"/>
        <w:jc w:val="left"/>
      </w:pPr>
      <w:r>
        <w:rPr>
          <w:rFonts w:ascii="Times New Roman" w:hAnsi="Times New Roman" w:cs="Times New Roman" w:eastAsia="Times New Roman" w:hint="default"/>
        </w:rPr>
        <w:t>3</w:t>
      </w:r>
      <w:r>
        <w:rPr/>
        <w:t>、市场风险</w:t>
      </w:r>
    </w:p>
    <w:p>
      <w:pPr>
        <w:spacing w:after="0" w:line="276" w:lineRule="exact"/>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left="154" w:right="1120" w:firstLine="480"/>
        <w:jc w:val="left"/>
      </w:pPr>
      <w:r>
        <w:rPr>
          <w:spacing w:val="-2"/>
        </w:rPr>
        <w:t>市场风险，是指金融工具的公允价值或未来现金流量因市场价格变动而发生波动的风险，包括汇率风</w:t>
      </w:r>
      <w:r>
        <w:rPr/>
        <w:t> 险、利率风险和其他价格风险。</w:t>
      </w:r>
    </w:p>
    <w:p>
      <w:pPr>
        <w:pStyle w:val="BodyText"/>
        <w:spacing w:line="266" w:lineRule="auto"/>
        <w:ind w:left="633" w:right="1121"/>
        <w:jc w:val="left"/>
      </w:pPr>
      <w:r>
        <w:rPr>
          <w:rFonts w:ascii="Times New Roman" w:hAnsi="Times New Roman" w:cs="Times New Roman" w:eastAsia="Times New Roman" w:hint="default"/>
        </w:rPr>
        <w:t>A</w:t>
      </w:r>
      <w:r>
        <w:rPr/>
        <w:t>、汇率风险 汇率风险，是指金融工具的公允价值或未来现金流量因外汇汇率变动而发生波动的风险。 </w:t>
      </w:r>
      <w:r>
        <w:rPr>
          <w:spacing w:val="-2"/>
        </w:rPr>
        <w:t>本公司的的主要业务经营领域位于境内，但也存在一定的国际业务，涉及采购与销售，取得的收入与</w:t>
      </w:r>
    </w:p>
    <w:p>
      <w:pPr>
        <w:pStyle w:val="BodyText"/>
        <w:spacing w:line="273" w:lineRule="auto" w:before="14"/>
        <w:ind w:right="0"/>
        <w:jc w:val="left"/>
      </w:pPr>
      <w:r>
        <w:rPr>
          <w:spacing w:val="-1"/>
        </w:rPr>
        <w:t>支出结算币种包含美元、港币等多种货币。政府在外币汇兑交易方面的限制可能导致未来汇率相比现行或</w:t>
      </w:r>
      <w:r>
        <w:rPr>
          <w:spacing w:val="-81"/>
        </w:rPr>
        <w:t> </w:t>
      </w:r>
      <w:r>
        <w:rPr>
          <w:spacing w:val="-81"/>
        </w:rPr>
      </w:r>
      <w:r>
        <w:rPr/>
        <w:t>历史汇率波动较大。</w:t>
      </w:r>
    </w:p>
    <w:p>
      <w:pPr>
        <w:pStyle w:val="BodyText"/>
        <w:spacing w:line="256" w:lineRule="auto"/>
        <w:ind w:right="0" w:firstLine="480"/>
        <w:jc w:val="left"/>
      </w:pPr>
      <w:r>
        <w:rPr/>
        <w:t>对于本公司截止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日各类外币金融资产和外币金融负债，如果人民 币对其他货币升值或贬值</w:t>
      </w:r>
      <w:r>
        <w:rPr>
          <w:rFonts w:ascii="Times New Roman" w:hAnsi="Times New Roman" w:cs="Times New Roman" w:eastAsia="Times New Roman" w:hint="default"/>
        </w:rPr>
        <w:t>1%</w:t>
      </w:r>
      <w:r>
        <w:rPr/>
        <w:t>，其他因素保持不变，则对本公司净利润及股东权益的影响列示如下：</w:t>
      </w:r>
    </w:p>
    <w:p>
      <w:pPr>
        <w:pStyle w:val="Heading3"/>
        <w:spacing w:line="295" w:lineRule="exact"/>
        <w:ind w:left="6982" w:right="0"/>
        <w:jc w:val="left"/>
      </w:pPr>
      <w:r>
        <w:rPr/>
        <w:t>单位：元</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967"/>
        <w:gridCol w:w="1720"/>
        <w:gridCol w:w="2021"/>
        <w:gridCol w:w="1665"/>
        <w:gridCol w:w="2076"/>
      </w:tblGrid>
      <w:tr>
        <w:trPr>
          <w:trHeight w:val="342" w:hRule="exact"/>
        </w:trPr>
        <w:tc>
          <w:tcPr>
            <w:tcW w:w="19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18"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3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2" w:hRule="exact"/>
        </w:trPr>
        <w:tc>
          <w:tcPr>
            <w:tcW w:w="1967" w:type="dxa"/>
            <w:vMerge/>
            <w:tcBorders>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5"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6"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3"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2"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500,796.70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321,079.11</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238,769.25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9,902.99</w:t>
            </w:r>
          </w:p>
        </w:tc>
      </w:tr>
      <w:tr>
        <w:trPr>
          <w:trHeight w:val="342" w:hRule="exact"/>
        </w:trPr>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Times New Roman" w:hAnsi="Times New Roman" w:cs="Times New Roman" w:eastAsia="Times New Roman" w:hint="default"/>
                <w:sz w:val="18"/>
                <w:szCs w:val="18"/>
              </w:rPr>
              <w:t>1%</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-500,796.70</w:t>
            </w:r>
            <w:r>
              <w:rPr>
                <w:rFonts w:ascii="Times New Roman"/>
                <w:sz w:val="18"/>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-321,079.11</w:t>
            </w:r>
            <w:r>
              <w:rPr>
                <w:rFonts w:ascii="Times New Roman"/>
                <w:sz w:val="18"/>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-238,769.25</w:t>
            </w:r>
            <w:r>
              <w:rPr>
                <w:rFonts w:ascii="Times New Roman"/>
                <w:sz w:val="18"/>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-9,902.99</w:t>
            </w:r>
            <w:r>
              <w:rPr>
                <w:rFonts w:ascii="Times New Roman"/>
                <w:sz w:val="18"/>
              </w:rPr>
            </w:r>
          </w:p>
        </w:tc>
      </w:tr>
    </w:tbl>
    <w:p>
      <w:pPr>
        <w:pStyle w:val="BodyText"/>
        <w:spacing w:line="276" w:lineRule="exact" w:before="0"/>
        <w:ind w:left="644" w:right="0"/>
        <w:jc w:val="left"/>
      </w:pPr>
      <w:r>
        <w:rPr/>
        <w:t>注</w:t>
      </w:r>
      <w:r>
        <w:rPr>
          <w:rFonts w:ascii="Times New Roman" w:hAnsi="Times New Roman" w:cs="Times New Roman" w:eastAsia="Times New Roman" w:hint="default"/>
        </w:rPr>
        <w:t>1</w:t>
      </w:r>
      <w:r>
        <w:rPr/>
        <w:t>：上表以正数表示增加，以负数表示减少。</w:t>
      </w:r>
    </w:p>
    <w:p>
      <w:pPr>
        <w:pStyle w:val="BodyText"/>
        <w:spacing w:line="240" w:lineRule="auto" w:before="21"/>
        <w:ind w:left="633" w:right="0"/>
        <w:jc w:val="left"/>
      </w:pPr>
      <w:r>
        <w:rPr/>
        <w:t>注</w:t>
      </w:r>
      <w:r>
        <w:rPr>
          <w:rFonts w:ascii="Times New Roman" w:hAnsi="Times New Roman" w:cs="Times New Roman" w:eastAsia="Times New Roman" w:hint="default"/>
        </w:rPr>
        <w:t>2</w:t>
      </w:r>
      <w:r>
        <w:rPr/>
        <w:t>：上表的股东权益变动不包括留存收益。</w:t>
      </w:r>
    </w:p>
    <w:p>
      <w:pPr>
        <w:pStyle w:val="BodyText"/>
        <w:spacing w:line="264" w:lineRule="auto" w:before="21"/>
        <w:ind w:left="633" w:right="1121"/>
        <w:jc w:val="left"/>
      </w:pPr>
      <w:r>
        <w:rPr>
          <w:rFonts w:ascii="Times New Roman" w:hAnsi="Times New Roman" w:cs="Times New Roman" w:eastAsia="Times New Roman" w:hint="default"/>
        </w:rPr>
        <w:t>B</w:t>
      </w:r>
      <w:r>
        <w:rPr/>
        <w:t>、利率风险 利率风险，是指金融工具的公允价值或未来现金流量因市场利率变动而发生波动的风险。 </w:t>
      </w:r>
      <w:r>
        <w:rPr>
          <w:spacing w:val="-2"/>
        </w:rPr>
        <w:t>本公司的利率风险主要产生于短期借款等带息债务，浮动利率的金融负债使本公司面临现金流量利率</w:t>
      </w:r>
    </w:p>
    <w:p>
      <w:pPr>
        <w:pStyle w:val="BodyText"/>
        <w:spacing w:line="256" w:lineRule="auto" w:before="16"/>
        <w:ind w:right="1130"/>
        <w:jc w:val="both"/>
      </w:pPr>
      <w:r>
        <w:rPr>
          <w:spacing w:val="-1"/>
        </w:rPr>
        <w:t>风险，固定利率的金融负债使本公司面临公允价值利率风险；本公司截止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31"/>
        </w:rPr>
        <w:t> </w:t>
      </w:r>
      <w:r>
        <w:rPr>
          <w:spacing w:val="-1"/>
        </w:rPr>
        <w:t>日有息负债分别为</w:t>
      </w:r>
      <w:r>
        <w:rPr>
          <w:rFonts w:ascii="Times New Roman" w:hAnsi="Times New Roman" w:cs="Times New Roman" w:eastAsia="Times New Roman" w:hint="default"/>
          <w:spacing w:val="-1"/>
        </w:rPr>
        <w:t>28,511,052.33</w:t>
      </w:r>
      <w:r>
        <w:rPr>
          <w:spacing w:val="-1"/>
        </w:rPr>
        <w:t>元、</w:t>
      </w:r>
      <w:r>
        <w:rPr>
          <w:rFonts w:ascii="Times New Roman" w:hAnsi="Times New Roman" w:cs="Times New Roman" w:eastAsia="Times New Roman" w:hint="default"/>
          <w:spacing w:val="-1"/>
        </w:rPr>
        <w:t>6,652,074.81</w:t>
      </w:r>
      <w:r>
        <w:rPr>
          <w:spacing w:val="-1"/>
        </w:rPr>
        <w:t>元，有息负债金额较小，利率变动对本公司的影响可以忽</w:t>
      </w:r>
      <w:r>
        <w:rPr>
          <w:spacing w:val="-72"/>
        </w:rPr>
        <w:t> </w:t>
      </w:r>
      <w:r>
        <w:rPr>
          <w:spacing w:val="-72"/>
        </w:rPr>
      </w:r>
      <w:r>
        <w:rPr/>
        <w:t>略不计。</w:t>
      </w:r>
    </w:p>
    <w:p>
      <w:pPr>
        <w:pStyle w:val="BodyText"/>
        <w:spacing w:line="256" w:lineRule="auto" w:before="23"/>
        <w:ind w:left="634" w:right="1120"/>
        <w:jc w:val="left"/>
      </w:pPr>
      <w:r>
        <w:rPr>
          <w:rFonts w:ascii="Times New Roman" w:hAnsi="Times New Roman" w:cs="Times New Roman" w:eastAsia="Times New Roman" w:hint="default"/>
        </w:rPr>
        <w:t>C</w:t>
      </w:r>
      <w:r>
        <w:rPr/>
        <w:t>、其他价格风险 </w:t>
      </w:r>
      <w:r>
        <w:rPr>
          <w:spacing w:val="-2"/>
        </w:rPr>
        <w:t>其他价格风险，是指汇率风险和利率风险以外的市场价格变动而发生波动的风险，无论这些变动是由</w:t>
      </w:r>
    </w:p>
    <w:p>
      <w:pPr>
        <w:pStyle w:val="BodyText"/>
        <w:spacing w:line="273" w:lineRule="auto" w:before="22"/>
        <w:ind w:left="154" w:right="1132"/>
        <w:jc w:val="both"/>
      </w:pPr>
      <w:r>
        <w:rPr>
          <w:spacing w:val="-1"/>
        </w:rPr>
        <w:t>于与单项金融工具或其发行方有关的因素而引起的，还是由于与市场内交易的所有类似金融工具有关的因</w:t>
      </w:r>
      <w:r>
        <w:rPr>
          <w:spacing w:val="-81"/>
        </w:rPr>
        <w:t> </w:t>
      </w:r>
      <w:r>
        <w:rPr>
          <w:spacing w:val="-81"/>
        </w:rPr>
      </w:r>
      <w:r>
        <w:rPr/>
        <w:t>素而引起的。</w:t>
      </w:r>
    </w:p>
    <w:p>
      <w:pPr>
        <w:spacing w:line="501" w:lineRule="auto" w:before="7"/>
        <w:ind w:left="153" w:right="6221" w:firstLine="480"/>
        <w:jc w:val="left"/>
        <w:rPr>
          <w:rFonts w:ascii="宋体" w:hAnsi="宋体" w:cs="宋体" w:eastAsia="宋体" w:hint="default"/>
          <w:sz w:val="21"/>
          <w:szCs w:val="21"/>
        </w:rPr>
      </w:pPr>
      <w:r>
        <w:rPr>
          <w:rFonts w:ascii="宋体" w:hAnsi="宋体" w:cs="宋体" w:eastAsia="宋体" w:hint="default"/>
          <w:sz w:val="21"/>
          <w:szCs w:val="21"/>
        </w:rPr>
        <w:t>公司目前未面临其他重大价格风险。 </w:t>
      </w:r>
      <w:bookmarkStart w:name="十一、公允价值的披露" w:id="338"/>
      <w:bookmarkEnd w:id="338"/>
      <w:r>
        <w:rPr>
          <w:rFonts w:ascii="宋体" w:hAnsi="宋体" w:cs="宋体" w:eastAsia="宋体" w:hint="default"/>
          <w:sz w:val="21"/>
          <w:szCs w:val="21"/>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1、以公允价值计量的资产和负债的期末公允价值" w:id="339"/>
      <w:bookmarkEnd w:id="33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before="9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985"/>
        <w:gridCol w:w="1985"/>
        <w:gridCol w:w="1842"/>
        <w:gridCol w:w="1490"/>
      </w:tblGrid>
      <w:tr>
        <w:trPr>
          <w:trHeight w:val="397"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6" w:hRule="exact"/>
        </w:trPr>
        <w:tc>
          <w:tcPr>
            <w:tcW w:w="22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26" w:right="105" w:hanging="721"/>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49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68" w:type="dxa"/>
            <w:vMerge/>
            <w:tcBorders>
              <w:left w:val="single" w:sz="4" w:space="0" w:color="000000"/>
              <w:bottom w:val="nil" w:sz="6" w:space="0" w:color="auto"/>
              <w:right w:val="single" w:sz="4" w:space="0" w:color="000000"/>
            </w:tcBorders>
            <w:shd w:val="clear" w:color="auto" w:fill="D2D2D2"/>
          </w:tcPr>
          <w:p>
            <w:pPr/>
          </w:p>
        </w:tc>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842" w:type="dxa"/>
            <w:vMerge/>
            <w:tcBorders>
              <w:left w:val="single" w:sz="4" w:space="0" w:color="000000"/>
              <w:right w:val="single" w:sz="4" w:space="0" w:color="000000"/>
            </w:tcBorders>
            <w:shd w:val="clear" w:color="auto" w:fill="D2D2D2"/>
          </w:tcPr>
          <w:p>
            <w:pPr/>
          </w:p>
        </w:tc>
        <w:tc>
          <w:tcPr>
            <w:tcW w:w="1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2268" w:type="dxa"/>
            <w:vMerge w:val="restart"/>
            <w:tcBorders>
              <w:top w:val="nil" w:sz="6" w:space="0" w:color="auto"/>
              <w:left w:val="single" w:sz="4" w:space="0" w:color="000000"/>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000000"/>
            </w:tcBorders>
            <w:shd w:val="clear" w:color="auto" w:fill="D2D2D2"/>
          </w:tcPr>
          <w:p>
            <w:pPr/>
          </w:p>
        </w:tc>
        <w:tc>
          <w:tcPr>
            <w:tcW w:w="1842" w:type="dxa"/>
            <w:vMerge/>
            <w:tcBorders>
              <w:left w:val="single" w:sz="4" w:space="0" w:color="000000"/>
              <w:right w:val="single" w:sz="4" w:space="0" w:color="000000"/>
            </w:tcBorders>
            <w:shd w:val="clear" w:color="auto" w:fill="D2D2D2"/>
          </w:tcPr>
          <w:p>
            <w:pPr/>
          </w:p>
        </w:tc>
        <w:tc>
          <w:tcPr>
            <w:tcW w:w="14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2" w:type="dxa"/>
            <w:vMerge/>
            <w:tcBorders>
              <w:left w:val="single" w:sz="4" w:space="0" w:color="000000"/>
              <w:bottom w:val="single" w:sz="4" w:space="0" w:color="000000"/>
              <w:right w:val="single" w:sz="4" w:space="0" w:color="000000"/>
            </w:tcBorders>
            <w:shd w:val="clear" w:color="auto" w:fill="D2D2D2"/>
          </w:tcPr>
          <w:p>
            <w:pPr/>
          </w:p>
        </w:tc>
        <w:tc>
          <w:tcPr>
            <w:tcW w:w="14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9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158,638,218.36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158,638,218.36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9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158,638,218.36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158,638,218.36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spacing w:line="506" w:lineRule="auto" w:before="35"/>
        <w:ind w:left="634" w:right="3762" w:hanging="480"/>
        <w:jc w:val="left"/>
        <w:rPr>
          <w:rFonts w:ascii="宋体" w:hAnsi="宋体" w:cs="宋体" w:eastAsia="宋体" w:hint="default"/>
          <w:sz w:val="21"/>
          <w:szCs w:val="21"/>
        </w:rPr>
      </w:pPr>
      <w:bookmarkStart w:name="2、持续和非持续第一层次公允价值计量项目市价的确定依据" w:id="340"/>
      <w:bookmarkEnd w:id="3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公允价值计量项目市价的确认以持有股票在纳斯达克交易市场价格为准</w:t>
      </w:r>
    </w:p>
    <w:p>
      <w:pPr>
        <w:pStyle w:val="Heading2"/>
        <w:spacing w:line="240" w:lineRule="auto" w:before="82"/>
        <w:ind w:right="0"/>
        <w:jc w:val="left"/>
        <w:rPr>
          <w:b w:val="0"/>
          <w:bCs w:val="0"/>
        </w:rPr>
      </w:pPr>
      <w:bookmarkStart w:name="十二、关联方及关联交易" w:id="341"/>
      <w:bookmarkEnd w:id="341"/>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本企业的母公司情况" w:id="342"/>
      <w:bookmarkEnd w:id="34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134"/>
        <w:gridCol w:w="1134"/>
        <w:gridCol w:w="2410"/>
        <w:gridCol w:w="2551"/>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6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母公司对本企业的持股比例</w:t>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 w:right="0"/>
              <w:jc w:val="left"/>
              <w:rPr>
                <w:rFonts w:ascii="宋体" w:hAnsi="宋体" w:cs="宋体" w:eastAsia="宋体" w:hint="default"/>
                <w:sz w:val="18"/>
                <w:szCs w:val="18"/>
              </w:rPr>
            </w:pPr>
            <w:r>
              <w:rPr>
                <w:rFonts w:ascii="宋体" w:hAnsi="宋体" w:cs="宋体" w:eastAsia="宋体" w:hint="default"/>
                <w:sz w:val="18"/>
                <w:szCs w:val="18"/>
              </w:rPr>
              <w:t>母公司对本企业的表决权比例</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1"/>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54.77%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54.77%</w:t>
            </w:r>
          </w:p>
        </w:tc>
      </w:tr>
    </w:tbl>
    <w:p>
      <w:pPr>
        <w:spacing w:line="357" w:lineRule="auto" w:before="51"/>
        <w:ind w:left="154" w:right="859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无</w:t>
      </w:r>
    </w:p>
    <w:p>
      <w:pPr>
        <w:spacing w:line="360" w:lineRule="auto" w:before="29"/>
        <w:ind w:left="154" w:right="8412" w:firstLine="0"/>
        <w:jc w:val="left"/>
        <w:rPr>
          <w:rFonts w:ascii="宋体" w:hAnsi="宋体" w:cs="宋体" w:eastAsia="宋体" w:hint="default"/>
          <w:sz w:val="18"/>
          <w:szCs w:val="18"/>
        </w:rPr>
      </w:pPr>
      <w:r>
        <w:rPr>
          <w:rFonts w:ascii="宋体" w:hAnsi="宋体" w:cs="宋体" w:eastAsia="宋体" w:hint="default"/>
          <w:sz w:val="18"/>
          <w:szCs w:val="18"/>
        </w:rPr>
        <w:t>本企业最终控制方是李仲初。 其他说明：</w:t>
      </w:r>
    </w:p>
    <w:p>
      <w:pPr>
        <w:spacing w:before="25"/>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line="547" w:lineRule="auto" w:before="0"/>
        <w:ind w:left="154" w:right="6653" w:firstLine="0"/>
        <w:jc w:val="left"/>
        <w:rPr>
          <w:rFonts w:ascii="宋体" w:hAnsi="宋体" w:cs="宋体" w:eastAsia="宋体" w:hint="default"/>
          <w:sz w:val="21"/>
          <w:szCs w:val="21"/>
        </w:rPr>
      </w:pPr>
      <w:bookmarkStart w:name="2、本企业的子公司情况" w:id="343"/>
      <w:bookmarkEnd w:id="3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44"/>
      <w:bookmarkEnd w:id="34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40" w:lineRule="auto" w:before="5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2</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深圳市垅运照明电器有限公司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联营单位</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联营单位</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关联交易情况" w:id="345"/>
      <w:bookmarkEnd w:id="345"/>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关键管理人员报酬" w:id="346"/>
      <w:bookmarkEnd w:id="346"/>
      <w:r>
        <w:rPr>
          <w:b w:val="0"/>
          <w:bCs w:val="0"/>
        </w:rPr>
      </w:r>
      <w:r>
        <w:rPr/>
        <w:t>（</w:t>
      </w:r>
      <w:r>
        <w:rPr>
          <w:rFonts w:ascii="Times New Roman" w:hAnsi="Times New Roman" w:cs="Times New Roman" w:eastAsia="Times New Roman" w:hint="default"/>
        </w:rPr>
        <w:t>1</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4,107,500.00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关联方应收应付款项" w:id="347"/>
      <w:bookmarkEnd w:id="347"/>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348"/>
      <w:bookmarkEnd w:id="34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2410"/>
        <w:gridCol w:w="1419"/>
        <w:gridCol w:w="1416"/>
        <w:gridCol w:w="1594"/>
        <w:gridCol w:w="1595"/>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深圳市垅运照明电器有限公司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3,214,260.00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3,214,260.00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迅付信息科技有限公司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15,295,693.47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4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18,509,953.47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3,214,260.00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深圳市垅运照明电器有限公司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4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关联方承诺" w:id="349"/>
      <w:bookmarkEnd w:id="349"/>
      <w:r>
        <w:rPr>
          <w:b w:val="0"/>
          <w:bCs w:val="0"/>
        </w:rPr>
      </w:r>
      <w:r>
        <w:rPr>
          <w:rFonts w:ascii="Times New Roman" w:hAnsi="Times New Roman" w:cs="Times New Roman" w:eastAsia="Times New Roman" w:hint="default"/>
        </w:rPr>
        <w:t>6</w:t>
      </w:r>
      <w:r>
        <w:rPr/>
        <w:t>、关联方承诺</w:t>
      </w:r>
      <w:r>
        <w:rPr>
          <w:b w:val="0"/>
          <w:bCs w:val="0"/>
        </w:rPr>
      </w:r>
    </w:p>
    <w:p>
      <w:pPr>
        <w:spacing w:line="240" w:lineRule="auto" w:before="7"/>
        <w:rPr>
          <w:rFonts w:ascii="宋体" w:hAnsi="宋体" w:cs="宋体" w:eastAsia="宋体" w:hint="default"/>
          <w:b/>
          <w:bCs/>
          <w:sz w:val="24"/>
          <w:szCs w:val="24"/>
        </w:rPr>
      </w:pPr>
    </w:p>
    <w:p>
      <w:pPr>
        <w:pStyle w:val="BodyText"/>
        <w:spacing w:line="261" w:lineRule="auto" w:before="0"/>
        <w:ind w:right="1110" w:firstLine="480"/>
        <w:jc w:val="both"/>
      </w:pPr>
      <w:r>
        <w:rPr/>
        <w:t>（</w:t>
      </w:r>
      <w:r>
        <w:rPr>
          <w:rFonts w:ascii="Times New Roman" w:hAnsi="Times New Roman" w:cs="Times New Roman" w:eastAsia="Times New Roman" w:hint="default"/>
        </w:rPr>
        <w:t>1</w:t>
      </w:r>
      <w:r>
        <w:rPr/>
        <w:t>）公司子公司中国电子器件工业有限公司固定资产中位于北京朝阳区新源街</w:t>
      </w:r>
      <w:r>
        <w:rPr>
          <w:rFonts w:ascii="Times New Roman" w:hAnsi="Times New Roman" w:cs="Times New Roman" w:eastAsia="Times New Roman" w:hint="default"/>
        </w:rPr>
        <w:t>18</w:t>
      </w:r>
      <w:r>
        <w:rPr/>
        <w:t>号楼房产目前未取 得土地使用权证。该房产建筑面积为</w:t>
      </w:r>
      <w:r>
        <w:rPr>
          <w:rFonts w:ascii="Times New Roman" w:hAnsi="Times New Roman" w:cs="Times New Roman" w:eastAsia="Times New Roman" w:hint="default"/>
        </w:rPr>
        <w:t>1,521.80</w:t>
      </w:r>
      <w:r>
        <w:rPr/>
        <w:t>平方米，房产账面原值为</w:t>
      </w:r>
      <w:r>
        <w:rPr>
          <w:rFonts w:ascii="Times New Roman" w:hAnsi="Times New Roman" w:cs="Times New Roman" w:eastAsia="Times New Roman" w:hint="default"/>
        </w:rPr>
        <w:t>1,157.84</w:t>
      </w:r>
      <w:r>
        <w:rPr/>
        <w:t>万元，目前用于对外出租， 该房产在公司</w:t>
      </w:r>
      <w:r>
        <w:rPr>
          <w:rFonts w:ascii="Times New Roman" w:hAnsi="Times New Roman" w:cs="Times New Roman" w:eastAsia="Times New Roman" w:hint="default"/>
        </w:rPr>
        <w:t>2006</w:t>
      </w:r>
      <w:r>
        <w:rPr/>
        <w:t>年改制前由子公司的前身中国电子器件工业总公司所有，并已取得</w:t>
      </w:r>
      <w:r>
        <w:rPr>
          <w:rFonts w:ascii="Times New Roman" w:hAnsi="Times New Roman" w:cs="Times New Roman" w:eastAsia="Times New Roman" w:hint="default"/>
        </w:rPr>
        <w:t>“</w:t>
      </w:r>
      <w:r>
        <w:rPr/>
        <w:t>朝全字第</w:t>
      </w:r>
      <w:r>
        <w:rPr>
          <w:rFonts w:ascii="Times New Roman" w:hAnsi="Times New Roman" w:cs="Times New Roman" w:eastAsia="Times New Roman" w:hint="default"/>
        </w:rPr>
        <w:t>08263</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spacing w:val="-1"/>
        </w:rPr>
        <w:t>房产证，但未取得对应土地使用权证。中国电子器件工业有限公司</w:t>
      </w:r>
      <w:r>
        <w:rPr>
          <w:rFonts w:ascii="Times New Roman" w:hAnsi="Times New Roman" w:cs="Times New Roman" w:eastAsia="Times New Roman" w:hint="default"/>
          <w:spacing w:val="-1"/>
        </w:rPr>
        <w:t>2006</w:t>
      </w:r>
      <w:r>
        <w:rPr>
          <w:spacing w:val="-1"/>
        </w:rPr>
        <w:t>年改制后，该房产一直由中国电子</w:t>
      </w:r>
      <w:r>
        <w:rPr>
          <w:spacing w:val="-82"/>
        </w:rPr>
        <w:t> </w:t>
      </w:r>
      <w:r>
        <w:rPr>
          <w:spacing w:val="-82"/>
        </w:rPr>
      </w:r>
      <w:r>
        <w:rPr>
          <w:spacing w:val="-1"/>
        </w:rPr>
        <w:t>器件工业有限公司实际所有并用于对外出租，且租金收益归中国电子器件工业有限公司所有。公司控股股</w:t>
      </w:r>
      <w:r>
        <w:rPr>
          <w:spacing w:val="-81"/>
        </w:rPr>
        <w:t> </w:t>
      </w:r>
      <w:r>
        <w:rPr>
          <w:spacing w:val="-81"/>
        </w:rPr>
      </w:r>
      <w:r>
        <w:rPr>
          <w:spacing w:val="-1"/>
        </w:rPr>
        <w:t>东及实际控制人李仲初先生承诺，如未来上市公司在正常运行中，因未取得该房产权属证明而遭受任何损</w:t>
      </w:r>
      <w:r>
        <w:rPr>
          <w:spacing w:val="-81"/>
        </w:rPr>
        <w:t> </w:t>
      </w:r>
      <w:r>
        <w:rPr>
          <w:spacing w:val="-81"/>
        </w:rPr>
      </w:r>
      <w:r>
        <w:rPr/>
        <w:t>失，李仲初先生承诺将给予足额补偿。</w:t>
      </w:r>
    </w:p>
    <w:p>
      <w:pPr>
        <w:pStyle w:val="BodyText"/>
        <w:spacing w:line="261" w:lineRule="auto" w:before="18"/>
        <w:ind w:right="1130" w:firstLine="480"/>
        <w:jc w:val="both"/>
      </w:pPr>
      <w:r>
        <w:rPr>
          <w:spacing w:val="-2"/>
        </w:rPr>
        <w:t>（</w:t>
      </w:r>
      <w:r>
        <w:rPr>
          <w:rFonts w:ascii="Times New Roman" w:hAnsi="Times New Roman" w:cs="Times New Roman" w:eastAsia="Times New Roman" w:hint="default"/>
          <w:spacing w:val="-2"/>
        </w:rPr>
        <w:t>2</w:t>
      </w:r>
      <w:r>
        <w:rPr>
          <w:spacing w:val="-2"/>
        </w:rPr>
        <w:t>）公司子公司中国电子器件工业有限公司投资性房地产中账面原值为</w:t>
      </w:r>
      <w:r>
        <w:rPr>
          <w:rFonts w:ascii="Times New Roman" w:hAnsi="Times New Roman" w:cs="Times New Roman" w:eastAsia="Times New Roman" w:hint="default"/>
          <w:spacing w:val="-2"/>
        </w:rPr>
        <w:t>3,100.92</w:t>
      </w:r>
      <w:r>
        <w:rPr>
          <w:spacing w:val="-2"/>
        </w:rPr>
        <w:t>万元位于海淀区复兴</w:t>
      </w:r>
      <w:r>
        <w:rPr/>
        <w:t> </w:t>
      </w:r>
      <w:r>
        <w:rPr>
          <w:spacing w:val="-1"/>
        </w:rPr>
        <w:t>路甲</w:t>
      </w:r>
      <w:r>
        <w:rPr>
          <w:rFonts w:ascii="Times New Roman" w:hAnsi="Times New Roman" w:cs="Times New Roman" w:eastAsia="Times New Roman" w:hint="default"/>
          <w:spacing w:val="-1"/>
        </w:rPr>
        <w:t>65</w:t>
      </w:r>
      <w:r>
        <w:rPr>
          <w:spacing w:val="-1"/>
        </w:rPr>
        <w:t>号（底商部分）的房产，在中国电子器件工业有限公司</w:t>
      </w:r>
      <w:r>
        <w:rPr>
          <w:rFonts w:ascii="Times New Roman" w:hAnsi="Times New Roman" w:cs="Times New Roman" w:eastAsia="Times New Roman" w:hint="default"/>
          <w:spacing w:val="-1"/>
        </w:rPr>
        <w:t>2006</w:t>
      </w:r>
      <w:r>
        <w:rPr>
          <w:spacing w:val="-1"/>
        </w:rPr>
        <w:t>年改制前由中国电子器件工业有限公司</w:t>
      </w:r>
      <w:r>
        <w:rPr>
          <w:spacing w:val="-82"/>
        </w:rPr>
        <w:t> </w:t>
      </w:r>
      <w:r>
        <w:rPr>
          <w:spacing w:val="-82"/>
        </w:rPr>
      </w:r>
      <w:r>
        <w:rPr>
          <w:spacing w:val="-3"/>
        </w:rPr>
        <w:t>的前身中国电子器件工业总公司所有，并已取得</w:t>
      </w:r>
      <w:r>
        <w:rPr>
          <w:rFonts w:ascii="Times New Roman" w:hAnsi="Times New Roman" w:cs="Times New Roman" w:eastAsia="Times New Roman" w:hint="default"/>
          <w:spacing w:val="-3"/>
        </w:rPr>
        <w:t>“</w:t>
      </w:r>
      <w:r>
        <w:rPr>
          <w:spacing w:val="-3"/>
        </w:rPr>
        <w:t>京房权证海国更字第</w:t>
      </w:r>
      <w:r>
        <w:rPr>
          <w:rFonts w:ascii="Times New Roman" w:hAnsi="Times New Roman" w:cs="Times New Roman" w:eastAsia="Times New Roman" w:hint="default"/>
          <w:spacing w:val="-3"/>
        </w:rPr>
        <w:t>00701</w:t>
      </w:r>
      <w:r>
        <w:rPr>
          <w:spacing w:val="-3"/>
        </w:rPr>
        <w:t>号</w:t>
      </w:r>
      <w:r>
        <w:rPr>
          <w:rFonts w:ascii="Times New Roman" w:hAnsi="Times New Roman" w:cs="Times New Roman" w:eastAsia="Times New Roman" w:hint="default"/>
          <w:spacing w:val="-3"/>
        </w:rPr>
        <w:t>”</w:t>
      </w:r>
      <w:r>
        <w:rPr>
          <w:spacing w:val="-3"/>
        </w:rPr>
        <w:t>房产证，中国电子器件工业</w:t>
      </w:r>
      <w:r>
        <w:rPr>
          <w:spacing w:val="-61"/>
        </w:rPr>
        <w:t> </w:t>
      </w:r>
      <w:r>
        <w:rPr>
          <w:spacing w:val="-61"/>
        </w:rPr>
      </w:r>
      <w:r>
        <w:rPr>
          <w:spacing w:val="-1"/>
        </w:rPr>
        <w:t>有限公司</w:t>
      </w:r>
      <w:r>
        <w:rPr>
          <w:rFonts w:ascii="Times New Roman" w:hAnsi="Times New Roman" w:cs="Times New Roman" w:eastAsia="Times New Roman" w:hint="default"/>
          <w:spacing w:val="-1"/>
        </w:rPr>
        <w:t>2006</w:t>
      </w:r>
      <w:r>
        <w:rPr>
          <w:spacing w:val="-1"/>
        </w:rPr>
        <w:t>年改制后，该房产一直由公司实际所有并用于对外出租，且租金收益归中国电子器件工业有</w:t>
      </w:r>
      <w:r>
        <w:rPr>
          <w:spacing w:val="-80"/>
        </w:rPr>
        <w:t> </w:t>
      </w:r>
      <w:r>
        <w:rPr>
          <w:spacing w:val="-80"/>
        </w:rPr>
      </w:r>
      <w:r>
        <w:rPr>
          <w:spacing w:val="-1"/>
        </w:rPr>
        <w:t>限公司所有。公司控股股东及实际控制人李仲初先生承诺，如未来上市公司在正常运行中，因未取得该房</w:t>
      </w:r>
      <w:r>
        <w:rPr>
          <w:spacing w:val="-83"/>
        </w:rPr>
        <w:t> </w:t>
      </w:r>
      <w:r>
        <w:rPr>
          <w:spacing w:val="-83"/>
        </w:rPr>
      </w:r>
      <w:r>
        <w:rPr/>
        <w:t>产权属证明而遭受任何损失，李仲初先生将给予足额补偿。</w:t>
      </w:r>
    </w:p>
    <w:p>
      <w:pPr>
        <w:pStyle w:val="BodyText"/>
        <w:spacing w:line="256" w:lineRule="auto" w:before="18"/>
        <w:ind w:right="1132" w:firstLine="480"/>
        <w:jc w:val="both"/>
      </w:pPr>
      <w:r>
        <w:rPr/>
        <w:t>（</w:t>
      </w:r>
      <w:r>
        <w:rPr>
          <w:rFonts w:ascii="Times New Roman" w:hAnsi="Times New Roman" w:cs="Times New Roman" w:eastAsia="Times New Roman" w:hint="default"/>
        </w:rPr>
        <w:t>3</w:t>
      </w:r>
      <w:r>
        <w:rPr/>
        <w:t>）公司控股子公司深圳京宝实业有限公司因营业期限过期（超期经营），自</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日至 </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8"/>
        </w:rPr>
        <w:t> </w:t>
      </w:r>
      <w:r>
        <w:rPr/>
        <w:t>日被自动限制超期经营。目前，深圳京宝实业有限公司的锁定限制信息状态栏显示其仍处 于</w:t>
      </w:r>
      <w:r>
        <w:rPr>
          <w:rFonts w:ascii="Times New Roman" w:hAnsi="Times New Roman" w:cs="Times New Roman" w:eastAsia="Times New Roman" w:hint="default"/>
        </w:rPr>
        <w:t>“</w:t>
      </w:r>
      <w:r>
        <w:rPr/>
        <w:t>限制中</w:t>
      </w:r>
      <w:r>
        <w:rPr>
          <w:rFonts w:ascii="Times New Roman" w:hAnsi="Times New Roman" w:cs="Times New Roman" w:eastAsia="Times New Roman" w:hint="default"/>
        </w:rPr>
        <w:t>”</w:t>
      </w:r>
      <w:r>
        <w:rPr/>
        <w:t>。公司控股股东及实际控制人李仲初先生承诺，如深圳京宝实业有限公司需承担任何形式的负 债</w:t>
      </w:r>
      <w:r>
        <w:rPr>
          <w:rFonts w:ascii="Times New Roman" w:hAnsi="Times New Roman" w:cs="Times New Roman" w:eastAsia="Times New Roman" w:hint="default"/>
        </w:rPr>
        <w:t>/</w:t>
      </w:r>
      <w:r>
        <w:rPr/>
        <w:t>或有负债对中国电子器件工业有限公司造成损失，其愿意承担经济补偿责任。</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十三、承诺及或有事项" w:id="350"/>
      <w:bookmarkEnd w:id="350"/>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重要承诺事项" w:id="351"/>
      <w:bookmarkEnd w:id="351"/>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56" w:lineRule="auto" w:before="89"/>
        <w:ind w:left="154" w:right="1135" w:firstLine="480"/>
        <w:jc w:val="both"/>
      </w:pPr>
      <w:r>
        <w:rPr/>
        <w:t>（</w:t>
      </w:r>
      <w:r>
        <w:rPr>
          <w:rFonts w:ascii="Times New Roman" w:hAnsi="Times New Roman" w:cs="Times New Roman" w:eastAsia="Times New Roman" w:hint="default"/>
        </w:rPr>
        <w:t>1</w:t>
      </w:r>
      <w:r>
        <w:rPr/>
        <w:t>）根据公司第五届董事会</w:t>
      </w:r>
      <w:r>
        <w:rPr>
          <w:rFonts w:ascii="Times New Roman" w:hAnsi="Times New Roman" w:cs="Times New Roman" w:eastAsia="Times New Roman" w:hint="default"/>
        </w:rPr>
        <w:t>2015</w:t>
      </w:r>
      <w:r>
        <w:rPr/>
        <w:t>年第十一次临时会议审议通过，同意公司在未来三年仍以自有资金 向石基（香港）增资总额不超过</w:t>
      </w:r>
      <w:r>
        <w:rPr>
          <w:rFonts w:ascii="Times New Roman" w:hAnsi="Times New Roman" w:cs="Times New Roman" w:eastAsia="Times New Roman" w:hint="default"/>
        </w:rPr>
        <w:t>4</w:t>
      </w:r>
      <w:r>
        <w:rPr/>
        <w:t>亿元人民币。增资完成后，公司仍持有石基（香港）</w:t>
      </w:r>
      <w:r>
        <w:rPr>
          <w:rFonts w:ascii="Times New Roman" w:hAnsi="Times New Roman" w:cs="Times New Roman" w:eastAsia="Times New Roman" w:hint="default"/>
        </w:rPr>
        <w:t>100%</w:t>
      </w:r>
      <w:r>
        <w:rPr/>
        <w:t>股权。</w:t>
      </w:r>
    </w:p>
    <w:p>
      <w:pPr>
        <w:pStyle w:val="BodyText"/>
        <w:spacing w:line="240" w:lineRule="auto" w:before="5"/>
        <w:ind w:left="634" w:right="0"/>
        <w:jc w:val="left"/>
      </w:pPr>
      <w:r>
        <w:rPr/>
        <w:t>（</w:t>
      </w:r>
      <w:r>
        <w:rPr>
          <w:rFonts w:ascii="Times New Roman" w:hAnsi="Times New Roman" w:cs="Times New Roman" w:eastAsia="Times New Roman" w:hint="default"/>
        </w:rPr>
        <w:t>2</w:t>
      </w:r>
      <w:r>
        <w:rPr/>
        <w:t>）不可撤销经营租赁</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6297"/>
        <w:gridCol w:w="2920"/>
      </w:tblGrid>
      <w:tr>
        <w:trPr>
          <w:trHeight w:val="342" w:hRule="exact"/>
        </w:trPr>
        <w:tc>
          <w:tcPr>
            <w:tcW w:w="6297" w:type="dxa"/>
            <w:tcBorders>
              <w:top w:val="single" w:sz="4" w:space="0" w:color="000000"/>
              <w:left w:val="single" w:sz="4" w:space="0" w:color="000000"/>
              <w:bottom w:val="single" w:sz="4" w:space="0" w:color="000000"/>
              <w:right w:val="single" w:sz="4" w:space="0" w:color="000000"/>
            </w:tcBorders>
          </w:tcPr>
          <w:p>
            <w:pPr>
              <w:pStyle w:val="TableParagraph"/>
              <w:tabs>
                <w:tab w:pos="397"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2" w:hRule="exact"/>
        </w:trPr>
        <w:tc>
          <w:tcPr>
            <w:tcW w:w="6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71" w:right="0"/>
              <w:jc w:val="left"/>
              <w:rPr>
                <w:rFonts w:ascii="Times New Roman" w:hAnsi="Times New Roman" w:cs="Times New Roman" w:eastAsia="Times New Roman" w:hint="default"/>
                <w:sz w:val="18"/>
                <w:szCs w:val="18"/>
              </w:rPr>
            </w:pPr>
            <w:r>
              <w:rPr>
                <w:rFonts w:ascii="Times New Roman"/>
                <w:sz w:val="18"/>
              </w:rPr>
              <w:t>12,924,443.59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297"/>
        <w:gridCol w:w="2920"/>
      </w:tblGrid>
      <w:tr>
        <w:trPr>
          <w:trHeight w:val="342" w:hRule="exact"/>
        </w:trPr>
        <w:tc>
          <w:tcPr>
            <w:tcW w:w="6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10,884,575.17</w:t>
            </w:r>
          </w:p>
        </w:tc>
      </w:tr>
      <w:tr>
        <w:trPr>
          <w:trHeight w:val="342" w:hRule="exact"/>
        </w:trPr>
        <w:tc>
          <w:tcPr>
            <w:tcW w:w="6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年及以后年度</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2,601,220.60</w:t>
            </w:r>
          </w:p>
        </w:tc>
      </w:tr>
      <w:tr>
        <w:trPr>
          <w:trHeight w:val="342" w:hRule="exact"/>
        </w:trPr>
        <w:tc>
          <w:tcPr>
            <w:tcW w:w="6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26,410,239.35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四、资产负债表日后事项" w:id="352"/>
      <w:bookmarkEnd w:id="352"/>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利润分配情况" w:id="353"/>
      <w:bookmarkEnd w:id="353"/>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42,671,550.12</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42,671,550.12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其他资产负债表日后事项说明" w:id="354"/>
      <w:bookmarkEnd w:id="354"/>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634" w:right="0"/>
        <w:jc w:val="left"/>
      </w:pPr>
      <w:r>
        <w:rPr/>
        <w:t>（</w:t>
      </w:r>
      <w:r>
        <w:rPr>
          <w:spacing w:val="-85"/>
        </w:rPr>
        <w:t> </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spacing w:val="16"/>
        </w:rPr>
        <w:t>）根据公司</w:t>
      </w:r>
      <w:r>
        <w:rPr>
          <w:spacing w:val="-8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2"/>
        </w:rPr>
        <w:t> </w:t>
      </w:r>
      <w:r>
        <w:rPr/>
        <w:t>年</w:t>
      </w:r>
      <w:r>
        <w:rPr>
          <w:spacing w:val="-86"/>
        </w:rPr>
        <w:t> </w:t>
      </w: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月</w:t>
      </w:r>
      <w:r>
        <w:rPr>
          <w:spacing w:val="-85"/>
        </w:rPr>
        <w:t> </w:t>
      </w:r>
      <w:r>
        <w:rPr>
          <w:rFonts w:ascii="Times New Roman" w:hAnsi="Times New Roman" w:cs="Times New Roman" w:eastAsia="Times New Roman" w:hint="default"/>
        </w:rPr>
        <w:t>29</w:t>
      </w:r>
      <w:r>
        <w:rPr>
          <w:rFonts w:ascii="Times New Roman" w:hAnsi="Times New Roman" w:cs="Times New Roman" w:eastAsia="Times New Roman" w:hint="default"/>
          <w:spacing w:val="-32"/>
        </w:rPr>
        <w:t> </w:t>
      </w:r>
      <w:r>
        <w:rPr>
          <w:spacing w:val="16"/>
        </w:rPr>
        <w:t>日董事会决议</w:t>
      </w:r>
      <w:r>
        <w:rPr>
          <w:spacing w:val="-8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1"/>
        </w:rPr>
        <w:t> </w:t>
      </w:r>
      <w:r>
        <w:rPr>
          <w:spacing w:val="17"/>
        </w:rPr>
        <w:t>年度利润分配预案：</w:t>
      </w:r>
      <w:r>
        <w:rPr>
          <w:spacing w:val="-85"/>
        </w:rPr>
        <w:t> </w:t>
      </w:r>
      <w:r>
        <w:rPr>
          <w:spacing w:val="15"/>
        </w:rPr>
        <w:t>公司拟以</w:t>
      </w:r>
      <w:r>
        <w:rPr>
          <w:spacing w:val="-8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1"/>
        </w:rPr>
        <w:t> </w:t>
      </w:r>
      <w:r>
        <w:rPr>
          <w:spacing w:val="16"/>
        </w:rPr>
        <w:t>年末总股本</w:t>
      </w:r>
      <w:r>
        <w:rPr>
          <w:spacing w:val="-85"/>
        </w:rPr>
        <w:t> </w:t>
      </w:r>
      <w:r>
        <w:rPr/>
      </w:r>
    </w:p>
    <w:p>
      <w:pPr>
        <w:pStyle w:val="BodyText"/>
        <w:spacing w:line="240" w:lineRule="auto" w:before="21"/>
        <w:ind w:left="154" w:right="0"/>
        <w:jc w:val="left"/>
      </w:pPr>
      <w:r>
        <w:rPr>
          <w:rFonts w:ascii="Times New Roman" w:hAnsi="Times New Roman" w:cs="Times New Roman" w:eastAsia="Times New Roman" w:hint="default"/>
        </w:rPr>
        <w:t>355,596,251</w:t>
      </w:r>
      <w:r>
        <w:rPr/>
        <w:t>为基数，以未分配利润向全体股东按每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1.20</w:t>
      </w:r>
      <w:r>
        <w:rPr/>
        <w:t>元（含税）的现金股利，共计派发</w:t>
      </w:r>
    </w:p>
    <w:p>
      <w:pPr>
        <w:pStyle w:val="BodyText"/>
        <w:spacing w:line="256" w:lineRule="auto" w:before="21"/>
        <w:ind w:left="154" w:right="0"/>
        <w:jc w:val="left"/>
      </w:pPr>
      <w:r>
        <w:rPr>
          <w:rFonts w:ascii="Times New Roman" w:hAnsi="Times New Roman" w:cs="Times New Roman" w:eastAsia="Times New Roman" w:hint="default"/>
        </w:rPr>
        <w:t>42,671,550.12</w:t>
      </w:r>
      <w:r>
        <w:rPr/>
        <w:t>元，同时以资本公积向全体股东每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20</w:t>
      </w:r>
      <w:r>
        <w:rPr/>
        <w:t>股，剩余未分配利润结转至下一年度。上述预</w:t>
      </w:r>
      <w:r>
        <w:rPr>
          <w:spacing w:val="-81"/>
        </w:rPr>
        <w:t> </w:t>
      </w:r>
      <w:r>
        <w:rPr>
          <w:spacing w:val="-81"/>
        </w:rPr>
      </w:r>
      <w:r>
        <w:rPr/>
        <w:t>案尚需经股东大会批准。</w:t>
      </w:r>
    </w:p>
    <w:p>
      <w:pPr>
        <w:pStyle w:val="BodyText"/>
        <w:spacing w:line="256" w:lineRule="auto" w:before="22"/>
        <w:ind w:right="1130" w:firstLine="480"/>
        <w:jc w:val="both"/>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日与北京长京益康信息科技有限公司（以下简称</w:t>
      </w:r>
      <w:r>
        <w:rPr>
          <w:rFonts w:ascii="Times New Roman" w:hAnsi="Times New Roman" w:cs="Times New Roman" w:eastAsia="Times New Roman" w:hint="default"/>
        </w:rPr>
        <w:t>“</w:t>
      </w:r>
      <w:r>
        <w:rPr/>
        <w:t>长益科技</w:t>
      </w:r>
      <w:r>
        <w:rPr>
          <w:rFonts w:ascii="Times New Roman" w:hAnsi="Times New Roman" w:cs="Times New Roman" w:eastAsia="Times New Roman" w:hint="default"/>
        </w:rPr>
        <w:t>”</w:t>
      </w:r>
      <w:r>
        <w:rPr/>
        <w:t>）三位自然人</w:t>
      </w:r>
      <w:r>
        <w:rPr>
          <w:spacing w:val="1"/>
        </w:rPr>
        <w:t> </w:t>
      </w:r>
      <w:r>
        <w:rPr/>
        <w:t>股东签署正式的《北京长京益康信息科技有限公司</w:t>
      </w:r>
      <w:r>
        <w:rPr>
          <w:spacing w:val="-41"/>
        </w:rPr>
        <w:t> </w:t>
      </w:r>
      <w:r>
        <w:rPr>
          <w:rFonts w:ascii="Times New Roman" w:hAnsi="Times New Roman" w:cs="Times New Roman" w:eastAsia="Times New Roman" w:hint="default"/>
        </w:rPr>
        <w:t>100%</w:t>
      </w:r>
      <w:r>
        <w:rPr/>
        <w:t>股权转让协议》，收购对价为人民币</w:t>
      </w:r>
      <w:r>
        <w:rPr>
          <w:rFonts w:ascii="Times New Roman" w:hAnsi="Times New Roman" w:cs="Times New Roman" w:eastAsia="Times New Roman" w:hint="default"/>
        </w:rPr>
        <w:t>6.3</w:t>
      </w:r>
      <w:r>
        <w:rPr/>
        <w:t>亿元，截 </w:t>
      </w:r>
      <w:r>
        <w:rPr>
          <w:spacing w:val="-2"/>
        </w:rPr>
        <w:t>止</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日，公司收购长益科技</w:t>
      </w:r>
      <w:r>
        <w:rPr>
          <w:rFonts w:ascii="Times New Roman" w:hAnsi="Times New Roman" w:cs="Times New Roman" w:eastAsia="Times New Roman" w:hint="default"/>
          <w:spacing w:val="-2"/>
        </w:rPr>
        <w:t>100%</w:t>
      </w:r>
      <w:r>
        <w:rPr>
          <w:spacing w:val="-2"/>
        </w:rPr>
        <w:t>股权转让事项已办理完成工商变更登记手续，公司合法拥有长益</w:t>
      </w:r>
      <w:r>
        <w:rPr>
          <w:spacing w:val="-101"/>
        </w:rPr>
        <w:t> </w:t>
      </w:r>
      <w:r>
        <w:rPr>
          <w:spacing w:val="-101"/>
        </w:rPr>
      </w:r>
      <w:r>
        <w:rPr/>
        <w:t>科技</w:t>
      </w:r>
      <w:r>
        <w:rPr>
          <w:rFonts w:ascii="Times New Roman" w:hAnsi="Times New Roman" w:cs="Times New Roman" w:eastAsia="Times New Roman" w:hint="default"/>
        </w:rPr>
        <w:t>100%</w:t>
      </w:r>
      <w:r>
        <w:rPr/>
        <w:t>股权，长益科技成为公司全资子公司。</w:t>
      </w:r>
    </w:p>
    <w:p>
      <w:pPr>
        <w:pStyle w:val="BodyText"/>
        <w:spacing w:line="261" w:lineRule="auto" w:before="5"/>
        <w:ind w:right="1131" w:firstLine="48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12</w:t>
      </w:r>
      <w:r>
        <w:rPr>
          <w:spacing w:val="-2"/>
        </w:rPr>
        <w:t>日，公司第五届董事会</w:t>
      </w:r>
      <w:r>
        <w:rPr>
          <w:rFonts w:ascii="Times New Roman" w:hAnsi="Times New Roman" w:cs="Times New Roman" w:eastAsia="Times New Roman" w:hint="default"/>
          <w:spacing w:val="-2"/>
        </w:rPr>
        <w:t>2016</w:t>
      </w:r>
      <w:r>
        <w:rPr>
          <w:spacing w:val="-2"/>
        </w:rPr>
        <w:t>年第一次临时会议审议通过了《关于控股子公司深圳万</w:t>
      </w:r>
      <w:r>
        <w:rPr/>
        <w:t> </w:t>
      </w:r>
      <w:r>
        <w:rPr>
          <w:spacing w:val="-1"/>
        </w:rPr>
        <w:t>国思迅软件有限公司拟申请在全国中小企业股份转让系统挂牌事宜的议案》（于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日由深圳万</w:t>
      </w:r>
      <w:r>
        <w:rPr>
          <w:spacing w:val="-79"/>
        </w:rPr>
        <w:t> </w:t>
      </w:r>
      <w:r>
        <w:rPr>
          <w:spacing w:val="-1"/>
        </w:rPr>
        <w:t>国思迅软件有限公司变更为深圳市思迅软件股份有限公司）拟在符合国家相关法律法规政策和条件成熟的</w:t>
      </w:r>
      <w:r>
        <w:rPr>
          <w:spacing w:val="-81"/>
        </w:rPr>
        <w:t> </w:t>
      </w:r>
      <w:r>
        <w:rPr>
          <w:spacing w:val="-81"/>
        </w:rPr>
      </w:r>
      <w:r>
        <w:rPr/>
        <w:t>情况下，申请在全国中小企业股份转让系统挂牌。</w:t>
      </w:r>
    </w:p>
    <w:p>
      <w:pPr>
        <w:spacing w:line="240" w:lineRule="auto" w:before="9"/>
        <w:rPr>
          <w:rFonts w:ascii="宋体" w:hAnsi="宋体" w:cs="宋体" w:eastAsia="宋体" w:hint="default"/>
          <w:sz w:val="22"/>
          <w:szCs w:val="22"/>
        </w:rPr>
      </w:pPr>
    </w:p>
    <w:p>
      <w:pPr>
        <w:pStyle w:val="Heading2"/>
        <w:spacing w:line="240" w:lineRule="auto"/>
        <w:ind w:left="154" w:right="0"/>
        <w:jc w:val="left"/>
        <w:rPr>
          <w:b w:val="0"/>
          <w:bCs w:val="0"/>
        </w:rPr>
      </w:pPr>
      <w:bookmarkStart w:name="十五、其他重要事项" w:id="355"/>
      <w:bookmarkEnd w:id="355"/>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分部信息" w:id="356"/>
      <w:bookmarkEnd w:id="356"/>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357"/>
      <w:bookmarkEnd w:id="35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34" w:right="1120"/>
        <w:jc w:val="left"/>
      </w:pPr>
      <w:r>
        <w:rPr/>
        <w:t>（</w:t>
      </w:r>
      <w:r>
        <w:rPr>
          <w:rFonts w:ascii="Times New Roman" w:hAnsi="Times New Roman" w:cs="Times New Roman" w:eastAsia="Times New Roman" w:hint="default"/>
        </w:rPr>
        <w:t>1</w:t>
      </w:r>
      <w:r>
        <w:rPr/>
        <w:t>）经营分部的基本情况 </w:t>
      </w:r>
      <w:r>
        <w:rPr>
          <w:spacing w:val="-2"/>
        </w:rPr>
        <w:t>本公司的经营业务根据业务的性质以及所提供的产品分开组织和管理。本公司的每个经营分部是一种</w:t>
      </w:r>
    </w:p>
    <w:p>
      <w:pPr>
        <w:pStyle w:val="BodyText"/>
        <w:spacing w:line="273" w:lineRule="auto" w:before="22"/>
        <w:ind w:left="154" w:right="1118"/>
        <w:jc w:val="left"/>
      </w:pPr>
      <w:r>
        <w:rPr>
          <w:spacing w:val="-1"/>
        </w:rPr>
        <w:t>不同的业务类型与模式，提供面临不同于其他经营分部的风险并取得不同于其他经营分部的报酬的产品和</w:t>
      </w:r>
      <w:r>
        <w:rPr>
          <w:spacing w:val="-81"/>
        </w:rPr>
        <w:t> </w:t>
      </w:r>
      <w:r>
        <w:rPr>
          <w:spacing w:val="-81"/>
        </w:rPr>
      </w:r>
      <w:r>
        <w:rPr/>
        <w:t>服务。</w:t>
      </w:r>
    </w:p>
    <w:p>
      <w:pPr>
        <w:pStyle w:val="BodyText"/>
        <w:spacing w:line="240" w:lineRule="auto"/>
        <w:ind w:left="634" w:right="0"/>
        <w:jc w:val="left"/>
      </w:pPr>
      <w:r>
        <w:rPr/>
        <w:t>本公司经营分部的分类与内容如下：</w:t>
      </w:r>
    </w:p>
    <w:p>
      <w:pPr>
        <w:pStyle w:val="BodyText"/>
        <w:spacing w:line="256" w:lineRule="auto" w:before="37"/>
        <w:ind w:left="634" w:right="1032"/>
        <w:jc w:val="left"/>
      </w:pPr>
      <w:r>
        <w:rPr>
          <w:rFonts w:ascii="Times New Roman" w:hAnsi="Times New Roman" w:cs="Times New Roman" w:eastAsia="Times New Roman" w:hint="default"/>
        </w:rPr>
        <w:t>a</w:t>
      </w:r>
      <w:r>
        <w:rPr/>
        <w:t>）计算机应用及服务行业 计算机应用及服务行业主要业务内容包括：技术开发、技术咨询、技术转让、技术服务、技术培训；</w:t>
      </w:r>
    </w:p>
    <w:p>
      <w:pPr>
        <w:pStyle w:val="BodyText"/>
        <w:spacing w:line="273" w:lineRule="auto" w:before="22"/>
        <w:ind w:left="154" w:right="0"/>
        <w:jc w:val="left"/>
      </w:pPr>
      <w:r>
        <w:rPr>
          <w:spacing w:val="-1"/>
        </w:rPr>
        <w:t>销售开发后的产品、计算机及外围设备；提供信息源服务；网络技术服务；电子商务；安装计算机；货物</w:t>
      </w:r>
      <w:r>
        <w:rPr>
          <w:spacing w:val="-82"/>
        </w:rPr>
        <w:t> </w:t>
      </w:r>
      <w:r>
        <w:rPr>
          <w:spacing w:val="-82"/>
        </w:rPr>
      </w:r>
      <w:r>
        <w:rPr/>
        <w:t>进出口、技术进出口、代理进出口等业务。</w:t>
      </w:r>
    </w:p>
    <w:p>
      <w:pPr>
        <w:pStyle w:val="BodyText"/>
        <w:spacing w:line="256" w:lineRule="auto"/>
        <w:ind w:left="634" w:right="1032"/>
        <w:jc w:val="left"/>
      </w:pPr>
      <w:r>
        <w:rPr>
          <w:rFonts w:ascii="Times New Roman" w:hAnsi="Times New Roman" w:cs="Times New Roman" w:eastAsia="Times New Roman" w:hint="default"/>
        </w:rPr>
        <w:t>b</w:t>
      </w:r>
      <w:r>
        <w:rPr/>
        <w:t>）商品批发流通行业 商品批发流通行业主要业务内容包括：电子元器件、设备、专用材料、电子产品及应用产品的设计、</w:t>
      </w:r>
    </w:p>
    <w:p>
      <w:pPr>
        <w:spacing w:after="0" w:line="256"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1" w:lineRule="auto" w:before="35"/>
        <w:ind w:right="1024"/>
        <w:jc w:val="left"/>
      </w:pPr>
      <w:r>
        <w:rPr/>
        <w:t>开发、生产、销售、售后服务及维修；电子器件系统工程的总承包；承办组织进出口货源和配套服务；进 出口业务；五金交电、通讯器材、计算机及外部设备、钢材、建筑材料、照明设备、仪器议表、一般化工 </w:t>
      </w:r>
      <w:r>
        <w:rPr>
          <w:spacing w:val="-3"/>
        </w:rPr>
        <w:t>材料、办公用品及设备、服装百货的销售；与上述业务有关的技术咨询、技术服务、信息服务；物业管理。</w:t>
      </w:r>
      <w:r>
        <w:rPr>
          <w:spacing w:val="-94"/>
        </w:rPr>
        <w:t> </w:t>
      </w:r>
      <w:r>
        <w:rPr>
          <w:spacing w:val="-94"/>
        </w:rPr>
      </w:r>
      <w:r>
        <w:rPr/>
        <w:t>医用电子仪器设备；医用光学器具、仪器及内窥镜设备；医用超声仪器及有关设备；医用激光仪器设备；</w:t>
      </w:r>
      <w:r>
        <w:rPr/>
        <w:t> 医用高频仪器设备；医用磁共振设备、医用</w:t>
      </w:r>
      <w:r>
        <w:rPr>
          <w:rFonts w:ascii="Times New Roman" w:hAnsi="Times New Roman" w:cs="Times New Roman" w:eastAsia="Times New Roman" w:hint="default"/>
        </w:rPr>
        <w:t>X</w:t>
      </w:r>
      <w:r>
        <w:rPr/>
        <w:t>射线设备；医用</w:t>
      </w:r>
      <w:r>
        <w:rPr>
          <w:rFonts w:ascii="Times New Roman" w:hAnsi="Times New Roman" w:cs="Times New Roman" w:eastAsia="Times New Roman" w:hint="default"/>
        </w:rPr>
        <w:t>X</w:t>
      </w:r>
      <w:r>
        <w:rPr/>
        <w:t>射线附属设备及部件；医用化验和基础设</w:t>
      </w:r>
      <w:r>
        <w:rPr>
          <w:spacing w:val="-19"/>
        </w:rPr>
        <w:t> </w:t>
      </w:r>
      <w:r>
        <w:rPr>
          <w:spacing w:val="-19"/>
        </w:rPr>
      </w:r>
      <w:r>
        <w:rPr/>
        <w:t>备器具；体外循环及血液处理设备、手术室、急救室、诊疗室设备及器具；医用高分子材料及制品；物理</w:t>
      </w:r>
      <w:r>
        <w:rPr/>
        <w:t> 治疗及健康设备；体外检验分析器；病房护理设备及器具的经营；批发预包装食品。</w:t>
      </w:r>
    </w:p>
    <w:p>
      <w:pPr>
        <w:spacing w:line="240" w:lineRule="auto" w:before="10"/>
        <w:rPr>
          <w:rFonts w:ascii="宋体" w:hAnsi="宋体" w:cs="宋体" w:eastAsia="宋体" w:hint="default"/>
          <w:sz w:val="23"/>
          <w:szCs w:val="23"/>
        </w:rPr>
      </w:pPr>
    </w:p>
    <w:p>
      <w:pPr>
        <w:pStyle w:val="Heading4"/>
        <w:spacing w:line="240" w:lineRule="auto"/>
        <w:ind w:left="153" w:right="0"/>
        <w:jc w:val="left"/>
        <w:rPr>
          <w:b w:val="0"/>
          <w:bCs w:val="0"/>
        </w:rPr>
      </w:pPr>
      <w:bookmarkStart w:name="（2）报告分部的财务信息" w:id="358"/>
      <w:bookmarkEnd w:id="35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96"/>
        <w:gridCol w:w="1997"/>
        <w:gridCol w:w="1700"/>
        <w:gridCol w:w="1276"/>
        <w:gridCol w:w="1490"/>
      </w:tblGrid>
      <w:tr>
        <w:trPr>
          <w:trHeight w:val="402" w:hRule="exact"/>
        </w:trPr>
        <w:tc>
          <w:tcPr>
            <w:tcW w:w="3096"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170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35"/>
              <w:jc w:val="right"/>
              <w:rPr>
                <w:rFonts w:ascii="宋体" w:hAnsi="宋体" w:cs="宋体" w:eastAsia="宋体" w:hint="default"/>
                <w:sz w:val="18"/>
                <w:szCs w:val="18"/>
              </w:rPr>
            </w:pPr>
            <w:r>
              <w:rPr>
                <w:rFonts w:ascii="宋体" w:hAnsi="宋体" w:cs="宋体" w:eastAsia="宋体" w:hint="default"/>
                <w:sz w:val="18"/>
                <w:szCs w:val="18"/>
              </w:rPr>
              <w:t>商品批发与贸易行业</w:t>
            </w:r>
          </w:p>
        </w:tc>
        <w:tc>
          <w:tcPr>
            <w:tcW w:w="127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2"/>
              <w:ind w:left="17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对外营业收入</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992,851,121.84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993,812,492.81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1,986,663,614.65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82,524.56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12,264,310.85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12,346,835.41</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85,750,184.02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35,795,519.15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121,545,703.17</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13,878,626.16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243,710.42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14,122,336.58</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428,656.11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428,656.11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对联营企业和合营企业的投资收益</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1,505,041.81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1,284,030.01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2,789,071.82</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9,416,156.06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3,227,381.28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3,257.60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12,640,279.74</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40,931,015.17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25,411,543.72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66,342,558.89</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409,933,334.88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-5,134,307.11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-3,257.60</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404,802,285.37</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4,519,107,754.39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758,661,959.70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966,851.77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5,276,802,862.32</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405,190,612.09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206,923,072.74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1,303,074.87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610,810,609.96</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对联营企业和合营企业的长期股权投资</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267,872,912.53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27,467,606.06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295,340,518.59</w:t>
            </w:r>
          </w:p>
        </w:tc>
      </w:tr>
      <w:tr>
        <w:trPr>
          <w:trHeight w:val="715"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1" w:right="13"/>
              <w:jc w:val="left"/>
              <w:rPr>
                <w:rFonts w:ascii="宋体" w:hAnsi="宋体" w:cs="宋体" w:eastAsia="宋体" w:hint="default"/>
                <w:sz w:val="18"/>
                <w:szCs w:val="18"/>
              </w:rPr>
            </w:pPr>
            <w:r>
              <w:rPr>
                <w:rFonts w:ascii="宋体" w:hAnsi="宋体" w:cs="宋体" w:eastAsia="宋体" w:hint="default"/>
                <w:sz w:val="18"/>
                <w:szCs w:val="18"/>
              </w:rPr>
              <w:t>长期股权投资以外的其他非流动资产增 加额</w:t>
            </w:r>
          </w:p>
        </w:tc>
        <w:tc>
          <w:tcPr>
            <w:tcW w:w="1997"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386,661,684.75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-26,232,215.67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360,429,469.08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359"/>
      <w:bookmarkEnd w:id="35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634" w:right="0"/>
        <w:jc w:val="left"/>
      </w:pPr>
      <w:r>
        <w:rPr/>
        <w:t>对外交易收入信息</w:t>
      </w:r>
    </w:p>
    <w:p>
      <w:pPr>
        <w:pStyle w:val="BodyText"/>
        <w:spacing w:line="240" w:lineRule="auto" w:before="37"/>
        <w:ind w:left="406" w:right="0"/>
        <w:jc w:val="left"/>
      </w:pPr>
      <w:r>
        <w:rPr>
          <w:rFonts w:ascii="Times New Roman" w:hAnsi="Times New Roman" w:cs="Times New Roman" w:eastAsia="Times New Roman" w:hint="default"/>
        </w:rPr>
        <w:t>a</w:t>
      </w:r>
      <w:r>
        <w:rPr/>
        <w:t>）分产品和类别的对外交易收入</w:t>
      </w:r>
    </w:p>
    <w:p>
      <w:pPr>
        <w:spacing w:line="240" w:lineRule="auto" w:before="1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412"/>
        <w:gridCol w:w="3262"/>
        <w:gridCol w:w="2985"/>
      </w:tblGrid>
      <w:tr>
        <w:trPr>
          <w:trHeight w:val="34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计算机应用及服务行业</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992,851,121.84</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974,326,131.20</w:t>
            </w:r>
          </w:p>
        </w:tc>
      </w:tr>
      <w:tr>
        <w:trPr>
          <w:trHeight w:val="34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商品贸易类</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993,812,492.81</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1,211,745,929.83</w:t>
            </w:r>
          </w:p>
        </w:tc>
      </w:tr>
      <w:tr>
        <w:trPr>
          <w:trHeight w:val="34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1,986,663,614.65</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2,186,072,061.03</w:t>
            </w:r>
          </w:p>
        </w:tc>
      </w:tr>
    </w:tbl>
    <w:p>
      <w:pPr>
        <w:pStyle w:val="BodyText"/>
        <w:spacing w:line="276" w:lineRule="exact" w:before="0"/>
        <w:ind w:left="634" w:right="0"/>
        <w:jc w:val="left"/>
      </w:pPr>
      <w:r>
        <w:rPr>
          <w:rFonts w:ascii="Times New Roman" w:hAnsi="Times New Roman" w:cs="Times New Roman" w:eastAsia="Times New Roman" w:hint="default"/>
        </w:rPr>
        <w:t>b</w:t>
      </w:r>
      <w:r>
        <w:rPr/>
        <w:t>）对外交易收入的分布</w:t>
      </w:r>
    </w:p>
    <w:p>
      <w:pPr>
        <w:spacing w:line="240" w:lineRule="auto" w:before="1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412"/>
        <w:gridCol w:w="3262"/>
        <w:gridCol w:w="2985"/>
      </w:tblGrid>
      <w:tr>
        <w:trPr>
          <w:trHeight w:val="34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1,813,706,332.24</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2,013,982,453.19</w:t>
            </w:r>
          </w:p>
        </w:tc>
      </w:tr>
      <w:tr>
        <w:trPr>
          <w:trHeight w:val="34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中国大陆地区以外的国家和地区</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172,957,282.41</w:t>
            </w:r>
          </w:p>
        </w:tc>
        <w:tc>
          <w:tcPr>
            <w:tcW w:w="2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172,089,607.84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3412"/>
        <w:gridCol w:w="3262"/>
        <w:gridCol w:w="2987"/>
      </w:tblGrid>
      <w:tr>
        <w:trPr>
          <w:trHeight w:val="342"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87" w:right="0"/>
              <w:jc w:val="left"/>
              <w:rPr>
                <w:rFonts w:ascii="Times New Roman" w:hAnsi="Times New Roman" w:cs="Times New Roman" w:eastAsia="Times New Roman" w:hint="default"/>
                <w:sz w:val="18"/>
                <w:szCs w:val="18"/>
              </w:rPr>
            </w:pPr>
            <w:r>
              <w:rPr>
                <w:rFonts w:ascii="Times New Roman"/>
                <w:sz w:val="18"/>
              </w:rPr>
              <w:t>1,986,663,614.65</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10" w:right="0"/>
              <w:jc w:val="left"/>
              <w:rPr>
                <w:rFonts w:ascii="Times New Roman" w:hAnsi="Times New Roman" w:cs="Times New Roman" w:eastAsia="Times New Roman" w:hint="default"/>
                <w:sz w:val="18"/>
                <w:szCs w:val="18"/>
              </w:rPr>
            </w:pPr>
            <w:r>
              <w:rPr>
                <w:rFonts w:ascii="Times New Roman"/>
                <w:sz w:val="18"/>
              </w:rPr>
              <w:t>2,186,072,061.03</w:t>
            </w:r>
          </w:p>
        </w:tc>
      </w:tr>
    </w:tbl>
    <w:p>
      <w:pPr>
        <w:pStyle w:val="BodyText"/>
        <w:spacing w:line="276" w:lineRule="exact" w:before="0"/>
        <w:ind w:left="634" w:right="0"/>
        <w:jc w:val="left"/>
      </w:pPr>
      <w:r>
        <w:rPr>
          <w:rFonts w:ascii="Times New Roman" w:hAnsi="Times New Roman" w:cs="Times New Roman" w:eastAsia="Times New Roman" w:hint="default"/>
        </w:rPr>
        <w:t>c</w:t>
      </w:r>
      <w:r>
        <w:rPr/>
        <w:t>）非流动资产总额的分布</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370"/>
        <w:gridCol w:w="3294"/>
        <w:gridCol w:w="2976"/>
      </w:tblGrid>
      <w:tr>
        <w:trPr>
          <w:trHeight w:val="34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中国大陆地区</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1,051,396,546.70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987,126,610.62</w:t>
            </w:r>
          </w:p>
        </w:tc>
      </w:tr>
      <w:tr>
        <w:trPr>
          <w:trHeight w:val="34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中国大陆地区以外的国家和地区</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396,381,046.12</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61,448,927.69</w:t>
            </w:r>
          </w:p>
        </w:tc>
      </w:tr>
      <w:tr>
        <w:trPr>
          <w:trHeight w:val="34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1,447,777,592.82</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1,048,575,538.31</w:t>
            </w:r>
          </w:p>
        </w:tc>
      </w:tr>
    </w:tbl>
    <w:p>
      <w:pPr>
        <w:pStyle w:val="BodyText"/>
        <w:spacing w:line="260" w:lineRule="exact" w:before="0"/>
        <w:ind w:left="634" w:right="0"/>
        <w:jc w:val="left"/>
      </w:pPr>
      <w:r>
        <w:rPr/>
        <w:t>注：非流动资产归属于该资产所处区域，不包括金融资产和递延所得税资产</w:t>
      </w:r>
    </w:p>
    <w:p>
      <w:pPr>
        <w:pStyle w:val="BodyText"/>
        <w:spacing w:line="256" w:lineRule="auto" w:before="37"/>
        <w:ind w:left="633" w:right="3168"/>
        <w:jc w:val="left"/>
      </w:pPr>
      <w:r>
        <w:rPr>
          <w:rFonts w:ascii="Times New Roman" w:hAnsi="Times New Roman" w:cs="Times New Roman" w:eastAsia="Times New Roman" w:hint="default"/>
        </w:rPr>
        <w:t>d</w:t>
      </w:r>
      <w:r>
        <w:rPr/>
        <w:t>）主要客户信息 本公司的客户较为分散，不存在单个与本公司交易超过交易总额</w:t>
      </w:r>
      <w:r>
        <w:rPr>
          <w:rFonts w:ascii="Times New Roman" w:hAnsi="Times New Roman" w:cs="Times New Roman" w:eastAsia="Times New Roman" w:hint="default"/>
        </w:rPr>
        <w:t>10%</w:t>
      </w:r>
      <w:r>
        <w:rPr/>
        <w:t>的客户。</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十六、母公司财务报表主要项目注释" w:id="360"/>
      <w:bookmarkEnd w:id="360"/>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应收账款" w:id="361"/>
      <w:bookmarkEnd w:id="36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应收账款分类披露" w:id="362"/>
      <w:bookmarkEnd w:id="36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22,653,8</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98.52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6,439,23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28.42%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16,214,66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6,249,5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05.11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802,517.4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5,446,987.6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4,379,8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43.44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4,379,843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22,653,8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98.52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6,439,23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28.42%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16,214,66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10,629,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348.55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5,182,360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48.76%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5,446,987.6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14,276,487.48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713,824.37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14,276,487.48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713,824.37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1,739,180.10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173,918.01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709,251.79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141,850.36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560,950.53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280,475.27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1,194,304.47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955,443.58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4,173,724.15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4,173,724.15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22,653,898.52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6,439,235.74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300" w:lineRule="auto"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根据以前年度与之相同或类似的、按账龄段划分的具有类似信用风险特征的应收款项组合的实际损失率为基础，结合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现实情况分析法对计算机及服务行业确定坏账准备计提的比例。</w:t>
      </w:r>
    </w:p>
    <w:p>
      <w:pPr>
        <w:spacing w:line="240" w:lineRule="auto" w:before="0"/>
        <w:rPr>
          <w:rFonts w:ascii="宋体" w:hAnsi="宋体" w:cs="宋体" w:eastAsia="宋体" w:hint="default"/>
          <w:sz w:val="18"/>
          <w:szCs w:val="18"/>
        </w:rPr>
      </w:pPr>
    </w:p>
    <w:p>
      <w:pPr>
        <w:spacing w:before="148"/>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不适用</w:t>
      </w:r>
    </w:p>
    <w:p>
      <w:pPr>
        <w:spacing w:line="240" w:lineRule="auto" w:before="9"/>
        <w:rPr>
          <w:rFonts w:ascii="宋体" w:hAnsi="宋体" w:cs="宋体" w:eastAsia="宋体" w:hint="default"/>
          <w:sz w:val="20"/>
          <w:szCs w:val="20"/>
        </w:rPr>
      </w:pPr>
    </w:p>
    <w:p>
      <w:pPr>
        <w:pStyle w:val="Heading4"/>
        <w:spacing w:line="240" w:lineRule="auto"/>
        <w:ind w:left="153" w:right="0"/>
        <w:jc w:val="left"/>
        <w:rPr>
          <w:b w:val="0"/>
          <w:bCs w:val="0"/>
        </w:rPr>
      </w:pPr>
      <w:bookmarkStart w:name="（2）本期计提、收回或转回的坏账准备情况" w:id="363"/>
      <w:bookmarkEnd w:id="36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1,256,874.84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3）按欠款方归集的期末余额前五名的应收账款情况" w:id="364"/>
      <w:bookmarkEnd w:id="36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2369"/>
        <w:jc w:val="right"/>
      </w:pPr>
      <w:r>
        <w:rPr/>
        <w:t>单位：元</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553"/>
        <w:gridCol w:w="1418"/>
        <w:gridCol w:w="2694"/>
        <w:gridCol w:w="2178"/>
      </w:tblGrid>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right"/>
              <w:rPr>
                <w:rFonts w:ascii="宋体" w:hAnsi="宋体" w:cs="宋体" w:eastAsia="宋体" w:hint="default"/>
                <w:sz w:val="18"/>
                <w:szCs w:val="18"/>
              </w:rPr>
            </w:pPr>
            <w:r>
              <w:rPr>
                <w:rFonts w:ascii="宋体" w:hAnsi="宋体" w:cs="宋体" w:eastAsia="宋体" w:hint="default"/>
                <w:sz w:val="18"/>
                <w:szCs w:val="18"/>
              </w:rPr>
              <w:t>占应收账款年末余额的比例（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计提的坏账准备期末金额</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郑州茂丰置业有限公司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2,926,000.00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12.92</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146,300.00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2,522,500.00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11.13</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392,125.00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台州旗隆国际大饭店有限公司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1,833,566.00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8.09</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91,678.30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上海花园饭店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776,818.10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3.43</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38,840.91</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厦门普润特科技服务有限公司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648,187.40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2.86</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32,409.37</w:t>
            </w:r>
          </w:p>
        </w:tc>
      </w:tr>
      <w:tr>
        <w:trPr>
          <w:trHeight w:val="34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8,707,071.50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38.44</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701,353.58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其他应收款" w:id="365"/>
      <w:bookmarkEnd w:id="36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366"/>
      <w:bookmarkEnd w:id="36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4"/>
        <w:gridCol w:w="739"/>
        <w:gridCol w:w="800"/>
        <w:gridCol w:w="655"/>
        <w:gridCol w:w="762"/>
        <w:gridCol w:w="813"/>
        <w:gridCol w:w="932"/>
        <w:gridCol w:w="932"/>
      </w:tblGrid>
      <w:tr>
        <w:trPr>
          <w:trHeight w:val="403"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27,333,3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2,750,00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3" w:right="0"/>
              <w:jc w:val="left"/>
              <w:rPr>
                <w:rFonts w:ascii="Times New Roman" w:hAnsi="Times New Roman" w:cs="Times New Roman" w:eastAsia="Times New Roman" w:hint="default"/>
                <w:sz w:val="18"/>
                <w:szCs w:val="18"/>
              </w:rPr>
            </w:pPr>
            <w:r>
              <w:rPr>
                <w:rFonts w:ascii="Times New Roman"/>
                <w:sz w:val="18"/>
              </w:rPr>
              <w:t>10.06%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24,583,30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58,452,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97.86%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2,975,125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5" w:right="0"/>
              <w:jc w:val="left"/>
              <w:rPr>
                <w:rFonts w:ascii="Times New Roman" w:hAnsi="Times New Roman" w:cs="Times New Roman" w:eastAsia="Times New Roman" w:hint="default"/>
                <w:sz w:val="18"/>
                <w:szCs w:val="18"/>
              </w:rPr>
            </w:pPr>
            <w:r>
              <w:rPr>
                <w:rFonts w:ascii="Times New Roman"/>
                <w:sz w:val="18"/>
              </w:rPr>
              <w:t>5.09%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55,477,584.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06.34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0.40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5.94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Times New Roman" w:hAnsi="Times New Roman" w:cs="Times New Roman" w:eastAsia="Times New Roman" w:hint="default"/>
                <w:sz w:val="18"/>
                <w:szCs w:val="18"/>
              </w:rPr>
            </w:pPr>
            <w:r>
              <w:rPr>
                <w:rFonts w:ascii="Times New Roman"/>
                <w:sz w:val="18"/>
              </w:rPr>
              <w:t>710.92</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1,275,8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34.80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1,275,834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27,333,3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06.34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2,750,00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24,583,30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59,728,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545.72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4,250,960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55,477,584.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25,290,455.78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1,264,522.79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25,290,455.78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1,264,522.79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276,417.00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27,641.70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233,036.00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46,607.20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235,521.00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117,760.50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22,041.76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17,633.41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1,275,834.80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1,275,834.80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27,333,306.34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2,750,000.40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300" w:lineRule="auto"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根据以前年度与之相同或类似的、按账龄段划分的具有类似信用风险特征的应收款项组合的实际损失率为基础，结合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现实情况分析法对计算机及服务行业确定坏账准备计提的比例。</w:t>
      </w:r>
    </w:p>
    <w:p>
      <w:pPr>
        <w:spacing w:line="240" w:lineRule="auto" w:before="0"/>
        <w:rPr>
          <w:rFonts w:ascii="宋体" w:hAnsi="宋体" w:cs="宋体" w:eastAsia="宋体" w:hint="default"/>
          <w:sz w:val="18"/>
          <w:szCs w:val="18"/>
        </w:rPr>
      </w:pPr>
    </w:p>
    <w:p>
      <w:pPr>
        <w:spacing w:before="148"/>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2）本期计提、收回或转回的坏账准备情况" w:id="367"/>
      <w:bookmarkEnd w:id="36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1,500,960.34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3）其他应收款按款项性质分类情况" w:id="368"/>
      <w:bookmarkEnd w:id="368"/>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1,707,965.35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2,008,789.74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代垫差旅费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595,081.39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518,340.66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768,225.04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367,159.89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22,971,844.97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56,815,945.43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1,290,189.59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18,310.00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27,333,306.34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59,728,545.72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按欠款方归集的期末余额前五名的其他应收款情况" w:id="369"/>
      <w:bookmarkEnd w:id="369"/>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559"/>
        <w:gridCol w:w="1277"/>
        <w:gridCol w:w="810"/>
        <w:gridCol w:w="1614"/>
        <w:gridCol w:w="1615"/>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22,612,932.75</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1,130,646.64</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北京市海淀区国际税务局第六税 务所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1,707,965.35</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85,398.27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358,912.22</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17,945.61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常州现代传媒中心基建办公室</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万达酒店建设有限公司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152,000.00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24,976,810.32</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1,256,440.52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涉及政府补助的应收款项" w:id="370"/>
      <w:bookmarkEnd w:id="370"/>
      <w:r>
        <w:rPr>
          <w:b w:val="0"/>
          <w:bCs w:val="0"/>
        </w:rPr>
      </w: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138" w:firstLine="0"/>
        <w:jc w:val="right"/>
        <w:rPr>
          <w:rFonts w:ascii="宋体" w:hAnsi="宋体" w:cs="宋体" w:eastAsia="宋体" w:hint="default"/>
          <w:sz w:val="18"/>
          <w:szCs w:val="18"/>
        </w:rPr>
      </w:pPr>
      <w:r>
        <w:rPr/>
        <w:pict>
          <v:shape style="position:absolute;margin-left:56.459999pt;margin-top:-20.978283pt;width:479.25pt;height:170.0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559"/>
                    <w:gridCol w:w="1559"/>
                    <w:gridCol w:w="1418"/>
                    <w:gridCol w:w="3615"/>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25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24"/>
                          <w:jc w:val="both"/>
                          <w:rPr>
                            <w:rFonts w:ascii="宋体" w:hAnsi="宋体" w:cs="宋体" w:eastAsia="宋体" w:hint="default"/>
                            <w:sz w:val="18"/>
                            <w:szCs w:val="18"/>
                          </w:rPr>
                        </w:pPr>
                        <w:r>
                          <w:rPr>
                            <w:rFonts w:ascii="宋体" w:hAnsi="宋体" w:cs="宋体" w:eastAsia="宋体" w:hint="default"/>
                            <w:sz w:val="18"/>
                            <w:szCs w:val="18"/>
                          </w:rPr>
                          <w:t>北京市海淀区国 际税务局第六税 务所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1,707,965.35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预计收取时间</w:t>
                        </w:r>
                        <w:r>
                          <w:rPr>
                            <w:rFonts w:ascii="宋体" w:hAnsi="宋体" w:cs="宋体" w:eastAsia="宋体" w:hint="default"/>
                            <w:spacing w:val="-88"/>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w:t>
                        </w:r>
                        <w:r>
                          <w:rPr>
                            <w:rFonts w:ascii="宋体" w:hAnsi="宋体" w:cs="宋体" w:eastAsia="宋体" w:hint="default"/>
                            <w:spacing w:val="-88"/>
                            <w:sz w:val="18"/>
                            <w:szCs w:val="18"/>
                          </w:rPr>
                          <w:t>，</w:t>
                        </w:r>
                        <w:r>
                          <w:rPr>
                            <w:rFonts w:ascii="宋体" w:hAnsi="宋体" w:cs="宋体" w:eastAsia="宋体" w:hint="default"/>
                            <w:sz w:val="18"/>
                            <w:szCs w:val="18"/>
                          </w:rPr>
                          <w:t>金额</w:t>
                        </w:r>
                      </w:p>
                      <w:p>
                        <w:pPr>
                          <w:pStyle w:val="TableParagraph"/>
                          <w:spacing w:line="307" w:lineRule="auto" w:before="61"/>
                          <w:ind w:left="22"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1,707,965.35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元。依据：增值税返还系公司根 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《鼓励软件产业和 集成电路产业发展的若干政策》及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国发 </w:t>
                        </w:r>
                        <w:r>
                          <w:rPr>
                            <w:rFonts w:ascii="Times New Roman" w:hAnsi="Times New Roman" w:cs="Times New Roman" w:eastAsia="Times New Roman" w:hint="default"/>
                            <w:sz w:val="18"/>
                            <w:szCs w:val="18"/>
                          </w:rPr>
                          <w:t>[2011]4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《关于印发进一步鼓励软件产业和 集成电路产业发展若干政策的通知》的规定， 报告期内应收到的自行开发软件销售增值税 退税收入。</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1,707,965.35</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before="35"/>
        <w:ind w:right="0"/>
        <w:jc w:val="left"/>
        <w:rPr>
          <w:b w:val="0"/>
          <w:bCs w:val="0"/>
        </w:rPr>
      </w:pPr>
      <w:bookmarkStart w:name="3、长期股权投资" w:id="371"/>
      <w:bookmarkEnd w:id="37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4102"/>
        <w:gridCol w:w="4102"/>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1,492,581,941.71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6,360,774.78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1,486,221,166.93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1,137,246,941.71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6,360,774.78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1,130,886,166.93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1,492,581,941.71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6,360,774.78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1,486,221,166.93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1,137,246,941.71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6,360,774.78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1,130,886,166.93</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372"/>
      <w:bookmarkEnd w:id="37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1276"/>
        <w:gridCol w:w="1134"/>
        <w:gridCol w:w="1418"/>
        <w:gridCol w:w="851"/>
        <w:gridCol w:w="1061"/>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石基（香港）有限公司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30,933,500.00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440,335,000.00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471,268,500.00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南京银石计算机系统有限公司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85,000,000.00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上海正品贵德软件有限公司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19,929,000.00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19,929,000.00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6,360,774.78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中国电子器件工业有限公司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554,884,441.71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554,884,441.71</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深圳市思迅软件股份有限公司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1,137,246,941.71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440,335,000.00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85,000,000.00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1,492,581,941.71</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6,360,774.78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其他说明" w:id="373"/>
      <w:bookmarkEnd w:id="373"/>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营业收入和营业成本" w:id="374"/>
      <w:bookmarkEnd w:id="37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223,985,486.95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141,891,570.81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190,867,142.28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148,198,823.65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701,578.20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39,639.14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6,443,081.20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39,639.14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224,687,065.15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141,931,209.95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197,310,223.48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148,238,462.79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投资收益" w:id="375"/>
      <w:bookmarkEnd w:id="37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3,393,860.37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26,633,860.37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8,240,014.20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补充资料" w:id="376"/>
      <w:bookmarkEnd w:id="376"/>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当期非经常性损益明细表" w:id="377"/>
      <w:bookmarkEnd w:id="37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499"/>
        <w:gridCol w:w="1429"/>
        <w:gridCol w:w="1631"/>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1,112,543.16</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40,855.79</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计入当期损益的政府补助（与企业业务密切相关，按照国家统一标准定额或定量享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受的政府补助除外）</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1,342,900.00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14,750,342.47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1,838,789.95</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2,496,991.60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600,477.96</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15,987,961.81</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4"/>
        <w:gridCol w:w="1559"/>
        <w:gridCol w:w="6168"/>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6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65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52,579,759.66</w:t>
            </w:r>
          </w:p>
        </w:tc>
        <w:tc>
          <w:tcPr>
            <w:tcW w:w="61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增值税退税收入系公司根据国务院</w:t>
            </w:r>
            <w:r>
              <w:rPr>
                <w:rFonts w:ascii="Times New Roman" w:hAnsi="Times New Roman" w:cs="Times New Roman" w:eastAsia="Times New Roman" w:hint="default"/>
                <w:sz w:val="18"/>
                <w:szCs w:val="18"/>
              </w:rPr>
              <w:t>"</w:t>
            </w:r>
            <w:r>
              <w:rPr>
                <w:rFonts w:ascii="宋体" w:hAnsi="宋体" w:cs="宋体" w:eastAsia="宋体" w:hint="default"/>
                <w:sz w:val="18"/>
                <w:szCs w:val="18"/>
              </w:rPr>
              <w:t>国发</w:t>
            </w:r>
            <w:r>
              <w:rPr>
                <w:rFonts w:ascii="Times New Roman" w:hAnsi="Times New Roman" w:cs="Times New Roman" w:eastAsia="Times New Roman" w:hint="default"/>
                <w:sz w:val="18"/>
                <w:szCs w:val="18"/>
              </w:rPr>
              <w:t>[2000]18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《鼓励软件产业和集成电 </w:t>
            </w:r>
            <w:r>
              <w:rPr>
                <w:rFonts w:ascii="宋体" w:hAnsi="宋体" w:cs="宋体" w:eastAsia="宋体" w:hint="default"/>
                <w:spacing w:val="-2"/>
                <w:sz w:val="18"/>
                <w:szCs w:val="18"/>
              </w:rPr>
              <w:t>路产业发展的若干政策》及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国发</w:t>
            </w:r>
            <w:r>
              <w:rPr>
                <w:rFonts w:ascii="Times New Roman" w:hAnsi="Times New Roman" w:cs="Times New Roman" w:eastAsia="Times New Roman" w:hint="default"/>
                <w:spacing w:val="-2"/>
                <w:sz w:val="18"/>
                <w:szCs w:val="18"/>
              </w:rPr>
              <w:t>[2011]4</w:t>
            </w:r>
            <w:r>
              <w:rPr>
                <w:rFonts w:ascii="Times New Roman" w:hAnsi="Times New Roman" w:cs="Times New Roman" w:eastAsia="Times New Roman" w:hint="default"/>
                <w:spacing w:val="17"/>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《关于印发进一步鼓励软件产业和</w:t>
            </w:r>
            <w:r>
              <w:rPr>
                <w:rFonts w:ascii="宋体" w:hAnsi="宋体" w:cs="宋体" w:eastAsia="宋体" w:hint="default"/>
                <w:spacing w:val="-83"/>
                <w:sz w:val="18"/>
                <w:szCs w:val="18"/>
              </w:rPr>
              <w:t> </w:t>
            </w:r>
            <w:r>
              <w:rPr>
                <w:rFonts w:ascii="宋体" w:hAnsi="宋体" w:cs="宋体" w:eastAsia="宋体" w:hint="default"/>
                <w:sz w:val="18"/>
                <w:szCs w:val="18"/>
              </w:rPr>
              <w:t>集成电路产业发展若干政策的通知》的规定，报告期内应收到的自行开发软件</w:t>
            </w:r>
            <w:r>
              <w:rPr>
                <w:rFonts w:ascii="宋体" w:hAnsi="宋体" w:cs="宋体" w:eastAsia="宋体" w:hint="default"/>
                <w:sz w:val="18"/>
                <w:szCs w:val="18"/>
              </w:rPr>
              <w:t> 销售增值税退税收入，由于该收入预计可以持续获得，故将其不作为非经常性 损益。</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净资产收益率及每股收益" w:id="378"/>
      <w:bookmarkEnd w:id="37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391"/>
        <w:gridCol w:w="2340"/>
        <w:gridCol w:w="1913"/>
        <w:gridCol w:w="1913"/>
      </w:tblGrid>
      <w:tr>
        <w:trPr>
          <w:trHeight w:val="206" w:hRule="exact"/>
        </w:trPr>
        <w:tc>
          <w:tcPr>
            <w:tcW w:w="3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33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391" w:type="dxa"/>
            <w:vMerge/>
            <w:tcBorders>
              <w:left w:val="single" w:sz="4" w:space="0" w:color="000000"/>
              <w:bottom w:val="nil" w:sz="6" w:space="0" w:color="auto"/>
              <w:right w:val="single" w:sz="4" w:space="0" w:color="000000"/>
            </w:tcBorders>
            <w:shd w:val="clear" w:color="auto" w:fill="D2D2D2"/>
          </w:tcPr>
          <w:p>
            <w:pPr/>
          </w:p>
        </w:tc>
        <w:tc>
          <w:tcPr>
            <w:tcW w:w="2340"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3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r>
      <w:tr>
        <w:trPr>
          <w:trHeight w:val="714"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 东的净利润</w:t>
            </w:r>
          </w:p>
        </w:tc>
        <w:tc>
          <w:tcPr>
            <w:tcW w:w="23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bookmarkStart w:name="3、其他" w:id="379"/>
      <w:bookmarkEnd w:id="379"/>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）资产负债表项目：</w:t>
      </w:r>
      <w:r>
        <w:rPr>
          <w:b w:val="0"/>
          <w:bCs w:val="0"/>
        </w:rPr>
      </w:r>
    </w:p>
    <w:p>
      <w:pPr>
        <w:pStyle w:val="BodyText"/>
        <w:spacing w:line="240" w:lineRule="auto" w:before="61"/>
        <w:ind w:left="490" w:right="0"/>
        <w:jc w:val="left"/>
      </w:pPr>
      <w:r>
        <w:rPr>
          <w:rFonts w:ascii="Times New Roman" w:hAnsi="Times New Roman" w:cs="Times New Roman" w:eastAsia="Times New Roman" w:hint="default"/>
        </w:rPr>
        <w:t>1</w:t>
      </w:r>
      <w:r>
        <w:rPr/>
        <w:t>）货币资金：本报告期比期初增长</w:t>
      </w:r>
      <w:r>
        <w:rPr>
          <w:rFonts w:ascii="Times New Roman" w:hAnsi="Times New Roman" w:cs="Times New Roman" w:eastAsia="Times New Roman" w:hint="default"/>
        </w:rPr>
        <w:t>190.86%</w:t>
      </w:r>
      <w:r>
        <w:rPr/>
        <w:t>，主要系本期非公开发行股份募集资金所致。</w:t>
      </w:r>
    </w:p>
    <w:p>
      <w:pPr>
        <w:pStyle w:val="BodyText"/>
        <w:spacing w:line="240" w:lineRule="auto" w:before="62"/>
        <w:ind w:left="490" w:right="0"/>
        <w:jc w:val="left"/>
      </w:pPr>
      <w:r>
        <w:rPr>
          <w:rFonts w:ascii="Times New Roman" w:hAnsi="Times New Roman" w:cs="Times New Roman" w:eastAsia="Times New Roman" w:hint="default"/>
        </w:rPr>
        <w:t>2</w:t>
      </w:r>
      <w:r>
        <w:rPr/>
        <w:t>）应收票据：本报告期比期初下降</w:t>
      </w:r>
      <w:r>
        <w:rPr>
          <w:rFonts w:ascii="Times New Roman" w:hAnsi="Times New Roman" w:cs="Times New Roman" w:eastAsia="Times New Roman" w:hint="default"/>
        </w:rPr>
        <w:t>48.71%</w:t>
      </w:r>
      <w:r>
        <w:rPr/>
        <w:t>，主要系本期期末收到票据较少所致。</w:t>
      </w:r>
    </w:p>
    <w:p>
      <w:pPr>
        <w:pStyle w:val="BodyText"/>
        <w:spacing w:line="259" w:lineRule="auto" w:before="59"/>
        <w:ind w:left="154" w:right="1118" w:firstLine="336"/>
        <w:jc w:val="left"/>
      </w:pPr>
      <w:r>
        <w:rPr>
          <w:rFonts w:ascii="Times New Roman" w:hAnsi="Times New Roman" w:cs="Times New Roman" w:eastAsia="Times New Roman" w:hint="default"/>
          <w:spacing w:val="-2"/>
        </w:rPr>
        <w:t>3</w:t>
      </w:r>
      <w:r>
        <w:rPr>
          <w:spacing w:val="-2"/>
        </w:rPr>
        <w:t>）预付款项：本报告期比期初增长</w:t>
      </w:r>
      <w:r>
        <w:rPr>
          <w:rFonts w:ascii="Times New Roman" w:hAnsi="Times New Roman" w:cs="Times New Roman" w:eastAsia="Times New Roman" w:hint="default"/>
          <w:spacing w:val="-2"/>
        </w:rPr>
        <w:t>33.43%</w:t>
      </w:r>
      <w:r>
        <w:rPr>
          <w:spacing w:val="-2"/>
        </w:rPr>
        <w:t>，主要系本期预付北京泰能软件有限公司畅联项目合作款所</w:t>
      </w:r>
      <w:r>
        <w:rPr/>
        <w:t> 致。</w:t>
      </w:r>
    </w:p>
    <w:p>
      <w:pPr>
        <w:pStyle w:val="BodyText"/>
        <w:spacing w:line="240" w:lineRule="auto" w:before="60"/>
        <w:ind w:left="490" w:right="0"/>
        <w:jc w:val="left"/>
      </w:pPr>
      <w:r>
        <w:rPr>
          <w:rFonts w:ascii="Times New Roman" w:hAnsi="Times New Roman" w:cs="Times New Roman" w:eastAsia="Times New Roman" w:hint="default"/>
        </w:rPr>
        <w:t>4</w:t>
      </w:r>
      <w:r>
        <w:rPr/>
        <w:t>）应收利息：本报告期比期初增长</w:t>
      </w:r>
      <w:r>
        <w:rPr>
          <w:rFonts w:ascii="Times New Roman" w:hAnsi="Times New Roman" w:cs="Times New Roman" w:eastAsia="Times New Roman" w:hint="default"/>
        </w:rPr>
        <w:t>100%</w:t>
      </w:r>
      <w:r>
        <w:rPr/>
        <w:t>，主要系本期期末协议存款产生利息所致。</w:t>
      </w:r>
    </w:p>
    <w:p>
      <w:pPr>
        <w:pStyle w:val="BodyText"/>
        <w:spacing w:line="240" w:lineRule="auto" w:before="62"/>
        <w:ind w:left="490" w:right="0"/>
        <w:jc w:val="left"/>
      </w:pPr>
      <w:r>
        <w:rPr>
          <w:rFonts w:ascii="Times New Roman" w:hAnsi="Times New Roman" w:cs="Times New Roman" w:eastAsia="Times New Roman" w:hint="default"/>
        </w:rPr>
        <w:t>5</w:t>
      </w:r>
      <w:r>
        <w:rPr/>
        <w:t>）应收股利：本报告期比期初增长</w:t>
      </w:r>
      <w:r>
        <w:rPr>
          <w:rFonts w:ascii="Times New Roman" w:hAnsi="Times New Roman" w:cs="Times New Roman" w:eastAsia="Times New Roman" w:hint="default"/>
        </w:rPr>
        <w:t>475.87%</w:t>
      </w:r>
      <w:r>
        <w:rPr/>
        <w:t>，主要系迅付信息科技有限公司宣告发放股利所致。</w:t>
      </w:r>
    </w:p>
    <w:p>
      <w:pPr>
        <w:pStyle w:val="BodyText"/>
        <w:spacing w:line="240" w:lineRule="auto" w:before="61"/>
        <w:ind w:left="490" w:right="0"/>
        <w:jc w:val="left"/>
      </w:pPr>
      <w:r>
        <w:rPr>
          <w:rFonts w:ascii="Times New Roman" w:hAnsi="Times New Roman" w:cs="Times New Roman" w:eastAsia="Times New Roman" w:hint="default"/>
        </w:rPr>
        <w:t>6</w:t>
      </w:r>
      <w:r>
        <w:rPr/>
        <w:t>）其他应收款：本报告期比期初下降</w:t>
      </w:r>
      <w:r>
        <w:rPr>
          <w:rFonts w:ascii="Times New Roman" w:hAnsi="Times New Roman" w:cs="Times New Roman" w:eastAsia="Times New Roman" w:hint="default"/>
        </w:rPr>
        <w:t>42.03%</w:t>
      </w:r>
      <w:r>
        <w:rPr/>
        <w:t>，主要系本期收回大连信开数码有限公司借款所致。</w:t>
      </w:r>
    </w:p>
    <w:p>
      <w:pPr>
        <w:pStyle w:val="BodyText"/>
        <w:spacing w:line="259" w:lineRule="auto" w:before="59"/>
        <w:ind w:right="0" w:firstLine="336"/>
        <w:jc w:val="left"/>
      </w:pPr>
      <w:r>
        <w:rPr>
          <w:rFonts w:ascii="Times New Roman" w:hAnsi="Times New Roman" w:cs="Times New Roman" w:eastAsia="Times New Roman" w:hint="default"/>
        </w:rPr>
        <w:t>7</w:t>
      </w:r>
      <w:r>
        <w:rPr/>
        <w:t>）划分为持有待售的资产：本报告期比期初下降</w:t>
      </w:r>
      <w:r>
        <w:rPr>
          <w:rFonts w:ascii="Times New Roman" w:hAnsi="Times New Roman" w:cs="Times New Roman" w:eastAsia="Times New Roman" w:hint="default"/>
        </w:rPr>
        <w:t>100%</w:t>
      </w:r>
      <w:r>
        <w:rPr/>
        <w:t>，主要系本期处置南京万国思迅软件有限公司 剩余股权所致。</w:t>
      </w:r>
    </w:p>
    <w:p>
      <w:pPr>
        <w:pStyle w:val="BodyText"/>
        <w:spacing w:line="290" w:lineRule="auto" w:before="61"/>
        <w:ind w:left="489" w:right="1127"/>
        <w:jc w:val="left"/>
        <w:rPr>
          <w:rFonts w:ascii="Times New Roman" w:hAnsi="Times New Roman" w:cs="Times New Roman" w:eastAsia="Times New Roman" w:hint="default"/>
        </w:rPr>
      </w:pPr>
      <w:r>
        <w:rPr>
          <w:rFonts w:ascii="Times New Roman" w:hAnsi="Times New Roman" w:cs="Times New Roman" w:eastAsia="Times New Roman" w:hint="default"/>
        </w:rPr>
        <w:t>8</w:t>
      </w:r>
      <w:r>
        <w:rPr/>
        <w:t>）其他流动资产：本报告期比期初增长</w:t>
      </w:r>
      <w:r>
        <w:rPr>
          <w:rFonts w:ascii="Times New Roman" w:hAnsi="Times New Roman" w:cs="Times New Roman" w:eastAsia="Times New Roman" w:hint="default"/>
        </w:rPr>
        <w:t>757.22%</w:t>
      </w:r>
      <w:r>
        <w:rPr/>
        <w:t>，主要系本期期末持有较多理财产品所致。 </w:t>
      </w:r>
      <w:r>
        <w:rPr>
          <w:rFonts w:ascii="Times New Roman" w:hAnsi="Times New Roman" w:cs="Times New Roman" w:eastAsia="Times New Roman" w:hint="default"/>
          <w:spacing w:val="-2"/>
        </w:rPr>
        <w:t>9</w:t>
      </w:r>
      <w:r>
        <w:rPr>
          <w:spacing w:val="-2"/>
        </w:rPr>
        <w:t>）可供出售金融资产：本报告期比期初增长</w:t>
      </w:r>
      <w:r>
        <w:rPr>
          <w:rFonts w:ascii="Times New Roman" w:hAnsi="Times New Roman" w:cs="Times New Roman" w:eastAsia="Times New Roman" w:hint="default"/>
          <w:spacing w:val="-2"/>
        </w:rPr>
        <w:t>1459.50%</w:t>
      </w:r>
      <w:r>
        <w:rPr>
          <w:spacing w:val="-2"/>
        </w:rPr>
        <w:t>，主要系本期投资</w:t>
      </w:r>
      <w:r>
        <w:rPr>
          <w:rFonts w:ascii="Times New Roman" w:hAnsi="Times New Roman" w:cs="Times New Roman" w:eastAsia="Times New Roman" w:hint="default"/>
          <w:spacing w:val="-2"/>
        </w:rPr>
        <w:t>eFuture</w:t>
      </w:r>
      <w:r>
        <w:rPr>
          <w:rFonts w:ascii="Times New Roman" w:hAnsi="Times New Roman" w:cs="Times New Roman" w:eastAsia="Times New Roman" w:hint="default"/>
        </w:rPr>
        <w:t> </w:t>
      </w:r>
      <w:r>
        <w:rPr>
          <w:rFonts w:ascii="Times New Roman" w:hAnsi="Times New Roman" w:cs="Times New Roman" w:eastAsia="Times New Roman" w:hint="default"/>
          <w:spacing w:val="-1"/>
        </w:rPr>
        <w:t>Information</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
        </w:rPr>
        <w:t>Technology</w:t>
      </w:r>
    </w:p>
    <w:p>
      <w:pPr>
        <w:pStyle w:val="BodyText"/>
        <w:spacing w:line="264" w:lineRule="exact" w:before="0"/>
        <w:ind w:right="0"/>
        <w:jc w:val="left"/>
      </w:pPr>
      <w:r>
        <w:rPr>
          <w:rFonts w:ascii="Times New Roman" w:hAnsi="Times New Roman" w:cs="Times New Roman" w:eastAsia="Times New Roman" w:hint="default"/>
        </w:rPr>
        <w:t>Inc.</w:t>
      </w:r>
      <w:r>
        <w:rPr/>
        <w:t>所致。</w:t>
      </w:r>
    </w:p>
    <w:p>
      <w:pPr>
        <w:pStyle w:val="BodyText"/>
        <w:spacing w:line="259" w:lineRule="auto" w:before="59"/>
        <w:ind w:right="0" w:firstLine="336"/>
        <w:jc w:val="left"/>
      </w:pPr>
      <w:r>
        <w:rPr>
          <w:rFonts w:ascii="Times New Roman" w:hAnsi="Times New Roman" w:cs="Times New Roman" w:eastAsia="Times New Roman" w:hint="default"/>
          <w:spacing w:val="-2"/>
        </w:rPr>
        <w:t>10</w:t>
      </w:r>
      <w:r>
        <w:rPr>
          <w:spacing w:val="-2"/>
        </w:rPr>
        <w:t>）长期股权投资：本报告期比期初增长</w:t>
      </w:r>
      <w:r>
        <w:rPr>
          <w:rFonts w:ascii="Times New Roman" w:hAnsi="Times New Roman" w:cs="Times New Roman" w:eastAsia="Times New Roman" w:hint="default"/>
          <w:spacing w:val="-2"/>
        </w:rPr>
        <w:t>189.81%</w:t>
      </w:r>
      <w:r>
        <w:rPr>
          <w:spacing w:val="-2"/>
        </w:rPr>
        <w:t>，主要系子公司石基（香港）有限公司本期对外投资</w:t>
      </w:r>
      <w:r>
        <w:rPr/>
        <w:t> 企业增加所致。</w:t>
      </w:r>
    </w:p>
    <w:p>
      <w:pPr>
        <w:pStyle w:val="BodyText"/>
        <w:spacing w:line="240" w:lineRule="auto" w:before="61"/>
        <w:ind w:left="490" w:right="0"/>
        <w:jc w:val="left"/>
      </w:pPr>
      <w:r>
        <w:rPr>
          <w:rFonts w:ascii="Times New Roman" w:hAnsi="Times New Roman" w:cs="Times New Roman" w:eastAsia="Times New Roman" w:hint="default"/>
        </w:rPr>
        <w:t>11</w:t>
      </w:r>
      <w:r>
        <w:rPr/>
        <w:t>）商誉：本报告期比期初增长</w:t>
      </w:r>
      <w:r>
        <w:rPr>
          <w:rFonts w:ascii="Times New Roman" w:hAnsi="Times New Roman" w:cs="Times New Roman" w:eastAsia="Times New Roman" w:hint="default"/>
        </w:rPr>
        <w:t>49.95%</w:t>
      </w:r>
      <w:r>
        <w:rPr/>
        <w:t>，主要系子公司石基（香港）有限公司本期收购子公司所致。</w:t>
      </w:r>
    </w:p>
    <w:p>
      <w:pPr>
        <w:pStyle w:val="BodyText"/>
        <w:spacing w:line="240" w:lineRule="auto" w:before="61"/>
        <w:ind w:left="490" w:right="0"/>
        <w:jc w:val="left"/>
      </w:pPr>
      <w:r>
        <w:rPr>
          <w:rFonts w:ascii="Times New Roman" w:hAnsi="Times New Roman" w:cs="Times New Roman" w:eastAsia="Times New Roman" w:hint="default"/>
        </w:rPr>
        <w:t>12</w:t>
      </w:r>
      <w:r>
        <w:rPr/>
        <w:t>）递延所得税资产：本报告期比期初增长</w:t>
      </w:r>
      <w:r>
        <w:rPr>
          <w:rFonts w:ascii="Times New Roman" w:hAnsi="Times New Roman" w:cs="Times New Roman" w:eastAsia="Times New Roman" w:hint="default"/>
        </w:rPr>
        <w:t>34.51%</w:t>
      </w:r>
      <w:r>
        <w:rPr/>
        <w:t>，主要系本期资产减值准备增加所致。</w:t>
      </w:r>
    </w:p>
    <w:p>
      <w:pPr>
        <w:pStyle w:val="BodyText"/>
        <w:spacing w:line="259" w:lineRule="auto" w:before="59"/>
        <w:ind w:left="154" w:right="0" w:firstLine="336"/>
        <w:jc w:val="left"/>
      </w:pPr>
      <w:r>
        <w:rPr>
          <w:rFonts w:ascii="Times New Roman" w:hAnsi="Times New Roman" w:cs="Times New Roman" w:eastAsia="Times New Roman" w:hint="default"/>
          <w:spacing w:val="-2"/>
        </w:rPr>
        <w:t>13</w:t>
      </w:r>
      <w:r>
        <w:rPr>
          <w:spacing w:val="-2"/>
        </w:rPr>
        <w:t>）其他非流动资产：本报告期比期初增长</w:t>
      </w:r>
      <w:r>
        <w:rPr>
          <w:rFonts w:ascii="Times New Roman" w:hAnsi="Times New Roman" w:cs="Times New Roman" w:eastAsia="Times New Roman" w:hint="default"/>
          <w:spacing w:val="-2"/>
        </w:rPr>
        <w:t>112.01%</w:t>
      </w:r>
      <w:r>
        <w:rPr>
          <w:spacing w:val="-2"/>
        </w:rPr>
        <w:t>，主要系本期预付北京长京益康科技有限公司股权</w:t>
      </w:r>
      <w:r>
        <w:rPr/>
        <w:t> 转让款所致。</w:t>
      </w:r>
    </w:p>
    <w:p>
      <w:pPr>
        <w:pStyle w:val="BodyText"/>
        <w:spacing w:line="240" w:lineRule="auto" w:before="61"/>
        <w:ind w:left="490" w:right="0"/>
        <w:jc w:val="left"/>
      </w:pPr>
      <w:r>
        <w:rPr>
          <w:rFonts w:ascii="Times New Roman" w:hAnsi="Times New Roman" w:cs="Times New Roman" w:eastAsia="Times New Roman" w:hint="default"/>
        </w:rPr>
        <w:t>14</w:t>
      </w:r>
      <w:r>
        <w:rPr/>
        <w:t>）短期借款：本报告期比期初增长</w:t>
      </w:r>
      <w:r>
        <w:rPr>
          <w:rFonts w:ascii="Times New Roman" w:hAnsi="Times New Roman" w:cs="Times New Roman" w:eastAsia="Times New Roman" w:hint="default"/>
        </w:rPr>
        <w:t>328.6%</w:t>
      </w:r>
      <w:r>
        <w:rPr/>
        <w:t>，主要系子公司石基（香港）有限公司取得质押借款所致。</w:t>
      </w:r>
    </w:p>
    <w:p>
      <w:pPr>
        <w:pStyle w:val="BodyText"/>
        <w:spacing w:line="259" w:lineRule="auto" w:before="59"/>
        <w:ind w:left="154" w:right="1022" w:firstLine="420"/>
        <w:jc w:val="left"/>
      </w:pPr>
      <w:r>
        <w:rPr>
          <w:rFonts w:ascii="Times New Roman" w:hAnsi="Times New Roman" w:cs="Times New Roman" w:eastAsia="Times New Roman" w:hint="default"/>
        </w:rPr>
        <w:t>15</w:t>
      </w:r>
      <w:r>
        <w:rPr/>
        <w:t>）其他流动负债：本报告期比期初增长</w:t>
      </w:r>
      <w:r>
        <w:rPr>
          <w:rFonts w:ascii="Times New Roman" w:hAnsi="Times New Roman" w:cs="Times New Roman" w:eastAsia="Times New Roman" w:hint="default"/>
        </w:rPr>
        <w:t>100%</w:t>
      </w:r>
      <w:r>
        <w:rPr/>
        <w:t>，主要系预估股权转让款系公司之子公司石基（香港） 有限公司根据股权转让协议，预估期后一年以内根据协议约定可能需要支付的对价。</w:t>
      </w:r>
    </w:p>
    <w:p>
      <w:pPr>
        <w:pStyle w:val="BodyText"/>
        <w:spacing w:line="259" w:lineRule="auto" w:before="58"/>
        <w:ind w:left="154" w:right="0" w:firstLine="420"/>
        <w:jc w:val="left"/>
      </w:pPr>
      <w:r>
        <w:rPr>
          <w:rFonts w:ascii="Times New Roman" w:hAnsi="Times New Roman" w:cs="Times New Roman" w:eastAsia="Times New Roman" w:hint="default"/>
          <w:spacing w:val="-3"/>
        </w:rPr>
        <w:t>16</w:t>
      </w:r>
      <w:r>
        <w:rPr>
          <w:spacing w:val="-3"/>
        </w:rPr>
        <w:t>）长期应付款：本报告期比期初增长</w:t>
      </w:r>
      <w:r>
        <w:rPr>
          <w:rFonts w:ascii="Times New Roman" w:hAnsi="Times New Roman" w:cs="Times New Roman" w:eastAsia="Times New Roman" w:hint="default"/>
          <w:spacing w:val="-3"/>
        </w:rPr>
        <w:t>100%</w:t>
      </w:r>
      <w:r>
        <w:rPr>
          <w:spacing w:val="-3"/>
        </w:rPr>
        <w:t>，预估股权转让款系公司之子公司石基（香港）有限公司</w:t>
      </w:r>
      <w:r>
        <w:rPr/>
        <w:t> 根据股权转让协议，预估期后一年以上根据协议约定可能需要支付的对价。</w:t>
      </w:r>
    </w:p>
    <w:p>
      <w:pPr>
        <w:pStyle w:val="BodyText"/>
        <w:spacing w:line="259" w:lineRule="auto" w:before="60"/>
        <w:ind w:right="0" w:firstLine="336"/>
        <w:jc w:val="left"/>
      </w:pPr>
      <w:r>
        <w:rPr>
          <w:rFonts w:ascii="Times New Roman" w:hAnsi="Times New Roman" w:cs="Times New Roman" w:eastAsia="Times New Roman" w:hint="default"/>
          <w:spacing w:val="-3"/>
        </w:rPr>
        <w:t>17</w:t>
      </w:r>
      <w:r>
        <w:rPr>
          <w:spacing w:val="-3"/>
        </w:rPr>
        <w:t>）资本公积：本报告期比期初增长</w:t>
      </w:r>
      <w:r>
        <w:rPr>
          <w:rFonts w:ascii="Times New Roman" w:hAnsi="Times New Roman" w:cs="Times New Roman" w:eastAsia="Times New Roman" w:hint="default"/>
          <w:spacing w:val="-3"/>
        </w:rPr>
        <w:t>100%</w:t>
      </w:r>
      <w:r>
        <w:rPr>
          <w:spacing w:val="-3"/>
        </w:rPr>
        <w:t>，主要系公司向淘宝（中国）软件有限公司非公开发行股份，</w:t>
      </w:r>
      <w:r>
        <w:rPr/>
        <w:t> 共募集资金</w:t>
      </w:r>
      <w:r>
        <w:rPr>
          <w:rFonts w:ascii="Times New Roman" w:hAnsi="Times New Roman" w:cs="Times New Roman" w:eastAsia="Times New Roman" w:hint="default"/>
        </w:rPr>
        <w:t>2,388,879,301.40</w:t>
      </w:r>
      <w:r>
        <w:rPr/>
        <w:t>元，其中</w:t>
      </w:r>
      <w:r>
        <w:rPr>
          <w:rFonts w:ascii="Times New Roman" w:hAnsi="Times New Roman" w:cs="Times New Roman" w:eastAsia="Times New Roman" w:hint="default"/>
        </w:rPr>
        <w:t>46,476,251.00</w:t>
      </w:r>
      <w:r>
        <w:rPr/>
        <w:t>元计入股本，扣除各项发行费用后</w:t>
      </w:r>
      <w:r>
        <w:rPr>
          <w:rFonts w:ascii="Times New Roman" w:hAnsi="Times New Roman" w:cs="Times New Roman" w:eastAsia="Times New Roman" w:hint="default"/>
        </w:rPr>
        <w:t>2,325,696,175.15</w:t>
      </w:r>
      <w:r>
        <w:rPr/>
        <w:t>元计</w:t>
      </w:r>
      <w:r>
        <w:rPr>
          <w:spacing w:val="-79"/>
        </w:rPr>
        <w:t> </w:t>
      </w:r>
      <w:r>
        <w:rPr/>
        <w:t>入资本公积。</w:t>
      </w:r>
    </w:p>
    <w:p>
      <w:pPr>
        <w:pStyle w:val="BodyText"/>
        <w:spacing w:line="240" w:lineRule="auto" w:before="58"/>
        <w:ind w:left="490"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18</w:t>
      </w:r>
      <w:r>
        <w:rPr>
          <w:spacing w:val="-3"/>
        </w:rPr>
        <w:t>）其他综合收益：本报告期比期初增长</w:t>
      </w:r>
      <w:r>
        <w:rPr>
          <w:rFonts w:ascii="Times New Roman" w:hAnsi="Times New Roman" w:cs="Times New Roman" w:eastAsia="Times New Roman" w:hint="default"/>
          <w:spacing w:val="-3"/>
        </w:rPr>
        <w:t>3615.86%</w:t>
      </w:r>
      <w:r>
        <w:rPr>
          <w:spacing w:val="-3"/>
        </w:rPr>
        <w:t>，主要系本期购买</w:t>
      </w:r>
      <w:r>
        <w:rPr>
          <w:rFonts w:ascii="Times New Roman" w:hAnsi="Times New Roman" w:cs="Times New Roman" w:eastAsia="Times New Roman" w:hint="default"/>
          <w:spacing w:val="-3"/>
        </w:rPr>
        <w:t>eFuture </w:t>
      </w:r>
      <w:r>
        <w:rPr>
          <w:rFonts w:ascii="Times New Roman" w:hAnsi="Times New Roman" w:cs="Times New Roman" w:eastAsia="Times New Roman" w:hint="default"/>
        </w:rPr>
        <w:t>Information Technology</w:t>
      </w:r>
      <w:r>
        <w:rPr>
          <w:rFonts w:ascii="Times New Roman" w:hAnsi="Times New Roman" w:cs="Times New Roman" w:eastAsia="Times New Roman" w:hint="default"/>
          <w:spacing w:val="-21"/>
        </w:rPr>
        <w:t> </w:t>
      </w:r>
      <w:r>
        <w:rPr>
          <w:rFonts w:ascii="Times New Roman" w:hAnsi="Times New Roman" w:cs="Times New Roman" w:eastAsia="Times New Roman" w:hint="default"/>
        </w:rPr>
        <w:t>Inc.</w:t>
      </w:r>
    </w:p>
    <w:p>
      <w:pPr>
        <w:pStyle w:val="BodyText"/>
        <w:spacing w:line="240" w:lineRule="auto" w:before="22"/>
        <w:ind w:right="0"/>
        <w:jc w:val="left"/>
      </w:pPr>
      <w:r>
        <w:rPr/>
        <w:t>股票产生公允价值变动及外币报表折算差额增加所致。</w:t>
      </w:r>
    </w:p>
    <w:p>
      <w:pPr>
        <w:pStyle w:val="BodyText"/>
        <w:spacing w:line="240" w:lineRule="auto" w:before="76"/>
        <w:ind w:left="489" w:right="0"/>
        <w:jc w:val="left"/>
      </w:pPr>
      <w:r>
        <w:rPr>
          <w:rFonts w:ascii="Times New Roman" w:hAnsi="Times New Roman" w:cs="Times New Roman" w:eastAsia="Times New Roman" w:hint="default"/>
        </w:rPr>
        <w:t>19</w:t>
      </w:r>
      <w:r>
        <w:rPr/>
        <w:t>）盈余公积：本报告期比期初增长</w:t>
      </w:r>
      <w:r>
        <w:rPr>
          <w:rFonts w:ascii="Times New Roman" w:hAnsi="Times New Roman" w:cs="Times New Roman" w:eastAsia="Times New Roman" w:hint="default"/>
        </w:rPr>
        <w:t>108.02%</w:t>
      </w:r>
      <w:r>
        <w:rPr/>
        <w:t>，主要系母公司本期计提盈余公积所致。</w:t>
      </w:r>
    </w:p>
    <w:p>
      <w:pPr>
        <w:pStyle w:val="BodyText"/>
        <w:spacing w:line="240" w:lineRule="auto" w:before="62"/>
        <w:ind w:left="489" w:right="0"/>
        <w:jc w:val="left"/>
      </w:pPr>
      <w:r>
        <w:rPr>
          <w:rFonts w:ascii="Times New Roman" w:hAnsi="Times New Roman" w:cs="Times New Roman" w:eastAsia="Times New Roman" w:hint="default"/>
        </w:rPr>
        <w:t>20</w:t>
      </w:r>
      <w:r>
        <w:rPr/>
        <w:t>）少数股东权益：本报告期比期初增长</w:t>
      </w:r>
      <w:r>
        <w:rPr>
          <w:rFonts w:ascii="Times New Roman" w:hAnsi="Times New Roman" w:cs="Times New Roman" w:eastAsia="Times New Roman" w:hint="default"/>
        </w:rPr>
        <w:t>30.61%</w:t>
      </w:r>
      <w:r>
        <w:rPr/>
        <w:t>，主要系本期收购子公司所致。</w:t>
      </w:r>
    </w:p>
    <w:p>
      <w:pPr>
        <w:pStyle w:val="Heading4"/>
        <w:spacing w:line="240" w:lineRule="auto" w:before="61"/>
        <w:ind w:right="0"/>
        <w:jc w:val="left"/>
        <w:rPr>
          <w:b w:val="0"/>
          <w:bCs w:val="0"/>
        </w:rPr>
      </w:pPr>
      <w:r>
        <w:rPr/>
        <w:t>（</w:t>
      </w:r>
      <w:r>
        <w:rPr>
          <w:rFonts w:ascii="Times New Roman" w:hAnsi="Times New Roman" w:cs="Times New Roman" w:eastAsia="Times New Roman" w:hint="default"/>
        </w:rPr>
        <w:t>2</w:t>
      </w:r>
      <w:r>
        <w:rPr/>
        <w:t>）利润表项目：</w:t>
      </w:r>
      <w:r>
        <w:rPr>
          <w:b w:val="0"/>
          <w:bCs w:val="0"/>
        </w:rPr>
      </w:r>
    </w:p>
    <w:p>
      <w:pPr>
        <w:pStyle w:val="BodyText"/>
        <w:spacing w:line="259" w:lineRule="auto" w:before="59"/>
        <w:ind w:left="154" w:right="1118" w:firstLine="336"/>
        <w:jc w:val="left"/>
      </w:pPr>
      <w:r>
        <w:rPr>
          <w:rFonts w:ascii="Times New Roman" w:hAnsi="Times New Roman" w:cs="Times New Roman" w:eastAsia="Times New Roman" w:hint="default"/>
        </w:rPr>
        <w:t>1</w:t>
      </w:r>
      <w:r>
        <w:rPr/>
        <w:t>）财务费用：本报告期比上年同期增长</w:t>
      </w:r>
      <w:r>
        <w:rPr>
          <w:rFonts w:ascii="Times New Roman" w:hAnsi="Times New Roman" w:cs="Times New Roman" w:eastAsia="Times New Roman" w:hint="default"/>
        </w:rPr>
        <w:t>231.28%</w:t>
      </w:r>
      <w:r>
        <w:rPr/>
        <w:t>，主要系本期货币资金增加较多，存款利息收入增加</w:t>
      </w:r>
      <w:r>
        <w:rPr>
          <w:spacing w:val="2"/>
        </w:rPr>
        <w:t> </w:t>
      </w:r>
      <w:r>
        <w:rPr/>
        <w:t>所致。</w:t>
      </w:r>
    </w:p>
    <w:p>
      <w:pPr>
        <w:pStyle w:val="BodyText"/>
        <w:spacing w:line="240" w:lineRule="auto" w:before="61"/>
        <w:ind w:left="490" w:right="0"/>
        <w:jc w:val="left"/>
      </w:pPr>
      <w:r>
        <w:rPr>
          <w:rFonts w:ascii="Times New Roman" w:hAnsi="Times New Roman" w:cs="Times New Roman" w:eastAsia="Times New Roman" w:hint="default"/>
        </w:rPr>
        <w:t>2</w:t>
      </w:r>
      <w:r>
        <w:rPr/>
        <w:t>）资产减值损失：本报告期比上年同期增长</w:t>
      </w:r>
      <w:r>
        <w:rPr>
          <w:rFonts w:ascii="Times New Roman" w:hAnsi="Times New Roman" w:cs="Times New Roman" w:eastAsia="Times New Roman" w:hint="default"/>
        </w:rPr>
        <w:t>52.65%</w:t>
      </w:r>
      <w:r>
        <w:rPr/>
        <w:t>，主要系本期变更会计估计所致。</w:t>
      </w:r>
    </w:p>
    <w:p>
      <w:pPr>
        <w:pStyle w:val="BodyText"/>
        <w:spacing w:line="240" w:lineRule="auto" w:before="61"/>
        <w:ind w:left="490" w:right="0"/>
        <w:jc w:val="left"/>
      </w:pPr>
      <w:r>
        <w:rPr>
          <w:rFonts w:ascii="Times New Roman" w:hAnsi="Times New Roman" w:cs="Times New Roman" w:eastAsia="Times New Roman" w:hint="default"/>
        </w:rPr>
        <w:t>3</w:t>
      </w:r>
      <w:r>
        <w:rPr/>
        <w:t>）营业外支出：本报告期比上年同期增长</w:t>
      </w:r>
      <w:r>
        <w:rPr>
          <w:rFonts w:ascii="Times New Roman" w:hAnsi="Times New Roman" w:cs="Times New Roman" w:eastAsia="Times New Roman" w:hint="default"/>
        </w:rPr>
        <w:t>101.51</w:t>
      </w:r>
      <w:r>
        <w:rPr/>
        <w:t>，主要系本期处置非流动资产损失较多所致。</w:t>
      </w:r>
    </w:p>
    <w:p>
      <w:pPr>
        <w:pStyle w:val="BodyText"/>
        <w:spacing w:line="259" w:lineRule="auto" w:before="59"/>
        <w:ind w:left="154" w:right="1118" w:firstLine="336"/>
        <w:jc w:val="left"/>
      </w:pPr>
      <w:r>
        <w:rPr>
          <w:rFonts w:ascii="Times New Roman" w:hAnsi="Times New Roman" w:cs="Times New Roman" w:eastAsia="Times New Roman" w:hint="default"/>
          <w:spacing w:val="-2"/>
        </w:rPr>
        <w:t>4</w:t>
      </w:r>
      <w:r>
        <w:rPr>
          <w:spacing w:val="-2"/>
        </w:rPr>
        <w:t>）所得税费用：本报告期比上年同期下降</w:t>
      </w:r>
      <w:r>
        <w:rPr>
          <w:rFonts w:ascii="Times New Roman" w:hAnsi="Times New Roman" w:cs="Times New Roman" w:eastAsia="Times New Roman" w:hint="default"/>
          <w:spacing w:val="-2"/>
        </w:rPr>
        <w:t>35.02%</w:t>
      </w:r>
      <w:r>
        <w:rPr>
          <w:spacing w:val="-2"/>
        </w:rPr>
        <w:t>，主要系本期使用以前年度可抵扣亏损较多及利润下</w:t>
      </w:r>
      <w:r>
        <w:rPr/>
        <w:t> 降所致。</w:t>
      </w:r>
    </w:p>
    <w:p>
      <w:pPr>
        <w:pStyle w:val="Heading4"/>
        <w:spacing w:line="240" w:lineRule="auto" w:before="61"/>
        <w:ind w:right="0"/>
        <w:jc w:val="left"/>
        <w:rPr>
          <w:rFonts w:ascii="Times New Roman" w:hAnsi="Times New Roman" w:cs="Times New Roman" w:eastAsia="Times New Roman" w:hint="default"/>
          <w:b w:val="0"/>
          <w:bCs w:val="0"/>
        </w:rPr>
      </w:pPr>
      <w:r>
        <w:rPr/>
        <w:t>（</w:t>
      </w:r>
      <w:r>
        <w:rPr>
          <w:rFonts w:ascii="Times New Roman" w:hAnsi="Times New Roman" w:cs="Times New Roman" w:eastAsia="Times New Roman" w:hint="default"/>
        </w:rPr>
        <w:t>3</w:t>
      </w:r>
      <w:r>
        <w:rPr/>
        <w:t>）现金流量表项目</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7"/>
        <w:rPr>
          <w:rFonts w:ascii="Times New Roman" w:hAnsi="Times New Roman" w:cs="Times New Roman" w:eastAsia="Times New Roman" w:hint="default"/>
          <w:b/>
          <w:bCs/>
          <w:sz w:val="23"/>
          <w:szCs w:val="23"/>
        </w:rPr>
      </w:pPr>
    </w:p>
    <w:p>
      <w:pPr>
        <w:pStyle w:val="BodyText"/>
        <w:spacing w:line="240" w:lineRule="auto" w:before="35"/>
        <w:ind w:left="490" w:right="0"/>
        <w:jc w:val="left"/>
      </w:pPr>
      <w:r>
        <w:rPr>
          <w:rFonts w:ascii="Times New Roman" w:hAnsi="Times New Roman" w:cs="Times New Roman" w:eastAsia="Times New Roman" w:hint="default"/>
        </w:rPr>
        <w:t>1</w:t>
      </w:r>
      <w:r>
        <w:rPr/>
        <w:t>）收到的税费返还：本报告期比上年同期增长了</w:t>
      </w:r>
      <w:r>
        <w:rPr>
          <w:rFonts w:ascii="Times New Roman" w:hAnsi="Times New Roman" w:cs="Times New Roman" w:eastAsia="Times New Roman" w:hint="default"/>
        </w:rPr>
        <w:t>51.25%</w:t>
      </w:r>
      <w:r>
        <w:rPr/>
        <w:t>，主要系本期收到增值税退税款增加所致。</w:t>
      </w:r>
    </w:p>
    <w:p>
      <w:pPr>
        <w:pStyle w:val="BodyText"/>
        <w:spacing w:line="259" w:lineRule="auto" w:before="59"/>
        <w:ind w:right="1118" w:firstLine="336"/>
        <w:jc w:val="left"/>
      </w:pPr>
      <w:r>
        <w:rPr>
          <w:rFonts w:ascii="Times New Roman" w:hAnsi="Times New Roman" w:cs="Times New Roman" w:eastAsia="Times New Roman" w:hint="default"/>
        </w:rPr>
        <w:t>2</w:t>
      </w:r>
      <w:r>
        <w:rPr/>
        <w:t>）收到其他与经营活动有关的现金：本报告期比上年同期增长</w:t>
      </w:r>
      <w:r>
        <w:rPr>
          <w:rFonts w:ascii="Times New Roman" w:hAnsi="Times New Roman" w:cs="Times New Roman" w:eastAsia="Times New Roman" w:hint="default"/>
        </w:rPr>
        <w:t>135.53%</w:t>
      </w:r>
      <w:r>
        <w:rPr/>
        <w:t>，主要系本期利息收入增加所 致。</w:t>
      </w:r>
    </w:p>
    <w:p>
      <w:pPr>
        <w:pStyle w:val="BodyText"/>
        <w:spacing w:line="259" w:lineRule="auto" w:before="60"/>
        <w:ind w:right="0" w:firstLine="336"/>
        <w:jc w:val="left"/>
      </w:pPr>
      <w:r>
        <w:rPr>
          <w:rFonts w:ascii="Times New Roman" w:hAnsi="Times New Roman" w:cs="Times New Roman" w:eastAsia="Times New Roman" w:hint="default"/>
        </w:rPr>
        <w:t>3</w:t>
      </w:r>
      <w:r>
        <w:rPr/>
        <w:t>）支付其他与经营活动有关的现金：本报告期比上年同期增长</w:t>
      </w:r>
      <w:r>
        <w:rPr>
          <w:rFonts w:ascii="Times New Roman" w:hAnsi="Times New Roman" w:cs="Times New Roman" w:eastAsia="Times New Roman" w:hint="default"/>
        </w:rPr>
        <w:t>68.54%</w:t>
      </w:r>
      <w:r>
        <w:rPr/>
        <w:t>，主要系支付的在途资金。公司 </w:t>
      </w:r>
      <w:r>
        <w:rPr>
          <w:spacing w:val="-5"/>
        </w:rPr>
        <w:t>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日汇款给境外子公司石基（香港）有限公司的款项，由于跨境汇款结算时间较长，截止</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24"/>
        </w:rPr>
        <w:t> </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日，子公司石基（香港）有限公司的银行账户暂未收到此笔汇款，该项资金列示在其他流动资产，</w:t>
      </w:r>
      <w:r>
        <w:rPr>
          <w:spacing w:val="-92"/>
        </w:rPr>
        <w:t> </w:t>
      </w:r>
      <w:r>
        <w:rPr>
          <w:spacing w:val="-92"/>
        </w:rPr>
      </w:r>
      <w:r>
        <w:rPr/>
        <w:t>作为支付的其他与经营活动有关的现金列示。</w:t>
      </w:r>
    </w:p>
    <w:p>
      <w:pPr>
        <w:pStyle w:val="BodyText"/>
        <w:spacing w:line="259" w:lineRule="auto" w:before="58"/>
        <w:ind w:left="154" w:right="1118" w:firstLine="336"/>
        <w:jc w:val="left"/>
      </w:pPr>
      <w:r>
        <w:rPr>
          <w:rFonts w:ascii="Times New Roman" w:hAnsi="Times New Roman" w:cs="Times New Roman" w:eastAsia="Times New Roman" w:hint="default"/>
        </w:rPr>
        <w:t>4</w:t>
      </w:r>
      <w:r>
        <w:rPr/>
        <w:t>）收回投资收到的现金：本报告期比上年同期增长</w:t>
      </w:r>
      <w:r>
        <w:rPr>
          <w:rFonts w:ascii="Times New Roman" w:hAnsi="Times New Roman" w:cs="Times New Roman" w:eastAsia="Times New Roman" w:hint="default"/>
        </w:rPr>
        <w:t>531.48%</w:t>
      </w:r>
      <w:r>
        <w:rPr/>
        <w:t>，主要系本期理财产品购买及赎回较多所 致。</w:t>
      </w:r>
    </w:p>
    <w:p>
      <w:pPr>
        <w:pStyle w:val="BodyText"/>
        <w:spacing w:line="259" w:lineRule="auto" w:before="58"/>
        <w:ind w:left="154" w:right="0" w:firstLine="336"/>
        <w:jc w:val="left"/>
      </w:pPr>
      <w:r>
        <w:rPr>
          <w:rFonts w:ascii="Times New Roman" w:hAnsi="Times New Roman" w:cs="Times New Roman" w:eastAsia="Times New Roman" w:hint="default"/>
        </w:rPr>
        <w:t>5</w:t>
      </w:r>
      <w:r>
        <w:rPr/>
        <w:t>）处置固定资产、无形资产和其他长期资产收回的现金净额：本报告期比上年同期增长</w:t>
      </w:r>
      <w:r>
        <w:rPr>
          <w:rFonts w:ascii="Times New Roman" w:hAnsi="Times New Roman" w:cs="Times New Roman" w:eastAsia="Times New Roman" w:hint="default"/>
        </w:rPr>
        <w:t>624.46%</w:t>
      </w:r>
      <w:r>
        <w:rPr/>
        <w:t>，主</w:t>
      </w:r>
      <w:r>
        <w:rPr>
          <w:spacing w:val="2"/>
        </w:rPr>
        <w:t> </w:t>
      </w:r>
      <w:r>
        <w:rPr/>
        <w:t>要系本期处置非流动资产较多所致。</w:t>
      </w:r>
    </w:p>
    <w:p>
      <w:pPr>
        <w:pStyle w:val="BodyText"/>
        <w:spacing w:line="259" w:lineRule="auto" w:before="60"/>
        <w:ind w:left="154" w:right="1118" w:firstLine="336"/>
        <w:jc w:val="left"/>
      </w:pPr>
      <w:r>
        <w:rPr>
          <w:rFonts w:ascii="Times New Roman" w:hAnsi="Times New Roman" w:cs="Times New Roman" w:eastAsia="Times New Roman" w:hint="default"/>
        </w:rPr>
        <w:t>6</w:t>
      </w:r>
      <w:r>
        <w:rPr/>
        <w:t>）处置子公司及其他营业单位收到的现金净额：本报告期比上年同期增长</w:t>
      </w:r>
      <w:r>
        <w:rPr>
          <w:rFonts w:ascii="Times New Roman" w:hAnsi="Times New Roman" w:cs="Times New Roman" w:eastAsia="Times New Roman" w:hint="default"/>
        </w:rPr>
        <w:t>100%</w:t>
      </w:r>
      <w:r>
        <w:rPr/>
        <w:t>，主要系本期处置子 公司所致。</w:t>
      </w:r>
    </w:p>
    <w:p>
      <w:pPr>
        <w:pStyle w:val="BodyText"/>
        <w:spacing w:line="259" w:lineRule="auto" w:before="58"/>
        <w:ind w:left="154" w:right="0" w:firstLine="336"/>
        <w:jc w:val="left"/>
      </w:pPr>
      <w:r>
        <w:rPr>
          <w:rFonts w:ascii="Times New Roman" w:hAnsi="Times New Roman" w:cs="Times New Roman" w:eastAsia="Times New Roman" w:hint="default"/>
          <w:spacing w:val="-2"/>
        </w:rPr>
        <w:t>7</w:t>
      </w:r>
      <w:r>
        <w:rPr>
          <w:spacing w:val="-2"/>
        </w:rPr>
        <w:t>）收到其他与投资活动有关的现金：本报告期比上年同期下降</w:t>
      </w:r>
      <w:r>
        <w:rPr>
          <w:rFonts w:ascii="Times New Roman" w:hAnsi="Times New Roman" w:cs="Times New Roman" w:eastAsia="Times New Roman" w:hint="default"/>
          <w:spacing w:val="-2"/>
        </w:rPr>
        <w:t>81.96%</w:t>
      </w:r>
      <w:r>
        <w:rPr>
          <w:spacing w:val="-2"/>
        </w:rPr>
        <w:t>，主要系本期收回的借款较上期</w:t>
      </w:r>
      <w:r>
        <w:rPr/>
        <w:t> 减少较多所致。</w:t>
      </w:r>
    </w:p>
    <w:p>
      <w:pPr>
        <w:pStyle w:val="BodyText"/>
        <w:spacing w:line="259" w:lineRule="auto" w:before="58"/>
        <w:ind w:right="0" w:firstLine="336"/>
        <w:jc w:val="left"/>
      </w:pPr>
      <w:r>
        <w:rPr>
          <w:rFonts w:ascii="Times New Roman" w:hAnsi="Times New Roman" w:cs="Times New Roman" w:eastAsia="Times New Roman" w:hint="default"/>
          <w:spacing w:val="-2"/>
        </w:rPr>
        <w:t>8</w:t>
      </w:r>
      <w:r>
        <w:rPr>
          <w:spacing w:val="-2"/>
        </w:rPr>
        <w:t>）投资支付的现金：本报告期比上年同期增长</w:t>
      </w:r>
      <w:r>
        <w:rPr>
          <w:rFonts w:ascii="Times New Roman" w:hAnsi="Times New Roman" w:cs="Times New Roman" w:eastAsia="Times New Roman" w:hint="default"/>
          <w:spacing w:val="-2"/>
        </w:rPr>
        <w:t>1105.61%</w:t>
      </w:r>
      <w:r>
        <w:rPr>
          <w:spacing w:val="-2"/>
        </w:rPr>
        <w:t>，主要系本期理财产品购买及赎回较多及本年</w:t>
      </w:r>
      <w:r>
        <w:rPr/>
        <w:t> 收购万达控股、浩华、</w:t>
      </w:r>
      <w:r>
        <w:rPr>
          <w:rFonts w:ascii="Times New Roman" w:hAnsi="Times New Roman" w:cs="Times New Roman" w:eastAsia="Times New Roman" w:hint="default"/>
        </w:rPr>
        <w:t>eFuture</w:t>
      </w:r>
      <w:r>
        <w:rPr/>
        <w:t>等公司共同所致。</w:t>
      </w:r>
    </w:p>
    <w:p>
      <w:pPr>
        <w:pStyle w:val="BodyText"/>
        <w:spacing w:line="240" w:lineRule="auto" w:before="43"/>
        <w:ind w:left="489" w:right="0"/>
        <w:jc w:val="left"/>
      </w:pPr>
      <w:r>
        <w:rPr>
          <w:rFonts w:ascii="Times New Roman" w:hAnsi="Times New Roman" w:cs="Times New Roman" w:eastAsia="Times New Roman" w:hint="default"/>
        </w:rPr>
        <w:t>9</w:t>
      </w:r>
      <w:r>
        <w:rPr/>
        <w:t>）吸收投资收到的现金：本报告期比上年同期增长</w:t>
      </w:r>
      <w:r>
        <w:rPr>
          <w:rFonts w:ascii="Times New Roman" w:hAnsi="Times New Roman" w:cs="Times New Roman" w:eastAsia="Times New Roman" w:hint="default"/>
        </w:rPr>
        <w:t>100%</w:t>
      </w:r>
      <w:r>
        <w:rPr/>
        <w:t>，主要系本期发生非公开发行股票所致。</w:t>
      </w:r>
    </w:p>
    <w:p>
      <w:pPr>
        <w:pStyle w:val="BodyText"/>
        <w:spacing w:line="240" w:lineRule="auto" w:before="61"/>
        <w:ind w:left="490" w:right="0"/>
        <w:jc w:val="left"/>
      </w:pPr>
      <w:r>
        <w:rPr>
          <w:rFonts w:ascii="Times New Roman" w:hAnsi="Times New Roman" w:cs="Times New Roman" w:eastAsia="Times New Roman" w:hint="default"/>
        </w:rPr>
        <w:t>10</w:t>
      </w:r>
      <w:r>
        <w:rPr/>
        <w:t>）取得借款收到的现金：本报告期比上年同期增长</w:t>
      </w:r>
      <w:r>
        <w:rPr>
          <w:rFonts w:ascii="Times New Roman" w:hAnsi="Times New Roman" w:cs="Times New Roman" w:eastAsia="Times New Roman" w:hint="default"/>
        </w:rPr>
        <w:t>110.38%</w:t>
      </w:r>
      <w:r>
        <w:rPr/>
        <w:t>，主要系本期香港子公司取得借款所致。</w:t>
      </w:r>
    </w:p>
    <w:p>
      <w:pPr>
        <w:pStyle w:val="BodyText"/>
        <w:spacing w:line="259" w:lineRule="auto" w:before="59"/>
        <w:ind w:left="154" w:right="0" w:firstLine="336"/>
        <w:jc w:val="left"/>
      </w:pPr>
      <w:r>
        <w:rPr>
          <w:rFonts w:ascii="Times New Roman" w:hAnsi="Times New Roman" w:cs="Times New Roman" w:eastAsia="Times New Roman" w:hint="default"/>
          <w:spacing w:val="-1"/>
        </w:rPr>
        <w:t>11</w:t>
      </w:r>
      <w:r>
        <w:rPr>
          <w:spacing w:val="-1"/>
        </w:rPr>
        <w:t>）支付其他与筹资活动有关的现金：本报告期比上年同期下降</w:t>
      </w:r>
      <w:r>
        <w:rPr>
          <w:rFonts w:ascii="Times New Roman" w:hAnsi="Times New Roman" w:cs="Times New Roman" w:eastAsia="Times New Roman" w:hint="default"/>
          <w:spacing w:val="-1"/>
        </w:rPr>
        <w:t>100%</w:t>
      </w:r>
      <w:r>
        <w:rPr>
          <w:spacing w:val="-1"/>
        </w:rPr>
        <w:t>，主要系上期收购中电器件少数</w:t>
      </w:r>
      <w:r>
        <w:rPr/>
        <w:t> 股权，本期无此支出所致。</w:t>
      </w:r>
    </w:p>
    <w:p>
      <w:pPr>
        <w:pStyle w:val="BodyText"/>
        <w:spacing w:line="259" w:lineRule="auto" w:before="60"/>
        <w:ind w:left="154" w:right="0" w:firstLine="336"/>
        <w:jc w:val="left"/>
      </w:pPr>
      <w:r>
        <w:rPr>
          <w:rFonts w:ascii="Times New Roman" w:hAnsi="Times New Roman" w:cs="Times New Roman" w:eastAsia="Times New Roman" w:hint="default"/>
          <w:spacing w:val="-2"/>
        </w:rPr>
        <w:t>12</w:t>
      </w:r>
      <w:r>
        <w:rPr>
          <w:spacing w:val="-2"/>
        </w:rPr>
        <w:t>）现金及现金等价物净增加额本期比上年同期增长</w:t>
      </w:r>
      <w:r>
        <w:rPr>
          <w:rFonts w:ascii="Times New Roman" w:hAnsi="Times New Roman" w:cs="Times New Roman" w:eastAsia="Times New Roman" w:hint="default"/>
          <w:spacing w:val="-2"/>
        </w:rPr>
        <w:t>336.68%</w:t>
      </w:r>
      <w:r>
        <w:rPr>
          <w:spacing w:val="-2"/>
        </w:rPr>
        <w:t>，主要系本公司向淘宝（中国）软件有限</w:t>
      </w:r>
      <w:r>
        <w:rPr/>
        <w:t> 公司非公开发行股份，募集资金到位所致。</w:t>
      </w:r>
    </w:p>
    <w:p>
      <w:pPr>
        <w:spacing w:after="0" w:line="259"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286" w:right="0"/>
        <w:jc w:val="left"/>
        <w:rPr>
          <w:b w:val="0"/>
          <w:bCs w:val="0"/>
        </w:rPr>
      </w:pPr>
      <w:bookmarkStart w:name="第十一节 备查文件目录" w:id="380"/>
      <w:bookmarkEnd w:id="380"/>
      <w:r>
        <w:rPr>
          <w:b w:val="0"/>
          <w:bCs w:val="0"/>
        </w:rPr>
      </w:r>
      <w:bookmarkStart w:name="_bookmark9" w:id="381"/>
      <w:bookmarkEnd w:id="381"/>
      <w:r>
        <w:rPr>
          <w:b w:val="0"/>
          <w:bCs w:val="0"/>
        </w:rPr>
      </w:r>
      <w:r>
        <w:rPr/>
        <w:t>第十一节</w:t>
      </w:r>
      <w:r>
        <w:rPr>
          <w:spacing w:val="-7"/>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408" w:lineRule="auto" w:before="0"/>
        <w:ind w:left="154" w:right="2142"/>
        <w:jc w:val="left"/>
      </w:pPr>
      <w:r>
        <w:rPr/>
        <w:t>一、载有本公司法定代表人、主管会计工作负责人、会计主管签名并盖章的财务报表。 二、载有瑞华会计师事务所（特殊普通合伙）盖章、注册会计师签名并盖章的审计报告原件。 三、报告期内在中国证监会指定网站上公开披露过的所有本公司文件的正本及公告的原稿。 四、载有董事长李仲初先生签名的</w:t>
      </w:r>
      <w:r>
        <w:rPr>
          <w:rFonts w:ascii="Times New Roman" w:hAnsi="Times New Roman" w:cs="Times New Roman" w:eastAsia="Times New Roman" w:hint="default"/>
        </w:rPr>
        <w:t>2015</w:t>
      </w:r>
      <w:r>
        <w:rPr/>
        <w:t>年年度报告全文。</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4704" type="#_x0000_t75" stroked="false">
          <v:imagedata r:id="rId1" o:title=""/>
        </v:shape>
      </w:pict>
    </w:r>
    <w:r>
      <w:rPr/>
      <w:pict>
        <v:shape style="position:absolute;margin-left:294.420013pt;margin-top:795.517944pt;width:6.5pt;height:11pt;mso-position-horizontal-relative:page;mso-position-vertical-relative:page;z-index:-944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4176" type="#_x0000_t75" stroked="false">
          <v:imagedata r:id="rId1" o:title=""/>
        </v:shape>
      </w:pict>
    </w:r>
    <w:r>
      <w:rPr/>
      <w:pict>
        <v:shape style="position:absolute;margin-left:288.920013pt;margin-top:781.957947pt;width:17.5pt;height:11pt;mso-position-horizontal-relative:page;mso-position-vertical-relative:page;z-index:-944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4128" type="#_x0000_t75" stroked="false">
          <v:imagedata r:id="rId1" o:title=""/>
        </v:shape>
      </w:pict>
    </w:r>
    <w:r>
      <w:rPr/>
      <w:pict>
        <v:shape style="position:absolute;margin-left:288.920013pt;margin-top:781.957947pt;width:17.5pt;height:11pt;mso-position-horizontal-relative:page;mso-position-vertical-relative:page;z-index:-944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4656" type="#_x0000_t75" stroked="false">
          <v:imagedata r:id="rId1" o:title=""/>
        </v:shape>
      </w:pict>
    </w:r>
    <w:r>
      <w:rPr/>
      <w:pict>
        <v:shape style="position:absolute;margin-left:291.200012pt;margin-top:781.957947pt;width:13pt;height:11pt;mso-position-horizontal-relative:page;mso-position-vertical-relative:page;z-index:-944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44584" type="#_x0000_t75" stroked="false">
          <v:imagedata r:id="rId1" o:title=""/>
        </v:shape>
      </w:pict>
    </w:r>
    <w:r>
      <w:rPr/>
      <w:pict>
        <v:shape style="position:absolute;margin-left:414.480011pt;margin-top:535.357971pt;width:13pt;height:11pt;mso-position-horizontal-relative:page;mso-position-vertical-relative:page;z-index:-944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4488" type="#_x0000_t75" stroked="false">
          <v:imagedata r:id="rId1" o:title=""/>
        </v:shape>
      </w:pict>
    </w:r>
    <w:r>
      <w:rPr/>
      <w:pict>
        <v:shape style="position:absolute;margin-left:291.200012pt;margin-top:781.957947pt;width:13pt;height:11pt;mso-position-horizontal-relative:page;mso-position-vertical-relative:page;z-index:-944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4440" type="#_x0000_t75" stroked="false">
          <v:imagedata r:id="rId1" o:title=""/>
        </v:shape>
      </w:pict>
    </w:r>
    <w:r>
      <w:rPr/>
      <w:pict>
        <v:shape style="position:absolute;margin-left:291.200012pt;margin-top:781.957947pt;width:13pt;height:11pt;mso-position-horizontal-relative:page;mso-position-vertical-relative:page;z-index:-944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44368" type="#_x0000_t75" stroked="false">
          <v:imagedata r:id="rId1" o:title=""/>
        </v:shape>
      </w:pict>
    </w:r>
    <w:r>
      <w:rPr/>
      <w:pict>
        <v:shape style="position:absolute;margin-left:414.480011pt;margin-top:535.357971pt;width:13pt;height:11pt;mso-position-horizontal-relative:page;mso-position-vertical-relative:page;z-index:-944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4272" type="#_x0000_t75" stroked="false">
          <v:imagedata r:id="rId1" o:title=""/>
        </v:shape>
      </w:pict>
    </w:r>
    <w:r>
      <w:rPr/>
      <w:pict>
        <v:shape style="position:absolute;margin-left:291.200012pt;margin-top:781.957947pt;width:13pt;height:11pt;mso-position-horizontal-relative:page;mso-position-vertical-relative:page;z-index:-944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44224" type="#_x0000_t75" stroked="false">
          <v:imagedata r:id="rId1" o:title=""/>
        </v:shape>
      </w:pict>
    </w:r>
    <w:r>
      <w:rPr/>
      <w:pict>
        <v:shape style="position:absolute;margin-left:289.920013pt;margin-top:781.957947pt;width:15.5pt;height:11pt;mso-position-horizontal-relative:page;mso-position-vertical-relative:page;z-index:-9442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944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60022pt;margin-top:42.865631pt;width:231.55pt;height:11.5pt;mso-position-horizontal-relative:page;mso-position-vertical-relative:page;z-index:-944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94453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08.160004pt;margin-top:42.865608pt;width:231.55pt;height:11.5pt;mso-position-horizontal-relative:page;mso-position-vertical-relative:page;z-index:-944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60022pt;margin-top:42.865631pt;width:231.55pt;height:11.5pt;mso-position-horizontal-relative:page;mso-position-vertical-relative:page;z-index:-944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4432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08.160004pt;margin-top:42.865608pt;width:231.55pt;height:11.5pt;mso-position-horizontal-relative:page;mso-position-vertical-relative:page;z-index:-944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5"/>
      <w:ind w:left="153"/>
    </w:pPr>
    <w:rPr>
      <w:rFonts w:ascii="宋体" w:hAnsi="宋体" w:eastAsia="宋体"/>
      <w:b/>
      <w:bCs/>
      <w:sz w:val="24"/>
      <w:szCs w:val="24"/>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1"/>
      <w:ind w:left="206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shijinet.com.cn/" TargetMode="External"/><Relationship Id="rId9" Type="http://schemas.openxmlformats.org/officeDocument/2006/relationships/hyperlink" Target="mailto:IR@shijinet.com.cn" TargetMode="External"/><Relationship Id="rId10" Type="http://schemas.openxmlformats.org/officeDocument/2006/relationships/hyperlink" Target="mailto:luofang@shijinet.com.cn" TargetMode="External"/><Relationship Id="rId11" Type="http://schemas.openxmlformats.org/officeDocument/2006/relationships/hyperlink" Target="mailto:any.zhao@shijinet.com.cn"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hyperlink" Target="http://irm.cninfo.com.cn/ircs/ssgs/companyIrmes.do?stockcode=002153" TargetMode="External"/><Relationship Id="rId22" Type="http://schemas.openxmlformats.org/officeDocument/2006/relationships/hyperlink" Target="http://www.cninfo.com.cn&#30340;/" TargetMode="External"/><Relationship Id="rId23" Type="http://schemas.openxmlformats.org/officeDocument/2006/relationships/image" Target="media/image2.jpeg"/><Relationship Id="rId24" Type="http://schemas.openxmlformats.org/officeDocument/2006/relationships/header" Target="header5.xml"/><Relationship Id="rId25" Type="http://schemas.openxmlformats.org/officeDocument/2006/relationships/footer" Target="footer7.xml"/><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2020-05-04T12:34:54Z</dcterms:created>
  <dcterms:modified xsi:type="dcterms:W3CDTF">2020-05-04T12:34:54Z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Office Word 2007</vt:lpwstr>
  </property>
  <property fmtid="{D5CDD505-2E9C-101B-9397-08002B2CF9AE}" pid="4" name="LastSaved">
    <vt:filetime>2020-05-04T00:00:00Z</vt:filetime>
  </property>
</Properties>
</file>