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Default Extension="jpeg" ContentType="image/jpeg"/>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29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8608" cy="8191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8608" cy="819150"/>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060" w:right="2063" w:firstLine="0"/>
        <w:jc w:val="center"/>
        <w:rPr>
          <w:rFonts w:ascii="宋体" w:hAnsi="宋体" w:cs="宋体" w:eastAsia="宋体" w:hint="default"/>
          <w:sz w:val="36"/>
          <w:szCs w:val="36"/>
        </w:rPr>
      </w:pPr>
      <w:r>
        <w:rPr>
          <w:rFonts w:ascii="宋体" w:hAnsi="宋体" w:cs="宋体" w:eastAsia="宋体" w:hint="default"/>
          <w:b/>
          <w:bCs/>
          <w:sz w:val="36"/>
          <w:szCs w:val="36"/>
        </w:rPr>
        <w:t>北京中长石基信息技术股份有限公司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60"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51"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7"/>
        </w:rPr>
        <w:t> </w:t>
      </w:r>
      <w:r>
        <w:rPr>
          <w:spacing w:val="-137"/>
        </w:rPr>
      </w:r>
      <w:r>
        <w:rPr/>
        <w:t>带的法律责任。</w:t>
      </w:r>
      <w:r>
        <w:rPr>
          <w:b w:val="0"/>
          <w:bCs w:val="0"/>
        </w:rPr>
      </w:r>
    </w:p>
    <w:p>
      <w:pPr>
        <w:pStyle w:val="Heading2"/>
        <w:spacing w:line="386" w:lineRule="auto"/>
        <w:ind w:right="151" w:firstLine="562"/>
        <w:jc w:val="both"/>
        <w:rPr>
          <w:b w:val="0"/>
          <w:bCs w:val="0"/>
        </w:rPr>
      </w:pPr>
      <w:r>
        <w:rPr>
          <w:w w:val="95"/>
        </w:rPr>
        <w:t>公司负责人李仲初、主管会计工作负责人赖德源及会计机构负责人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李天达声明：保证年度报告中财务报告的真实、准确、完整。</w:t>
      </w:r>
      <w:r>
        <w:rPr>
          <w:b w:val="0"/>
          <w:bCs w:val="0"/>
        </w:rPr>
      </w:r>
    </w:p>
    <w:p>
      <w:pPr>
        <w:pStyle w:val="Heading2"/>
        <w:spacing w:line="472" w:lineRule="auto" w:before="148"/>
        <w:ind w:left="714" w:right="153"/>
        <w:jc w:val="left"/>
        <w:rPr>
          <w:b w:val="0"/>
          <w:bCs w:val="0"/>
        </w:rPr>
      </w:pPr>
      <w:r>
        <w:rPr/>
        <w:t>所有董事均已出席了审议本报告的董事会会议。</w:t>
      </w:r>
      <w:r>
        <w:rPr>
          <w:w w:val="99"/>
        </w:rPr>
        <w:t> </w:t>
      </w:r>
      <w:r>
        <w:rPr>
          <w:spacing w:val="2"/>
        </w:rPr>
        <w:t>本年度报告所涉及的未来计划等前瞻性陈述，不构成公司对投资者的实质</w:t>
      </w:r>
      <w:r>
        <w:rPr>
          <w:b w:val="0"/>
          <w:bCs w:val="0"/>
          <w:spacing w:val="2"/>
        </w:rPr>
      </w:r>
    </w:p>
    <w:p>
      <w:pPr>
        <w:pStyle w:val="Heading2"/>
        <w:spacing w:line="408" w:lineRule="auto" w:before="0"/>
        <w:ind w:right="149"/>
        <w:jc w:val="left"/>
        <w:rPr>
          <w:b w:val="0"/>
          <w:bCs w:val="0"/>
        </w:rPr>
      </w:pPr>
      <w:r>
        <w:rPr>
          <w:spacing w:val="2"/>
        </w:rPr>
        <w:t>承诺，请投资者注意投资风险，并保持足够的风险认识，理解计划、预测与承</w:t>
      </w:r>
      <w:r>
        <w:rPr>
          <w:w w:val="99"/>
        </w:rPr>
        <w:t> </w:t>
      </w:r>
      <w:r>
        <w:rPr/>
        <w:t>诺之间的差异。</w:t>
      </w:r>
      <w:r>
        <w:rPr>
          <w:b w:val="0"/>
          <w:bCs w:val="0"/>
        </w:rPr>
      </w:r>
    </w:p>
    <w:p>
      <w:pPr>
        <w:pStyle w:val="Heading2"/>
        <w:spacing w:line="408" w:lineRule="auto"/>
        <w:ind w:right="152" w:firstLine="562"/>
        <w:jc w:val="both"/>
        <w:rPr>
          <w:b w:val="0"/>
          <w:bCs w:val="0"/>
        </w:rPr>
      </w:pPr>
      <w:r>
        <w:rPr>
          <w:spacing w:val="2"/>
        </w:rPr>
        <w:t>公司存在因行业新技术发展变革导致的技术风险，公司传统业务依赖酒店</w:t>
      </w:r>
      <w:r>
        <w:rPr>
          <w:w w:val="99"/>
        </w:rPr>
        <w:t> </w:t>
      </w:r>
      <w:r>
        <w:rPr>
          <w:spacing w:val="2"/>
        </w:rPr>
        <w:t>行业发展的市场及政策风险，公司资产和业务规模扩大所带来的经营管理风险</w:t>
      </w:r>
      <w:r>
        <w:rPr>
          <w:w w:val="99"/>
        </w:rPr>
        <w:t> </w:t>
      </w:r>
      <w:r>
        <w:rPr>
          <w:spacing w:val="2"/>
        </w:rPr>
        <w:t>和海外投资风险，以及与互联网企业合作进展不确定性的风险，敬请广大投资</w:t>
      </w:r>
      <w:r>
        <w:rPr>
          <w:spacing w:val="2"/>
          <w:w w:val="99"/>
        </w:rPr>
        <w:t> </w:t>
      </w:r>
      <w:r>
        <w:rPr/>
        <w:t>者注意投资风险。</w:t>
      </w:r>
      <w:r>
        <w:rPr>
          <w:b w:val="0"/>
          <w:bCs w:val="0"/>
        </w:rPr>
      </w:r>
    </w:p>
    <w:p>
      <w:pPr>
        <w:pStyle w:val="Heading2"/>
        <w:spacing w:line="240" w:lineRule="auto"/>
        <w:ind w:left="714" w:right="0"/>
        <w:jc w:val="left"/>
        <w:rPr>
          <w:b w:val="0"/>
          <w:bCs w:val="0"/>
        </w:rPr>
      </w:pPr>
      <w:r>
        <w:rPr/>
        <w:t>公司经本次董事会审议通过的利润分配预案为：以</w:t>
      </w:r>
      <w:r>
        <w:rPr>
          <w:spacing w:val="-65"/>
        </w:rPr>
        <w:t> </w:t>
      </w:r>
      <w:r>
        <w:rPr>
          <w:rFonts w:ascii="Times New Roman" w:hAnsi="Times New Roman" w:cs="Times New Roman" w:eastAsia="Times New Roman" w:hint="default"/>
        </w:rPr>
        <w:t>1,066,788,753</w:t>
      </w:r>
      <w:r>
        <w:rPr>
          <w:rFonts w:ascii="Times New Roman" w:hAnsi="Times New Roman" w:cs="Times New Roman" w:eastAsia="Times New Roman" w:hint="default"/>
          <w:spacing w:val="5"/>
        </w:rPr>
        <w:t> </w:t>
      </w:r>
      <w:r>
        <w:rPr/>
        <w:t>为基数，</w:t>
      </w:r>
      <w:r>
        <w:rPr>
          <w:b w:val="0"/>
          <w:bCs w:val="0"/>
        </w:rPr>
      </w:r>
    </w:p>
    <w:p>
      <w:pPr>
        <w:pStyle w:val="Heading2"/>
        <w:spacing w:line="386" w:lineRule="auto" w:before="236"/>
        <w:ind w:right="144"/>
        <w:jc w:val="left"/>
        <w:rPr>
          <w:b w:val="0"/>
          <w:bCs w:val="0"/>
        </w:rPr>
      </w:pPr>
      <w:r>
        <w:rPr>
          <w:w w:val="99"/>
        </w:rPr>
        <w:t>向全体股东每</w:t>
      </w:r>
      <w:r>
        <w:rPr>
          <w:spacing w:val="-69"/>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99"/>
        </w:rPr>
        <w:t>股派发现金红利</w:t>
      </w:r>
      <w:r>
        <w:rPr>
          <w:spacing w:val="-69"/>
          <w:w w:val="99"/>
        </w:rPr>
        <w:t> </w:t>
      </w:r>
      <w:r>
        <w:rPr>
          <w:rFonts w:ascii="Times New Roman" w:hAnsi="Times New Roman" w:cs="Times New Roman" w:eastAsia="Times New Roman" w:hint="default"/>
          <w:w w:val="100"/>
        </w:rPr>
        <w:t>1.00 </w:t>
      </w:r>
      <w:r>
        <w:rPr>
          <w:spacing w:val="-23"/>
          <w:w w:val="99"/>
        </w:rPr>
        <w:t>元（含税），送红股</w:t>
      </w:r>
      <w:r>
        <w:rPr>
          <w:spacing w:val="-69"/>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 </w:t>
      </w:r>
      <w:r>
        <w:rPr>
          <w:spacing w:val="-23"/>
          <w:w w:val="99"/>
        </w:rPr>
        <w:t>股（含税），不以公</w:t>
      </w:r>
      <w:r>
        <w:rPr>
          <w:w w:val="99"/>
        </w:rPr>
        <w:t> </w:t>
      </w:r>
      <w:r>
        <w:rPr/>
        <w:t>积金转增股本。</w:t>
      </w:r>
      <w:r>
        <w:rPr>
          <w:b w:val="0"/>
          <w:bCs w:val="0"/>
        </w:rPr>
      </w:r>
    </w:p>
    <w:p>
      <w:pPr>
        <w:spacing w:after="0" w:line="386" w:lineRule="auto"/>
        <w:jc w:val="left"/>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20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8"/>
              </w:rPr>
              <w:t> </w:t>
            </w:r>
            <w:r>
              <w:rPr/>
              <w:t>经营情况讨论与分析</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公司债券相关情况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211</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745" w:footer="980" w:top="1060" w:bottom="1160" w:left="980" w:right="980"/>
        </w:sectPr>
      </w:pPr>
    </w:p>
    <w:p>
      <w:pPr>
        <w:spacing w:before="945"/>
        <w:ind w:left="2060" w:right="20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33"/>
        <w:gridCol w:w="827"/>
        <w:gridCol w:w="5611"/>
      </w:tblGrid>
      <w:tr>
        <w:trPr>
          <w:trHeight w:val="403" w:hRule="exact"/>
        </w:trPr>
        <w:tc>
          <w:tcPr>
            <w:tcW w:w="3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公司、石基信息、本公司</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北京中长石基信息技术股份有限公司公司章程</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北京中长石基信息技术股份有限公司股东大会</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北京中长石基信息技术股份有限公司董事会</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北京中长石基信息技术股份有限公司监事会</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中电器件</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长益科技</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航信华仪</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石基昆仑</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正品贵德</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思迅软件</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r>
      <w:tr>
        <w:trPr>
          <w:trHeight w:val="404"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r>
      <w:tr>
        <w:trPr>
          <w:trHeight w:val="161" w:hRule="exact"/>
        </w:trPr>
        <w:tc>
          <w:tcPr>
            <w:tcW w:w="3133"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Infrasys</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1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5"/>
                <w:sz w:val="18"/>
                <w:szCs w:val="18"/>
              </w:rPr>
              <w:t>Ltd.</w:t>
            </w:r>
            <w:r>
              <w:rPr>
                <w:rFonts w:ascii="宋体" w:hAnsi="宋体" w:cs="宋体" w:eastAsia="宋体" w:hint="default"/>
                <w:spacing w:val="-5"/>
                <w:sz w:val="18"/>
                <w:szCs w:val="18"/>
              </w:rPr>
              <w:t>，已于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日正式更名为石基信息技 术（香港）有限公司</w:t>
            </w:r>
          </w:p>
        </w:tc>
      </w:tr>
      <w:tr>
        <w:trPr>
          <w:trHeight w:val="394" w:hRule="exact"/>
        </w:trPr>
        <w:tc>
          <w:tcPr>
            <w:tcW w:w="3133" w:type="dxa"/>
            <w:vMerge/>
            <w:tcBorders>
              <w:left w:val="single" w:sz="4" w:space="0" w:color="000000"/>
              <w:right w:val="single" w:sz="10"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vMerge/>
            <w:tcBorders>
              <w:left w:val="single" w:sz="9" w:space="0" w:color="D2D2D2"/>
              <w:right w:val="single" w:sz="4" w:space="0" w:color="000000"/>
            </w:tcBorders>
          </w:tcPr>
          <w:p>
            <w:pPr/>
          </w:p>
        </w:tc>
      </w:tr>
      <w:tr>
        <w:trPr>
          <w:trHeight w:val="161" w:hRule="exact"/>
        </w:trPr>
        <w:tc>
          <w:tcPr>
            <w:tcW w:w="3133" w:type="dxa"/>
            <w:vMerge/>
            <w:tcBorders>
              <w:left w:val="single" w:sz="4" w:space="0" w:color="000000"/>
              <w:bottom w:val="single" w:sz="4" w:space="0" w:color="000000"/>
              <w:right w:val="single" w:sz="10"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1" w:type="dxa"/>
            <w:vMerge/>
            <w:tcBorders>
              <w:left w:val="single" w:sz="9" w:space="0" w:color="D2D2D2"/>
              <w:bottom w:val="single" w:sz="4" w:space="0" w:color="000000"/>
              <w:right w:val="single" w:sz="4" w:space="0" w:color="000000"/>
            </w:tcBorders>
          </w:tcPr>
          <w:p>
            <w:pPr/>
          </w:p>
        </w:tc>
      </w:tr>
      <w:tr>
        <w:trPr>
          <w:trHeight w:val="401"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广州万迅</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r>
      <w:tr>
        <w:trPr>
          <w:trHeight w:val="403" w:hRule="exact"/>
        </w:trPr>
        <w:tc>
          <w:tcPr>
            <w:tcW w:w="31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GREAT </w:t>
            </w:r>
            <w:r>
              <w:rPr>
                <w:rFonts w:ascii="Times New Roman"/>
                <w:sz w:val="18"/>
              </w:rPr>
              <w:t>KYLIN INVESTMENT</w:t>
            </w:r>
            <w:r>
              <w:rPr>
                <w:rFonts w:ascii="Times New Roman"/>
                <w:spacing w:val="-6"/>
                <w:sz w:val="18"/>
              </w:rPr>
              <w:t> </w:t>
            </w:r>
            <w:r>
              <w:rPr>
                <w:rFonts w:ascii="Times New Roman"/>
                <w:sz w:val="18"/>
              </w:rPr>
              <w:t>LIMITED</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21"/>
        <w:gridCol w:w="850"/>
        <w:gridCol w:w="5600"/>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浩华管理顾问（亚太）有限公司及浩华管理顾问（北京）有限公司</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AC</w:t>
            </w:r>
            <w:r>
              <w:rPr>
                <w:rFonts w:ascii="Times New Roman"/>
                <w:spacing w:val="-3"/>
                <w:sz w:val="18"/>
              </w:rPr>
              <w:t> </w:t>
            </w:r>
            <w:r>
              <w:rPr>
                <w:rFonts w:ascii="Times New Roman"/>
                <w:sz w:val="18"/>
              </w:rPr>
              <w:t>Project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AC Project</w:t>
            </w:r>
            <w:r>
              <w:rPr>
                <w:rFonts w:ascii="Times New Roman"/>
                <w:spacing w:val="-6"/>
                <w:sz w:val="18"/>
              </w:rPr>
              <w:t> </w:t>
            </w:r>
            <w:r>
              <w:rPr>
                <w:rFonts w:ascii="Times New Roman"/>
                <w:sz w:val="18"/>
              </w:rPr>
              <w:t>GmbH</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商用星联</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Snapshot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GmbH</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RR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Shiji</w:t>
            </w:r>
            <w:r>
              <w:rPr>
                <w:rFonts w:ascii="宋体" w:hAnsi="宋体" w:cs="宋体" w:eastAsia="宋体" w:hint="default"/>
                <w:sz w:val="18"/>
                <w:szCs w:val="18"/>
              </w:rPr>
              <w:t>（</w:t>
            </w:r>
            <w:r>
              <w:rPr>
                <w:rFonts w:ascii="Times New Roman" w:hAnsi="Times New Roman" w:cs="Times New Roman" w:eastAsia="Times New Roman" w:hint="default"/>
                <w:sz w:val="18"/>
                <w:szCs w:val="18"/>
              </w:rPr>
              <w:t>Singapore</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w:t>
            </w:r>
            <w:r>
              <w:rPr>
                <w:rFonts w:ascii="宋体" w:hAnsi="宋体" w:cs="宋体" w:eastAsia="宋体" w:hint="default"/>
                <w:sz w:val="18"/>
                <w:szCs w:val="18"/>
              </w:rPr>
              <w:t>（</w:t>
            </w:r>
            <w:r>
              <w:rPr>
                <w:rFonts w:ascii="Times New Roman" w:hAnsi="Times New Roman" w:cs="Times New Roman" w:eastAsia="Times New Roman" w:hint="default"/>
                <w:sz w:val="18"/>
                <w:szCs w:val="18"/>
              </w:rPr>
              <w:t>Singapore</w:t>
            </w:r>
            <w:r>
              <w:rPr>
                <w:rFonts w:ascii="宋体" w:hAnsi="宋体" w:cs="宋体" w:eastAsia="宋体" w:hint="default"/>
                <w:sz w:val="18"/>
                <w:szCs w:val="18"/>
              </w:rPr>
              <w:t>）</w:t>
            </w:r>
            <w:r>
              <w:rPr>
                <w:rFonts w:ascii="Times New Roman" w:hAnsi="Times New Roman" w:cs="Times New Roman" w:eastAsia="Times New Roman" w:hint="default"/>
                <w:sz w:val="18"/>
                <w:szCs w:val="18"/>
              </w:rPr>
              <w:t>Pte.Ltd</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2"/>
                <w:sz w:val="18"/>
              </w:rPr>
              <w:t> </w:t>
            </w:r>
            <w:r>
              <w:rPr>
                <w:rFonts w:ascii="Times New Roman"/>
                <w:sz w:val="18"/>
              </w:rPr>
              <w:t>(US)</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2"/>
                <w:sz w:val="18"/>
              </w:rPr>
              <w:t> </w:t>
            </w:r>
            <w:r>
              <w:rPr>
                <w:rFonts w:ascii="Times New Roman"/>
                <w:sz w:val="18"/>
              </w:rPr>
              <w:t>INC.</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现化电脑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Hetras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6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Hetras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Deutschland GmbH</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日更名为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Shiji Deutschland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GmbH</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科传控股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未来酒店</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浙江未来酒店网络技术有限公司</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StayNTouch</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18"/>
                <w:sz w:val="18"/>
              </w:rPr>
              <w:t> </w:t>
            </w:r>
            <w:r>
              <w:rPr>
                <w:rFonts w:ascii="Times New Roman"/>
                <w:sz w:val="18"/>
              </w:rPr>
              <w:t>Inc.</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淘宝（中国）</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银科环企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6"/>
                <w:sz w:val="18"/>
              </w:rPr>
              <w:t> </w:t>
            </w:r>
            <w:r>
              <w:rPr>
                <w:rFonts w:ascii="Times New Roman"/>
                <w:sz w:val="18"/>
              </w:rPr>
              <w:t>PLC</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苏州环企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r>
      <w:tr>
        <w:trPr>
          <w:trHeight w:val="133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Efut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eFuture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及原北京富基融通科技有限公司，注：</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eFuture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更名为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Retail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z w:val="18"/>
                <w:szCs w:val="18"/>
              </w:rPr>
              <w:t> Technology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日，原北京富基融通科技有限公 司更名为北京石基大商信息技术有限公司。</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石基零售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 Retail Information Technology Co.</w:t>
            </w:r>
            <w:r>
              <w:rPr>
                <w:rFonts w:ascii="Times New Roman"/>
                <w:spacing w:val="-29"/>
                <w:sz w:val="18"/>
              </w:rPr>
              <w:t> </w:t>
            </w:r>
            <w:r>
              <w:rPr>
                <w:rFonts w:ascii="Times New Roman"/>
                <w:sz w:val="18"/>
              </w:rPr>
              <w:t>Ltd.</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石基大商信息</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富基信息</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SAAS</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软件即服务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53"/>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002153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Shiji Information Technology Co.,</w:t>
            </w:r>
            <w:r>
              <w:rPr>
                <w:rFonts w:ascii="Times New Roman"/>
                <w:spacing w:val="-27"/>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李仲初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号楼燕保大厦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层，北京市东城区东水井胡同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100040</w:t>
            </w:r>
            <w:r>
              <w:rPr>
                <w:rFonts w:ascii="宋体" w:hAnsi="宋体" w:cs="宋体" w:eastAsia="宋体" w:hint="default"/>
                <w:sz w:val="18"/>
                <w:szCs w:val="18"/>
              </w:rPr>
              <w:t>，</w:t>
            </w:r>
            <w:r>
              <w:rPr>
                <w:rFonts w:ascii="Times New Roman" w:hAnsi="Times New Roman" w:cs="Times New Roman" w:eastAsia="Times New Roman" w:hint="default"/>
                <w:sz w:val="18"/>
                <w:szCs w:val="18"/>
              </w:rPr>
              <w:t>100010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www.shijigroup.com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IR@shijigroup.com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赵文瑜</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号楼燕</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保大厦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层证券部</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层证券部</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010-68249356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010-68249356</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010-68183776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010-68183776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luofang@shijigroup.com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any.zhao@shijigroup.com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15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63434298-5</w:t>
            </w: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张昆、张海啸</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2,961,186,590.64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2,662,608,134.04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1,986,663,614.65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419,028,697.62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388,790,331.19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360,995,723.54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390,403,534.34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375,524,963.57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345,007,761.73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513,062,230.22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613,237,760.85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338,309,932.37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6,787,524,575.56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6,057,269,280.00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5,276,802,862.32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5,251,402,125.92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4,939,387,704.50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4,626,952,638.57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5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153"/>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502"/>
        <w:gridCol w:w="199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548,509,862.13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671,665,773.50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744,588,959.99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996,421,995.02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62,791,446.70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119,702,832.04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95,967,501.66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140,566,917.22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59,869,074.44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117,183,213.76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90,789,697.23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122,561,548.91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-39,859,736.75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63,252,600.33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47,860,560.76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441,808,805.88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374"/>
        <w:gridCol w:w="1145"/>
        <w:gridCol w:w="1277"/>
        <w:gridCol w:w="1133"/>
        <w:gridCol w:w="2722"/>
      </w:tblGrid>
      <w:tr>
        <w:trPr>
          <w:trHeight w:val="403" w:hRule="exact"/>
        </w:trPr>
        <w:tc>
          <w:tcPr>
            <w:tcW w:w="3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-13,551,953.4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-626,156.56</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1,112,543.16</w:t>
            </w:r>
          </w:p>
        </w:tc>
        <w:tc>
          <w:tcPr>
            <w:tcW w:w="2722"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主要系公司下属子公司中电器件 </w:t>
            </w:r>
            <w:r>
              <w:rPr>
                <w:rFonts w:ascii="宋体" w:hAnsi="宋体" w:cs="宋体" w:eastAsia="宋体" w:hint="default"/>
                <w:spacing w:val="-3"/>
                <w:sz w:val="18"/>
                <w:szCs w:val="18"/>
              </w:rPr>
              <w:t>进行危房改造，本期产生较多房屋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改造清理损失。</w:t>
            </w:r>
          </w:p>
        </w:tc>
      </w:tr>
      <w:tr>
        <w:trPr>
          <w:trHeight w:val="703" w:hRule="exact"/>
        </w:trPr>
        <w:tc>
          <w:tcPr>
            <w:tcW w:w="33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6" w:right="1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w:t>
            </w:r>
            <w:r>
              <w:rPr>
                <w:rFonts w:ascii="宋体" w:hAnsi="宋体" w:cs="宋体" w:eastAsia="宋体" w:hint="default"/>
                <w:sz w:val="18"/>
                <w:szCs w:val="18"/>
              </w:rPr>
              <w:t> 准备的冲销部分）</w:t>
            </w:r>
          </w:p>
        </w:tc>
        <w:tc>
          <w:tcPr>
            <w:tcW w:w="114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722" w:type="dxa"/>
            <w:vMerge/>
            <w:tcBorders>
              <w:left w:val="single" w:sz="4" w:space="0" w:color="000000"/>
              <w:right w:val="single" w:sz="4" w:space="0" w:color="000000"/>
            </w:tcBorders>
          </w:tcPr>
          <w:p>
            <w:pPr/>
          </w:p>
        </w:tc>
      </w:tr>
      <w:tr>
        <w:trPr>
          <w:trHeight w:val="161" w:hRule="exact"/>
        </w:trPr>
        <w:tc>
          <w:tcPr>
            <w:tcW w:w="3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single" w:sz="4" w:space="0" w:color="000000"/>
            </w:tcBorders>
          </w:tcPr>
          <w:p>
            <w:pPr/>
          </w:p>
        </w:tc>
      </w:tr>
      <w:tr>
        <w:trPr>
          <w:trHeight w:val="715" w:hRule="exact"/>
        </w:trPr>
        <w:tc>
          <w:tcPr>
            <w:tcW w:w="3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10"/>
              <w:jc w:val="left"/>
              <w:rPr>
                <w:rFonts w:ascii="宋体" w:hAnsi="宋体" w:cs="宋体" w:eastAsia="宋体" w:hint="default"/>
                <w:sz w:val="18"/>
                <w:szCs w:val="18"/>
              </w:rPr>
            </w:pPr>
            <w:r>
              <w:rPr>
                <w:rFonts w:ascii="宋体" w:hAnsi="宋体" w:cs="宋体" w:eastAsia="宋体" w:hint="default"/>
                <w:spacing w:val="-4"/>
                <w:sz w:val="18"/>
                <w:szCs w:val="18"/>
              </w:rPr>
              <w:t>越权审批或无正式批准文件的税收返还、减</w:t>
            </w:r>
            <w:r>
              <w:rPr>
                <w:rFonts w:ascii="宋体" w:hAnsi="宋体" w:cs="宋体" w:eastAsia="宋体" w:hint="default"/>
                <w:sz w:val="18"/>
                <w:szCs w:val="18"/>
              </w:rPr>
              <w:t> 免</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2,247,437.80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40,855.79</w:t>
            </w: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10"/>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w:t>
            </w:r>
            <w:r>
              <w:rPr>
                <w:rFonts w:ascii="宋体" w:hAnsi="宋体" w:cs="宋体" w:eastAsia="宋体" w:hint="default"/>
                <w:sz w:val="18"/>
                <w:szCs w:val="18"/>
              </w:rPr>
              <w:t> </w:t>
            </w:r>
            <w:r>
              <w:rPr>
                <w:rFonts w:ascii="宋体" w:hAnsi="宋体" w:cs="宋体" w:eastAsia="宋体" w:hint="default"/>
                <w:spacing w:val="-4"/>
                <w:sz w:val="18"/>
                <w:szCs w:val="18"/>
              </w:rPr>
              <w:t>相关，按照国家统一标准定额或定量享受的</w:t>
            </w:r>
            <w:r>
              <w:rPr>
                <w:rFonts w:ascii="宋体" w:hAnsi="宋体" w:cs="宋体" w:eastAsia="宋体" w:hint="default"/>
                <w:sz w:val="18"/>
                <w:szCs w:val="18"/>
              </w:rPr>
              <w:t> 政府补助除外）</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6,419,397.00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6,726,763.40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1,342,900.00</w:t>
            </w: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116"/>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 w:right="10"/>
              <w:jc w:val="left"/>
              <w:rPr>
                <w:rFonts w:ascii="宋体" w:hAnsi="宋体" w:cs="宋体" w:eastAsia="宋体" w:hint="default"/>
                <w:sz w:val="18"/>
                <w:szCs w:val="18"/>
              </w:rPr>
            </w:pPr>
            <w:r>
              <w:rPr>
                <w:rFonts w:ascii="宋体" w:hAnsi="宋体" w:cs="宋体" w:eastAsia="宋体" w:hint="default"/>
                <w:spacing w:val="-4"/>
                <w:sz w:val="18"/>
                <w:szCs w:val="18"/>
              </w:rPr>
              <w:t>企业取得子公司、联营企业及合营企业的投</w:t>
            </w:r>
            <w:r>
              <w:rPr>
                <w:rFonts w:ascii="宋体" w:hAnsi="宋体" w:cs="宋体" w:eastAsia="宋体" w:hint="default"/>
                <w:sz w:val="18"/>
                <w:szCs w:val="18"/>
              </w:rPr>
              <w:t> 资成本小于取得投资时应享有被投资单位</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-4,606,208.46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GalasysPLC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取得控制权前， 原持有权益法核算股权按照公允</w:t>
            </w:r>
          </w:p>
        </w:tc>
      </w:tr>
    </w:tbl>
    <w:p>
      <w:pPr>
        <w:spacing w:after="0" w:line="29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3"/>
        <w:gridCol w:w="1133"/>
        <w:gridCol w:w="1277"/>
        <w:gridCol w:w="1133"/>
        <w:gridCol w:w="2722"/>
      </w:tblGrid>
      <w:tr>
        <w:trPr>
          <w:trHeight w:val="362"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可辨认净资产公允价值产生的收益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12"/>
              <w:jc w:val="left"/>
              <w:rPr>
                <w:rFonts w:ascii="宋体" w:hAnsi="宋体" w:cs="宋体" w:eastAsia="宋体" w:hint="default"/>
                <w:sz w:val="18"/>
                <w:szCs w:val="18"/>
              </w:rPr>
            </w:pPr>
            <w:r>
              <w:rPr>
                <w:rFonts w:ascii="宋体" w:hAnsi="宋体" w:cs="宋体" w:eastAsia="宋体" w:hint="default"/>
                <w:sz w:val="18"/>
                <w:szCs w:val="18"/>
              </w:rPr>
              <w:t>价值重新计量产生的利得或损失。</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31,695,286.53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9,891,032.16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14,750,342.47</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因不可抗力因素，如遭受自然灾害而计提的</w:t>
            </w:r>
            <w:r>
              <w:rPr>
                <w:rFonts w:ascii="宋体" w:hAnsi="宋体" w:cs="宋体" w:eastAsia="宋体" w:hint="default"/>
                <w:sz w:val="18"/>
                <w:szCs w:val="18"/>
              </w:rPr>
              <w:t> 各项资产减值准备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企业重组费用，如安置职工的支出、整合费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w:t>
            </w:r>
            <w:r>
              <w:rPr>
                <w:rFonts w:ascii="宋体" w:hAnsi="宋体" w:cs="宋体" w:eastAsia="宋体" w:hint="default"/>
                <w:spacing w:val="-4"/>
                <w:sz w:val="18"/>
                <w:szCs w:val="18"/>
              </w:rPr>
              <w:t>值业务外，持有交易性金融资产、交易性金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融负债产生的公允价值变动损益，以及处置</w:t>
            </w:r>
            <w:r>
              <w:rPr>
                <w:rFonts w:ascii="宋体" w:hAnsi="宋体" w:cs="宋体" w:eastAsia="宋体" w:hint="default"/>
                <w:sz w:val="18"/>
                <w:szCs w:val="18"/>
              </w:rPr>
              <w:t> </w:t>
            </w:r>
            <w:r>
              <w:rPr>
                <w:rFonts w:ascii="宋体" w:hAnsi="宋体" w:cs="宋体" w:eastAsia="宋体" w:hint="default"/>
                <w:spacing w:val="-4"/>
                <w:sz w:val="18"/>
                <w:szCs w:val="18"/>
              </w:rPr>
              <w:t>交易性金融资产、交易性金融负债和可供出</w:t>
            </w:r>
            <w:r>
              <w:rPr>
                <w:rFonts w:ascii="宋体" w:hAnsi="宋体" w:cs="宋体" w:eastAsia="宋体" w:hint="default"/>
                <w:sz w:val="18"/>
                <w:szCs w:val="18"/>
              </w:rPr>
              <w:t> 售金融资产取得的投资收益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根据税收、会计等法律、法规的要求对当期</w:t>
            </w:r>
            <w:r>
              <w:rPr>
                <w:rFonts w:ascii="宋体" w:hAnsi="宋体" w:cs="宋体" w:eastAsia="宋体" w:hint="default"/>
                <w:sz w:val="18"/>
                <w:szCs w:val="18"/>
              </w:rPr>
              <w:t> 损益进行一次性调整对当期损益的影响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37,034,464.40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1,838,789.95</w:t>
            </w: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-39,174,940.41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15,095,538.63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本期下属子公司石基香港处置</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GK</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股权获得的投资收益。</w:t>
            </w:r>
          </w:p>
        </w:tc>
      </w:tr>
      <w:tr>
        <w:trPr>
          <w:trHeight w:val="165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可供出售金额资产减值准备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-2,547,720.70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中电器件按照对被投资单位汕头 华汕电子器件有限公司的持股比 例享有的权益金额低于账面的投 </w:t>
            </w:r>
            <w:r>
              <w:rPr>
                <w:rFonts w:ascii="宋体" w:hAnsi="宋体" w:cs="宋体" w:eastAsia="宋体" w:hint="default"/>
                <w:spacing w:val="-3"/>
                <w:sz w:val="18"/>
                <w:szCs w:val="18"/>
              </w:rPr>
              <w:t>资成本差，计提可供出售金融资产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减值准备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2,547,720.70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3,065,157.74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2,414,790.12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2,496,991.60</w:t>
            </w: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813,621.56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418,443.05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600,477.96</w:t>
            </w:r>
          </w:p>
        </w:tc>
        <w:tc>
          <w:tcPr>
            <w:tcW w:w="27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406"/>
        <w:gridCol w:w="1133"/>
        <w:gridCol w:w="1277"/>
        <w:gridCol w:w="1145"/>
        <w:gridCol w:w="2698"/>
      </w:tblGrid>
      <w:tr>
        <w:trPr>
          <w:trHeight w:val="403" w:hRule="exact"/>
        </w:trPr>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28,625,163.28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13,265,367.62</w:t>
            </w:r>
          </w:p>
        </w:tc>
        <w:tc>
          <w:tcPr>
            <w:tcW w:w="114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15,987,961.81</w:t>
            </w:r>
          </w:p>
        </w:tc>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7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00" w:firstLine="0"/>
        <w:jc w:val="right"/>
        <w:rPr>
          <w:rFonts w:ascii="宋体" w:hAnsi="宋体" w:cs="宋体" w:eastAsia="宋体" w:hint="default"/>
          <w:sz w:val="18"/>
          <w:szCs w:val="18"/>
        </w:rPr>
      </w:pPr>
      <w:r>
        <w:rPr/>
        <w:pict>
          <v:shape style="position:absolute;margin-left:56.400002pt;margin-top:-51.9683pt;width:484.2pt;height:107.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8"/>
                    <w:gridCol w:w="6675"/>
                  </w:tblGrid>
                  <w:tr>
                    <w:trPr>
                      <w:trHeight w:val="401"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88,522,960.74</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《鼓励软件产业和集成电路产业 </w:t>
                        </w:r>
                        <w:r>
                          <w:rPr>
                            <w:rFonts w:ascii="宋体" w:hAnsi="宋体" w:cs="宋体" w:eastAsia="宋体" w:hint="default"/>
                            <w:spacing w:val="-3"/>
                            <w:sz w:val="18"/>
                            <w:szCs w:val="18"/>
                          </w:rPr>
                          <w:t>发展的若干政策》及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国发</w:t>
                        </w:r>
                        <w:r>
                          <w:rPr>
                            <w:rFonts w:ascii="Times New Roman" w:hAnsi="Times New Roman" w:cs="Times New Roman" w:eastAsia="Times New Roman" w:hint="default"/>
                            <w:spacing w:val="-3"/>
                            <w:sz w:val="18"/>
                            <w:szCs w:val="18"/>
                          </w:rPr>
                          <w:t>[2011]4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《关于印发进一步鼓励软件产业和集成电路产业 </w:t>
                        </w:r>
                        <w:r>
                          <w:rPr>
                            <w:rFonts w:ascii="宋体" w:hAnsi="宋体" w:cs="宋体" w:eastAsia="宋体" w:hint="default"/>
                            <w:spacing w:val="-4"/>
                            <w:sz w:val="18"/>
                            <w:szCs w:val="18"/>
                          </w:rPr>
                          <w:t>发展若干政策的通知》的规定，报告期内应收到的自行开发软件销售增值税退税收入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由于该收入预计可以持续获得，故将其不作为非经常性损益。</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88,522,960.74</w:t>
                        </w:r>
                      </w:p>
                    </w:tc>
                    <w:tc>
                      <w:tcPr>
                        <w:tcW w:w="667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90"/>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208"/>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90" w:lineRule="auto" w:before="4"/>
        <w:ind w:left="575"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、公司从事的主要业务</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报告期内，公司主要从事酒店、餐饮及零售等旅游消费行业信息管理系统软件的开发与销售、系统集</w:t>
      </w:r>
    </w:p>
    <w:p>
      <w:pPr>
        <w:pStyle w:val="BodyText"/>
        <w:spacing w:line="256" w:lineRule="auto"/>
        <w:ind w:right="208"/>
        <w:jc w:val="left"/>
      </w:pPr>
      <w:r>
        <w:rPr/>
        <w:t>成、技术支持与服务业务，在中国星级酒店业信息管理系统市场和规模化零售业（客户年度营业额</w:t>
      </w:r>
      <w:r>
        <w:rPr>
          <w:rFonts w:ascii="Times New Roman" w:hAnsi="Times New Roman" w:cs="Times New Roman" w:eastAsia="Times New Roman" w:hint="default"/>
        </w:rPr>
        <w:t>1</w:t>
      </w:r>
      <w:r>
        <w:rPr/>
        <w:t>亿以</w:t>
      </w:r>
      <w:r>
        <w:rPr>
          <w:spacing w:val="-20"/>
        </w:rPr>
        <w:t> </w:t>
      </w:r>
      <w:r>
        <w:rPr/>
        <w:t>上）信息管理系统市场的客户占有率为</w:t>
      </w:r>
      <w:r>
        <w:rPr>
          <w:rFonts w:ascii="Times New Roman" w:hAnsi="Times New Roman" w:cs="Times New Roman" w:eastAsia="Times New Roman" w:hint="default"/>
        </w:rPr>
        <w:t>60-70%</w:t>
      </w:r>
      <w:r>
        <w:rPr/>
        <w:t>，在中国餐饮信息管理系统市场居相对领先地位。</w:t>
      </w:r>
    </w:p>
    <w:p>
      <w:pPr>
        <w:pStyle w:val="BodyText"/>
        <w:spacing w:line="259" w:lineRule="auto" w:before="46"/>
        <w:ind w:right="100" w:firstLine="422"/>
        <w:jc w:val="left"/>
      </w:pPr>
      <w:r>
        <w:rPr/>
        <w:t>公司是目前国内最主要的酒店信息管理系统全面解决方案提供商之一，主要产品为具有自主知识产权</w:t>
      </w:r>
      <w:r>
        <w:rPr>
          <w:w w:val="100"/>
        </w:rPr>
        <w:t> </w:t>
      </w:r>
      <w:r>
        <w:rPr/>
        <w:t>的</w:t>
      </w:r>
      <w:r>
        <w:rPr>
          <w:rFonts w:ascii="Times New Roman" w:hAnsi="Times New Roman" w:cs="Times New Roman" w:eastAsia="Times New Roman" w:hint="default"/>
        </w:rPr>
        <w:t>“</w:t>
      </w:r>
      <w:r>
        <w:rPr/>
        <w:t>石基数字饭（酒）店信息管理系统平台（</w:t>
      </w:r>
      <w:r>
        <w:rPr>
          <w:rFonts w:ascii="Times New Roman" w:hAnsi="Times New Roman" w:cs="Times New Roman" w:eastAsia="Times New Roman" w:hint="default"/>
        </w:rPr>
        <w:t>IPHotel</w:t>
      </w:r>
      <w:r>
        <w:rPr/>
        <w:t>）</w:t>
      </w:r>
      <w:r>
        <w:rPr>
          <w:rFonts w:ascii="Times New Roman" w:hAnsi="Times New Roman" w:cs="Times New Roman" w:eastAsia="Times New Roman" w:hint="default"/>
        </w:rPr>
        <w:t>”</w:t>
      </w:r>
      <w:r>
        <w:rPr/>
        <w:t>，其中含有支持多物业、多语言、多货币处理的、</w:t>
      </w:r>
      <w:r>
        <w:rPr>
          <w:w w:val="100"/>
        </w:rPr>
        <w:t> </w:t>
      </w:r>
      <w:r>
        <w:rPr>
          <w:spacing w:val="5"/>
        </w:rPr>
        <w:t>全面满足国际化专业酒店管理需求的基于公有云的纯</w:t>
      </w:r>
      <w:r>
        <w:rPr>
          <w:rFonts w:ascii="Times New Roman" w:hAnsi="Times New Roman" w:cs="Times New Roman" w:eastAsia="Times New Roman" w:hint="default"/>
          <w:spacing w:val="5"/>
        </w:rPr>
        <w:t>SAAS</w:t>
      </w:r>
      <w:r>
        <w:rPr>
          <w:spacing w:val="5"/>
        </w:rPr>
        <w:t>收费方式的酒店前台管理系统</w:t>
      </w:r>
      <w:r>
        <w:rPr>
          <w:rFonts w:ascii="Times New Roman" w:hAnsi="Times New Roman" w:cs="Times New Roman" w:eastAsia="Times New Roman" w:hint="default"/>
          <w:spacing w:val="5"/>
        </w:rPr>
        <w:t>Cambridge</w:t>
      </w:r>
      <w:r>
        <w:rPr>
          <w:spacing w:val="5"/>
        </w:rPr>
        <w:t>和</w:t>
      </w:r>
      <w:r>
        <w:rPr>
          <w:spacing w:val="2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Cloud</w:t>
      </w:r>
      <w:r>
        <w:rPr>
          <w:spacing w:val="-3"/>
        </w:rPr>
        <w:t>餐饮管理系统，公司代理的</w:t>
      </w:r>
      <w:r>
        <w:rPr>
          <w:rFonts w:ascii="Times New Roman" w:hAnsi="Times New Roman" w:cs="Times New Roman" w:eastAsia="Times New Roman" w:hint="default"/>
          <w:spacing w:val="-3"/>
        </w:rPr>
        <w:t>ORACLE</w:t>
      </w:r>
      <w:r>
        <w:rPr>
          <w:rFonts w:ascii="Times New Roman" w:hAnsi="Times New Roman" w:cs="Times New Roman" w:eastAsia="Times New Roman" w:hint="default"/>
          <w:spacing w:val="-6"/>
        </w:rPr>
        <w:t> </w:t>
      </w:r>
      <w:r>
        <w:rPr>
          <w:rFonts w:ascii="Times New Roman" w:hAnsi="Times New Roman" w:cs="Times New Roman" w:eastAsia="Times New Roman" w:hint="default"/>
        </w:rPr>
        <w:t>OPERA</w:t>
      </w:r>
      <w:r>
        <w:rPr/>
        <w:t>酒店前台管理系统和</w:t>
      </w:r>
      <w:r>
        <w:rPr>
          <w:rFonts w:ascii="Times New Roman" w:hAnsi="Times New Roman" w:cs="Times New Roman" w:eastAsia="Times New Roman" w:hint="default"/>
        </w:rPr>
        <w:t>SIMPHONY</w:t>
      </w:r>
      <w:r>
        <w:rPr/>
        <w:t>餐饮管理系统，</w:t>
      </w:r>
      <w:r>
        <w:rPr>
          <w:spacing w:val="-101"/>
        </w:rPr>
        <w:t> </w:t>
      </w:r>
      <w:r>
        <w:rPr>
          <w:spacing w:val="-101"/>
        </w:rPr>
      </w:r>
      <w:r>
        <w:rPr/>
        <w:t>公司专门针对酒店业开发的石基酒店财务管理系统</w:t>
      </w:r>
      <w:r>
        <w:rPr>
          <w:rFonts w:ascii="Times New Roman" w:hAnsi="Times New Roman" w:cs="Times New Roman" w:eastAsia="Times New Roman" w:hint="default"/>
        </w:rPr>
        <w:t>Shiji AC</w:t>
      </w:r>
      <w:r>
        <w:rPr/>
        <w:t>、采购</w:t>
      </w:r>
      <w:r>
        <w:rPr>
          <w:rFonts w:ascii="Times New Roman" w:hAnsi="Times New Roman" w:cs="Times New Roman" w:eastAsia="Times New Roman" w:hint="default"/>
        </w:rPr>
        <w:t>/</w:t>
      </w:r>
      <w:r>
        <w:rPr/>
        <w:t>仓库</w:t>
      </w:r>
      <w:r>
        <w:rPr>
          <w:rFonts w:ascii="Times New Roman" w:hAnsi="Times New Roman" w:cs="Times New Roman" w:eastAsia="Times New Roman" w:hint="default"/>
        </w:rPr>
        <w:t>/</w:t>
      </w:r>
      <w:r>
        <w:rPr/>
        <w:t>成本控制系统</w:t>
      </w:r>
      <w:r>
        <w:rPr>
          <w:rFonts w:ascii="Times New Roman" w:hAnsi="Times New Roman" w:cs="Times New Roman" w:eastAsia="Times New Roman" w:hint="default"/>
        </w:rPr>
        <w:t>Shiji PICC</w:t>
      </w:r>
      <w:r>
        <w:rPr/>
        <w:t>、人力资</w:t>
      </w:r>
      <w:r>
        <w:rPr>
          <w:spacing w:val="-74"/>
        </w:rPr>
        <w:t> </w:t>
      </w:r>
      <w:r>
        <w:rPr>
          <w:spacing w:val="-74"/>
        </w:rPr>
      </w:r>
      <w:r>
        <w:rPr/>
        <w:t>源系统</w:t>
      </w:r>
      <w:r>
        <w:rPr>
          <w:rFonts w:ascii="Times New Roman" w:hAnsi="Times New Roman" w:cs="Times New Roman" w:eastAsia="Times New Roman" w:hint="default"/>
        </w:rPr>
        <w:t>Shiji</w:t>
      </w:r>
      <w:r>
        <w:rPr>
          <w:rFonts w:ascii="Times New Roman" w:hAnsi="Times New Roman" w:cs="Times New Roman" w:eastAsia="Times New Roman" w:hint="default"/>
          <w:spacing w:val="1"/>
        </w:rPr>
        <w:t> </w:t>
      </w:r>
      <w:r>
        <w:rPr>
          <w:rFonts w:ascii="Times New Roman" w:hAnsi="Times New Roman" w:cs="Times New Roman" w:eastAsia="Times New Roman" w:hint="default"/>
        </w:rPr>
        <w:t>HRMS</w:t>
      </w:r>
      <w:r>
        <w:rPr/>
        <w:t>、独立运营的石基在线酒店预订交易处理平台</w:t>
      </w:r>
      <w:r>
        <w:rPr>
          <w:rFonts w:ascii="Times New Roman" w:hAnsi="Times New Roman" w:cs="Times New Roman" w:eastAsia="Times New Roman" w:hint="default"/>
        </w:rPr>
        <w:t>CHINAONLINE</w:t>
      </w:r>
      <w:r>
        <w:rPr/>
        <w:t>（畅联）等。此外公司还</w:t>
      </w:r>
      <w:r>
        <w:rPr>
          <w:w w:val="100"/>
        </w:rPr>
        <w:t> </w:t>
      </w:r>
      <w:r>
        <w:rPr>
          <w:spacing w:val="-4"/>
        </w:rPr>
        <w:t>拥有专门从事酒店中央预订系统</w:t>
      </w:r>
      <w:r>
        <w:rPr>
          <w:rFonts w:ascii="Times New Roman" w:hAnsi="Times New Roman" w:cs="Times New Roman" w:eastAsia="Times New Roman" w:hint="default"/>
          <w:spacing w:val="-4"/>
        </w:rPr>
        <w:t>/</w:t>
      </w:r>
      <w:r>
        <w:rPr>
          <w:spacing w:val="-4"/>
        </w:rPr>
        <w:t>会员管理系统研发的控股子公司石基昆仑，专业从事支付产品开发与销售</w:t>
      </w:r>
      <w:r>
        <w:rPr>
          <w:spacing w:val="-9"/>
        </w:rPr>
        <w:t> </w:t>
      </w:r>
      <w:r>
        <w:rPr>
          <w:spacing w:val="-9"/>
        </w:rPr>
      </w:r>
      <w:r>
        <w:rPr/>
        <w:t>的全资子公司南京银石计算机系统有限公司（以下简称</w:t>
      </w:r>
      <w:r>
        <w:rPr>
          <w:rFonts w:ascii="Times New Roman" w:hAnsi="Times New Roman" w:cs="Times New Roman" w:eastAsia="Times New Roman" w:hint="default"/>
        </w:rPr>
        <w:t>“</w:t>
      </w:r>
      <w:r>
        <w:rPr/>
        <w:t>南京银石</w:t>
      </w:r>
      <w:r>
        <w:rPr>
          <w:rFonts w:ascii="Times New Roman" w:hAnsi="Times New Roman" w:cs="Times New Roman" w:eastAsia="Times New Roman" w:hint="default"/>
        </w:rPr>
        <w:t>”</w:t>
      </w:r>
      <w:r>
        <w:rPr/>
        <w:t>），公司还拥有控股子公司浩华，专业</w:t>
      </w:r>
      <w:r>
        <w:rPr>
          <w:w w:val="100"/>
        </w:rPr>
        <w:t> </w:t>
      </w:r>
      <w:r>
        <w:rPr>
          <w:spacing w:val="-5"/>
        </w:rPr>
        <w:t>从事酒店开发咨询与顾问服务，在中国乃至整个亚太地区具有显著的影响力。公司的全资子公司杭州西软、</w:t>
      </w:r>
      <w:r>
        <w:rPr>
          <w:spacing w:val="-6"/>
        </w:rPr>
        <w:t> </w:t>
      </w:r>
      <w:r>
        <w:rPr>
          <w:spacing w:val="-6"/>
        </w:rPr>
      </w:r>
      <w:r>
        <w:rPr/>
        <w:t>广州万迅和航信华仪分别拥有满足本土酒店需求的以</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千里马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华仪</w:t>
      </w:r>
      <w:r>
        <w:rPr>
          <w:rFonts w:ascii="Times New Roman" w:hAnsi="Times New Roman" w:cs="Times New Roman" w:eastAsia="Times New Roman" w:hint="default"/>
        </w:rPr>
        <w:t>”</w:t>
      </w:r>
      <w:r>
        <w:rPr/>
        <w:t>为品牌的全套酒店信息管</w:t>
      </w:r>
      <w:r>
        <w:rPr>
          <w:spacing w:val="-63"/>
        </w:rPr>
        <w:t> </w:t>
      </w:r>
      <w:r>
        <w:rPr>
          <w:spacing w:val="-63"/>
        </w:rPr>
      </w:r>
      <w:r>
        <w:rPr/>
        <w:t>理系统。在海外，控股子公司德国</w:t>
      </w:r>
      <w:r>
        <w:rPr>
          <w:rFonts w:ascii="Times New Roman" w:hAnsi="Times New Roman" w:cs="Times New Roman" w:eastAsia="Times New Roman" w:hint="default"/>
        </w:rPr>
        <w:t>Hetras</w:t>
      </w:r>
      <w:r>
        <w:rPr/>
        <w:t>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日更名为</w:t>
      </w:r>
      <w:r>
        <w:rPr>
          <w:rFonts w:ascii="Times New Roman" w:hAnsi="Times New Roman" w:cs="Times New Roman" w:eastAsia="Times New Roman" w:hint="default"/>
        </w:rPr>
        <w:t>Shiji Deutschland</w:t>
      </w:r>
      <w:r>
        <w:rPr>
          <w:rFonts w:ascii="Times New Roman" w:hAnsi="Times New Roman" w:cs="Times New Roman" w:eastAsia="Times New Roman" w:hint="default"/>
          <w:spacing w:val="28"/>
        </w:rPr>
        <w:t> </w:t>
      </w:r>
      <w:r>
        <w:rPr>
          <w:rFonts w:ascii="Times New Roman" w:hAnsi="Times New Roman" w:cs="Times New Roman" w:eastAsia="Times New Roman" w:hint="default"/>
        </w:rPr>
        <w:t>GmbH</w:t>
      </w:r>
      <w:r>
        <w:rPr/>
        <w:t>）主要</w:t>
      </w:r>
      <w:r>
        <w:rPr>
          <w:w w:val="100"/>
        </w:rPr>
        <w:t> </w:t>
      </w:r>
      <w:r>
        <w:rPr/>
        <w:t>从事基于云的酒店信息管理系统开发与销售，控股子公司</w:t>
      </w:r>
      <w:r>
        <w:rPr>
          <w:rFonts w:ascii="Times New Roman" w:hAnsi="Times New Roman" w:cs="Times New Roman" w:eastAsia="Times New Roman" w:hint="default"/>
        </w:rPr>
        <w:t>Snapshot</w:t>
      </w:r>
      <w:r>
        <w:rPr/>
        <w:t>主要从事酒店数据平台的建设与应用开</w:t>
      </w:r>
      <w:r>
        <w:rPr>
          <w:spacing w:val="-55"/>
        </w:rPr>
        <w:t> </w:t>
      </w:r>
      <w:r>
        <w:rPr>
          <w:spacing w:val="-55"/>
        </w:rPr>
      </w:r>
      <w:r>
        <w:rPr/>
        <w:t>发、酒店商业策略等线上线下培训及酒店需求管理咨询服务三大类业务，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月，公司控股全球领先</w:t>
      </w:r>
      <w:r>
        <w:rPr>
          <w:spacing w:val="-25"/>
        </w:rPr>
        <w:t> </w:t>
      </w:r>
      <w:r>
        <w:rPr>
          <w:spacing w:val="-25"/>
        </w:rPr>
      </w:r>
      <w:r>
        <w:rPr>
          <w:spacing w:val="-6"/>
          <w:w w:val="100"/>
        </w:rPr>
        <w:t>的酒店声誉管理公司</w:t>
      </w:r>
      <w:r>
        <w:rPr>
          <w:rFonts w:ascii="Times New Roman" w:hAnsi="Times New Roman" w:cs="Times New Roman" w:eastAsia="Times New Roman" w:hint="default"/>
          <w:spacing w:val="-6"/>
          <w:w w:val="100"/>
        </w:rPr>
        <w:t>RR</w:t>
      </w:r>
      <w:r>
        <w:rPr>
          <w:spacing w:val="-6"/>
          <w:w w:val="100"/>
        </w:rPr>
        <w:t>公司完善了公司云和数据生态，有助于加速公司通过数据服务实现平台战略，此外，</w:t>
      </w:r>
      <w:r>
        <w:rPr>
          <w:spacing w:val="-83"/>
          <w:w w:val="100"/>
        </w:rPr>
        <w:t> </w:t>
      </w:r>
      <w:r>
        <w:rPr>
          <w:spacing w:val="-83"/>
          <w:w w:val="100"/>
        </w:rPr>
      </w:r>
      <w:r>
        <w:rPr/>
        <w:t>为了将公司高端酒店信息系统业务向海外市场拓展，公司于</w:t>
      </w:r>
      <w:r>
        <w:rPr>
          <w:rFonts w:ascii="Times New Roman" w:hAnsi="Times New Roman" w:cs="Times New Roman" w:eastAsia="Times New Roman" w:hint="default"/>
        </w:rPr>
        <w:t>2016</w:t>
      </w:r>
      <w:r>
        <w:rPr/>
        <w:t>年成立了全资子公司</w:t>
      </w:r>
      <w:r>
        <w:rPr>
          <w:rFonts w:ascii="Times New Roman" w:hAnsi="Times New Roman" w:cs="Times New Roman" w:eastAsia="Times New Roman" w:hint="default"/>
        </w:rPr>
        <w:t>Shiji (US)</w:t>
      </w:r>
      <w:r>
        <w:rPr>
          <w:rFonts w:ascii="Times New Roman" w:hAnsi="Times New Roman" w:cs="Times New Roman" w:eastAsia="Times New Roman" w:hint="default"/>
          <w:spacing w:val="-22"/>
        </w:rPr>
        <w:t> </w:t>
      </w:r>
      <w:r>
        <w:rPr>
          <w:rFonts w:ascii="Times New Roman" w:hAnsi="Times New Roman" w:cs="Times New Roman" w:eastAsia="Times New Roman" w:hint="default"/>
        </w:rPr>
        <w:t>Ltd.</w:t>
      </w:r>
      <w:r>
        <w:rPr/>
        <w:t>（以下</w:t>
      </w:r>
      <w:r>
        <w:rPr>
          <w:w w:val="100"/>
        </w:rPr>
        <w:t> </w:t>
      </w:r>
      <w:r>
        <w:rPr/>
        <w:t>简称</w:t>
      </w:r>
      <w:r>
        <w:rPr>
          <w:rFonts w:ascii="Times New Roman" w:hAnsi="Times New Roman" w:cs="Times New Roman" w:eastAsia="Times New Roman" w:hint="default"/>
        </w:rPr>
        <w:t>“</w:t>
      </w:r>
      <w:r>
        <w:rPr/>
        <w:t>石基美国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Shiji (Singapore) Pte.</w:t>
      </w:r>
      <w:r>
        <w:rPr>
          <w:rFonts w:ascii="Times New Roman" w:hAnsi="Times New Roman" w:cs="Times New Roman" w:eastAsia="Times New Roman" w:hint="default"/>
          <w:spacing w:val="41"/>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石基新加坡</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年成立了全资子公司</w:t>
      </w:r>
      <w:r>
        <w:rPr>
          <w:rFonts w:ascii="Times New Roman" w:hAnsi="Times New Roman" w:cs="Times New Roman" w:eastAsia="Times New Roman" w:hint="default"/>
        </w:rPr>
        <w:t>SHIJI</w:t>
      </w:r>
      <w:r>
        <w:rPr>
          <w:rFonts w:ascii="Times New Roman" w:hAnsi="Times New Roman" w:cs="Times New Roman" w:eastAsia="Times New Roman" w:hint="default"/>
          <w:w w:val="100"/>
        </w:rPr>
        <w:t> </w:t>
      </w:r>
      <w:r>
        <w:rPr>
          <w:rFonts w:ascii="Times New Roman" w:hAnsi="Times New Roman" w:cs="Times New Roman" w:eastAsia="Times New Roman" w:hint="default"/>
        </w:rPr>
        <w:t>(AUSTRALIA) PTY</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石基澳大利亚</w:t>
      </w:r>
      <w:r>
        <w:rPr>
          <w:rFonts w:ascii="Times New Roman" w:hAnsi="Times New Roman" w:cs="Times New Roman" w:eastAsia="Times New Roman" w:hint="default"/>
        </w:rPr>
        <w:t>”</w:t>
      </w:r>
      <w:r>
        <w:rPr/>
        <w:t>）。</w:t>
      </w:r>
    </w:p>
    <w:p>
      <w:pPr>
        <w:pStyle w:val="BodyText"/>
        <w:spacing w:line="256" w:lineRule="auto" w:before="41"/>
        <w:ind w:right="206" w:firstLine="422"/>
        <w:jc w:val="both"/>
      </w:pPr>
      <w:r>
        <w:rPr>
          <w:spacing w:val="-3"/>
        </w:rPr>
        <w:t>公司全资子公司</w:t>
      </w:r>
      <w:r>
        <w:rPr>
          <w:rFonts w:ascii="Times New Roman" w:hAnsi="Times New Roman" w:cs="Times New Roman" w:eastAsia="Times New Roman" w:hint="default"/>
          <w:spacing w:val="-3"/>
        </w:rPr>
        <w:t>Infrasys</w:t>
      </w:r>
      <w:r>
        <w:rPr>
          <w:spacing w:val="-3"/>
        </w:rPr>
        <w:t>（已于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5</w:t>
      </w:r>
      <w:r>
        <w:rPr>
          <w:spacing w:val="-3"/>
        </w:rPr>
        <w:t>日正式更名为石基信息技术（香港）有限公司）、控股子公</w:t>
      </w:r>
      <w:r>
        <w:rPr>
          <w:w w:val="100"/>
        </w:rPr>
        <w:t> </w:t>
      </w:r>
      <w:r>
        <w:rPr/>
        <w:t>司正品贵德和思迅软件分别拥有以</w:t>
      </w:r>
      <w:r>
        <w:rPr>
          <w:rFonts w:ascii="Times New Roman" w:hAnsi="Times New Roman" w:cs="Times New Roman" w:eastAsia="Times New Roman" w:hint="default"/>
        </w:rPr>
        <w:t>“</w:t>
      </w:r>
      <w:r>
        <w:rPr/>
        <w:t>现化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正品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思迅</w:t>
      </w:r>
      <w:r>
        <w:rPr>
          <w:rFonts w:ascii="Times New Roman" w:hAnsi="Times New Roman" w:cs="Times New Roman" w:eastAsia="Times New Roman" w:hint="default"/>
        </w:rPr>
        <w:t>”</w:t>
      </w:r>
      <w:r>
        <w:rPr/>
        <w:t>为品牌的面向连锁餐饮、大型中餐餐饮、西餐</w:t>
      </w:r>
      <w:r>
        <w:rPr>
          <w:spacing w:val="-62"/>
        </w:rPr>
        <w:t> </w:t>
      </w:r>
      <w:r>
        <w:rPr>
          <w:spacing w:val="-62"/>
        </w:rPr>
      </w:r>
      <w:r>
        <w:rPr/>
        <w:t>咖啡厅、酒店、会所等众多业态的信息管理软件系列产品。</w:t>
      </w:r>
    </w:p>
    <w:p>
      <w:pPr>
        <w:pStyle w:val="BodyText"/>
        <w:spacing w:line="261" w:lineRule="auto" w:before="63"/>
        <w:ind w:right="206" w:firstLine="422"/>
        <w:jc w:val="both"/>
      </w:pPr>
      <w:r>
        <w:rPr>
          <w:spacing w:val="-4"/>
        </w:rPr>
        <w:t>在零售信息系统业务领域，公司于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月控股思迅软件</w:t>
      </w:r>
      <w:r>
        <w:rPr>
          <w:rFonts w:ascii="Times New Roman" w:hAnsi="Times New Roman" w:cs="Times New Roman" w:eastAsia="Times New Roman" w:hint="default"/>
          <w:spacing w:val="-4"/>
        </w:rPr>
        <w:t>75%</w:t>
      </w:r>
      <w:r>
        <w:rPr>
          <w:spacing w:val="-4"/>
        </w:rPr>
        <w:t>股权，于</w:t>
      </w:r>
      <w:r>
        <w:rPr>
          <w:rFonts w:ascii="Times New Roman" w:hAnsi="Times New Roman" w:cs="Times New Roman" w:eastAsia="Times New Roman" w:hint="default"/>
          <w:spacing w:val="-4"/>
        </w:rPr>
        <w:t>2015</w:t>
      </w:r>
      <w:r>
        <w:rPr>
          <w:spacing w:val="-4"/>
        </w:rPr>
        <w:t>年底完成全资收购长益科</w:t>
      </w:r>
      <w:r>
        <w:rPr>
          <w:w w:val="100"/>
        </w:rPr>
        <w:t> </w:t>
      </w:r>
      <w:r>
        <w:rPr/>
        <w:t>技和控股</w:t>
      </w:r>
      <w:r>
        <w:rPr>
          <w:rFonts w:ascii="Times New Roman" w:hAnsi="Times New Roman" w:cs="Times New Roman" w:eastAsia="Times New Roman" w:hint="default"/>
        </w:rPr>
        <w:t>Efut</w:t>
      </w:r>
      <w:r>
        <w:rPr/>
        <w:t>公司，</w:t>
      </w:r>
      <w:r>
        <w:rPr>
          <w:rFonts w:ascii="Times New Roman" w:hAnsi="Times New Roman" w:cs="Times New Roman" w:eastAsia="Times New Roman" w:hint="default"/>
        </w:rPr>
        <w:t>2016</w:t>
      </w:r>
      <w:r>
        <w:rPr/>
        <w:t>年公司启动了</w:t>
      </w:r>
      <w:r>
        <w:rPr>
          <w:rFonts w:ascii="Times New Roman" w:hAnsi="Times New Roman" w:cs="Times New Roman" w:eastAsia="Times New Roman" w:hint="default"/>
        </w:rPr>
        <w:t>Efut</w:t>
      </w:r>
      <w:r>
        <w:rPr/>
        <w:t>公司私有化进程，并于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日完成对</w:t>
      </w:r>
      <w:r>
        <w:rPr>
          <w:rFonts w:ascii="Times New Roman" w:hAnsi="Times New Roman" w:cs="Times New Roman" w:eastAsia="Times New Roman" w:hint="default"/>
        </w:rPr>
        <w:t>Efut</w:t>
      </w:r>
      <w:r>
        <w:rPr/>
        <w:t>公司私有化；</w:t>
      </w:r>
      <w:r>
        <w:rPr>
          <w:spacing w:val="-56"/>
        </w:rPr>
        <w:t> </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月公司完成参股青岛海信智能商用系统股份有限公司（以下简称</w:t>
      </w:r>
      <w:r>
        <w:rPr>
          <w:rFonts w:ascii="Times New Roman" w:hAnsi="Times New Roman" w:cs="Times New Roman" w:eastAsia="Times New Roman" w:hint="default"/>
          <w:spacing w:val="-3"/>
        </w:rPr>
        <w:t>“</w:t>
      </w:r>
      <w:r>
        <w:rPr>
          <w:spacing w:val="-3"/>
        </w:rPr>
        <w:t>海信商用</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25%</w:t>
      </w:r>
      <w:r>
        <w:rPr>
          <w:spacing w:val="-3"/>
        </w:rPr>
        <w:t>股权，海信商用</w:t>
      </w:r>
      <w:r>
        <w:rPr>
          <w:spacing w:val="-34"/>
        </w:rPr>
        <w:t> </w:t>
      </w:r>
      <w:r>
        <w:rPr>
          <w:spacing w:val="-34"/>
        </w:rPr>
      </w:r>
      <w:r>
        <w:rPr>
          <w:spacing w:val="-1"/>
        </w:rPr>
        <w:t>为国内最大的商用硬件生产商，主要提供</w:t>
      </w:r>
      <w:r>
        <w:rPr>
          <w:rFonts w:ascii="Times New Roman" w:hAnsi="Times New Roman" w:cs="Times New Roman" w:eastAsia="Times New Roman" w:hint="default"/>
          <w:spacing w:val="-1"/>
        </w:rPr>
        <w:t>POS</w:t>
      </w:r>
      <w:r>
        <w:rPr>
          <w:spacing w:val="-1"/>
        </w:rPr>
        <w:t>机、金融机具和自助设备，同时也提供部分商用软件；</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3</w:t>
      </w:r>
      <w:r>
        <w:rPr/>
        <w:t>月，公司实现控股上海时运</w:t>
      </w:r>
      <w:r>
        <w:rPr>
          <w:rFonts w:ascii="Times New Roman" w:hAnsi="Times New Roman" w:cs="Times New Roman" w:eastAsia="Times New Roman" w:hint="default"/>
        </w:rPr>
        <w:t>75%</w:t>
      </w:r>
      <w:r>
        <w:rPr/>
        <w:t>股权，上海时运主要从事</w:t>
      </w:r>
      <w:r>
        <w:rPr>
          <w:rFonts w:ascii="Times New Roman" w:hAnsi="Times New Roman" w:cs="Times New Roman" w:eastAsia="Times New Roman" w:hint="default"/>
        </w:rPr>
        <w:t>Oracle</w:t>
      </w:r>
      <w:r>
        <w:rPr/>
        <w:t>公司</w:t>
      </w:r>
      <w:r>
        <w:rPr>
          <w:rFonts w:ascii="Times New Roman" w:hAnsi="Times New Roman" w:cs="Times New Roman" w:eastAsia="Times New Roman" w:hint="default"/>
        </w:rPr>
        <w:t>Xstore</w:t>
      </w:r>
      <w:r>
        <w:rPr/>
        <w:t>产品亚太地区实施及服务，</w:t>
      </w:r>
      <w:r>
        <w:rPr>
          <w:spacing w:val="-62"/>
        </w:rPr>
        <w:t> </w:t>
      </w:r>
      <w:r>
        <w:rPr>
          <w:spacing w:val="-1"/>
        </w:rPr>
        <w:t>以及自主研发的商业零售管理系统业务。目前，通过过去多年的对外投资与并购，公司全资拥有</w:t>
      </w:r>
      <w:r>
        <w:rPr>
          <w:rFonts w:ascii="Times New Roman" w:hAnsi="Times New Roman" w:cs="Times New Roman" w:eastAsia="Times New Roman" w:hint="default"/>
          <w:spacing w:val="-1"/>
        </w:rPr>
        <w:t>Efut</w:t>
      </w:r>
      <w:r>
        <w:rPr>
          <w:spacing w:val="-1"/>
        </w:rPr>
        <w:t>公司</w:t>
      </w:r>
      <w:r>
        <w:rPr>
          <w:spacing w:val="-24"/>
        </w:rPr>
        <w:t> </w:t>
      </w:r>
      <w:r>
        <w:rPr>
          <w:spacing w:val="-2"/>
        </w:rPr>
        <w:t>和长益科技，控股思迅软件及上海时运，参股科传控股和海信商用，公司已经成为中国整个零售业信息系</w:t>
      </w:r>
      <w:r>
        <w:rPr>
          <w:spacing w:val="-44"/>
        </w:rPr>
        <w:t> </w:t>
      </w:r>
      <w:r>
        <w:rPr>
          <w:spacing w:val="-44"/>
        </w:rPr>
      </w:r>
      <w:r>
        <w:rPr>
          <w:spacing w:val="-2"/>
        </w:rPr>
        <w:t>统的领导者，可为整个中国零售业提供从低端到高端，从个体便利店到大型连锁商超乃至覆盖所有零售业</w:t>
      </w:r>
      <w:r>
        <w:rPr>
          <w:spacing w:val="-44"/>
        </w:rPr>
        <w:t> </w:t>
      </w:r>
      <w:r>
        <w:rPr>
          <w:spacing w:val="-44"/>
        </w:rPr>
      </w:r>
      <w:r>
        <w:rPr/>
        <w:t>态的信息系统解决方案。</w:t>
      </w:r>
    </w:p>
    <w:p>
      <w:pPr>
        <w:pStyle w:val="BodyText"/>
        <w:spacing w:line="256" w:lineRule="auto" w:before="59"/>
        <w:ind w:right="100" w:firstLine="422"/>
        <w:jc w:val="left"/>
      </w:pPr>
      <w:r>
        <w:rPr>
          <w:rFonts w:ascii="Times New Roman" w:hAnsi="Times New Roman" w:cs="Times New Roman" w:eastAsia="Times New Roman" w:hint="default"/>
          <w:spacing w:val="-2"/>
        </w:rPr>
        <w:t>2017</w:t>
      </w:r>
      <w:r>
        <w:rPr>
          <w:spacing w:val="-2"/>
        </w:rPr>
        <w:t>年，为了更好地整合零售信息系统业务资源，公司对零售行业的子公司进行了重组。</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w w:val="100"/>
        </w:rPr>
        <w:t> </w:t>
      </w:r>
      <w:r>
        <w:rPr>
          <w:rFonts w:ascii="Times New Roman" w:hAnsi="Times New Roman" w:cs="Times New Roman" w:eastAsia="Times New Roman" w:hint="default"/>
        </w:rPr>
        <w:t>eFut</w:t>
      </w:r>
      <w:r>
        <w:rPr/>
        <w:t>公司更名为</w:t>
      </w:r>
      <w:r>
        <w:rPr>
          <w:rFonts w:ascii="Times New Roman" w:hAnsi="Times New Roman" w:cs="Times New Roman" w:eastAsia="Times New Roman" w:hint="default"/>
        </w:rPr>
        <w:t>Shiji Retail Information Technology Co.</w:t>
      </w:r>
      <w:r>
        <w:rPr>
          <w:rFonts w:ascii="Times New Roman" w:hAnsi="Times New Roman" w:cs="Times New Roman" w:eastAsia="Times New Roman" w:hint="default"/>
          <w:spacing w:val="49"/>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石基零售</w:t>
      </w:r>
      <w:r>
        <w:rPr>
          <w:rFonts w:ascii="Times New Roman" w:hAnsi="Times New Roman" w:cs="Times New Roman" w:eastAsia="Times New Roman" w:hint="default"/>
        </w:rPr>
        <w:t>”</w:t>
      </w:r>
      <w:r>
        <w:rPr/>
        <w:t>）。</w:t>
      </w:r>
      <w:r>
        <w:rPr>
          <w:rFonts w:ascii="Times New Roman" w:hAnsi="Times New Roman" w:cs="Times New Roman" w:eastAsia="Times New Roman" w:hint="default"/>
        </w:rPr>
        <w:t>eFut</w:t>
      </w:r>
      <w:r>
        <w:rPr/>
        <w:t>公司的经营活动</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206"/>
        <w:jc w:val="both"/>
      </w:pPr>
      <w:r>
        <w:rPr>
          <w:spacing w:val="-2"/>
        </w:rPr>
        <w:t>原本主要通过全资子公司北京富基融通科技有限公司（以下简称</w:t>
      </w:r>
      <w:r>
        <w:rPr>
          <w:rFonts w:ascii="Times New Roman" w:hAnsi="Times New Roman" w:cs="Times New Roman" w:eastAsia="Times New Roman" w:hint="default"/>
          <w:spacing w:val="-2"/>
        </w:rPr>
        <w:t>“</w:t>
      </w:r>
      <w:r>
        <w:rPr>
          <w:spacing w:val="-2"/>
        </w:rPr>
        <w:t>北京富基融通</w:t>
      </w:r>
      <w:r>
        <w:rPr>
          <w:rFonts w:ascii="Times New Roman" w:hAnsi="Times New Roman" w:cs="Times New Roman" w:eastAsia="Times New Roman" w:hint="default"/>
          <w:spacing w:val="-2"/>
        </w:rPr>
        <w:t>”</w:t>
      </w:r>
      <w:r>
        <w:rPr>
          <w:spacing w:val="-2"/>
        </w:rPr>
        <w:t>）实现。</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月底，</w:t>
      </w:r>
      <w:r>
        <w:rPr>
          <w:spacing w:val="-20"/>
        </w:rPr>
        <w:t> </w:t>
      </w:r>
      <w:r>
        <w:rPr>
          <w:spacing w:val="-2"/>
        </w:rPr>
        <w:t>北京富基融通正式更名为北京石基大商信息技术有限公司（以下简称</w:t>
      </w:r>
      <w:r>
        <w:rPr>
          <w:rFonts w:ascii="Times New Roman" w:hAnsi="Times New Roman" w:cs="Times New Roman" w:eastAsia="Times New Roman" w:hint="default"/>
          <w:spacing w:val="-2"/>
        </w:rPr>
        <w:t>“</w:t>
      </w:r>
      <w:r>
        <w:rPr>
          <w:spacing w:val="-2"/>
        </w:rPr>
        <w:t>石基大商信息</w:t>
      </w:r>
      <w:r>
        <w:rPr>
          <w:rFonts w:ascii="Times New Roman" w:hAnsi="Times New Roman" w:cs="Times New Roman" w:eastAsia="Times New Roman" w:hint="default"/>
          <w:spacing w:val="-2"/>
        </w:rPr>
        <w:t>”</w:t>
      </w:r>
      <w:r>
        <w:rPr>
          <w:spacing w:val="-2"/>
        </w:rPr>
        <w:t>）。同时，石基大商</w:t>
      </w:r>
      <w:r>
        <w:rPr>
          <w:spacing w:val="-21"/>
        </w:rPr>
        <w:t> </w:t>
      </w:r>
      <w:r>
        <w:rPr>
          <w:spacing w:val="-21"/>
        </w:rPr>
      </w:r>
      <w:r>
        <w:rPr>
          <w:spacing w:val="-2"/>
        </w:rPr>
        <w:t>信息启动了业务转移程序，将其原有全部业务逐步转移至新设全资子公司北京富基融通信息技术有限公司</w:t>
      </w:r>
    </w:p>
    <w:p>
      <w:pPr>
        <w:pStyle w:val="BodyText"/>
        <w:spacing w:line="256" w:lineRule="auto" w:before="22"/>
        <w:ind w:right="208"/>
        <w:jc w:val="both"/>
      </w:pPr>
      <w:r>
        <w:rPr>
          <w:spacing w:val="-2"/>
        </w:rPr>
        <w:t>（以下简称</w:t>
      </w:r>
      <w:r>
        <w:rPr>
          <w:rFonts w:ascii="Times New Roman" w:hAnsi="Times New Roman" w:cs="Times New Roman" w:eastAsia="Times New Roman" w:hint="default"/>
          <w:spacing w:val="-2"/>
        </w:rPr>
        <w:t>“</w:t>
      </w:r>
      <w:r>
        <w:rPr>
          <w:spacing w:val="-2"/>
        </w:rPr>
        <w:t>富基信息</w:t>
      </w:r>
      <w:r>
        <w:rPr>
          <w:rFonts w:ascii="Times New Roman" w:hAnsi="Times New Roman" w:cs="Times New Roman" w:eastAsia="Times New Roman" w:hint="default"/>
          <w:spacing w:val="-2"/>
        </w:rPr>
        <w:t>”</w:t>
      </w:r>
      <w:r>
        <w:rPr>
          <w:spacing w:val="-2"/>
        </w:rPr>
        <w:t>）之下。经公司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日第六届董事会第三次会议及公司</w:t>
      </w:r>
      <w:r>
        <w:rPr>
          <w:rFonts w:ascii="Times New Roman" w:hAnsi="Times New Roman" w:cs="Times New Roman" w:eastAsia="Times New Roman" w:hint="default"/>
          <w:spacing w:val="-2"/>
        </w:rPr>
        <w:t>2017</w:t>
      </w:r>
      <w:r>
        <w:rPr>
          <w:spacing w:val="-2"/>
        </w:rPr>
        <w:t>年第七次总裁</w:t>
      </w:r>
      <w:r>
        <w:rPr>
          <w:spacing w:val="-14"/>
        </w:rPr>
        <w:t> </w:t>
      </w:r>
      <w:r>
        <w:rPr>
          <w:spacing w:val="-14"/>
        </w:rPr>
      </w:r>
      <w:r>
        <w:rPr>
          <w:spacing w:val="-3"/>
        </w:rPr>
        <w:t>办公会分别审议通过，公司拟将持有的长益科技</w:t>
      </w:r>
      <w:r>
        <w:rPr>
          <w:rFonts w:ascii="Times New Roman" w:hAnsi="Times New Roman" w:cs="Times New Roman" w:eastAsia="Times New Roman" w:hint="default"/>
          <w:spacing w:val="-3"/>
        </w:rPr>
        <w:t>100%</w:t>
      </w:r>
      <w:r>
        <w:rPr>
          <w:spacing w:val="-3"/>
        </w:rPr>
        <w:t>股权和上海时运</w:t>
      </w:r>
      <w:r>
        <w:rPr>
          <w:rFonts w:ascii="Times New Roman" w:hAnsi="Times New Roman" w:cs="Times New Roman" w:eastAsia="Times New Roman" w:hint="default"/>
          <w:spacing w:val="-3"/>
        </w:rPr>
        <w:t>75%</w:t>
      </w:r>
      <w:r>
        <w:rPr>
          <w:spacing w:val="-3"/>
        </w:rPr>
        <w:t>股权转让予石基大商信息，截至</w:t>
      </w:r>
      <w:r>
        <w:rPr>
          <w:spacing w:val="-27"/>
        </w:rPr>
        <w:t> </w:t>
      </w:r>
      <w:r>
        <w:rPr>
          <w:spacing w:val="-27"/>
        </w:rPr>
      </w:r>
      <w:r>
        <w:rPr/>
        <w:t>本报告披露日，相关工商变更手续已完成。</w:t>
      </w:r>
    </w:p>
    <w:p>
      <w:pPr>
        <w:pStyle w:val="BodyText"/>
        <w:spacing w:line="273" w:lineRule="auto" w:before="63"/>
        <w:ind w:right="206" w:firstLine="422"/>
        <w:jc w:val="both"/>
      </w:pPr>
      <w:r>
        <w:rPr>
          <w:spacing w:val="-2"/>
        </w:rPr>
        <w:t>公司对零售子公司的布局旨在将酒店、餐饮、零售信息系统通过平台的方式进行整合和集成，构建覆</w:t>
      </w:r>
      <w:r>
        <w:rPr>
          <w:w w:val="100"/>
        </w:rPr>
        <w:t> </w:t>
      </w:r>
      <w:r>
        <w:rPr/>
        <w:t>盖吃住行购娱大消费信息系统平台。</w:t>
      </w:r>
    </w:p>
    <w:p>
      <w:pPr>
        <w:pStyle w:val="BodyText"/>
        <w:spacing w:line="273" w:lineRule="auto" w:before="46"/>
        <w:ind w:right="206" w:firstLine="422"/>
        <w:jc w:val="both"/>
      </w:pPr>
      <w:r>
        <w:rPr>
          <w:spacing w:val="-2"/>
        </w:rPr>
        <w:t>除上述软件开发销售与技术服务业务以外，公司全资子公司中电器件负责公司软件配套的硬件销售业</w:t>
      </w:r>
      <w:r>
        <w:rPr>
          <w:w w:val="100"/>
        </w:rPr>
        <w:t> </w:t>
      </w:r>
      <w:r>
        <w:rPr/>
        <w:t>务，包括收银机、打印机等全系列商用硬件的集中采购与销售。</w:t>
      </w:r>
    </w:p>
    <w:p>
      <w:pPr>
        <w:pStyle w:val="Heading7"/>
        <w:spacing w:line="240" w:lineRule="auto" w:before="48"/>
        <w:ind w:left="575" w:right="208"/>
        <w:jc w:val="left"/>
        <w:rPr>
          <w:b w:val="0"/>
          <w:bCs w:val="0"/>
        </w:rPr>
      </w:pPr>
      <w:r>
        <w:rPr>
          <w:rFonts w:ascii="Times New Roman" w:hAnsi="Times New Roman" w:cs="Times New Roman" w:eastAsia="Times New Roman" w:hint="default"/>
        </w:rPr>
        <w:t>2</w:t>
      </w:r>
      <w:r>
        <w:rPr/>
        <w:t>、公司的经营方式与盈利模式</w:t>
      </w:r>
      <w:r>
        <w:rPr>
          <w:b w:val="0"/>
          <w:bCs w:val="0"/>
        </w:rPr>
      </w:r>
    </w:p>
    <w:p>
      <w:pPr>
        <w:spacing w:line="290" w:lineRule="auto" w:before="62"/>
        <w:ind w:left="575" w:right="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）软件开发销售与技术服务业务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公司是目前国内最主要的酒店信息管理系统全面解决方案提供商之一，在餐饮信息管理系统、零售信</w:t>
      </w:r>
    </w:p>
    <w:p>
      <w:pPr>
        <w:pStyle w:val="BodyText"/>
        <w:spacing w:line="273" w:lineRule="auto"/>
        <w:ind w:right="185"/>
        <w:jc w:val="both"/>
      </w:pPr>
      <w:r>
        <w:rPr>
          <w:spacing w:val="-2"/>
        </w:rPr>
        <w:t>息管理系统、支付系统方面居于市场领先地位。公司传统的计算机服务和软件业务按其具体内容、工作重</w:t>
      </w:r>
      <w:r>
        <w:rPr>
          <w:spacing w:val="-44"/>
        </w:rPr>
        <w:t> </w:t>
      </w:r>
      <w:r>
        <w:rPr>
          <w:spacing w:val="-44"/>
        </w:rPr>
      </w:r>
      <w:r>
        <w:rPr>
          <w:spacing w:val="-2"/>
        </w:rPr>
        <w:t>点、项目实施阶段等方面的不同，可以划分为软件开发与销售、系统集成、技术支持与服务等三类业务，</w:t>
      </w:r>
      <w:r>
        <w:rPr>
          <w:spacing w:val="-21"/>
        </w:rPr>
        <w:t> </w:t>
      </w:r>
      <w:r>
        <w:rPr>
          <w:spacing w:val="-21"/>
        </w:rPr>
      </w:r>
      <w:r>
        <w:rPr>
          <w:spacing w:val="-2"/>
        </w:rPr>
        <w:t>公司主要以向酒店用户、餐饮企业用户、零售行业及休闲娱乐行业用户提供信息化全面解决方案的方式同</w:t>
      </w:r>
      <w:r>
        <w:rPr>
          <w:spacing w:val="-42"/>
        </w:rPr>
        <w:t> </w:t>
      </w:r>
      <w:r>
        <w:rPr>
          <w:spacing w:val="-42"/>
        </w:rPr>
      </w:r>
      <w:r>
        <w:rPr/>
        <w:t>时提供上述全部三类业务，并且三类业务相互交织、密不可分。</w:t>
      </w:r>
    </w:p>
    <w:p>
      <w:pPr>
        <w:pStyle w:val="BodyText"/>
        <w:spacing w:line="256" w:lineRule="auto" w:before="48"/>
        <w:ind w:right="208" w:firstLine="422"/>
        <w:jc w:val="both"/>
      </w:pPr>
      <w:r>
        <w:rPr/>
        <w:t>公司计算机服务和软件业务的主要经营方式以及传统盈利模式可以概括为：以</w:t>
      </w:r>
      <w:r>
        <w:rPr>
          <w:rFonts w:ascii="Times New Roman" w:hAnsi="Times New Roman" w:cs="Times New Roman" w:eastAsia="Times New Roman" w:hint="default"/>
        </w:rPr>
        <w:t>“</w:t>
      </w:r>
      <w:r>
        <w:rPr/>
        <w:t>信息管理系统工程项</w:t>
      </w:r>
      <w:r>
        <w:rPr>
          <w:w w:val="100"/>
        </w:rPr>
        <w:t> </w:t>
      </w:r>
      <w:r>
        <w:rPr>
          <w:spacing w:val="-4"/>
        </w:rPr>
        <w:t>目</w:t>
      </w:r>
      <w:r>
        <w:rPr>
          <w:rFonts w:ascii="Times New Roman" w:hAnsi="Times New Roman" w:cs="Times New Roman" w:eastAsia="Times New Roman" w:hint="default"/>
          <w:spacing w:val="-4"/>
        </w:rPr>
        <w:t>”</w:t>
      </w:r>
      <w:r>
        <w:rPr>
          <w:spacing w:val="-4"/>
        </w:rPr>
        <w:t>合同、</w:t>
      </w:r>
      <w:r>
        <w:rPr>
          <w:rFonts w:ascii="Times New Roman" w:hAnsi="Times New Roman" w:cs="Times New Roman" w:eastAsia="Times New Roman" w:hint="default"/>
          <w:spacing w:val="-4"/>
        </w:rPr>
        <w:t>“</w:t>
      </w:r>
      <w:r>
        <w:rPr>
          <w:spacing w:val="-4"/>
        </w:rPr>
        <w:t>软件销售合同</w:t>
      </w:r>
      <w:r>
        <w:rPr>
          <w:rFonts w:ascii="Times New Roman" w:hAnsi="Times New Roman" w:cs="Times New Roman" w:eastAsia="Times New Roman" w:hint="default"/>
          <w:spacing w:val="-4"/>
        </w:rPr>
        <w:t>”</w:t>
      </w:r>
      <w:r>
        <w:rPr>
          <w:spacing w:val="-4"/>
        </w:rPr>
        <w:t>等方式，向酒店、餐饮、零售等不同行业类型的用户提供信息管理系统全面解决</w:t>
      </w:r>
      <w:r>
        <w:rPr>
          <w:spacing w:val="-18"/>
        </w:rPr>
        <w:t> </w:t>
      </w:r>
      <w:r>
        <w:rPr>
          <w:spacing w:val="-18"/>
        </w:rPr>
      </w:r>
      <w:r>
        <w:rPr>
          <w:spacing w:val="-1"/>
        </w:rPr>
        <w:t>方案。公司通过构建硬件和软件应用平台，向用户收取</w:t>
      </w:r>
      <w:r>
        <w:rPr>
          <w:rFonts w:ascii="Times New Roman" w:hAnsi="Times New Roman" w:cs="Times New Roman" w:eastAsia="Times New Roman" w:hint="default"/>
          <w:spacing w:val="-1"/>
        </w:rPr>
        <w:t>“</w:t>
      </w:r>
      <w:r>
        <w:rPr>
          <w:spacing w:val="-1"/>
        </w:rPr>
        <w:t>信息管理系统工程项目</w:t>
      </w:r>
      <w:r>
        <w:rPr>
          <w:rFonts w:ascii="Times New Roman" w:hAnsi="Times New Roman" w:cs="Times New Roman" w:eastAsia="Times New Roman" w:hint="default"/>
          <w:spacing w:val="-1"/>
        </w:rPr>
        <w:t>”</w:t>
      </w:r>
      <w:r>
        <w:rPr>
          <w:spacing w:val="-1"/>
        </w:rPr>
        <w:t>合同款、</w:t>
      </w:r>
      <w:r>
        <w:rPr>
          <w:rFonts w:ascii="Times New Roman" w:hAnsi="Times New Roman" w:cs="Times New Roman" w:eastAsia="Times New Roman" w:hint="default"/>
          <w:spacing w:val="-1"/>
        </w:rPr>
        <w:t>“</w:t>
      </w:r>
      <w:r>
        <w:rPr>
          <w:spacing w:val="-1"/>
        </w:rPr>
        <w:t>软件销售</w:t>
      </w:r>
      <w:r>
        <w:rPr>
          <w:rFonts w:ascii="Times New Roman" w:hAnsi="Times New Roman" w:cs="Times New Roman" w:eastAsia="Times New Roman" w:hint="default"/>
          <w:spacing w:val="-1"/>
        </w:rPr>
        <w:t>”</w:t>
      </w:r>
      <w:r>
        <w:rPr>
          <w:spacing w:val="-1"/>
        </w:rPr>
        <w:t>合同</w:t>
      </w:r>
      <w:r>
        <w:rPr>
          <w:spacing w:val="-42"/>
        </w:rPr>
        <w:t> </w:t>
      </w:r>
      <w:r>
        <w:rPr>
          <w:spacing w:val="-2"/>
        </w:rPr>
        <w:t>款，实现收入与盈利；在为客户提供信息管理系统全面解决方案之后，以</w:t>
      </w:r>
      <w:r>
        <w:rPr>
          <w:rFonts w:ascii="Times New Roman" w:hAnsi="Times New Roman" w:cs="Times New Roman" w:eastAsia="Times New Roman" w:hint="default"/>
          <w:spacing w:val="-2"/>
        </w:rPr>
        <w:t>“</w:t>
      </w:r>
      <w:r>
        <w:rPr>
          <w:spacing w:val="-2"/>
        </w:rPr>
        <w:t>技术支持服务合同</w:t>
      </w:r>
      <w:r>
        <w:rPr>
          <w:rFonts w:ascii="Times New Roman" w:hAnsi="Times New Roman" w:cs="Times New Roman" w:eastAsia="Times New Roman" w:hint="default"/>
          <w:spacing w:val="-2"/>
        </w:rPr>
        <w:t>”</w:t>
      </w:r>
      <w:r>
        <w:rPr>
          <w:spacing w:val="-2"/>
        </w:rPr>
        <w:t>的方式长期</w:t>
      </w:r>
      <w:r>
        <w:rPr>
          <w:spacing w:val="-20"/>
        </w:rPr>
        <w:t> </w:t>
      </w:r>
      <w:r>
        <w:rPr>
          <w:spacing w:val="-20"/>
        </w:rPr>
      </w:r>
      <w:r>
        <w:rPr/>
        <w:t>为客户提供产品升级、软硬件维护等服务，并通过收取</w:t>
      </w:r>
      <w:r>
        <w:rPr>
          <w:rFonts w:ascii="Times New Roman" w:hAnsi="Times New Roman" w:cs="Times New Roman" w:eastAsia="Times New Roman" w:hint="default"/>
        </w:rPr>
        <w:t>“</w:t>
      </w:r>
      <w:r>
        <w:rPr/>
        <w:t>技术支持与服务</w:t>
      </w:r>
      <w:r>
        <w:rPr>
          <w:rFonts w:ascii="Times New Roman" w:hAnsi="Times New Roman" w:cs="Times New Roman" w:eastAsia="Times New Roman" w:hint="default"/>
        </w:rPr>
        <w:t>”</w:t>
      </w:r>
      <w:r>
        <w:rPr/>
        <w:t>合同款，实现收入与盈利。</w:t>
      </w:r>
    </w:p>
    <w:p>
      <w:pPr>
        <w:pStyle w:val="BodyText"/>
        <w:spacing w:line="256" w:lineRule="auto" w:before="46"/>
        <w:ind w:right="208" w:firstLine="422"/>
        <w:jc w:val="both"/>
      </w:pPr>
      <w:r>
        <w:rPr>
          <w:rFonts w:ascii="Times New Roman" w:hAnsi="Times New Roman" w:cs="Times New Roman" w:eastAsia="Times New Roman" w:hint="default"/>
          <w:spacing w:val="-2"/>
        </w:rPr>
        <w:t>2017</w:t>
      </w:r>
      <w:r>
        <w:rPr>
          <w:spacing w:val="-2"/>
        </w:rPr>
        <w:t>年，随着公司国际化和平台化业务的发展，公司部分业务收入模式开始从传统的软件、硬件和维</w:t>
      </w:r>
      <w:r>
        <w:rPr>
          <w:w w:val="100"/>
        </w:rPr>
        <w:t> </w:t>
      </w:r>
      <w:r>
        <w:rPr/>
        <w:t>护收入转为</w:t>
      </w:r>
      <w:r>
        <w:rPr>
          <w:rFonts w:ascii="Times New Roman" w:hAnsi="Times New Roman" w:cs="Times New Roman" w:eastAsia="Times New Roman" w:hint="default"/>
        </w:rPr>
        <w:t>SAAS</w:t>
      </w:r>
      <w:r>
        <w:rPr/>
        <w:t>服务收入：</w:t>
      </w:r>
    </w:p>
    <w:p>
      <w:pPr>
        <w:pStyle w:val="BodyText"/>
        <w:spacing w:line="273" w:lineRule="auto" w:before="44"/>
        <w:ind w:right="206" w:firstLine="422"/>
        <w:jc w:val="both"/>
      </w:pPr>
      <w:r>
        <w:rPr>
          <w:spacing w:val="-2"/>
        </w:rPr>
        <w:t>公司在酒店和餐饮业的云转型目前可以概括为三个层次，首先是酒店和酒店集团之上的基于大数据的</w:t>
      </w:r>
      <w:r>
        <w:rPr>
          <w:w w:val="100"/>
        </w:rPr>
        <w:t> </w:t>
      </w:r>
      <w:r>
        <w:rPr>
          <w:spacing w:val="-2"/>
        </w:rPr>
        <w:t>应用服务，例如声誉管理、客户需求管理等，其次是酒店餐饮管理系统、后台系统等原来与集团系统连接</w:t>
      </w:r>
      <w:r>
        <w:rPr>
          <w:spacing w:val="-47"/>
        </w:rPr>
        <w:t> </w:t>
      </w:r>
      <w:r>
        <w:rPr>
          <w:spacing w:val="-47"/>
        </w:rPr>
      </w:r>
      <w:r>
        <w:rPr>
          <w:spacing w:val="-2"/>
        </w:rPr>
        <w:t>不紧密的系统全面转向公有云，最后是酒店前台客房管理系统全面转向公有云。公司在这三个层面都已经</w:t>
      </w:r>
      <w:r>
        <w:rPr>
          <w:spacing w:val="-43"/>
        </w:rPr>
        <w:t> </w:t>
      </w:r>
      <w:r>
        <w:rPr>
          <w:spacing w:val="-43"/>
        </w:rPr>
      </w:r>
      <w:r>
        <w:rPr/>
        <w:t>进行了多年的全球布局与产品研发，在</w:t>
      </w:r>
      <w:r>
        <w:rPr>
          <w:rFonts w:ascii="Times New Roman" w:hAnsi="Times New Roman" w:cs="Times New Roman" w:eastAsia="Times New Roman" w:hint="default"/>
        </w:rPr>
        <w:t>2017</w:t>
      </w:r>
      <w:r>
        <w:rPr/>
        <w:t>年取得了实质性进展。</w:t>
      </w:r>
    </w:p>
    <w:p>
      <w:pPr>
        <w:pStyle w:val="BodyText"/>
        <w:spacing w:line="240" w:lineRule="auto" w:before="29"/>
        <w:ind w:left="575" w:right="100"/>
        <w:jc w:val="left"/>
      </w:pPr>
      <w:r>
        <w:rPr/>
        <w:t>公司在零售业和休闲娱乐业信息系统业务也将跟随公司在酒店餐饮业的转型步伐，逐步转向平台化和</w:t>
      </w:r>
    </w:p>
    <w:p>
      <w:pPr>
        <w:pStyle w:val="BodyText"/>
        <w:spacing w:line="290" w:lineRule="auto" w:before="37"/>
        <w:ind w:left="575" w:right="208" w:hanging="423"/>
        <w:jc w:val="left"/>
        <w:rPr>
          <w:rFonts w:ascii="Times New Roman" w:hAnsi="Times New Roman" w:cs="Times New Roman" w:eastAsia="Times New Roman" w:hint="default"/>
        </w:rPr>
      </w:pPr>
      <w:r>
        <w:rPr>
          <w:rFonts w:ascii="Times New Roman" w:hAnsi="Times New Roman" w:cs="Times New Roman" w:eastAsia="Times New Roman" w:hint="default"/>
        </w:rPr>
        <w:t>SAAS</w:t>
      </w:r>
      <w:r>
        <w:rPr/>
        <w:t>订阅付费方式。</w:t>
      </w:r>
      <w:r>
        <w:rPr>
          <w:w w:val="100"/>
        </w:rPr>
        <w:t> </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月，不计私有云和</w:t>
      </w:r>
      <w:r>
        <w:rPr>
          <w:rFonts w:ascii="Times New Roman" w:hAnsi="Times New Roman" w:cs="Times New Roman" w:eastAsia="Times New Roman" w:hint="default"/>
          <w:spacing w:val="-6"/>
        </w:rPr>
        <w:t>HOST</w:t>
      </w:r>
      <w:r>
        <w:rPr>
          <w:spacing w:val="-6"/>
        </w:rPr>
        <w:t>方式软件收入，公司</w:t>
      </w:r>
      <w:r>
        <w:rPr>
          <w:rFonts w:ascii="Times New Roman" w:hAnsi="Times New Roman" w:cs="Times New Roman" w:eastAsia="Times New Roman" w:hint="default"/>
          <w:spacing w:val="-6"/>
        </w:rPr>
        <w:t>SAAS</w:t>
      </w:r>
      <w:r>
        <w:rPr>
          <w:spacing w:val="-6"/>
        </w:rPr>
        <w:t>业务实现月度可重复订阅费（</w:t>
      </w:r>
      <w:r>
        <w:rPr>
          <w:rFonts w:ascii="Times New Roman" w:hAnsi="Times New Roman" w:cs="Times New Roman" w:eastAsia="Times New Roman" w:hint="default"/>
          <w:spacing w:val="-6"/>
        </w:rPr>
        <w:t>MRR</w:t>
      </w:r>
      <w:r>
        <w:rPr>
          <w:spacing w:val="-6"/>
        </w:rPr>
        <w:t>）</w:t>
      </w:r>
      <w:r>
        <w:rPr>
          <w:rFonts w:ascii="Times New Roman" w:hAnsi="Times New Roman" w:cs="Times New Roman" w:eastAsia="Times New Roman" w:hint="default"/>
          <w:spacing w:val="-6"/>
        </w:rPr>
        <w:t>911.15</w:t>
      </w:r>
    </w:p>
    <w:p>
      <w:pPr>
        <w:pStyle w:val="BodyText"/>
        <w:spacing w:line="263" w:lineRule="exact"/>
        <w:ind w:right="0"/>
        <w:jc w:val="both"/>
      </w:pPr>
      <w:r>
        <w:rPr/>
        <w:t>万元人民币，</w:t>
      </w:r>
      <w:r>
        <w:rPr>
          <w:rFonts w:ascii="Times New Roman" w:hAnsi="Times New Roman" w:cs="Times New Roman" w:eastAsia="Times New Roman" w:hint="default"/>
        </w:rPr>
        <w:t>2017</w:t>
      </w:r>
      <w:r>
        <w:rPr/>
        <w:t>年度可重复订阅费（</w:t>
      </w:r>
      <w:r>
        <w:rPr>
          <w:rFonts w:ascii="Times New Roman" w:hAnsi="Times New Roman" w:cs="Times New Roman" w:eastAsia="Times New Roman" w:hint="default"/>
        </w:rPr>
        <w:t>ARR</w:t>
      </w:r>
      <w:r>
        <w:rPr/>
        <w:t>）</w:t>
      </w:r>
      <w:r>
        <w:rPr>
          <w:rFonts w:ascii="Times New Roman" w:hAnsi="Times New Roman" w:cs="Times New Roman" w:eastAsia="Times New Roman" w:hint="default"/>
        </w:rPr>
        <w:t>10,931.07</w:t>
      </w:r>
      <w:r>
        <w:rPr/>
        <w:t>万元人民币。</w:t>
      </w:r>
    </w:p>
    <w:p>
      <w:pPr>
        <w:spacing w:line="290" w:lineRule="auto" w:before="59"/>
        <w:ind w:left="575" w:right="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）商品批发与贸易业务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公司的商品批发销售业务主要集中在中电器件，整个经营流程涉及采购、仓储、销售等环节，具体经</w:t>
      </w:r>
    </w:p>
    <w:p>
      <w:pPr>
        <w:pStyle w:val="BodyText"/>
        <w:spacing w:line="268" w:lineRule="exact"/>
        <w:ind w:right="0"/>
        <w:jc w:val="both"/>
      </w:pPr>
      <w:r>
        <w:rPr/>
        <w:t>营方式及盈利模式如下：</w:t>
      </w:r>
    </w:p>
    <w:p>
      <w:pPr>
        <w:pStyle w:val="BodyText"/>
        <w:spacing w:line="290" w:lineRule="auto" w:before="78"/>
        <w:ind w:left="575" w:right="208"/>
        <w:jc w:val="left"/>
      </w:pPr>
      <w:r>
        <w:rPr>
          <w:rFonts w:ascii="Times New Roman" w:hAnsi="Times New Roman" w:cs="Times New Roman" w:eastAsia="Times New Roman" w:hint="default"/>
        </w:rPr>
        <w:t>1</w:t>
      </w:r>
      <w:r>
        <w:rPr/>
        <w:t>）采购模式</w:t>
      </w:r>
      <w:r>
        <w:rPr>
          <w:w w:val="100"/>
        </w:rPr>
        <w:t> </w:t>
      </w:r>
      <w:r>
        <w:rPr>
          <w:spacing w:val="2"/>
        </w:rPr>
        <w:t>中电器件根据石基旗下软件对硬件的需求把握选择品牌与性能最优的型号与生产厂商签署代理框架</w:t>
      </w:r>
    </w:p>
    <w:p>
      <w:pPr>
        <w:pStyle w:val="BodyText"/>
        <w:spacing w:line="300" w:lineRule="auto"/>
        <w:ind w:left="575" w:right="105" w:hanging="423"/>
        <w:jc w:val="left"/>
      </w:pPr>
      <w:r>
        <w:rPr>
          <w:spacing w:val="-5"/>
        </w:rPr>
        <w:t>协议，在代理期限内，中电器件定期根据下游客户订货数量并结合销售预测、销售目标向供应商进行采购。</w:t>
      </w:r>
      <w:r>
        <w:rPr>
          <w:spacing w:val="-6"/>
        </w:rPr>
        <w:t> </w:t>
      </w:r>
      <w:r>
        <w:rPr>
          <w:spacing w:val="-6"/>
        </w:rPr>
      </w:r>
      <w:r>
        <w:rPr>
          <w:rFonts w:ascii="Times New Roman" w:hAnsi="Times New Roman" w:cs="Times New Roman" w:eastAsia="Times New Roman" w:hint="default"/>
        </w:rPr>
        <w:t>2</w:t>
      </w:r>
      <w:r>
        <w:rPr/>
        <w:t>）仓储模式</w:t>
      </w:r>
      <w:r>
        <w:rPr>
          <w:w w:val="100"/>
        </w:rPr>
        <w:t> </w:t>
      </w:r>
      <w:r>
        <w:rPr/>
        <w:t>为提高物流效率，中电器件在北京、上海、广州等地设立了仓库，由专人负责进行管理。</w:t>
      </w:r>
      <w:r>
        <w:rPr>
          <w:w w:val="100"/>
        </w:rPr>
        <w:t> </w:t>
      </w:r>
      <w:r>
        <w:rPr>
          <w:rFonts w:ascii="Times New Roman" w:hAnsi="Times New Roman" w:cs="Times New Roman" w:eastAsia="Times New Roman" w:hint="default"/>
        </w:rPr>
        <w:t>3</w:t>
      </w:r>
      <w:r>
        <w:rPr/>
        <w:t>）销售模式</w:t>
      </w:r>
      <w:r>
        <w:rPr>
          <w:w w:val="100"/>
        </w:rPr>
        <w:t> </w:t>
      </w:r>
      <w:r>
        <w:rPr>
          <w:spacing w:val="-2"/>
        </w:rPr>
        <w:t>中电器件的主要销售模式为通过自身业务部门进行直销，以及通过自有网络及经销商进行分销。中电</w:t>
      </w:r>
    </w:p>
    <w:p>
      <w:pPr>
        <w:spacing w:after="0" w:line="30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85"/>
        <w:jc w:val="both"/>
      </w:pPr>
      <w:r>
        <w:rPr>
          <w:spacing w:val="-2"/>
        </w:rPr>
        <w:t>器件在国内八大区域建立了销售及服务平台。中电器件在上海、广州、深圳、成都、武汉、西安、沈阳、</w:t>
      </w:r>
      <w:r>
        <w:rPr>
          <w:spacing w:val="-21"/>
        </w:rPr>
        <w:t> </w:t>
      </w:r>
      <w:r>
        <w:rPr>
          <w:spacing w:val="-21"/>
        </w:rPr>
      </w:r>
      <w:r>
        <w:rPr>
          <w:spacing w:val="-2"/>
        </w:rPr>
        <w:t>南京设立了分公司或办事处作为销售服务平台，主要负责所在区域内开发新客户、维护客户关系、库房管</w:t>
      </w:r>
      <w:r>
        <w:rPr>
          <w:spacing w:val="-44"/>
        </w:rPr>
        <w:t> </w:t>
      </w:r>
      <w:r>
        <w:rPr>
          <w:spacing w:val="-44"/>
        </w:rPr>
      </w:r>
      <w:r>
        <w:rPr/>
        <w:t>理、收发货等工作。</w:t>
      </w:r>
    </w:p>
    <w:p>
      <w:pPr>
        <w:pStyle w:val="Heading7"/>
        <w:spacing w:line="240" w:lineRule="auto" w:before="48"/>
        <w:ind w:left="575" w:right="208"/>
        <w:jc w:val="left"/>
        <w:rPr>
          <w:b w:val="0"/>
          <w:bCs w:val="0"/>
        </w:rPr>
      </w:pPr>
      <w:r>
        <w:rPr>
          <w:rFonts w:ascii="Times New Roman" w:hAnsi="Times New Roman" w:cs="Times New Roman" w:eastAsia="Times New Roman" w:hint="default"/>
        </w:rPr>
        <w:t>3</w:t>
      </w:r>
      <w:r>
        <w:rPr/>
        <w:t>、公司所属行业发展情况及公司行业地位</w:t>
      </w:r>
      <w:r>
        <w:rPr>
          <w:b w:val="0"/>
          <w:bCs w:val="0"/>
        </w:rPr>
      </w:r>
    </w:p>
    <w:p>
      <w:pPr>
        <w:pStyle w:val="Heading7"/>
        <w:spacing w:line="240" w:lineRule="auto" w:before="59"/>
        <w:ind w:left="575" w:right="208"/>
        <w:jc w:val="left"/>
        <w:rPr>
          <w:b w:val="0"/>
          <w:bCs w:val="0"/>
        </w:rPr>
      </w:pPr>
      <w:r>
        <w:rPr/>
        <w:t>（</w:t>
      </w:r>
      <w:r>
        <w:rPr>
          <w:rFonts w:ascii="Times New Roman" w:hAnsi="Times New Roman" w:cs="Times New Roman" w:eastAsia="Times New Roman" w:hint="default"/>
        </w:rPr>
        <w:t>1</w:t>
      </w:r>
      <w:r>
        <w:rPr/>
        <w:t>）行业发展趋势</w:t>
      </w:r>
      <w:r>
        <w:rPr>
          <w:b w:val="0"/>
          <w:bCs w:val="0"/>
        </w:rPr>
      </w:r>
    </w:p>
    <w:p>
      <w:pPr>
        <w:pStyle w:val="BodyText"/>
        <w:spacing w:line="290" w:lineRule="auto" w:before="62"/>
        <w:ind w:left="573" w:right="20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）中国旅游消费行业市场空间具大</w:t>
      </w:r>
      <w:r>
        <w:rPr>
          <w:w w:val="100"/>
        </w:rPr>
        <w:t> </w:t>
      </w:r>
      <w:r>
        <w:rPr>
          <w:spacing w:val="-2"/>
        </w:rPr>
        <w:t>石基信息致力于为中国旅游消费行业提供整体信息化解决方案。我国改革开放以来，人均</w:t>
      </w:r>
      <w:r>
        <w:rPr>
          <w:rFonts w:ascii="Times New Roman" w:hAnsi="Times New Roman" w:cs="Times New Roman" w:eastAsia="Times New Roman" w:hint="default"/>
          <w:spacing w:val="-2"/>
        </w:rPr>
        <w:t>GDP</w:t>
      </w:r>
      <w:r>
        <w:rPr>
          <w:spacing w:val="-2"/>
        </w:rPr>
        <w:t>提升</w:t>
      </w:r>
      <w:r>
        <w:rPr>
          <w:rFonts w:ascii="Times New Roman" w:hAnsi="Times New Roman" w:cs="Times New Roman" w:eastAsia="Times New Roman" w:hint="default"/>
          <w:spacing w:val="-2"/>
        </w:rPr>
        <w:t>40</w:t>
      </w:r>
    </w:p>
    <w:p>
      <w:pPr>
        <w:pStyle w:val="BodyText"/>
        <w:spacing w:line="263" w:lineRule="exact"/>
        <w:ind w:right="0"/>
        <w:jc w:val="both"/>
      </w:pPr>
      <w:r>
        <w:rPr/>
        <w:t>倍以上，从</w:t>
      </w:r>
      <w:r>
        <w:rPr>
          <w:rFonts w:ascii="Times New Roman" w:hAnsi="Times New Roman" w:cs="Times New Roman" w:eastAsia="Times New Roman" w:hint="default"/>
        </w:rPr>
        <w:t>200</w:t>
      </w:r>
      <w:r>
        <w:rPr/>
        <w:t>美元发展到超过</w:t>
      </w:r>
      <w:r>
        <w:rPr>
          <w:rFonts w:ascii="Times New Roman" w:hAnsi="Times New Roman" w:cs="Times New Roman" w:eastAsia="Times New Roman" w:hint="default"/>
        </w:rPr>
        <w:t>8000</w:t>
      </w:r>
      <w:r>
        <w:rPr/>
        <w:t>美元，已经进入消费升级的新时期，为我国旅游消费行业的发展提供</w:t>
      </w:r>
    </w:p>
    <w:p>
      <w:pPr>
        <w:pStyle w:val="BodyText"/>
        <w:spacing w:line="256" w:lineRule="auto" w:before="21"/>
        <w:ind w:right="207"/>
        <w:jc w:val="both"/>
      </w:pPr>
      <w:r>
        <w:rPr>
          <w:spacing w:val="-1"/>
        </w:rPr>
        <w:t>了良好的经济基础。世界旅游组织（</w:t>
      </w:r>
      <w:r>
        <w:rPr>
          <w:rFonts w:ascii="Times New Roman" w:hAnsi="Times New Roman" w:cs="Times New Roman" w:eastAsia="Times New Roman" w:hint="default"/>
          <w:spacing w:val="-1"/>
        </w:rPr>
        <w:t>UNWTO</w:t>
      </w:r>
      <w:r>
        <w:rPr>
          <w:spacing w:val="-1"/>
        </w:rPr>
        <w:t>）数据显示，中国连续多年保持世界第一大出境旅游客源国</w:t>
      </w:r>
      <w:r>
        <w:rPr>
          <w:spacing w:val="-22"/>
        </w:rPr>
        <w:t> </w:t>
      </w:r>
      <w:r>
        <w:rPr>
          <w:spacing w:val="-22"/>
        </w:rPr>
      </w:r>
      <w:r>
        <w:rPr/>
        <w:t>和全球第四大入境旅游接待国地位。</w:t>
      </w:r>
    </w:p>
    <w:p>
      <w:pPr>
        <w:pStyle w:val="BodyText"/>
        <w:spacing w:line="261" w:lineRule="auto" w:before="61"/>
        <w:ind w:right="206" w:firstLine="420"/>
        <w:jc w:val="both"/>
      </w:pPr>
      <w:r>
        <w:rPr>
          <w:spacing w:val="-2"/>
        </w:rPr>
        <w:t>中国的经济转型和消费升级将为品牌酒店连锁酒店提供巨大的市场空间。虽然中国目前星级酒店总共</w:t>
      </w:r>
      <w:r>
        <w:rPr>
          <w:w w:val="100"/>
        </w:rPr>
        <w:t> </w:t>
      </w:r>
      <w:r>
        <w:rPr>
          <w:spacing w:val="-2"/>
        </w:rPr>
        <w:t>不到</w:t>
      </w:r>
      <w:r>
        <w:rPr>
          <w:rFonts w:ascii="Times New Roman" w:hAnsi="Times New Roman" w:cs="Times New Roman" w:eastAsia="Times New Roman" w:hint="default"/>
          <w:spacing w:val="-2"/>
        </w:rPr>
        <w:t>2</w:t>
      </w:r>
      <w:r>
        <w:rPr>
          <w:spacing w:val="-2"/>
        </w:rPr>
        <w:t>万家，但从中国酒店的整个供应端来看，中国仅大中型城市正在营业的具有</w:t>
      </w:r>
      <w:r>
        <w:rPr>
          <w:rFonts w:ascii="Times New Roman" w:hAnsi="Times New Roman" w:cs="Times New Roman" w:eastAsia="Times New Roman" w:hint="default"/>
          <w:spacing w:val="-2"/>
        </w:rPr>
        <w:t>20</w:t>
      </w:r>
      <w:r>
        <w:rPr>
          <w:spacing w:val="-2"/>
        </w:rPr>
        <w:t>到</w:t>
      </w:r>
      <w:r>
        <w:rPr>
          <w:rFonts w:ascii="Times New Roman" w:hAnsi="Times New Roman" w:cs="Times New Roman" w:eastAsia="Times New Roman" w:hint="default"/>
          <w:spacing w:val="-2"/>
        </w:rPr>
        <w:t>100</w:t>
      </w:r>
      <w:r>
        <w:rPr>
          <w:spacing w:val="-2"/>
        </w:rPr>
        <w:t>间客房的旅馆招</w:t>
      </w:r>
      <w:r>
        <w:rPr>
          <w:spacing w:val="-41"/>
        </w:rPr>
        <w:t> </w:t>
      </w:r>
      <w:r>
        <w:rPr>
          <w:spacing w:val="-41"/>
        </w:rPr>
      </w:r>
      <w:r>
        <w:rPr>
          <w:spacing w:val="-2"/>
        </w:rPr>
        <w:t>待所就有</w:t>
      </w:r>
      <w:r>
        <w:rPr>
          <w:rFonts w:ascii="Times New Roman" w:hAnsi="Times New Roman" w:cs="Times New Roman" w:eastAsia="Times New Roman" w:hint="default"/>
          <w:spacing w:val="-2"/>
        </w:rPr>
        <w:t>30</w:t>
      </w:r>
      <w:r>
        <w:rPr>
          <w:spacing w:val="-2"/>
        </w:rPr>
        <w:t>万家，客房将近</w:t>
      </w:r>
      <w:r>
        <w:rPr>
          <w:rFonts w:ascii="Times New Roman" w:hAnsi="Times New Roman" w:cs="Times New Roman" w:eastAsia="Times New Roman" w:hint="default"/>
          <w:spacing w:val="-2"/>
        </w:rPr>
        <w:t>2000</w:t>
      </w:r>
      <w:r>
        <w:rPr>
          <w:spacing w:val="-2"/>
        </w:rPr>
        <w:t>万间，随着国内客人消费水平的提高，必然逐步从招待所向品牌连锁酒店</w:t>
      </w:r>
      <w:r>
        <w:rPr>
          <w:spacing w:val="-37"/>
        </w:rPr>
        <w:t> </w:t>
      </w:r>
      <w:r>
        <w:rPr>
          <w:spacing w:val="-37"/>
        </w:rPr>
      </w:r>
      <w:r>
        <w:rPr/>
        <w:t>转移，按平均</w:t>
      </w:r>
      <w:r>
        <w:rPr>
          <w:rFonts w:ascii="Times New Roman" w:hAnsi="Times New Roman" w:cs="Times New Roman" w:eastAsia="Times New Roman" w:hint="default"/>
        </w:rPr>
        <w:t>200</w:t>
      </w:r>
      <w:r>
        <w:rPr/>
        <w:t>间客房算，这相当于理论上仅现在的旅游消费规模就有新增</w:t>
      </w:r>
      <w:r>
        <w:rPr>
          <w:rFonts w:ascii="Times New Roman" w:hAnsi="Times New Roman" w:cs="Times New Roman" w:eastAsia="Times New Roman" w:hint="default"/>
        </w:rPr>
        <w:t>10</w:t>
      </w:r>
      <w:r>
        <w:rPr/>
        <w:t>万家品牌连锁酒店的市场</w:t>
      </w:r>
      <w:r>
        <w:rPr>
          <w:spacing w:val="-25"/>
        </w:rPr>
        <w:t> </w:t>
      </w:r>
      <w:r>
        <w:rPr>
          <w:spacing w:val="-25"/>
        </w:rPr>
      </w:r>
      <w:r>
        <w:rPr/>
        <w:t>潜力。据</w:t>
      </w:r>
      <w:r>
        <w:rPr>
          <w:rFonts w:ascii="Times New Roman" w:hAnsi="Times New Roman" w:cs="Times New Roman" w:eastAsia="Times New Roman" w:hint="default"/>
        </w:rPr>
        <w:t>UNWTO</w:t>
      </w:r>
      <w:r>
        <w:rPr/>
        <w:t>预测，中国酒店市场规模到</w:t>
      </w:r>
      <w:r>
        <w:rPr>
          <w:rFonts w:ascii="Times New Roman" w:hAnsi="Times New Roman" w:cs="Times New Roman" w:eastAsia="Times New Roman" w:hint="default"/>
        </w:rPr>
        <w:t>2025</w:t>
      </w:r>
      <w:r>
        <w:rPr/>
        <w:t>年将超过美国，到</w:t>
      </w:r>
      <w:r>
        <w:rPr>
          <w:rFonts w:ascii="Times New Roman" w:hAnsi="Times New Roman" w:cs="Times New Roman" w:eastAsia="Times New Roman" w:hint="default"/>
        </w:rPr>
        <w:t>2039</w:t>
      </w:r>
      <w:r>
        <w:rPr/>
        <w:t>年将增长近一倍。</w:t>
      </w:r>
    </w:p>
    <w:p>
      <w:pPr>
        <w:pStyle w:val="BodyText"/>
        <w:spacing w:line="290" w:lineRule="auto" w:before="41"/>
        <w:ind w:left="573" w:right="208"/>
        <w:jc w:val="left"/>
      </w:pPr>
      <w:r>
        <w:rPr>
          <w:rFonts w:ascii="Times New Roman" w:hAnsi="Times New Roman" w:cs="Times New Roman" w:eastAsia="Times New Roman" w:hint="default"/>
        </w:rPr>
        <w:t>2</w:t>
      </w:r>
      <w:r>
        <w:rPr/>
        <w:t>）酒店、餐饮、零售等大旅游消费行业当前处于升级转型期</w:t>
      </w:r>
      <w:r>
        <w:rPr>
          <w:w w:val="100"/>
        </w:rPr>
        <w:t> </w:t>
      </w:r>
      <w:r>
        <w:rPr>
          <w:spacing w:val="-2"/>
        </w:rPr>
        <w:t>虽然旅游酒店行业还有较大的发展空间，但是受中国经济结构深度调整和增速放缓的影响，中国旅游</w:t>
      </w:r>
    </w:p>
    <w:p>
      <w:pPr>
        <w:pStyle w:val="BodyText"/>
        <w:spacing w:line="273" w:lineRule="auto"/>
        <w:ind w:right="185"/>
        <w:jc w:val="both"/>
      </w:pPr>
      <w:r>
        <w:rPr>
          <w:spacing w:val="-2"/>
        </w:rPr>
        <w:t>消费行业处在升级转型期，酒店、餐饮行业告别粗放增长的时代，进入了回归产品和服务本质的全新发展</w:t>
      </w:r>
      <w:r>
        <w:rPr>
          <w:spacing w:val="-44"/>
        </w:rPr>
        <w:t> </w:t>
      </w:r>
      <w:r>
        <w:rPr>
          <w:spacing w:val="-44"/>
        </w:rPr>
      </w:r>
      <w:r>
        <w:rPr>
          <w:spacing w:val="-2"/>
        </w:rPr>
        <w:t>时期。从行业创新来看，当前酒店、餐饮业正进入调整期，酒店的管理模式、产品模式、市场模式都在进</w:t>
      </w:r>
      <w:r>
        <w:rPr>
          <w:spacing w:val="-42"/>
        </w:rPr>
        <w:t> </w:t>
      </w:r>
      <w:r>
        <w:rPr>
          <w:spacing w:val="-42"/>
        </w:rPr>
      </w:r>
      <w:r>
        <w:rPr>
          <w:spacing w:val="-2"/>
        </w:rPr>
        <w:t>行根本性和结构性变革。从市场环境来说，品牌创新将进入高速爆发期，品牌取代星级成为市场标杆。从</w:t>
      </w:r>
      <w:r>
        <w:rPr>
          <w:spacing w:val="-46"/>
        </w:rPr>
        <w:t> </w:t>
      </w:r>
      <w:r>
        <w:rPr>
          <w:spacing w:val="-46"/>
        </w:rPr>
      </w:r>
      <w:r>
        <w:rPr>
          <w:spacing w:val="-2"/>
        </w:rPr>
        <w:t>产品模式来说，企业将更多地研究目标市场消费需求，重新组合酒店提供的服务和设施，消费者需要的部</w:t>
      </w:r>
      <w:r>
        <w:rPr>
          <w:spacing w:val="-43"/>
        </w:rPr>
        <w:t> </w:t>
      </w:r>
      <w:r>
        <w:rPr>
          <w:spacing w:val="-43"/>
        </w:rPr>
      </w:r>
      <w:r>
        <w:rPr>
          <w:spacing w:val="-2"/>
        </w:rPr>
        <w:t>分将被更加重视，而消费者不需要的部分则会被弱化。而互联网大数据、移动信息科技技术时代的来临，</w:t>
      </w:r>
      <w:r>
        <w:rPr>
          <w:spacing w:val="-21"/>
        </w:rPr>
        <w:t> </w:t>
      </w:r>
      <w:r>
        <w:rPr>
          <w:spacing w:val="-21"/>
        </w:rPr>
      </w:r>
      <w:r>
        <w:rPr/>
        <w:t>为酒店和餐饮信息化市场的繁荣发展提供了新的拓展空间。</w:t>
      </w:r>
    </w:p>
    <w:p>
      <w:pPr>
        <w:pStyle w:val="BodyText"/>
        <w:spacing w:line="273" w:lineRule="auto" w:before="46"/>
        <w:ind w:right="100" w:firstLine="420"/>
        <w:jc w:val="left"/>
      </w:pPr>
      <w:r>
        <w:rPr/>
        <w:t>中国零售业无论从产品和经营模式都正在迎来互联网的巨大冲击，消费升级趋势明显，品牌和商品信</w:t>
      </w:r>
      <w:r>
        <w:rPr>
          <w:w w:val="100"/>
        </w:rPr>
        <w:t> </w:t>
      </w:r>
      <w:r>
        <w:rPr/>
        <w:t>息能通过网络更加容易地传播到消费者，传统零售业基于从生产者到最终消费者之间各个环节信息不对称</w:t>
      </w:r>
      <w:r>
        <w:rPr>
          <w:w w:val="100"/>
        </w:rPr>
        <w:t> </w:t>
      </w:r>
      <w:r>
        <w:rPr/>
        <w:t>所建立起来的商业模式正在被瓦解和颠覆，实体零售店必须且必然会与互联网融为一体利用其服务优势参</w:t>
      </w:r>
      <w:r>
        <w:rPr>
          <w:w w:val="100"/>
        </w:rPr>
        <w:t> </w:t>
      </w:r>
      <w:r>
        <w:rPr>
          <w:spacing w:val="-5"/>
        </w:rPr>
        <w:t>与到新的商业零售的重构中来，互联网和信息技术只是工具，最终洗牌后的商业主角还将以实体店为依托，</w:t>
      </w:r>
      <w:r>
        <w:rPr>
          <w:spacing w:val="-6"/>
        </w:rPr>
        <w:t> </w:t>
      </w:r>
      <w:r>
        <w:rPr>
          <w:spacing w:val="-6"/>
        </w:rPr>
      </w:r>
      <w:r>
        <w:rPr/>
        <w:t>实体店通过利用新一代信息技术将继续成为商品和服务交易的核心环节。</w:t>
      </w:r>
    </w:p>
    <w:p>
      <w:pPr>
        <w:pStyle w:val="BodyText"/>
        <w:spacing w:line="290" w:lineRule="auto" w:before="48"/>
        <w:ind w:left="573" w:right="208"/>
        <w:jc w:val="left"/>
      </w:pPr>
      <w:r>
        <w:rPr>
          <w:rFonts w:ascii="Times New Roman" w:hAnsi="Times New Roman" w:cs="Times New Roman" w:eastAsia="Times New Roman" w:hint="default"/>
        </w:rPr>
        <w:t>3</w:t>
      </w:r>
      <w:r>
        <w:rPr/>
        <w:t>）云计算技术是酒店、餐饮和零售业信息系统技术发展方向</w:t>
      </w:r>
      <w:r>
        <w:rPr>
          <w:w w:val="100"/>
        </w:rPr>
        <w:t> </w:t>
      </w:r>
      <w:r>
        <w:rPr>
          <w:spacing w:val="-2"/>
        </w:rPr>
        <w:t>从信息化行业的技术发展趋势来看，以云计算为代表的新一代信息管理系统将成为未来酒店、餐饮及</w:t>
      </w:r>
    </w:p>
    <w:p>
      <w:pPr>
        <w:pStyle w:val="BodyText"/>
        <w:spacing w:line="268" w:lineRule="auto"/>
        <w:ind w:right="206"/>
        <w:jc w:val="both"/>
      </w:pPr>
      <w:r>
        <w:rPr>
          <w:spacing w:val="-2"/>
        </w:rPr>
        <w:t>零售信息系统的发展趋势。基于云的信息系统不仅简化了实施部署和培训，使得优秀的信息系统可以快速</w:t>
      </w:r>
      <w:r>
        <w:rPr>
          <w:spacing w:val="-43"/>
        </w:rPr>
        <w:t> </w:t>
      </w:r>
      <w:r>
        <w:rPr>
          <w:spacing w:val="-43"/>
        </w:rPr>
      </w:r>
      <w:r>
        <w:rPr>
          <w:spacing w:val="-2"/>
        </w:rPr>
        <w:t>得到推广和普及，更重要的基于云的信息系统有助于公司最终建立覆盖酒店餐饮零售的整个消费信息服务</w:t>
      </w:r>
      <w:r>
        <w:rPr>
          <w:spacing w:val="-42"/>
        </w:rPr>
        <w:t> </w:t>
      </w:r>
      <w:r>
        <w:rPr>
          <w:spacing w:val="-42"/>
        </w:rPr>
      </w:r>
      <w:r>
        <w:rPr>
          <w:spacing w:val="-2"/>
        </w:rPr>
        <w:t>平台和数据平台。公司在云酒店和餐饮信息系统方面已经投入多年并成功地被一定规模的用户所使用，公</w:t>
      </w:r>
      <w:r>
        <w:rPr>
          <w:spacing w:val="-44"/>
        </w:rPr>
        <w:t> </w:t>
      </w:r>
      <w:r>
        <w:rPr>
          <w:spacing w:val="-44"/>
        </w:rPr>
      </w:r>
      <w:r>
        <w:rPr/>
        <w:t>司在欧洲投资的</w:t>
      </w:r>
      <w:r>
        <w:rPr>
          <w:rFonts w:ascii="Times New Roman" w:hAnsi="Times New Roman" w:cs="Times New Roman" w:eastAsia="Times New Roman" w:hint="default"/>
        </w:rPr>
        <w:t>SNAPSHOT</w:t>
      </w:r>
      <w:r>
        <w:rPr/>
        <w:t>和美国投资的</w:t>
      </w:r>
      <w:r>
        <w:rPr>
          <w:rFonts w:ascii="Times New Roman" w:hAnsi="Times New Roman" w:cs="Times New Roman" w:eastAsia="Times New Roman" w:hint="default"/>
        </w:rPr>
        <w:t>Kalibri Labs </w:t>
      </w:r>
      <w:r>
        <w:rPr>
          <w:rFonts w:ascii="Times New Roman" w:hAnsi="Times New Roman" w:cs="Times New Roman" w:eastAsia="Times New Roman" w:hint="default"/>
          <w:spacing w:val="-5"/>
        </w:rPr>
        <w:t>LLC</w:t>
      </w:r>
      <w:r>
        <w:rPr>
          <w:spacing w:val="-5"/>
        </w:rPr>
        <w:t>正在成为酒店业数据平台的先行者。公司希望借</w:t>
      </w:r>
      <w:r>
        <w:rPr>
          <w:spacing w:val="-97"/>
        </w:rPr>
        <w:t> </w:t>
      </w:r>
      <w:r>
        <w:rPr>
          <w:spacing w:val="-97"/>
        </w:rPr>
      </w:r>
      <w:r>
        <w:rPr>
          <w:spacing w:val="-2"/>
        </w:rPr>
        <w:t>助酒店业的经验，利用投资控股零售企业的专业人才优势，通过数据平台和开发云平台的建立，实现公司</w:t>
      </w:r>
      <w:r>
        <w:rPr>
          <w:spacing w:val="-43"/>
        </w:rPr>
        <w:t> </w:t>
      </w:r>
      <w:r>
        <w:rPr>
          <w:spacing w:val="-43"/>
        </w:rPr>
      </w:r>
      <w:r>
        <w:rPr/>
        <w:t>在新一代基于云的零售信息系统的领导地位。</w:t>
      </w:r>
    </w:p>
    <w:p>
      <w:pPr>
        <w:pStyle w:val="BodyText"/>
        <w:spacing w:line="290" w:lineRule="auto" w:before="51"/>
        <w:ind w:left="573" w:right="208"/>
        <w:jc w:val="left"/>
      </w:pPr>
      <w:r>
        <w:rPr>
          <w:rFonts w:ascii="Times New Roman" w:hAnsi="Times New Roman" w:cs="Times New Roman" w:eastAsia="Times New Roman" w:hint="default"/>
        </w:rPr>
        <w:t>4</w:t>
      </w:r>
      <w:r>
        <w:rPr/>
        <w:t>）移动互联网的发展和普及强化了平台化和直连技术在旅游消费行业信息化发展中的应用需求</w:t>
      </w:r>
      <w:r>
        <w:rPr>
          <w:w w:val="100"/>
        </w:rPr>
        <w:t> </w:t>
      </w:r>
      <w:r>
        <w:rPr>
          <w:spacing w:val="-2"/>
        </w:rPr>
        <w:t>从我国酒店行业信息化发展来看，我国酒店的管理系统建设滞后导致酒店预订目前主要依靠人工参与</w:t>
      </w:r>
    </w:p>
    <w:p>
      <w:pPr>
        <w:pStyle w:val="BodyText"/>
        <w:spacing w:line="273" w:lineRule="auto"/>
        <w:ind w:right="206"/>
        <w:jc w:val="both"/>
      </w:pPr>
      <w:r>
        <w:rPr>
          <w:spacing w:val="-2"/>
        </w:rPr>
        <w:t>完成，直连应用仍存在巨大发展空间。拥有直连技术后，通过预订网站产生的预订数据将直接写入到酒店</w:t>
      </w:r>
      <w:r>
        <w:rPr>
          <w:spacing w:val="-44"/>
        </w:rPr>
        <w:t> </w:t>
      </w:r>
      <w:r>
        <w:rPr>
          <w:spacing w:val="-44"/>
        </w:rPr>
      </w:r>
      <w:r>
        <w:rPr>
          <w:spacing w:val="-2"/>
        </w:rPr>
        <w:t>信息管理系统之中，而预订网站也能够实时或者定时读取酒店信息管理系统的数据。一方面，直连能够简</w:t>
      </w:r>
      <w:r>
        <w:rPr>
          <w:spacing w:val="-42"/>
        </w:rPr>
        <w:t> </w:t>
      </w:r>
      <w:r>
        <w:rPr>
          <w:spacing w:val="-42"/>
        </w:rPr>
      </w:r>
      <w:r>
        <w:rPr>
          <w:spacing w:val="-2"/>
        </w:rPr>
        <w:t>化预订流程、缩短预订时间；另一方面，直连降低了人为错误的可能性。因此直连技术能够提升预订行业</w:t>
      </w:r>
      <w:r>
        <w:rPr>
          <w:spacing w:val="-47"/>
        </w:rPr>
        <w:t> </w:t>
      </w:r>
      <w:r>
        <w:rPr>
          <w:spacing w:val="-47"/>
        </w:rPr>
      </w:r>
      <w:r>
        <w:rPr/>
        <w:t>的效率，降低成本。</w:t>
      </w:r>
    </w:p>
    <w:p>
      <w:pPr>
        <w:pStyle w:val="BodyText"/>
        <w:spacing w:line="240" w:lineRule="auto" w:before="48"/>
        <w:ind w:left="573" w:right="100"/>
        <w:jc w:val="left"/>
        <w:rPr>
          <w:rFonts w:ascii="Times New Roman" w:hAnsi="Times New Roman" w:cs="Times New Roman" w:eastAsia="Times New Roman" w:hint="default"/>
        </w:rPr>
      </w:pPr>
      <w:r>
        <w:rPr/>
        <w:t>移动互联网的发展和普及将强化直连需求。移动互联网的兴起导致越来越多的客户通过手机应用</w:t>
      </w:r>
      <w:r>
        <w:rPr>
          <w:rFonts w:ascii="Times New Roman" w:hAnsi="Times New Roman" w:cs="Times New Roman" w:eastAsia="Times New Roman" w:hint="default"/>
        </w:rPr>
        <w:t>APP</w:t>
      </w:r>
    </w:p>
    <w:p>
      <w:pPr>
        <w:spacing w:after="0" w:line="240" w:lineRule="auto"/>
        <w:jc w:val="left"/>
        <w:rPr>
          <w:rFonts w:ascii="Times New Roman" w:hAnsi="Times New Roman" w:cs="Times New Roman" w:eastAsia="Times New Roman" w:hint="default"/>
        </w:rPr>
        <w:sectPr>
          <w:footerReference w:type="default" r:id="rId14"/>
          <w:pgSz w:w="11910" w:h="16840"/>
          <w:pgMar w:footer="980" w:header="745" w:top="1060" w:bottom="1160" w:left="980" w:right="920"/>
          <w:pgNumType w:start="13"/>
        </w:sectPr>
      </w:pPr>
    </w:p>
    <w:p>
      <w:pPr>
        <w:spacing w:line="240" w:lineRule="auto" w:before="2"/>
        <w:rPr>
          <w:rFonts w:ascii="Times New Roman" w:hAnsi="Times New Roman" w:cs="Times New Roman" w:eastAsia="Times New Roman" w:hint="default"/>
          <w:sz w:val="28"/>
          <w:szCs w:val="28"/>
        </w:rPr>
      </w:pPr>
    </w:p>
    <w:p>
      <w:pPr>
        <w:pStyle w:val="BodyText"/>
        <w:spacing w:line="273" w:lineRule="auto" w:before="36"/>
        <w:ind w:right="185"/>
        <w:jc w:val="both"/>
      </w:pPr>
      <w:r>
        <w:rPr>
          <w:spacing w:val="-2"/>
        </w:rPr>
        <w:t>来实现吃住行购娱等所有消费的预订和购买，成为推动直连需求及酒店餐饮零售娱乐信息系统平台化的又</w:t>
      </w:r>
      <w:r>
        <w:rPr>
          <w:spacing w:val="-43"/>
        </w:rPr>
        <w:t> </w:t>
      </w:r>
      <w:r>
        <w:rPr>
          <w:spacing w:val="-43"/>
        </w:rPr>
      </w:r>
      <w:r>
        <w:rPr>
          <w:spacing w:val="-2"/>
        </w:rPr>
        <w:t>一重要因素。一方面，移动互联网时代人们更改旅行计划将更为容易，越来越多的用户放弃了提前预定，</w:t>
      </w:r>
      <w:r>
        <w:rPr>
          <w:spacing w:val="-21"/>
        </w:rPr>
        <w:t> </w:t>
      </w:r>
      <w:r>
        <w:rPr>
          <w:spacing w:val="-21"/>
        </w:rPr>
      </w:r>
      <w:r>
        <w:rPr>
          <w:spacing w:val="-2"/>
        </w:rPr>
        <w:t>而是在住宿需求确定后（比如抵达旅行目的地后）才开始预订房间；这就要求旅客的订单必须迅速得到确</w:t>
      </w:r>
      <w:r>
        <w:rPr>
          <w:spacing w:val="-44"/>
        </w:rPr>
        <w:t> </w:t>
      </w:r>
      <w:r>
        <w:rPr>
          <w:spacing w:val="-44"/>
        </w:rPr>
      </w:r>
      <w:r>
        <w:rPr>
          <w:spacing w:val="-2"/>
        </w:rPr>
        <w:t>认，必将推动直连的发展；另一方面，移动互联网用户对体验的要求更为苛刻，希望从离家出发到旅行归</w:t>
      </w:r>
      <w:r>
        <w:rPr>
          <w:spacing w:val="-47"/>
        </w:rPr>
        <w:t> </w:t>
      </w:r>
      <w:r>
        <w:rPr>
          <w:spacing w:val="-47"/>
        </w:rPr>
      </w:r>
      <w:r>
        <w:rPr>
          <w:spacing w:val="-2"/>
        </w:rPr>
        <w:t>来的整个旅程包括从航班选位，入住酒店的所有过程（包括预定、选房、入住、支付、离店优惠券等，本</w:t>
      </w:r>
      <w:r>
        <w:rPr>
          <w:spacing w:val="-45"/>
        </w:rPr>
        <w:t> </w:t>
      </w:r>
      <w:r>
        <w:rPr>
          <w:spacing w:val="-45"/>
        </w:rPr>
      </w:r>
      <w:r>
        <w:rPr>
          <w:spacing w:val="-2"/>
        </w:rPr>
        <w:t>地交通预订与安排，订餐，购物和休闲娱乐等都能在手机上或手机的帮助下完成，满足其需求的唯一方式</w:t>
      </w:r>
      <w:r>
        <w:rPr>
          <w:spacing w:val="-44"/>
        </w:rPr>
        <w:t> </w:t>
      </w:r>
      <w:r>
        <w:rPr>
          <w:spacing w:val="-44"/>
        </w:rPr>
      </w:r>
      <w:r>
        <w:rPr/>
        <w:t>是实现整个消费行业信息系统的平台化并实现自动直连。</w:t>
      </w:r>
    </w:p>
    <w:p>
      <w:pPr>
        <w:pStyle w:val="BodyText"/>
        <w:spacing w:line="290" w:lineRule="auto" w:before="48"/>
        <w:ind w:left="573" w:right="10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）市场竞争格局</w:t>
      </w:r>
      <w:r>
        <w:rPr>
          <w:rFonts w:ascii="宋体" w:hAnsi="宋体" w:cs="宋体" w:eastAsia="宋体" w:hint="default"/>
          <w:b/>
          <w:bCs/>
          <w:w w:val="100"/>
        </w:rPr>
        <w:t> </w:t>
      </w:r>
      <w:r>
        <w:rPr>
          <w:spacing w:val="-5"/>
        </w:rPr>
        <w:t>目前，国际酒店管理集团在中国酒店行业的强势地位并未发生根本改变。在中国现有的五星级酒店中，</w:t>
      </w:r>
    </w:p>
    <w:p>
      <w:pPr>
        <w:pStyle w:val="BodyText"/>
        <w:spacing w:line="268" w:lineRule="auto"/>
        <w:ind w:right="206"/>
        <w:jc w:val="both"/>
      </w:pPr>
      <w:r>
        <w:rPr>
          <w:spacing w:val="-2"/>
        </w:rPr>
        <w:t>本土酒店品牌仅占不到三分之一。在目前国内已有的星级酒店中，连锁酒店仅占</w:t>
      </w:r>
      <w:r>
        <w:rPr>
          <w:rFonts w:ascii="Times New Roman" w:hAnsi="Times New Roman" w:cs="Times New Roman" w:eastAsia="Times New Roman" w:hint="default"/>
          <w:spacing w:val="-2"/>
        </w:rPr>
        <w:t>10%</w:t>
      </w:r>
      <w:r>
        <w:rPr>
          <w:spacing w:val="-2"/>
        </w:rPr>
        <w:t>左右，国际连锁酒店</w:t>
      </w:r>
      <w:r>
        <w:rPr>
          <w:spacing w:val="-5"/>
        </w:rPr>
        <w:t> </w:t>
      </w:r>
      <w:r>
        <w:rPr>
          <w:spacing w:val="-5"/>
        </w:rPr>
      </w:r>
      <w:r>
        <w:rPr>
          <w:spacing w:val="-2"/>
        </w:rPr>
        <w:t>数量更少，大部分是管理水平较低的单体酒店，星级酒店无论是数量还是质量均远远不能满足高速发展的</w:t>
      </w:r>
      <w:r>
        <w:rPr>
          <w:spacing w:val="-43"/>
        </w:rPr>
        <w:t> </w:t>
      </w:r>
      <w:r>
        <w:rPr>
          <w:spacing w:val="-43"/>
        </w:rPr>
      </w:r>
      <w:r>
        <w:rPr>
          <w:spacing w:val="-2"/>
        </w:rPr>
        <w:t>中国旅游业的需求。因此，经营连锁化、运营信息化是我国旅游酒店业提升服务质量、提高经营效益的必</w:t>
      </w:r>
      <w:r>
        <w:rPr>
          <w:spacing w:val="-47"/>
        </w:rPr>
        <w:t> </w:t>
      </w:r>
      <w:r>
        <w:rPr>
          <w:spacing w:val="-47"/>
        </w:rPr>
      </w:r>
      <w:r>
        <w:rPr>
          <w:spacing w:val="-2"/>
        </w:rPr>
        <w:t>由之路，也是我国旅游酒店业近几年的发展趋势。经营连锁化、运营信息化必然对酒店的信息管理系统提</w:t>
      </w:r>
      <w:r>
        <w:rPr>
          <w:spacing w:val="-42"/>
        </w:rPr>
        <w:t> </w:t>
      </w:r>
      <w:r>
        <w:rPr>
          <w:spacing w:val="-42"/>
        </w:rPr>
      </w:r>
      <w:r>
        <w:rPr/>
        <w:t>出更高的技术先进性、运行可靠性、系统扩展性要求。</w:t>
      </w:r>
    </w:p>
    <w:p>
      <w:pPr>
        <w:pStyle w:val="BodyText"/>
        <w:spacing w:line="271" w:lineRule="auto" w:before="52"/>
        <w:ind w:right="206" w:firstLine="420"/>
        <w:jc w:val="both"/>
      </w:pPr>
      <w:r>
        <w:rPr>
          <w:spacing w:val="-2"/>
        </w:rPr>
        <w:t>公司在国内从事国际化经营与管理的酒店管理软件业务方面基本没有强有力的竞争对手，公司是目前</w:t>
      </w:r>
      <w:r>
        <w:rPr>
          <w:w w:val="100"/>
        </w:rPr>
        <w:t> </w:t>
      </w:r>
      <w:r>
        <w:rPr>
          <w:spacing w:val="-2"/>
        </w:rPr>
        <w:t>国内最主要的酒店信息管理系统解决方案提供商之一，能够为从高星级到较低星级直至经济型连锁酒店提</w:t>
      </w:r>
      <w:r>
        <w:rPr>
          <w:spacing w:val="-43"/>
        </w:rPr>
        <w:t> </w:t>
      </w:r>
      <w:r>
        <w:rPr>
          <w:spacing w:val="-43"/>
        </w:rPr>
      </w:r>
      <w:r>
        <w:rPr/>
        <w:t>供全套完整的解决方案，酒店客户总数约</w:t>
      </w:r>
      <w:r>
        <w:rPr>
          <w:rFonts w:ascii="Times New Roman" w:hAnsi="Times New Roman" w:cs="Times New Roman" w:eastAsia="Times New Roman" w:hint="default"/>
        </w:rPr>
        <w:t>13,000</w:t>
      </w:r>
      <w:r>
        <w:rPr/>
        <w:t>家。公司的中央预订系统（</w:t>
      </w:r>
      <w:r>
        <w:rPr>
          <w:rFonts w:ascii="Times New Roman" w:hAnsi="Times New Roman" w:cs="Times New Roman" w:eastAsia="Times New Roman" w:hint="default"/>
        </w:rPr>
        <w:t>CRS</w:t>
      </w:r>
      <w:r>
        <w:rPr/>
        <w:t>）已经成为国内中高星级</w:t>
      </w:r>
      <w:r>
        <w:rPr>
          <w:spacing w:val="-55"/>
        </w:rPr>
        <w:t> </w:t>
      </w:r>
      <w:r>
        <w:rPr>
          <w:spacing w:val="-55"/>
        </w:rPr>
      </w:r>
      <w:r>
        <w:rPr>
          <w:spacing w:val="-2"/>
        </w:rPr>
        <w:t>酒店集团的主要选择之一，为中国酒店连锁化运营做好了技术准备。公司过去多年在海外较大规模的研发</w:t>
      </w:r>
      <w:r>
        <w:rPr>
          <w:spacing w:val="-44"/>
        </w:rPr>
        <w:t> </w:t>
      </w:r>
      <w:r>
        <w:rPr>
          <w:spacing w:val="-44"/>
        </w:rPr>
      </w:r>
      <w:r>
        <w:rPr>
          <w:spacing w:val="-2"/>
        </w:rPr>
        <w:t>投入使得公司的产品能够满足全球国际化连锁酒店的要求，公司的产品与服务在上述各方面相比于其他市</w:t>
      </w:r>
      <w:r>
        <w:rPr>
          <w:spacing w:val="-43"/>
        </w:rPr>
        <w:t> </w:t>
      </w:r>
      <w:r>
        <w:rPr>
          <w:spacing w:val="-43"/>
        </w:rPr>
      </w:r>
      <w:r>
        <w:rPr>
          <w:spacing w:val="-2"/>
        </w:rPr>
        <w:t>场参与主体具有显著的优势，行业与市场的发展将有利于公司各项竞争优势的充分发挥，公司目前正处于</w:t>
      </w:r>
      <w:r>
        <w:rPr>
          <w:spacing w:val="-44"/>
        </w:rPr>
        <w:t> </w:t>
      </w:r>
      <w:r>
        <w:rPr>
          <w:spacing w:val="-44"/>
        </w:rPr>
      </w:r>
      <w:r>
        <w:rPr/>
        <w:t>向平台化和国际化转型的关键时期，公司期望通过产品、技术和服务的先发优势，来实现这次转型。</w:t>
      </w:r>
    </w:p>
    <w:p>
      <w:pPr>
        <w:pStyle w:val="BodyText"/>
        <w:spacing w:line="266" w:lineRule="auto" w:before="50"/>
        <w:ind w:right="206" w:firstLine="420"/>
        <w:jc w:val="both"/>
      </w:pPr>
      <w:r>
        <w:rPr>
          <w:spacing w:val="-2"/>
        </w:rPr>
        <w:t>在本地化酒店信息管理系统领域，由公司子公司杭州西软、广州万迅和航信华仪负责，杭州西软是国</w:t>
      </w:r>
      <w:r>
        <w:rPr>
          <w:w w:val="100"/>
        </w:rPr>
        <w:t> </w:t>
      </w:r>
      <w:r>
        <w:rPr>
          <w:spacing w:val="-2"/>
        </w:rPr>
        <w:t>内单体酒店客户数量最多的公司在华东地区所有星级酒店占有</w:t>
      </w:r>
      <w:r>
        <w:rPr>
          <w:rFonts w:ascii="Times New Roman" w:hAnsi="Times New Roman" w:cs="Times New Roman" w:eastAsia="Times New Roman" w:hint="default"/>
          <w:spacing w:val="-2"/>
        </w:rPr>
        <w:t>50%</w:t>
      </w:r>
      <w:r>
        <w:rPr>
          <w:spacing w:val="-2"/>
        </w:rPr>
        <w:t>以上份额，具有相对的区域控制优势。</w:t>
      </w:r>
      <w:r>
        <w:rPr>
          <w:spacing w:val="-5"/>
        </w:rPr>
        <w:t> </w:t>
      </w:r>
      <w:r>
        <w:rPr>
          <w:spacing w:val="-5"/>
        </w:rPr>
      </w:r>
      <w:r>
        <w:rPr>
          <w:spacing w:val="-2"/>
        </w:rPr>
        <w:t>本地化酒店信息管理系统领域现阶段主要的竞争对手有北京众荟信息技术股份有限公司、上海别样红信息</w:t>
      </w:r>
      <w:r>
        <w:rPr>
          <w:spacing w:val="-43"/>
        </w:rPr>
        <w:t> </w:t>
      </w:r>
      <w:r>
        <w:rPr>
          <w:spacing w:val="-43"/>
        </w:rPr>
      </w:r>
      <w:r>
        <w:rPr/>
        <w:t>技术有限公司、杭州绿云科技有限公司等。</w:t>
      </w:r>
    </w:p>
    <w:p>
      <w:pPr>
        <w:pStyle w:val="BodyText"/>
        <w:spacing w:line="264" w:lineRule="auto" w:before="53"/>
        <w:ind w:right="206" w:firstLine="420"/>
        <w:jc w:val="both"/>
      </w:pPr>
      <w:r>
        <w:rPr>
          <w:spacing w:val="-2"/>
        </w:rPr>
        <w:t>在餐饮信息化行业高度分散的局势下，公司通过有效整合旗下四大品牌，中高端、连锁餐饮用户数量</w:t>
      </w:r>
      <w:r>
        <w:rPr>
          <w:w w:val="100"/>
        </w:rPr>
        <w:t> </w:t>
      </w:r>
      <w:r>
        <w:rPr>
          <w:spacing w:val="-1"/>
        </w:rPr>
        <w:t>已超过</w:t>
      </w:r>
      <w:r>
        <w:rPr>
          <w:rFonts w:ascii="Times New Roman" w:hAnsi="Times New Roman" w:cs="Times New Roman" w:eastAsia="Times New Roman" w:hint="default"/>
          <w:spacing w:val="-1"/>
        </w:rPr>
        <w:t>10,000</w:t>
      </w:r>
      <w:r>
        <w:rPr>
          <w:spacing w:val="-1"/>
        </w:rPr>
        <w:t>家，标准化餐饮用户超过</w:t>
      </w:r>
      <w:r>
        <w:rPr>
          <w:rFonts w:ascii="Times New Roman" w:hAnsi="Times New Roman" w:cs="Times New Roman" w:eastAsia="Times New Roman" w:hint="default"/>
          <w:spacing w:val="-1"/>
        </w:rPr>
        <w:t>15</w:t>
      </w:r>
      <w:r>
        <w:rPr>
          <w:spacing w:val="-1"/>
        </w:rPr>
        <w:t>万家，无论在中高端及连锁餐饮市场还是在整个餐饮信息化市场</w:t>
      </w:r>
      <w:r>
        <w:rPr>
          <w:spacing w:val="-28"/>
        </w:rPr>
        <w:t> </w:t>
      </w:r>
      <w:r>
        <w:rPr>
          <w:spacing w:val="-28"/>
        </w:rPr>
      </w:r>
      <w:r>
        <w:rPr/>
        <w:t>的占有率均处于相对领先水平。</w:t>
      </w:r>
    </w:p>
    <w:p>
      <w:pPr>
        <w:pStyle w:val="BodyText"/>
        <w:spacing w:line="256" w:lineRule="auto" w:before="57"/>
        <w:ind w:right="206" w:firstLine="420"/>
        <w:jc w:val="both"/>
      </w:pPr>
      <w:r>
        <w:rPr>
          <w:spacing w:val="-1"/>
        </w:rPr>
        <w:t>对于零售信息化市场，多年以来竞争激烈。公司目前已全资收购长益科技、</w:t>
      </w:r>
      <w:r>
        <w:rPr>
          <w:rFonts w:ascii="Times New Roman" w:hAnsi="Times New Roman" w:cs="Times New Roman" w:eastAsia="Times New Roman" w:hint="default"/>
          <w:spacing w:val="-1"/>
        </w:rPr>
        <w:t>eFut</w:t>
      </w:r>
      <w:r>
        <w:rPr>
          <w:spacing w:val="-1"/>
        </w:rPr>
        <w:t>公司，控股思迅软件</w:t>
      </w:r>
      <w:r>
        <w:rPr>
          <w:w w:val="100"/>
        </w:rPr>
        <w:t> </w:t>
      </w:r>
      <w:r>
        <w:rPr>
          <w:spacing w:val="-2"/>
        </w:rPr>
        <w:t>及上海时运，参股科传控股和青岛海信商用，零售客户总量超过</w:t>
      </w:r>
      <w:r>
        <w:rPr>
          <w:rFonts w:ascii="Times New Roman" w:hAnsi="Times New Roman" w:cs="Times New Roman" w:eastAsia="Times New Roman" w:hint="default"/>
          <w:spacing w:val="-2"/>
        </w:rPr>
        <w:t>30</w:t>
      </w:r>
      <w:r>
        <w:rPr>
          <w:spacing w:val="-2"/>
        </w:rPr>
        <w:t>万家，占中国规模化零售行业客户群的</w:t>
      </w:r>
      <w:r>
        <w:rPr>
          <w:spacing w:val="-41"/>
        </w:rPr>
        <w:t> </w:t>
      </w:r>
      <w:r>
        <w:rPr>
          <w:spacing w:val="-41"/>
        </w:rPr>
      </w:r>
      <w:r>
        <w:rPr>
          <w:rFonts w:ascii="Times New Roman" w:hAnsi="Times New Roman" w:cs="Times New Roman" w:eastAsia="Times New Roman" w:hint="default"/>
        </w:rPr>
        <w:t>6-7</w:t>
      </w:r>
      <w:r>
        <w:rPr/>
        <w:t>成。通过整合与加大下一代产品的研发投入，公司有望在零售业取得与酒店业相同的领导地位。</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64"/>
        <w:gridCol w:w="7994"/>
      </w:tblGrid>
      <w:tr>
        <w:trPr>
          <w:trHeight w:val="185" w:hRule="exact"/>
        </w:trPr>
        <w:tc>
          <w:tcPr>
            <w:tcW w:w="1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4"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长期股权投资本期较期初下降</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36.63%</w:t>
            </w:r>
            <w:r>
              <w:rPr>
                <w:rFonts w:ascii="宋体" w:hAnsi="宋体" w:cs="宋体" w:eastAsia="宋体" w:hint="default"/>
                <w:spacing w:val="-3"/>
                <w:sz w:val="18"/>
                <w:szCs w:val="18"/>
              </w:rPr>
              <w:t>，主要系本期收购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股权并达到控制，纳入合并范</w:t>
            </w:r>
            <w:r>
              <w:rPr>
                <w:rFonts w:ascii="宋体" w:hAnsi="宋体" w:cs="宋体" w:eastAsia="宋体" w:hint="default"/>
                <w:sz w:val="18"/>
                <w:szCs w:val="18"/>
              </w:rPr>
              <w:t> 围，由权益法转为成本法核算，以及本期处置子公司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相应持有的对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and R </w:t>
            </w:r>
            <w:r>
              <w:rPr>
                <w:rFonts w:ascii="宋体" w:hAnsi="宋体" w:cs="宋体" w:eastAsia="宋体" w:hint="default"/>
                <w:sz w:val="18"/>
                <w:szCs w:val="18"/>
              </w:rPr>
              <w:t>的投资额减少共同所 致。</w:t>
            </w:r>
          </w:p>
        </w:tc>
      </w:tr>
      <w:tr>
        <w:trPr>
          <w:trHeight w:val="394" w:hRule="exact"/>
        </w:trPr>
        <w:tc>
          <w:tcPr>
            <w:tcW w:w="16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994" w:type="dxa"/>
            <w:vMerge/>
            <w:tcBorders>
              <w:left w:val="single" w:sz="10" w:space="0" w:color="D2D2D2"/>
              <w:right w:val="single" w:sz="4" w:space="0" w:color="000000"/>
            </w:tcBorders>
          </w:tcPr>
          <w:p>
            <w:pPr/>
          </w:p>
        </w:tc>
      </w:tr>
      <w:tr>
        <w:trPr>
          <w:trHeight w:val="317" w:hRule="exact"/>
        </w:trPr>
        <w:tc>
          <w:tcPr>
            <w:tcW w:w="1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4" w:type="dxa"/>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before="44"/>
        <w:ind w:left="152" w:right="120" w:firstLine="0"/>
        <w:jc w:val="right"/>
        <w:rPr>
          <w:rFonts w:ascii="宋体" w:hAnsi="宋体" w:cs="宋体" w:eastAsia="宋体" w:hint="default"/>
          <w:sz w:val="18"/>
          <w:szCs w:val="18"/>
        </w:rPr>
      </w:pPr>
      <w:r>
        <w:rPr/>
        <w:pict>
          <v:shape style="position:absolute;margin-left:56.400002pt;margin-top:-76.708282pt;width:484.2pt;height:299.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6"/>
                    <w:gridCol w:w="7994"/>
                  </w:tblGrid>
                  <w:tr>
                    <w:trPr>
                      <w:trHeight w:val="401" w:hRule="exact"/>
                    </w:trPr>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6" w:hRule="exact"/>
                    </w:trPr>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无形资产本期较期初增长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81.77%</w:t>
                        </w:r>
                        <w:r>
                          <w:rPr>
                            <w:rFonts w:ascii="宋体" w:hAnsi="宋体" w:cs="宋体" w:eastAsia="宋体" w:hint="default"/>
                            <w:spacing w:val="-3"/>
                            <w:sz w:val="18"/>
                            <w:szCs w:val="18"/>
                          </w:rPr>
                          <w:t>，主要系本期新收购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REVIEW</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4"/>
                            <w:sz w:val="18"/>
                            <w:szCs w:val="18"/>
                          </w:rPr>
                          <w:t>RANK</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GALASYS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增加的无形资 产较多所致。</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在建工程期末比期初增长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284.49%</w:t>
                        </w:r>
                        <w:r>
                          <w:rPr>
                            <w:rFonts w:ascii="宋体" w:hAnsi="宋体" w:cs="宋体" w:eastAsia="宋体" w:hint="default"/>
                            <w:sz w:val="18"/>
                            <w:szCs w:val="18"/>
                          </w:rPr>
                          <w:t>，主要系全资子公司中电器件办公楼装修改造工程所致。</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货币资金本期比期初下降</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35.16%</w:t>
                        </w:r>
                        <w:r>
                          <w:rPr>
                            <w:rFonts w:ascii="宋体" w:hAnsi="宋体" w:cs="宋体" w:eastAsia="宋体" w:hint="default"/>
                            <w:spacing w:val="-4"/>
                            <w:sz w:val="18"/>
                            <w:szCs w:val="18"/>
                          </w:rPr>
                          <w:t>，主要系本期较期初购买银行理财产品较多，导致货币资金减少所致</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应收票据本期比期初下降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65.87%</w:t>
                        </w:r>
                        <w:r>
                          <w:rPr>
                            <w:rFonts w:ascii="宋体" w:hAnsi="宋体" w:cs="宋体" w:eastAsia="宋体" w:hint="default"/>
                            <w:sz w:val="18"/>
                            <w:szCs w:val="18"/>
                          </w:rPr>
                          <w:t>，主要系下属子公司中电器件及长益科技应收票据到期结算所致。</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应收利息本期较期初下降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86.29%</w:t>
                        </w:r>
                        <w:r>
                          <w:rPr>
                            <w:rFonts w:ascii="宋体" w:hAnsi="宋体" w:cs="宋体" w:eastAsia="宋体" w:hint="default"/>
                            <w:sz w:val="18"/>
                            <w:szCs w:val="18"/>
                          </w:rPr>
                          <w:t>，收到期初应收的结构性存款利息所致。</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其他流动资产本期比期初增长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511.09%</w:t>
                        </w:r>
                        <w:r>
                          <w:rPr>
                            <w:rFonts w:ascii="宋体" w:hAnsi="宋体" w:cs="宋体" w:eastAsia="宋体" w:hint="default"/>
                            <w:sz w:val="18"/>
                            <w:szCs w:val="18"/>
                          </w:rPr>
                          <w:t>，主要系本期较期初购买银行理财产品较多所致。</w:t>
                        </w:r>
                      </w:p>
                    </w:tc>
                  </w:tr>
                  <w:tr>
                    <w:trPr>
                      <w:trHeight w:val="715"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可供出售金融资产本期比期初增长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90.77%</w:t>
                        </w:r>
                        <w:r>
                          <w:rPr>
                            <w:rFonts w:ascii="宋体" w:hAnsi="宋体" w:cs="宋体" w:eastAsia="宋体" w:hint="default"/>
                            <w:sz w:val="18"/>
                            <w:szCs w:val="18"/>
                          </w:rPr>
                          <w:t>，主要系下属子公司石基香港投资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Kalibri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Labs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LLC12%</w:t>
                        </w:r>
                        <w:r>
                          <w:rPr>
                            <w:rFonts w:ascii="宋体" w:hAnsi="宋体" w:cs="宋体" w:eastAsia="宋体" w:hint="default"/>
                            <w:sz w:val="18"/>
                            <w:szCs w:val="18"/>
                          </w:rPr>
                          <w:t>股 权以及对</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StayNTouch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追加投资共同所致。</w:t>
                        </w:r>
                      </w:p>
                    </w:tc>
                  </w:tr>
                  <w:tr>
                    <w:trPr>
                      <w:trHeight w:val="71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投资性房地产本期较期下降</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46.98%</w:t>
                        </w:r>
                        <w:r>
                          <w:rPr>
                            <w:rFonts w:ascii="宋体" w:hAnsi="宋体" w:cs="宋体" w:eastAsia="宋体" w:hint="default"/>
                            <w:spacing w:val="-2"/>
                            <w:sz w:val="18"/>
                            <w:szCs w:val="18"/>
                          </w:rPr>
                          <w:t>，主要系下属子公司中电器件办公楼改造，已出租的房屋收回较多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所致。</w:t>
                        </w:r>
                      </w:p>
                    </w:tc>
                  </w:tr>
                  <w:tr>
                    <w:trPr>
                      <w:trHeight w:val="715"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长期待摊费用本期较期初下降</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31.99%</w:t>
                        </w:r>
                        <w:r>
                          <w:rPr>
                            <w:rFonts w:ascii="宋体" w:hAnsi="宋体" w:cs="宋体" w:eastAsia="宋体" w:hint="default"/>
                            <w:spacing w:val="-2"/>
                            <w:sz w:val="18"/>
                            <w:szCs w:val="18"/>
                          </w:rPr>
                          <w:t>，主要系本期新增长期待摊的装修费用较少，摊销的费用较多所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致。</w:t>
                        </w:r>
                      </w:p>
                    </w:tc>
                  </w:tr>
                  <w:tr>
                    <w:trPr>
                      <w:trHeight w:val="715"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递延所得税资产本期比期初增长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79.76%</w:t>
                        </w:r>
                        <w:r>
                          <w:rPr>
                            <w:rFonts w:ascii="宋体" w:hAnsi="宋体" w:cs="宋体" w:eastAsia="宋体" w:hint="default"/>
                            <w:sz w:val="18"/>
                            <w:szCs w:val="18"/>
                          </w:rPr>
                          <w:t>，主要系企业合并新增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review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rank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因可抵扣亏损确认递延所 得税资产增加所致。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7"/>
        <w:spacing w:line="240" w:lineRule="auto" w:before="36"/>
        <w:ind w:right="208"/>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pict>
          <v:group style="position:absolute;margin-left:110.18pt;margin-top:53.467709pt;width:31.35pt;height:23.45pt;mso-position-horizontal-relative:page;mso-position-vertical-relative:paragraph;z-index:-1160632" coordorigin="2204,1069" coordsize="627,469">
            <v:shape style="position:absolute;left:2204;top:1069;width:627;height:469" coordorigin="2204,1069" coordsize="627,469" path="m2204,1538l2830,1538,2830,1069,2204,1069,2204,1538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640"/>
        <w:gridCol w:w="1382"/>
        <w:gridCol w:w="775"/>
        <w:gridCol w:w="535"/>
        <w:gridCol w:w="2362"/>
        <w:gridCol w:w="499"/>
        <w:gridCol w:w="1419"/>
        <w:gridCol w:w="994"/>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64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223" w:right="43" w:hanging="180"/>
              <w:jc w:val="left"/>
              <w:rPr>
                <w:rFonts w:ascii="宋体" w:hAnsi="宋体" w:cs="宋体" w:eastAsia="宋体" w:hint="default"/>
                <w:sz w:val="18"/>
                <w:szCs w:val="18"/>
              </w:rPr>
            </w:pPr>
            <w:r>
              <w:rPr>
                <w:rFonts w:ascii="宋体" w:hAnsi="宋体" w:cs="宋体" w:eastAsia="宋体" w:hint="default"/>
                <w:sz w:val="18"/>
                <w:szCs w:val="18"/>
              </w:rPr>
              <w:t>形成原 因</w:t>
            </w:r>
          </w:p>
        </w:tc>
        <w:tc>
          <w:tcPr>
            <w:tcW w:w="138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运营 模式</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保障资产安全性的控制措施</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2"/>
              <w:jc w:val="left"/>
              <w:rPr>
                <w:rFonts w:ascii="宋体" w:hAnsi="宋体" w:cs="宋体" w:eastAsia="宋体" w:hint="default"/>
                <w:sz w:val="18"/>
                <w:szCs w:val="18"/>
              </w:rPr>
            </w:pPr>
            <w:r>
              <w:rPr>
                <w:rFonts w:ascii="宋体" w:hAnsi="宋体" w:cs="宋体" w:eastAsia="宋体" w:hint="default"/>
                <w:sz w:val="18"/>
                <w:szCs w:val="18"/>
              </w:rPr>
              <w:t>收益 状况</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74" w:hanging="89"/>
              <w:jc w:val="left"/>
              <w:rPr>
                <w:rFonts w:ascii="宋体" w:hAnsi="宋体" w:cs="宋体" w:eastAsia="宋体" w:hint="default"/>
                <w:sz w:val="18"/>
                <w:szCs w:val="18"/>
              </w:rPr>
            </w:pPr>
            <w:r>
              <w:rPr>
                <w:rFonts w:ascii="宋体" w:hAnsi="宋体" w:cs="宋体" w:eastAsia="宋体" w:hint="default"/>
                <w:sz w:val="18"/>
                <w:szCs w:val="18"/>
              </w:rPr>
              <w:t>境外资产占公司 净资产的比重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340"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7"/>
              <w:jc w:val="left"/>
              <w:rPr>
                <w:rFonts w:ascii="宋体" w:hAnsi="宋体" w:cs="宋体" w:eastAsia="宋体" w:hint="default"/>
                <w:sz w:val="18"/>
                <w:szCs w:val="18"/>
              </w:rPr>
            </w:pPr>
            <w:r>
              <w:rPr>
                <w:rFonts w:ascii="宋体" w:hAnsi="宋体" w:cs="宋体" w:eastAsia="宋体" w:hint="default"/>
                <w:sz w:val="18"/>
                <w:szCs w:val="18"/>
              </w:rPr>
              <w:t>石基（香港 有限公司</w:t>
            </w:r>
          </w:p>
        </w:tc>
        <w:tc>
          <w:tcPr>
            <w:tcW w:w="640" w:type="dxa"/>
            <w:tcBorders>
              <w:top w:val="single" w:sz="4" w:space="0" w:color="000000"/>
              <w:left w:val="single" w:sz="13" w:space="0" w:color="FFFFFF"/>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38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2,040,079,883.48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39"/>
              <w:jc w:val="left"/>
              <w:rPr>
                <w:rFonts w:ascii="宋体" w:hAnsi="宋体" w:cs="宋体" w:eastAsia="宋体" w:hint="default"/>
                <w:sz w:val="18"/>
                <w:szCs w:val="18"/>
              </w:rPr>
            </w:pPr>
            <w:r>
              <w:rPr>
                <w:rFonts w:ascii="宋体" w:hAnsi="宋体" w:cs="宋体" w:eastAsia="宋体" w:hint="default"/>
                <w:sz w:val="18"/>
                <w:szCs w:val="18"/>
              </w:rPr>
              <w:t>自主 经营</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3"/>
                <w:sz w:val="18"/>
                <w:szCs w:val="18"/>
              </w:rPr>
              <w:t>委派董事、境外公司高级管理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人员，依据健全的内控管理制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度，对境外公司资产进行妥善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38.85%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796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石基（香港）为公司全资子公司</w:t>
            </w:r>
          </w:p>
        </w:tc>
      </w:tr>
    </w:tbl>
    <w:p>
      <w:pPr>
        <w:spacing w:line="240" w:lineRule="auto" w:before="1"/>
        <w:rPr>
          <w:rFonts w:ascii="宋体" w:hAnsi="宋体" w:cs="宋体" w:eastAsia="宋体" w:hint="default"/>
          <w:sz w:val="18"/>
          <w:szCs w:val="18"/>
        </w:rPr>
      </w:pPr>
    </w:p>
    <w:p>
      <w:pPr>
        <w:pStyle w:val="Heading3"/>
        <w:spacing w:line="240" w:lineRule="auto" w:before="26"/>
        <w:ind w:right="208"/>
        <w:jc w:val="left"/>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4"/>
        <w:ind w:right="208" w:firstLine="420"/>
        <w:jc w:val="left"/>
      </w:pPr>
      <w:r>
        <w:rPr>
          <w:spacing w:val="-2"/>
        </w:rPr>
        <w:t>经过多年的发展，公司已确立并于近几年持续强化了公司在国内酒店、餐饮和零售业信息管理系统市</w:t>
      </w:r>
      <w:r>
        <w:rPr>
          <w:w w:val="100"/>
        </w:rPr>
        <w:t> </w:t>
      </w:r>
      <w:r>
        <w:rPr/>
        <w:t>场显著的技术优势、市场优势、客户优势、品牌优势与人才优势。</w:t>
      </w:r>
    </w:p>
    <w:p>
      <w:pPr>
        <w:pStyle w:val="Heading7"/>
        <w:spacing w:line="240" w:lineRule="auto" w:before="48"/>
        <w:ind w:left="575" w:right="208"/>
        <w:jc w:val="left"/>
        <w:rPr>
          <w:b w:val="0"/>
          <w:bCs w:val="0"/>
        </w:rPr>
      </w:pPr>
      <w:r>
        <w:rPr>
          <w:rFonts w:ascii="Times New Roman" w:hAnsi="Times New Roman" w:cs="Times New Roman" w:eastAsia="Times New Roman" w:hint="default"/>
        </w:rPr>
        <w:t>1</w:t>
      </w:r>
      <w:r>
        <w:rPr/>
        <w:t>、技术优势</w:t>
      </w:r>
      <w:r>
        <w:rPr>
          <w:b w:val="0"/>
          <w:bCs w:val="0"/>
        </w:rPr>
      </w:r>
    </w:p>
    <w:p>
      <w:pPr>
        <w:pStyle w:val="BodyText"/>
        <w:spacing w:line="240" w:lineRule="auto" w:before="62"/>
        <w:ind w:left="966" w:right="100"/>
        <w:jc w:val="left"/>
      </w:pPr>
      <w:r>
        <w:rPr/>
        <w:t>公司是中国目前最主要的酒店信息管理系统解决方案提供商之一，公司全面整合了前台管理系统</w:t>
      </w:r>
    </w:p>
    <w:p>
      <w:pPr>
        <w:pStyle w:val="BodyText"/>
        <w:spacing w:line="256" w:lineRule="auto" w:before="37"/>
        <w:ind w:right="100"/>
        <w:jc w:val="left"/>
      </w:pPr>
      <w:r>
        <w:rPr>
          <w:spacing w:val="-4"/>
        </w:rPr>
        <w:t>（</w:t>
      </w:r>
      <w:r>
        <w:rPr>
          <w:rFonts w:ascii="Times New Roman" w:hAnsi="Times New Roman" w:cs="Times New Roman" w:eastAsia="Times New Roman" w:hint="default"/>
          <w:spacing w:val="-4"/>
        </w:rPr>
        <w:t>PMS</w:t>
      </w:r>
      <w:r>
        <w:rPr>
          <w:spacing w:val="-4"/>
        </w:rPr>
        <w:t>）、酒店餐饮信息系统（</w:t>
      </w:r>
      <w:r>
        <w:rPr>
          <w:rFonts w:ascii="Times New Roman" w:hAnsi="Times New Roman" w:cs="Times New Roman" w:eastAsia="Times New Roman" w:hint="default"/>
          <w:spacing w:val="-4"/>
        </w:rPr>
        <w:t>POS</w:t>
      </w:r>
      <w:r>
        <w:rPr>
          <w:spacing w:val="-4"/>
        </w:rPr>
        <w:t>）、酒店后台管理系统（</w:t>
      </w:r>
      <w:r>
        <w:rPr>
          <w:rFonts w:ascii="Times New Roman" w:hAnsi="Times New Roman" w:cs="Times New Roman" w:eastAsia="Times New Roman" w:hint="default"/>
          <w:spacing w:val="-4"/>
        </w:rPr>
        <w:t>BO</w:t>
      </w:r>
      <w:r>
        <w:rPr>
          <w:spacing w:val="-4"/>
        </w:rPr>
        <w:t>）以及其他管理系统（</w:t>
      </w:r>
      <w:r>
        <w:rPr>
          <w:rFonts w:ascii="Times New Roman" w:hAnsi="Times New Roman" w:cs="Times New Roman" w:eastAsia="Times New Roman" w:hint="default"/>
          <w:spacing w:val="-4"/>
        </w:rPr>
        <w:t>CRS</w:t>
      </w:r>
      <w:r>
        <w:rPr>
          <w:spacing w:val="-4"/>
        </w:rPr>
        <w:t>、</w:t>
      </w:r>
      <w:r>
        <w:rPr>
          <w:rFonts w:ascii="Times New Roman" w:hAnsi="Times New Roman" w:cs="Times New Roman" w:eastAsia="Times New Roman" w:hint="default"/>
          <w:spacing w:val="-4"/>
        </w:rPr>
        <w:t>LPS</w:t>
      </w:r>
      <w:r>
        <w:rPr>
          <w:spacing w:val="-4"/>
        </w:rPr>
        <w:t>、</w:t>
      </w:r>
      <w:r>
        <w:rPr>
          <w:rFonts w:ascii="Times New Roman" w:hAnsi="Times New Roman" w:cs="Times New Roman" w:eastAsia="Times New Roman" w:hint="default"/>
          <w:spacing w:val="-4"/>
        </w:rPr>
        <w:t>CRM</w:t>
      </w:r>
      <w:r>
        <w:rPr>
          <w:spacing w:val="-4"/>
        </w:rPr>
        <w:t>、</w:t>
      </w:r>
      <w:r>
        <w:rPr>
          <w:spacing w:val="-50"/>
        </w:rPr>
        <w:t> </w:t>
      </w:r>
      <w:r>
        <w:rPr>
          <w:rFonts w:ascii="Times New Roman" w:hAnsi="Times New Roman" w:cs="Times New Roman" w:eastAsia="Times New Roman" w:hint="default"/>
          <w:spacing w:val="-4"/>
        </w:rPr>
        <w:t>PGS</w:t>
      </w:r>
      <w:r>
        <w:rPr>
          <w:spacing w:val="-4"/>
        </w:rPr>
        <w:t>等），使公司的各类产品融合成为一个功能完整覆盖、技术全面领先的</w:t>
      </w:r>
      <w:r>
        <w:rPr>
          <w:rFonts w:ascii="Times New Roman" w:hAnsi="Times New Roman" w:cs="Times New Roman" w:eastAsia="Times New Roman" w:hint="default"/>
          <w:spacing w:val="-4"/>
        </w:rPr>
        <w:t>“</w:t>
      </w:r>
      <w:r>
        <w:rPr>
          <w:spacing w:val="-4"/>
        </w:rPr>
        <w:t>石基数字饭（酒）店整体解决</w:t>
      </w:r>
      <w:r>
        <w:rPr>
          <w:spacing w:val="-5"/>
        </w:rPr>
        <w:t> </w:t>
      </w:r>
      <w:r>
        <w:rPr>
          <w:spacing w:val="-5"/>
        </w:rPr>
      </w:r>
      <w:r>
        <w:rPr/>
        <w:t>方案（</w:t>
      </w:r>
      <w:r>
        <w:rPr>
          <w:rFonts w:ascii="Times New Roman" w:hAnsi="Times New Roman" w:cs="Times New Roman" w:eastAsia="Times New Roman" w:hint="default"/>
        </w:rPr>
        <w:t>IP</w:t>
      </w:r>
      <w:r>
        <w:rPr>
          <w:rFonts w:ascii="Times New Roman" w:hAnsi="Times New Roman" w:cs="Times New Roman" w:eastAsia="Times New Roman" w:hint="default"/>
          <w:spacing w:val="-3"/>
        </w:rPr>
        <w:t> </w:t>
      </w:r>
      <w:r>
        <w:rPr>
          <w:rFonts w:ascii="Times New Roman" w:hAnsi="Times New Roman" w:cs="Times New Roman" w:eastAsia="Times New Roman" w:hint="default"/>
        </w:rPr>
        <w:t>Hotel</w:t>
      </w:r>
      <w:r>
        <w:rPr/>
        <w:t>）</w:t>
      </w:r>
      <w:r>
        <w:rPr>
          <w:rFonts w:ascii="Times New Roman" w:hAnsi="Times New Roman" w:cs="Times New Roman" w:eastAsia="Times New Roman" w:hint="default"/>
        </w:rPr>
        <w:t>”</w:t>
      </w:r>
      <w:r>
        <w:rPr/>
        <w:t>，能够为从高星级到较低星级直至经济型连锁酒店提供全套完整的解决方案。公司通过</w:t>
      </w:r>
      <w:r>
        <w:rPr>
          <w:w w:val="100"/>
        </w:rPr>
        <w:t> </w:t>
      </w:r>
      <w:r>
        <w:rPr>
          <w:spacing w:val="-2"/>
        </w:rPr>
        <w:t>自主开发、独家技术许可、引进源码等多种手段，拥有了构建酒店信息管理系统所需要的全套技术，在此</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90" w:lineRule="auto" w:before="36"/>
        <w:ind w:right="187"/>
        <w:jc w:val="right"/>
      </w:pPr>
      <w:r>
        <w:rPr>
          <w:spacing w:val="-2"/>
        </w:rPr>
        <w:t>基础上开发了拥有十多项与酒店信息管理系统相关的具有自主知识产权的产品。公司主要产品的技术，居</w:t>
      </w:r>
      <w:r>
        <w:rPr>
          <w:spacing w:val="-86"/>
        </w:rPr>
        <w:t> </w:t>
      </w:r>
      <w:r>
        <w:rPr>
          <w:spacing w:val="-86"/>
        </w:rPr>
      </w:r>
      <w:r>
        <w:rPr>
          <w:spacing w:val="-2"/>
        </w:rPr>
        <w:t>于国内领先水平，部分产品技术达到国际领先水平。公司已确立了在国内酒店市场较为显著的技术优势。</w:t>
      </w:r>
      <w:r>
        <w:rPr>
          <w:spacing w:val="-46"/>
        </w:rPr>
        <w:t> </w:t>
      </w:r>
      <w:r>
        <w:rPr>
          <w:spacing w:val="-46"/>
        </w:rPr>
      </w:r>
      <w:r>
        <w:rPr>
          <w:spacing w:val="-2"/>
        </w:rPr>
        <w:t>依赖公司对行业未来发展的前瞻性判断，公司较早地投资于下一代酒店信息系统和餐饮信息系统在海</w:t>
      </w:r>
    </w:p>
    <w:p>
      <w:pPr>
        <w:pStyle w:val="BodyText"/>
        <w:spacing w:line="307" w:lineRule="auto"/>
        <w:ind w:left="573" w:right="208" w:hanging="421"/>
        <w:jc w:val="left"/>
      </w:pPr>
      <w:r>
        <w:rPr/>
        <w:t>外的研发，公司有望在技术和产品架构上领先于全球竞争对手，实现弯道超车，成为全球领导者之一。</w:t>
      </w:r>
      <w:r>
        <w:rPr>
          <w:w w:val="100"/>
        </w:rPr>
        <w:t> </w:t>
      </w:r>
      <w:r>
        <w:rPr>
          <w:spacing w:val="-2"/>
        </w:rPr>
        <w:t>公司是目前国内零售信息管理系统的主要供应商，通过旗下</w:t>
      </w:r>
      <w:r>
        <w:rPr>
          <w:rFonts w:ascii="Times New Roman" w:hAnsi="Times New Roman" w:cs="Times New Roman" w:eastAsia="Times New Roman" w:hint="default"/>
          <w:spacing w:val="-2"/>
        </w:rPr>
        <w:t>“</w:t>
      </w:r>
      <w:r>
        <w:rPr>
          <w:spacing w:val="-2"/>
        </w:rPr>
        <w:t>长益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富基</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科传</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思迅</w:t>
      </w:r>
      <w:r>
        <w:rPr>
          <w:rFonts w:ascii="Times New Roman" w:hAnsi="Times New Roman" w:cs="Times New Roman" w:eastAsia="Times New Roman" w:hint="default"/>
          <w:spacing w:val="-2"/>
        </w:rPr>
        <w:t>”</w:t>
      </w:r>
      <w:r>
        <w:rPr>
          <w:spacing w:val="-2"/>
        </w:rPr>
        <w:t>四大品</w:t>
      </w:r>
    </w:p>
    <w:p>
      <w:pPr>
        <w:pStyle w:val="BodyText"/>
        <w:spacing w:line="231" w:lineRule="exact"/>
        <w:ind w:right="100"/>
        <w:jc w:val="left"/>
      </w:pPr>
      <w:r>
        <w:rPr/>
        <w:t>牌，能够为整个零售行业提供理念最新、技术先进、产品线全面、服务全面的从供应端到消费端无缝集成</w:t>
      </w:r>
    </w:p>
    <w:p>
      <w:pPr>
        <w:pStyle w:val="BodyText"/>
        <w:spacing w:line="240" w:lineRule="auto" w:before="37"/>
        <w:ind w:right="208"/>
        <w:jc w:val="left"/>
      </w:pPr>
      <w:r>
        <w:rPr/>
        <w:t>的一体化全程管理解决方案。</w:t>
      </w:r>
    </w:p>
    <w:p>
      <w:pPr>
        <w:pStyle w:val="BodyText"/>
        <w:spacing w:line="290" w:lineRule="auto" w:before="78"/>
        <w:ind w:left="573" w:right="208" w:firstLine="2"/>
        <w:jc w:val="left"/>
      </w:pPr>
      <w:r>
        <w:rPr>
          <w:rFonts w:ascii="Times New Roman" w:hAnsi="Times New Roman" w:cs="Times New Roman" w:eastAsia="Times New Roman" w:hint="default"/>
          <w:b/>
          <w:bCs/>
        </w:rPr>
        <w:t>2</w:t>
      </w:r>
      <w:r>
        <w:rPr>
          <w:rFonts w:ascii="宋体" w:hAnsi="宋体" w:cs="宋体" w:eastAsia="宋体" w:hint="default"/>
          <w:b/>
          <w:bCs/>
        </w:rPr>
        <w:t>、市场优势</w:t>
      </w:r>
      <w:r>
        <w:rPr>
          <w:rFonts w:ascii="宋体" w:hAnsi="宋体" w:cs="宋体" w:eastAsia="宋体" w:hint="default"/>
          <w:b/>
          <w:bCs/>
          <w:w w:val="100"/>
        </w:rPr>
        <w:t> </w:t>
      </w:r>
      <w:r>
        <w:rPr>
          <w:spacing w:val="-2"/>
        </w:rPr>
        <w:t>公司目前在高星级酒店市场占有显著的竞争优势，经营良好、服务专业的高星级酒店市场无论是国际</w:t>
      </w:r>
    </w:p>
    <w:p>
      <w:pPr>
        <w:pStyle w:val="BodyText"/>
        <w:spacing w:line="264" w:lineRule="auto"/>
        <w:ind w:right="206"/>
        <w:jc w:val="both"/>
      </w:pPr>
      <w:r>
        <w:rPr>
          <w:spacing w:val="-2"/>
        </w:rPr>
        <w:t>连锁酒店还是本土集团大多数都是公司的全套信息系统和解决方案的客户。公司酒店客户总量超过</w:t>
      </w:r>
      <w:r>
        <w:rPr>
          <w:rFonts w:ascii="Times New Roman" w:hAnsi="Times New Roman" w:cs="Times New Roman" w:eastAsia="Times New Roman" w:hint="default"/>
          <w:spacing w:val="-2"/>
        </w:rPr>
        <w:t>13,000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家，星级酒店市场占有率遥遥领先于其他竞争对手。在餐饮信息化行业高度分散的局势下，公司通过有效</w:t>
      </w:r>
      <w:r>
        <w:rPr>
          <w:spacing w:val="-44"/>
        </w:rPr>
        <w:t> </w:t>
      </w:r>
      <w:r>
        <w:rPr>
          <w:spacing w:val="-44"/>
        </w:rPr>
      </w:r>
      <w:r>
        <w:rPr>
          <w:spacing w:val="-2"/>
        </w:rPr>
        <w:t>整合旗下四大品牌，中高端、连锁餐饮用户数量已超过</w:t>
      </w:r>
      <w:r>
        <w:rPr>
          <w:rFonts w:ascii="Times New Roman" w:hAnsi="Times New Roman" w:cs="Times New Roman" w:eastAsia="Times New Roman" w:hint="default"/>
          <w:spacing w:val="-2"/>
        </w:rPr>
        <w:t>10,000</w:t>
      </w:r>
      <w:r>
        <w:rPr>
          <w:spacing w:val="-2"/>
        </w:rPr>
        <w:t>家，大众餐饮店用户超过</w:t>
      </w:r>
      <w:r>
        <w:rPr>
          <w:rFonts w:ascii="Times New Roman" w:hAnsi="Times New Roman" w:cs="Times New Roman" w:eastAsia="Times New Roman" w:hint="default"/>
          <w:spacing w:val="-2"/>
        </w:rPr>
        <w:t>15</w:t>
      </w:r>
      <w:r>
        <w:rPr>
          <w:spacing w:val="-2"/>
        </w:rPr>
        <w:t>万家，无论在中</w:t>
      </w:r>
      <w:r>
        <w:rPr>
          <w:spacing w:val="-10"/>
        </w:rPr>
        <w:t> </w:t>
      </w:r>
      <w:r>
        <w:rPr>
          <w:spacing w:val="-10"/>
        </w:rPr>
      </w:r>
      <w:r>
        <w:rPr>
          <w:spacing w:val="-2"/>
        </w:rPr>
        <w:t>高端及连锁餐饮市场还是在整个餐饮信息化市场的占有率均处于相对领先水平。在零售信息系统行业，通</w:t>
      </w:r>
      <w:r>
        <w:rPr>
          <w:spacing w:val="-44"/>
        </w:rPr>
        <w:t> </w:t>
      </w:r>
      <w:r>
        <w:rPr>
          <w:spacing w:val="-44"/>
        </w:rPr>
      </w:r>
      <w:r>
        <w:rPr>
          <w:spacing w:val="-2"/>
        </w:rPr>
        <w:t>过投资或控股的科传控股、长益科技、富基、思迅软件，零售客户总数超过</w:t>
      </w:r>
      <w:r>
        <w:rPr>
          <w:rFonts w:ascii="Times New Roman" w:hAnsi="Times New Roman" w:cs="Times New Roman" w:eastAsia="Times New Roman" w:hint="default"/>
          <w:spacing w:val="-2"/>
        </w:rPr>
        <w:t>30</w:t>
      </w:r>
      <w:r>
        <w:rPr>
          <w:spacing w:val="-2"/>
        </w:rPr>
        <w:t>万家，占中国规模化零售业</w:t>
      </w:r>
      <w:r>
        <w:rPr>
          <w:spacing w:val="-46"/>
        </w:rPr>
        <w:t> </w:t>
      </w:r>
      <w:r>
        <w:rPr>
          <w:spacing w:val="-46"/>
        </w:rPr>
      </w:r>
      <w:r>
        <w:rPr/>
        <w:t>客户群的</w:t>
      </w:r>
      <w:r>
        <w:rPr>
          <w:rFonts w:ascii="Times New Roman" w:hAnsi="Times New Roman" w:cs="Times New Roman" w:eastAsia="Times New Roman" w:hint="default"/>
        </w:rPr>
        <w:t>6</w:t>
      </w:r>
      <w:r>
        <w:rPr/>
        <w:t>至</w:t>
      </w:r>
      <w:r>
        <w:rPr>
          <w:rFonts w:ascii="Times New Roman" w:hAnsi="Times New Roman" w:cs="Times New Roman" w:eastAsia="Times New Roman" w:hint="default"/>
        </w:rPr>
        <w:t>7</w:t>
      </w:r>
      <w:r>
        <w:rPr/>
        <w:t>成。</w:t>
      </w:r>
    </w:p>
    <w:p>
      <w:pPr>
        <w:pStyle w:val="BodyText"/>
        <w:spacing w:line="290" w:lineRule="auto" w:before="36"/>
        <w:ind w:left="573" w:right="208" w:firstLine="2"/>
        <w:jc w:val="left"/>
      </w:pPr>
      <w:r>
        <w:rPr>
          <w:rFonts w:ascii="Times New Roman" w:hAnsi="Times New Roman" w:cs="Times New Roman" w:eastAsia="Times New Roman" w:hint="default"/>
          <w:b/>
          <w:bCs/>
        </w:rPr>
        <w:t>3</w:t>
      </w:r>
      <w:r>
        <w:rPr>
          <w:rFonts w:ascii="宋体" w:hAnsi="宋体" w:cs="宋体" w:eastAsia="宋体" w:hint="default"/>
          <w:b/>
          <w:bCs/>
        </w:rPr>
        <w:t>、客户优势</w:t>
      </w:r>
      <w:r>
        <w:rPr>
          <w:rFonts w:ascii="宋体" w:hAnsi="宋体" w:cs="宋体" w:eastAsia="宋体" w:hint="default"/>
          <w:b/>
          <w:bCs/>
          <w:w w:val="100"/>
        </w:rPr>
        <w:t> </w:t>
      </w:r>
      <w:r>
        <w:rPr>
          <w:spacing w:val="-2"/>
        </w:rPr>
        <w:t>公司在高星级酒店，尤其是五星级酒店，以及规模化零售业的信息管理系统市场均占有较大的份额，</w:t>
      </w:r>
    </w:p>
    <w:p>
      <w:pPr>
        <w:pStyle w:val="BodyText"/>
        <w:spacing w:line="273" w:lineRule="auto"/>
        <w:ind w:right="206"/>
        <w:jc w:val="both"/>
      </w:pPr>
      <w:r>
        <w:rPr>
          <w:spacing w:val="-2"/>
        </w:rPr>
        <w:t>在中高端餐饮行业客户占比领先于其他竞争对手，这些中高端客户经营稳健、管理规范、信誉卓著，对技</w:t>
      </w:r>
      <w:r>
        <w:rPr>
          <w:spacing w:val="-44"/>
        </w:rPr>
        <w:t> </w:t>
      </w:r>
      <w:r>
        <w:rPr>
          <w:spacing w:val="-44"/>
        </w:rPr>
      </w:r>
      <w:r>
        <w:rPr>
          <w:spacing w:val="-2"/>
        </w:rPr>
        <w:t>术与服务的需求往往反映了国内信息行业的未来发展趋势。本公司与他们的合作一方面有力推动本公司技</w:t>
      </w:r>
      <w:r>
        <w:rPr>
          <w:spacing w:val="-43"/>
        </w:rPr>
        <w:t> </w:t>
      </w:r>
      <w:r>
        <w:rPr>
          <w:spacing w:val="-43"/>
        </w:rPr>
      </w:r>
      <w:r>
        <w:rPr>
          <w:spacing w:val="-2"/>
        </w:rPr>
        <w:t>术水平的不断提高、服务手段的不断改进；另一方面从经营管理、财务控制、现金流入等方面保障了本公</w:t>
      </w:r>
      <w:r>
        <w:rPr>
          <w:spacing w:val="-50"/>
        </w:rPr>
        <w:t> </w:t>
      </w:r>
      <w:r>
        <w:rPr>
          <w:spacing w:val="-50"/>
        </w:rPr>
      </w:r>
      <w:r>
        <w:rPr/>
        <w:t>司的长远稳定发展。</w:t>
      </w:r>
    </w:p>
    <w:p>
      <w:pPr>
        <w:pStyle w:val="BodyText"/>
        <w:spacing w:line="290" w:lineRule="auto" w:before="48"/>
        <w:ind w:left="573" w:right="208" w:firstLine="2"/>
        <w:jc w:val="left"/>
      </w:pPr>
      <w:r>
        <w:rPr>
          <w:rFonts w:ascii="Times New Roman" w:hAnsi="Times New Roman" w:cs="Times New Roman" w:eastAsia="Times New Roman" w:hint="default"/>
          <w:b/>
          <w:bCs/>
        </w:rPr>
        <w:t>4</w:t>
      </w:r>
      <w:r>
        <w:rPr>
          <w:rFonts w:ascii="宋体" w:hAnsi="宋体" w:cs="宋体" w:eastAsia="宋体" w:hint="default"/>
          <w:b/>
          <w:bCs/>
        </w:rPr>
        <w:t>、品牌优势</w:t>
      </w:r>
      <w:r>
        <w:rPr>
          <w:rFonts w:ascii="宋体" w:hAnsi="宋体" w:cs="宋体" w:eastAsia="宋体" w:hint="default"/>
          <w:b/>
          <w:bCs/>
          <w:w w:val="100"/>
        </w:rPr>
        <w:t> </w:t>
      </w:r>
      <w:r>
        <w:rPr>
          <w:spacing w:val="-2"/>
        </w:rPr>
        <w:t>客户使用石基信息品牌的酒店信息管理系统，可以节省人力成本，增加收益，提升管理水平，加入主</w:t>
      </w:r>
    </w:p>
    <w:p>
      <w:pPr>
        <w:pStyle w:val="BodyText"/>
        <w:spacing w:line="273" w:lineRule="auto"/>
        <w:ind w:right="208"/>
        <w:jc w:val="left"/>
      </w:pPr>
      <w:r>
        <w:rPr>
          <w:spacing w:val="-2"/>
        </w:rPr>
        <w:t>流酒店交流圈。尽管公司的很多品牌产品要比竞争对手产品价格高出数倍以上，但只要酒店配套投入资源</w:t>
      </w:r>
      <w:r>
        <w:rPr>
          <w:spacing w:val="-43"/>
        </w:rPr>
        <w:t> </w:t>
      </w:r>
      <w:r>
        <w:rPr>
          <w:spacing w:val="-43"/>
        </w:rPr>
      </w:r>
      <w:r>
        <w:rPr>
          <w:spacing w:val="-2"/>
        </w:rPr>
        <w:t>使系统能真正有效运转起来，就可以很快收回投资成本。主要原因是石基酒店信息管理系统是完全与国际</w:t>
      </w:r>
      <w:r>
        <w:rPr>
          <w:spacing w:val="-43"/>
        </w:rPr>
        <w:t> </w:t>
      </w:r>
      <w:r>
        <w:rPr>
          <w:spacing w:val="-43"/>
        </w:rPr>
      </w:r>
      <w:r>
        <w:rPr>
          <w:spacing w:val="-2"/>
        </w:rPr>
        <w:t>接轨的，全中国绝大多数好的酒店都在使用它，所以石基信息的品牌就成为了中国高星级酒店信息系统的</w:t>
      </w:r>
      <w:r>
        <w:rPr>
          <w:spacing w:val="-44"/>
        </w:rPr>
        <w:t> </w:t>
      </w:r>
      <w:r>
        <w:rPr>
          <w:spacing w:val="-44"/>
        </w:rPr>
      </w:r>
      <w:r>
        <w:rPr>
          <w:spacing w:val="-2"/>
        </w:rPr>
        <w:t>事实标准，而酒店信息管理系统是一套功能复杂的软件，要完全掌握和使用好这套系统，需要经过较长时</w:t>
      </w:r>
      <w:r>
        <w:rPr>
          <w:spacing w:val="-44"/>
        </w:rPr>
        <w:t> </w:t>
      </w:r>
      <w:r>
        <w:rPr>
          <w:spacing w:val="-44"/>
        </w:rPr>
      </w:r>
      <w:r>
        <w:rPr>
          <w:spacing w:val="-2"/>
        </w:rPr>
        <w:t>间的培训和经验积累，因而，整个酒店行业的人力资源就与石基信息酒店信息系统紧密关联。具有领先优</w:t>
      </w:r>
      <w:r>
        <w:rPr>
          <w:spacing w:val="-44"/>
        </w:rPr>
        <w:t> </w:t>
      </w:r>
      <w:r>
        <w:rPr>
          <w:spacing w:val="-44"/>
        </w:rPr>
      </w:r>
      <w:r>
        <w:rPr/>
        <w:t>势的市场占有率，意味着中国酒店业几乎所有最优秀的人才都在使用石基酒店信息管理系统作为工作语</w:t>
      </w:r>
      <w:r>
        <w:rPr>
          <w:w w:val="100"/>
        </w:rPr>
        <w:t> </w:t>
      </w:r>
      <w:r>
        <w:rPr>
          <w:spacing w:val="-2"/>
        </w:rPr>
        <w:t>言，由于酒店业是人才流动非常高的行业，如果一个酒店不使用石基酒店信息系统，这些优秀的人才即使</w:t>
      </w:r>
      <w:r>
        <w:rPr>
          <w:spacing w:val="-43"/>
        </w:rPr>
        <w:t> </w:t>
      </w:r>
      <w:r>
        <w:rPr>
          <w:spacing w:val="-43"/>
        </w:rPr>
      </w:r>
      <w:r>
        <w:rPr>
          <w:spacing w:val="-2"/>
        </w:rPr>
        <w:t>加入该酒店其工作效率肯定要大打折扣。这就是标准化给行业带来的价值。而公司投资的零售业信息管理</w:t>
      </w:r>
      <w:r>
        <w:rPr>
          <w:spacing w:val="-42"/>
        </w:rPr>
        <w:t> </w:t>
      </w:r>
      <w:r>
        <w:rPr>
          <w:spacing w:val="-42"/>
        </w:rPr>
      </w:r>
      <w:r>
        <w:rPr/>
        <w:t>系统行业品牌</w:t>
      </w:r>
      <w:r>
        <w:rPr>
          <w:rFonts w:ascii="Times New Roman" w:hAnsi="Times New Roman" w:cs="Times New Roman" w:eastAsia="Times New Roman" w:hint="default"/>
        </w:rPr>
        <w:t>“</w:t>
      </w:r>
      <w:r>
        <w:rPr/>
        <w:t>富基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科传</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海信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思迅</w:t>
      </w:r>
      <w:r>
        <w:rPr>
          <w:rFonts w:ascii="Times New Roman" w:hAnsi="Times New Roman" w:cs="Times New Roman" w:eastAsia="Times New Roman" w:hint="default"/>
        </w:rPr>
        <w:t>”</w:t>
      </w:r>
      <w:r>
        <w:rPr/>
        <w:t>亦是这一行业最优秀的品牌代表。</w:t>
      </w:r>
    </w:p>
    <w:p>
      <w:pPr>
        <w:pStyle w:val="BodyText"/>
        <w:spacing w:line="290" w:lineRule="auto" w:before="29"/>
        <w:ind w:left="498" w:right="208" w:firstLine="76"/>
        <w:jc w:val="left"/>
      </w:pPr>
      <w:r>
        <w:rPr>
          <w:rFonts w:ascii="Times New Roman" w:hAnsi="Times New Roman" w:cs="Times New Roman" w:eastAsia="Times New Roman" w:hint="default"/>
          <w:b/>
          <w:bCs/>
        </w:rPr>
        <w:t>5</w:t>
      </w:r>
      <w:r>
        <w:rPr>
          <w:rFonts w:ascii="宋体" w:hAnsi="宋体" w:cs="宋体" w:eastAsia="宋体" w:hint="default"/>
          <w:b/>
          <w:bCs/>
        </w:rPr>
        <w:t>、人才优势</w:t>
      </w:r>
      <w:r>
        <w:rPr>
          <w:rFonts w:ascii="宋体" w:hAnsi="宋体" w:cs="宋体" w:eastAsia="宋体" w:hint="default"/>
          <w:b/>
          <w:bCs/>
          <w:w w:val="100"/>
        </w:rPr>
        <w:t> </w:t>
      </w:r>
      <w:r>
        <w:rPr/>
        <w:t>公司已建立起一支技术精湛、经验丰富、结构合理、团结合作的国际化管理团队。过去几年，公司加</w:t>
      </w:r>
    </w:p>
    <w:p>
      <w:pPr>
        <w:pStyle w:val="BodyText"/>
        <w:spacing w:line="273" w:lineRule="auto"/>
        <w:ind w:right="100"/>
        <w:jc w:val="left"/>
      </w:pPr>
      <w:r>
        <w:rPr>
          <w:spacing w:val="-2"/>
        </w:rPr>
        <w:t>大了海外专业人才的招聘和使用，公司已经在全球范围建立了基本覆盖全球酒店、餐饮、娱乐业需求的技</w:t>
      </w:r>
      <w:r>
        <w:rPr>
          <w:spacing w:val="-43"/>
        </w:rPr>
        <w:t> </w:t>
      </w:r>
      <w:r>
        <w:rPr>
          <w:spacing w:val="-43"/>
        </w:rPr>
      </w:r>
      <w:r>
        <w:rPr>
          <w:spacing w:val="-2"/>
        </w:rPr>
        <w:t>术领先的研发团队，他们或具有多年国际酒店管理的经验，或具有十数年的酒店信息管理系统开发设计经</w:t>
      </w:r>
      <w:r>
        <w:rPr>
          <w:spacing w:val="-43"/>
        </w:rPr>
        <w:t> </w:t>
      </w:r>
      <w:r>
        <w:rPr>
          <w:spacing w:val="-43"/>
        </w:rPr>
      </w:r>
      <w:r>
        <w:rPr>
          <w:spacing w:val="-5"/>
        </w:rPr>
        <w:t>验，对国内外酒店信息管理系统行业的技术及业务发展历程、未来趋势具有深刻理解，本公司的产品开发、</w:t>
      </w:r>
      <w:r>
        <w:rPr>
          <w:spacing w:val="-4"/>
        </w:rPr>
        <w:t> </w:t>
      </w:r>
      <w:r>
        <w:rPr>
          <w:spacing w:val="-4"/>
        </w:rPr>
      </w:r>
      <w:r>
        <w:rPr>
          <w:spacing w:val="-2"/>
        </w:rPr>
        <w:t>市场销售业务骨干大多具有多年国际酒店从业经验，既精通信息技术，同时又理解酒店及消费者需求；工</w:t>
      </w:r>
      <w:r>
        <w:rPr>
          <w:spacing w:val="-45"/>
        </w:rPr>
        <w:t> </w:t>
      </w:r>
      <w:r>
        <w:rPr>
          <w:spacing w:val="-45"/>
        </w:rPr>
      </w:r>
      <w:r>
        <w:rPr>
          <w:spacing w:val="-2"/>
        </w:rPr>
        <w:t>程实施、技术服务人员也大都具有多年从业经验，并经公司严格的内部培训。公司通过收购快速实现了规</w:t>
      </w:r>
      <w:r>
        <w:rPr>
          <w:spacing w:val="-42"/>
        </w:rPr>
        <w:t> </w:t>
      </w:r>
      <w:r>
        <w:rPr>
          <w:spacing w:val="-42"/>
        </w:rPr>
      </w:r>
      <w:r>
        <w:rPr/>
        <w:t>模化零售业信息管理系统行业的相对控制，这些从事零售业信息系统业务的子公司为行业最优秀的公司，</w:t>
      </w:r>
      <w:r>
        <w:rPr>
          <w:w w:val="100"/>
        </w:rPr>
        <w:t> </w:t>
      </w:r>
      <w:r>
        <w:rPr>
          <w:spacing w:val="-2"/>
        </w:rPr>
        <w:t>代表了行业最优秀的管理和运营团队。因此，专业的国际化管理团队和专业、敬业的优秀员工队伍是本公</w:t>
      </w:r>
      <w:r>
        <w:rPr>
          <w:spacing w:val="-44"/>
        </w:rPr>
        <w:t> </w:t>
      </w:r>
      <w:r>
        <w:rPr>
          <w:spacing w:val="-44"/>
        </w:rPr>
      </w:r>
      <w:r>
        <w:rPr/>
        <w:t>司的核心竞争优势之一。</w:t>
      </w:r>
    </w:p>
    <w:p>
      <w:pPr>
        <w:spacing w:after="0" w:line="273"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208"/>
        <w:jc w:val="left"/>
        <w:rPr>
          <w:b w:val="0"/>
          <w:bCs w:val="0"/>
        </w:rPr>
      </w:pPr>
      <w:bookmarkStart w:name="_TOC_250008" w:id="4"/>
      <w:r>
        <w:rPr/>
        <w:t>第四节</w:t>
      </w:r>
      <w:r>
        <w:rPr>
          <w:spacing w:val="-5"/>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208"/>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right="206" w:firstLine="422"/>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t>年，公司在平台化和国际化方面取得了一系列重要进展，在</w:t>
      </w:r>
      <w:r>
        <w:rPr>
          <w:rFonts w:ascii="Times New Roman" w:hAnsi="Times New Roman" w:cs="Times New Roman" w:eastAsia="Times New Roman" w:hint="default"/>
        </w:rPr>
        <w:t>Oracle</w:t>
      </w:r>
      <w:r>
        <w:rPr/>
        <w:t>引入酒店餐饮业代理等不利的</w:t>
      </w:r>
      <w:r>
        <w:rPr>
          <w:w w:val="100"/>
        </w:rPr>
        <w:t> </w:t>
      </w:r>
      <w:r>
        <w:rPr>
          <w:spacing w:val="-2"/>
        </w:rPr>
        <w:t>市场环境中公司业务收入实现了稳定增长，经营效益稳步提升。在平台化方面，公司通过不断完善新一代</w:t>
      </w:r>
      <w:r>
        <w:rPr>
          <w:spacing w:val="-43"/>
        </w:rPr>
        <w:t> </w:t>
      </w:r>
      <w:r>
        <w:rPr>
          <w:spacing w:val="-43"/>
        </w:rPr>
      </w:r>
      <w:r>
        <w:rPr>
          <w:spacing w:val="-2"/>
        </w:rPr>
        <w:t>云平台的酒店、餐饮信息系统，整合零售信息管理系统行业子公司业务，巩固和拓展在信息系统行业的优</w:t>
      </w:r>
      <w:r>
        <w:rPr>
          <w:spacing w:val="-45"/>
        </w:rPr>
        <w:t> </w:t>
      </w:r>
      <w:r>
        <w:rPr>
          <w:spacing w:val="-45"/>
        </w:rPr>
      </w:r>
      <w:r>
        <w:rPr>
          <w:spacing w:val="-2"/>
        </w:rPr>
        <w:t>势地位，预订平台和支付平台交易流量实现良性增长。在国际化方面，为了将公司高端酒店信息系统业务</w:t>
      </w:r>
      <w:r>
        <w:rPr>
          <w:spacing w:val="-43"/>
        </w:rPr>
        <w:t> </w:t>
      </w:r>
      <w:r>
        <w:rPr>
          <w:spacing w:val="-43"/>
        </w:rPr>
      </w:r>
      <w:r>
        <w:rPr>
          <w:spacing w:val="-2"/>
        </w:rPr>
        <w:t>向海外市场拓展，继</w:t>
      </w:r>
      <w:r>
        <w:rPr>
          <w:rFonts w:ascii="Times New Roman" w:hAnsi="Times New Roman" w:cs="Times New Roman" w:eastAsia="Times New Roman" w:hint="default"/>
          <w:spacing w:val="-2"/>
        </w:rPr>
        <w:t>2016</w:t>
      </w:r>
      <w:r>
        <w:rPr>
          <w:spacing w:val="-2"/>
        </w:rPr>
        <w:t>年在美国、新加坡成立子公司，</w:t>
      </w:r>
      <w:r>
        <w:rPr>
          <w:rFonts w:ascii="Times New Roman" w:hAnsi="Times New Roman" w:cs="Times New Roman" w:eastAsia="Times New Roman" w:hint="default"/>
          <w:spacing w:val="-2"/>
        </w:rPr>
        <w:t>2017</w:t>
      </w:r>
      <w:r>
        <w:rPr>
          <w:spacing w:val="-2"/>
        </w:rPr>
        <w:t>年公司在澳大利亚新设立子公司，</w:t>
      </w:r>
      <w:r>
        <w:rPr>
          <w:rFonts w:ascii="Times New Roman" w:hAnsi="Times New Roman" w:cs="Times New Roman" w:eastAsia="Times New Roman" w:hint="default"/>
          <w:spacing w:val="-2"/>
        </w:rPr>
        <w:t>2018</w:t>
      </w:r>
      <w:r>
        <w:rPr>
          <w:spacing w:val="-2"/>
        </w:rPr>
        <w:t>年初</w:t>
      </w:r>
      <w:r>
        <w:rPr>
          <w:spacing w:val="-38"/>
        </w:rPr>
        <w:t> </w:t>
      </w:r>
      <w:r>
        <w:rPr>
          <w:spacing w:val="-2"/>
        </w:rPr>
        <w:t>在印度新设立子公司；同时，在海外，公司继续着重围绕下一代云平台的酒店信息系统和酒店大数据领域</w:t>
      </w:r>
      <w:r>
        <w:rPr>
          <w:spacing w:val="-43"/>
        </w:rPr>
        <w:t> </w:t>
      </w:r>
      <w:r>
        <w:rPr>
          <w:spacing w:val="-43"/>
        </w:rPr>
      </w:r>
      <w:r>
        <w:rPr/>
        <w:t>进行投资，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月收购欧洲领先的酒店声誉评价与管理平台提供商西班牙</w:t>
      </w:r>
      <w:r>
        <w:rPr>
          <w:rFonts w:ascii="Times New Roman" w:hAnsi="Times New Roman" w:cs="Times New Roman" w:eastAsia="Times New Roman" w:hint="default"/>
        </w:rPr>
        <w:t>Review Rank</w:t>
      </w:r>
      <w:r>
        <w:rPr>
          <w:rFonts w:ascii="Times New Roman" w:hAnsi="Times New Roman" w:cs="Times New Roman" w:eastAsia="Times New Roman" w:hint="default"/>
          <w:spacing w:val="-20"/>
        </w:rPr>
        <w:t> </w:t>
      </w:r>
      <w:r>
        <w:rPr>
          <w:rFonts w:ascii="Times New Roman" w:hAnsi="Times New Roman" w:cs="Times New Roman" w:eastAsia="Times New Roman" w:hint="default"/>
        </w:rPr>
        <w:t>S.A.</w:t>
      </w:r>
      <w:r>
        <w:rPr/>
        <w:t>公司（以下</w:t>
      </w:r>
      <w:r>
        <w:rPr>
          <w:w w:val="100"/>
        </w:rPr>
        <w:t> </w:t>
      </w:r>
      <w:r>
        <w:rPr/>
        <w:t>简称</w:t>
      </w:r>
      <w:r>
        <w:rPr>
          <w:rFonts w:ascii="Times New Roman" w:hAnsi="Times New Roman" w:cs="Times New Roman" w:eastAsia="Times New Roman" w:hint="default"/>
        </w:rPr>
        <w:t>“RR</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79.47%</w:t>
      </w:r>
      <w:r>
        <w:rPr/>
        <w:t>股权，在市场、技术、数据、团队等多方面与公司之前收购的</w:t>
      </w:r>
      <w:r>
        <w:rPr>
          <w:rFonts w:ascii="Times New Roman" w:hAnsi="Times New Roman" w:cs="Times New Roman" w:eastAsia="Times New Roman" w:hint="default"/>
        </w:rPr>
        <w:t>Snapshot</w:t>
      </w:r>
      <w:r>
        <w:rPr/>
        <w:t>和</w:t>
      </w:r>
      <w:r>
        <w:rPr>
          <w:rFonts w:ascii="Times New Roman" w:hAnsi="Times New Roman" w:cs="Times New Roman" w:eastAsia="Times New Roman" w:hint="default"/>
        </w:rPr>
        <w:t>Hetras</w:t>
      </w:r>
      <w:r>
        <w:rPr/>
        <w:t>公</w:t>
      </w:r>
      <w:r>
        <w:rPr>
          <w:spacing w:val="-46"/>
        </w:rPr>
        <w:t> </w:t>
      </w:r>
      <w:r>
        <w:rPr>
          <w:spacing w:val="-2"/>
        </w:rPr>
        <w:t>司形成了协同效应，将形成新的国际领先的覆盖全旅程数据链的酒店业数据技术和服务产品；由于公司抢</w:t>
      </w:r>
      <w:r>
        <w:rPr>
          <w:spacing w:val="-43"/>
        </w:rPr>
        <w:t> </w:t>
      </w:r>
      <w:r>
        <w:rPr>
          <w:spacing w:val="-43"/>
        </w:rPr>
      </w:r>
      <w:r>
        <w:rPr>
          <w:spacing w:val="2"/>
        </w:rPr>
        <w:t>在新零售浪潮到来之前通过对外投资与并购整合为</w:t>
      </w:r>
      <w:r>
        <w:rPr>
          <w:rFonts w:ascii="Times New Roman" w:hAnsi="Times New Roman" w:cs="Times New Roman" w:eastAsia="Times New Roman" w:hint="default"/>
          <w:spacing w:val="2"/>
        </w:rPr>
        <w:t>SHIJI  </w:t>
      </w:r>
      <w:r>
        <w:rPr>
          <w:rFonts w:ascii="Times New Roman" w:hAnsi="Times New Roman" w:cs="Times New Roman" w:eastAsia="Times New Roman" w:hint="default"/>
        </w:rPr>
        <w:t>RETAIL  INFORMATION  TECHNOLOGY</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p>
    <w:p>
      <w:pPr>
        <w:pStyle w:val="BodyText"/>
        <w:spacing w:line="256" w:lineRule="auto"/>
        <w:ind w:right="100"/>
        <w:jc w:val="left"/>
      </w:pPr>
      <w:r>
        <w:rPr>
          <w:spacing w:val="-2"/>
        </w:rPr>
        <w:t>（以下简称</w:t>
      </w:r>
      <w:r>
        <w:rPr>
          <w:rFonts w:ascii="Times New Roman" w:hAnsi="Times New Roman" w:cs="Times New Roman" w:eastAsia="Times New Roman" w:hint="default"/>
          <w:spacing w:val="-2"/>
        </w:rPr>
        <w:t>“</w:t>
      </w:r>
      <w:r>
        <w:rPr>
          <w:spacing w:val="-2"/>
        </w:rPr>
        <w:t>石基零售</w:t>
      </w:r>
      <w:r>
        <w:rPr>
          <w:rFonts w:ascii="Times New Roman" w:hAnsi="Times New Roman" w:cs="Times New Roman" w:eastAsia="Times New Roman" w:hint="default"/>
          <w:spacing w:val="-2"/>
        </w:rPr>
        <w:t>”</w:t>
      </w:r>
      <w:r>
        <w:rPr>
          <w:spacing w:val="-2"/>
        </w:rPr>
        <w:t>），成为中国规模化零售业信息系统的领导者，</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日，阿里巴巴集团全资</w:t>
      </w:r>
      <w:r>
        <w:rPr>
          <w:spacing w:val="-12"/>
        </w:rPr>
        <w:t> </w:t>
      </w:r>
      <w:r>
        <w:rPr>
          <w:spacing w:val="-12"/>
        </w:rPr>
      </w:r>
      <w:r>
        <w:rPr/>
        <w:t>子公司</w:t>
      </w:r>
      <w:r>
        <w:rPr>
          <w:rFonts w:ascii="Times New Roman" w:hAnsi="Times New Roman" w:cs="Times New Roman" w:eastAsia="Times New Roman" w:hint="default"/>
        </w:rPr>
        <w:t>ALIBABA SJ INVESTMENT </w:t>
      </w:r>
      <w:r>
        <w:rPr>
          <w:rFonts w:ascii="Times New Roman" w:hAnsi="Times New Roman" w:cs="Times New Roman" w:eastAsia="Times New Roman" w:hint="default"/>
          <w:spacing w:val="17"/>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阿里</w:t>
      </w:r>
      <w:r>
        <w:rPr>
          <w:rFonts w:ascii="Times New Roman" w:hAnsi="Times New Roman" w:cs="Times New Roman" w:eastAsia="Times New Roman" w:hint="default"/>
        </w:rPr>
        <w:t>SJ</w:t>
      </w:r>
      <w:r>
        <w:rPr/>
        <w:t>投资</w:t>
      </w:r>
      <w:r>
        <w:rPr>
          <w:rFonts w:ascii="Times New Roman" w:hAnsi="Times New Roman" w:cs="Times New Roman" w:eastAsia="Times New Roman" w:hint="default"/>
        </w:rPr>
        <w:t>”</w:t>
      </w:r>
      <w:r>
        <w:rPr/>
        <w:t>）与公司全资子公司石基香港达成</w:t>
      </w:r>
    </w:p>
    <w:p>
      <w:pPr>
        <w:pStyle w:val="BodyText"/>
        <w:spacing w:line="266" w:lineRule="auto" w:before="5"/>
        <w:ind w:right="206"/>
        <w:jc w:val="both"/>
      </w:pPr>
      <w:r>
        <w:rPr>
          <w:spacing w:val="-1"/>
        </w:rPr>
        <w:t>《股份购买协议》，公司将把全资子公司石基零售</w:t>
      </w:r>
      <w:r>
        <w:rPr>
          <w:rFonts w:ascii="Times New Roman" w:hAnsi="Times New Roman" w:cs="Times New Roman" w:eastAsia="Times New Roman" w:hint="default"/>
          <w:spacing w:val="-1"/>
        </w:rPr>
        <w:t>38%</w:t>
      </w:r>
      <w:r>
        <w:rPr>
          <w:spacing w:val="-1"/>
        </w:rPr>
        <w:t>的股权以</w:t>
      </w:r>
      <w:r>
        <w:rPr>
          <w:rFonts w:ascii="Times New Roman" w:hAnsi="Times New Roman" w:cs="Times New Roman" w:eastAsia="Times New Roman" w:hint="default"/>
          <w:spacing w:val="-1"/>
        </w:rPr>
        <w:t>4.86</w:t>
      </w:r>
      <w:r>
        <w:rPr>
          <w:spacing w:val="-1"/>
        </w:rPr>
        <w:t>亿美元的价格转让给阿里</w:t>
      </w:r>
      <w:r>
        <w:rPr>
          <w:rFonts w:ascii="Times New Roman" w:hAnsi="Times New Roman" w:cs="Times New Roman" w:eastAsia="Times New Roman" w:hint="default"/>
          <w:spacing w:val="-1"/>
        </w:rPr>
        <w:t>SJ</w:t>
      </w:r>
      <w:r>
        <w:rPr>
          <w:spacing w:val="-1"/>
        </w:rPr>
        <w:t>投资和</w:t>
      </w:r>
      <w:r>
        <w:rPr>
          <w:rFonts w:ascii="Times New Roman" w:hAnsi="Times New Roman" w:cs="Times New Roman" w:eastAsia="Times New Roman" w:hint="default"/>
          <w:spacing w:val="-1"/>
        </w:rPr>
        <w:t>/</w:t>
      </w:r>
      <w:r>
        <w:rPr>
          <w:spacing w:val="-1"/>
        </w:rPr>
        <w:t>或</w:t>
      </w:r>
      <w:r>
        <w:rPr>
          <w:spacing w:val="-39"/>
        </w:rPr>
        <w:t> </w:t>
      </w:r>
      <w:r>
        <w:rPr>
          <w:spacing w:val="-2"/>
        </w:rPr>
        <w:t>其关联方，截至本报告披露日，此次交易已经交割完毕，此次交易的成功实施将加速公司零售业务板块的</w:t>
      </w:r>
      <w:r>
        <w:rPr>
          <w:spacing w:val="-45"/>
        </w:rPr>
        <w:t> </w:t>
      </w:r>
      <w:r>
        <w:rPr>
          <w:spacing w:val="-45"/>
        </w:rPr>
      </w:r>
      <w:r>
        <w:rPr>
          <w:spacing w:val="-2"/>
        </w:rPr>
        <w:t>资源整合，帮助公司利用已有的零售业客户和市场优势较快地建立公司在新一代零售信息系统业务中的领</w:t>
      </w:r>
      <w:r>
        <w:rPr>
          <w:spacing w:val="-43"/>
        </w:rPr>
        <w:t> </w:t>
      </w:r>
      <w:r>
        <w:rPr>
          <w:spacing w:val="-43"/>
        </w:rPr>
      </w:r>
      <w:r>
        <w:rPr/>
        <w:t>导地位，奠定公司国际化战略的基础。</w:t>
      </w:r>
    </w:p>
    <w:p>
      <w:pPr>
        <w:pStyle w:val="BodyText"/>
        <w:spacing w:line="273" w:lineRule="auto" w:before="52"/>
        <w:ind w:right="208" w:firstLine="422"/>
        <w:jc w:val="both"/>
      </w:pPr>
      <w:r>
        <w:rPr>
          <w:spacing w:val="-2"/>
        </w:rPr>
        <w:t>报告期内，公司实现营业收入</w:t>
      </w:r>
      <w:r>
        <w:rPr>
          <w:rFonts w:ascii="宋体" w:hAnsi="宋体" w:cs="宋体" w:eastAsia="宋体" w:hint="default"/>
          <w:spacing w:val="-2"/>
        </w:rPr>
        <w:t>296,118.66</w:t>
      </w:r>
      <w:r>
        <w:rPr>
          <w:spacing w:val="-2"/>
        </w:rPr>
        <w:t>万元，比去年同期增长</w:t>
      </w:r>
      <w:r>
        <w:rPr>
          <w:rFonts w:ascii="宋体" w:hAnsi="宋体" w:cs="宋体" w:eastAsia="宋体" w:hint="default"/>
          <w:spacing w:val="-2"/>
        </w:rPr>
        <w:t>11.21%</w:t>
      </w:r>
      <w:r>
        <w:rPr>
          <w:spacing w:val="-2"/>
        </w:rPr>
        <w:t>；实现归属于上市公司股东净</w:t>
      </w:r>
      <w:r>
        <w:rPr>
          <w:w w:val="100"/>
        </w:rPr>
        <w:t> </w:t>
      </w:r>
      <w:r>
        <w:rPr/>
        <w:t>利润</w:t>
      </w:r>
      <w:r>
        <w:rPr>
          <w:rFonts w:ascii="宋体" w:hAnsi="宋体" w:cs="宋体" w:eastAsia="宋体" w:hint="default"/>
        </w:rPr>
        <w:t>41,902.87</w:t>
      </w:r>
      <w:r>
        <w:rPr/>
        <w:t>万元，比去年同期增长</w:t>
      </w:r>
      <w:r>
        <w:rPr>
          <w:rFonts w:ascii="宋体" w:hAnsi="宋体" w:cs="宋体" w:eastAsia="宋体" w:hint="default"/>
        </w:rPr>
        <w:t>7.78%</w:t>
      </w:r>
      <w:r>
        <w:rPr/>
        <w:t>。</w:t>
      </w:r>
    </w:p>
    <w:p>
      <w:pPr>
        <w:pStyle w:val="BodyText"/>
        <w:spacing w:line="240" w:lineRule="auto" w:before="48"/>
        <w:ind w:left="575" w:right="208"/>
        <w:jc w:val="left"/>
      </w:pPr>
      <w:r>
        <w:rPr/>
        <w:t>报告期内，公司各项主要业务经营情况如下：</w:t>
      </w:r>
    </w:p>
    <w:p>
      <w:pPr>
        <w:spacing w:line="290" w:lineRule="auto" w:before="78"/>
        <w:ind w:left="575"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、酒店信息系统业务及咨询服务业务</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报告期内，公司主要由母公司、全资子公司北京石基、上海石基、北海石基开展完全国际化经营与管</w:t>
      </w:r>
    </w:p>
    <w:p>
      <w:pPr>
        <w:pStyle w:val="BodyText"/>
        <w:spacing w:line="266" w:lineRule="auto"/>
        <w:ind w:right="100"/>
        <w:jc w:val="left"/>
      </w:pPr>
      <w:r>
        <w:rPr>
          <w:spacing w:val="-2"/>
        </w:rPr>
        <w:t>理的高星级酒店的信息系统业务，全资子公司杭州西软、广州万迅和航信华仪开展本地中高档星级酒店信</w:t>
      </w:r>
      <w:r>
        <w:rPr>
          <w:spacing w:val="-43"/>
        </w:rPr>
        <w:t> </w:t>
      </w:r>
      <w:r>
        <w:rPr>
          <w:spacing w:val="-43"/>
        </w:rPr>
      </w:r>
      <w:r>
        <w:rPr>
          <w:spacing w:val="-2"/>
        </w:rPr>
        <w:t>息系统业务，控股子公司北京石基昆仑软件有限公司则专注于酒店会员管理系统、客户关系管理系统与中</w:t>
      </w:r>
      <w:r>
        <w:rPr>
          <w:spacing w:val="-43"/>
        </w:rPr>
        <w:t> </w:t>
      </w:r>
      <w:r>
        <w:rPr>
          <w:spacing w:val="-43"/>
        </w:rPr>
      </w:r>
      <w:r>
        <w:rPr>
          <w:spacing w:val="-5"/>
        </w:rPr>
        <w:t>央预订系统（</w:t>
      </w:r>
      <w:r>
        <w:rPr>
          <w:rFonts w:ascii="Times New Roman" w:hAnsi="Times New Roman" w:cs="Times New Roman" w:eastAsia="Times New Roman" w:hint="default"/>
          <w:spacing w:val="-5"/>
        </w:rPr>
        <w:t>CRS</w:t>
      </w:r>
      <w:r>
        <w:rPr>
          <w:spacing w:val="-5"/>
        </w:rPr>
        <w:t>）业务，德国</w:t>
      </w:r>
      <w:r>
        <w:rPr>
          <w:rFonts w:ascii="Times New Roman" w:hAnsi="Times New Roman" w:cs="Times New Roman" w:eastAsia="Times New Roman" w:hint="default"/>
          <w:spacing w:val="-5"/>
        </w:rPr>
        <w:t>Hetras</w:t>
      </w:r>
      <w:r>
        <w:rPr>
          <w:spacing w:val="-5"/>
        </w:rPr>
        <w:t>公司从事云平台的</w:t>
      </w:r>
      <w:r>
        <w:rPr>
          <w:rFonts w:ascii="Times New Roman" w:hAnsi="Times New Roman" w:cs="Times New Roman" w:eastAsia="Times New Roman" w:hint="default"/>
          <w:spacing w:val="-5"/>
        </w:rPr>
        <w:t>PMS/CRS</w:t>
      </w:r>
      <w:r>
        <w:rPr>
          <w:spacing w:val="-5"/>
        </w:rPr>
        <w:t>业务，</w:t>
      </w:r>
      <w:r>
        <w:rPr>
          <w:rFonts w:ascii="Times New Roman" w:hAnsi="Times New Roman" w:cs="Times New Roman" w:eastAsia="Times New Roman" w:hint="default"/>
          <w:spacing w:val="-5"/>
        </w:rPr>
        <w:t>Snapshot</w:t>
      </w:r>
      <w:r>
        <w:rPr>
          <w:spacing w:val="-5"/>
        </w:rPr>
        <w:t>从事酒店大数据平台业务，</w:t>
      </w:r>
      <w:r>
        <w:rPr>
          <w:spacing w:val="-19"/>
        </w:rPr>
        <w:t> </w:t>
      </w:r>
      <w:r>
        <w:rPr>
          <w:spacing w:val="-19"/>
        </w:rPr>
      </w:r>
      <w:r>
        <w:rPr>
          <w:rFonts w:ascii="Times New Roman" w:hAnsi="Times New Roman" w:cs="Times New Roman" w:eastAsia="Times New Roman" w:hint="default"/>
        </w:rPr>
        <w:t>RR</w:t>
      </w:r>
      <w:r>
        <w:rPr/>
        <w:t>公司为酒店提供声誉评价及管理解决方案，浩华从事酒店管理顾问与咨询业务。</w:t>
      </w:r>
    </w:p>
    <w:p>
      <w:pPr>
        <w:pStyle w:val="BodyText"/>
        <w:spacing w:line="256" w:lineRule="auto" w:before="36"/>
        <w:ind w:right="210" w:firstLine="422"/>
        <w:jc w:val="both"/>
      </w:pPr>
      <w:r>
        <w:rPr>
          <w:spacing w:val="-2"/>
        </w:rPr>
        <w:t>报告期内，完成新建国际高星级酒店信息系统项目</w:t>
      </w:r>
      <w:r>
        <w:rPr>
          <w:rFonts w:ascii="Times New Roman" w:hAnsi="Times New Roman" w:cs="Times New Roman" w:eastAsia="Times New Roman" w:hint="default"/>
          <w:spacing w:val="-2"/>
        </w:rPr>
        <w:t>142</w:t>
      </w:r>
      <w:r>
        <w:rPr>
          <w:spacing w:val="-2"/>
        </w:rPr>
        <w:t>个，新签技术支持与服务用户</w:t>
      </w:r>
      <w:r>
        <w:rPr>
          <w:rFonts w:ascii="Times New Roman" w:hAnsi="Times New Roman" w:cs="Times New Roman" w:eastAsia="Times New Roman" w:hint="default"/>
          <w:spacing w:val="-2"/>
        </w:rPr>
        <w:t>138</w:t>
      </w:r>
      <w:r>
        <w:rPr>
          <w:spacing w:val="-2"/>
        </w:rPr>
        <w:t>个，签订技术</w:t>
      </w:r>
      <w:r>
        <w:rPr>
          <w:w w:val="100"/>
        </w:rPr>
        <w:t> </w:t>
      </w:r>
      <w:r>
        <w:rPr/>
        <w:t>支持与服务合同的用户数达到</w:t>
      </w:r>
      <w:r>
        <w:rPr>
          <w:rFonts w:ascii="Times New Roman" w:hAnsi="Times New Roman" w:cs="Times New Roman" w:eastAsia="Times New Roman" w:hint="default"/>
        </w:rPr>
        <w:t>1609</w:t>
      </w:r>
      <w:r>
        <w:rPr/>
        <w:t>家。</w:t>
      </w:r>
    </w:p>
    <w:p>
      <w:pPr>
        <w:pStyle w:val="BodyText"/>
        <w:spacing w:line="256" w:lineRule="auto" w:before="46"/>
        <w:ind w:right="100" w:firstLine="422"/>
        <w:jc w:val="left"/>
      </w:pPr>
      <w:r>
        <w:rPr/>
        <w:t>报告期内，全资子公司杭州西软新增酒店客户</w:t>
      </w:r>
      <w:r>
        <w:rPr>
          <w:rFonts w:ascii="Times New Roman" w:hAnsi="Times New Roman" w:cs="Times New Roman" w:eastAsia="Times New Roman" w:hint="default"/>
        </w:rPr>
        <w:t>568</w:t>
      </w:r>
      <w:r>
        <w:rPr/>
        <w:t>家，报告期末合计用户数量达到</w:t>
      </w:r>
      <w:r>
        <w:rPr>
          <w:rFonts w:ascii="Times New Roman" w:hAnsi="Times New Roman" w:cs="Times New Roman" w:eastAsia="Times New Roman" w:hint="default"/>
        </w:rPr>
        <w:t>6800</w:t>
      </w:r>
      <w:r>
        <w:rPr/>
        <w:t>余家，继续保</w:t>
      </w:r>
      <w:r>
        <w:rPr>
          <w:w w:val="100"/>
        </w:rPr>
        <w:t> </w:t>
      </w:r>
      <w:r>
        <w:rPr>
          <w:spacing w:val="-4"/>
        </w:rPr>
        <w:t>持市场领先地位；在酒店</w:t>
      </w:r>
      <w:r>
        <w:rPr>
          <w:rFonts w:ascii="Times New Roman" w:hAnsi="Times New Roman" w:cs="Times New Roman" w:eastAsia="Times New Roman" w:hint="default"/>
          <w:spacing w:val="-4"/>
        </w:rPr>
        <w:t>PMS</w:t>
      </w:r>
      <w:r>
        <w:rPr>
          <w:spacing w:val="-4"/>
        </w:rPr>
        <w:t>云化趋势下，云平台架构的云</w:t>
      </w:r>
      <w:r>
        <w:rPr>
          <w:rFonts w:ascii="Times New Roman" w:hAnsi="Times New Roman" w:cs="Times New Roman" w:eastAsia="Times New Roman" w:hint="default"/>
          <w:spacing w:val="-4"/>
        </w:rPr>
        <w:t>PMS</w:t>
      </w:r>
      <w:r>
        <w:rPr>
          <w:spacing w:val="-4"/>
        </w:rPr>
        <w:t>等系列产品客户、移动产品销售显著增加，</w:t>
      </w:r>
      <w:r>
        <w:rPr>
          <w:spacing w:val="-45"/>
        </w:rPr>
        <w:t> </w:t>
      </w:r>
      <w:r>
        <w:rPr>
          <w:spacing w:val="-45"/>
        </w:rPr>
      </w:r>
      <w:r>
        <w:rPr/>
        <w:t>云系统</w:t>
      </w:r>
      <w:r>
        <w:rPr>
          <w:rFonts w:ascii="Times New Roman" w:hAnsi="Times New Roman" w:cs="Times New Roman" w:eastAsia="Times New Roman" w:hint="default"/>
        </w:rPr>
        <w:t>XMS</w:t>
      </w:r>
      <w:r>
        <w:rPr/>
        <w:t>的合同量占到全年合同量的约</w:t>
      </w:r>
      <w:r>
        <w:rPr>
          <w:rFonts w:ascii="Times New Roman" w:hAnsi="Times New Roman" w:cs="Times New Roman" w:eastAsia="Times New Roman" w:hint="default"/>
        </w:rPr>
        <w:t>50%</w:t>
      </w:r>
      <w:r>
        <w:rPr/>
        <w:t>。</w:t>
      </w:r>
    </w:p>
    <w:p>
      <w:pPr>
        <w:pStyle w:val="BodyText"/>
        <w:spacing w:line="256" w:lineRule="auto" w:before="44"/>
        <w:ind w:right="207" w:firstLine="422"/>
        <w:jc w:val="both"/>
      </w:pPr>
      <w:r>
        <w:rPr/>
        <w:t>报告期内，全资子公司广州万迅新增酒店客户</w:t>
      </w:r>
      <w:r>
        <w:rPr>
          <w:rFonts w:ascii="Times New Roman" w:hAnsi="Times New Roman" w:cs="Times New Roman" w:eastAsia="Times New Roman" w:hint="default"/>
          <w:sz w:val="22"/>
          <w:szCs w:val="22"/>
        </w:rPr>
        <w:t>181</w:t>
      </w:r>
      <w:r>
        <w:rPr/>
        <w:t>家，报告期末酒店客户总数为</w:t>
      </w:r>
      <w:r>
        <w:rPr>
          <w:rFonts w:ascii="Times New Roman" w:hAnsi="Times New Roman" w:cs="Times New Roman" w:eastAsia="Times New Roman" w:hint="default"/>
          <w:sz w:val="22"/>
          <w:szCs w:val="22"/>
        </w:rPr>
        <w:t>3834</w:t>
      </w:r>
      <w:r>
        <w:rPr/>
        <w:t>家；技术开发方</w:t>
      </w:r>
      <w:r>
        <w:rPr>
          <w:w w:val="100"/>
        </w:rPr>
        <w:t> </w:t>
      </w:r>
      <w:r>
        <w:rPr>
          <w:spacing w:val="-1"/>
        </w:rPr>
        <w:t>面，不断地加强云产品的研发及拓展，同时投入资源在</w:t>
      </w:r>
      <w:r>
        <w:rPr>
          <w:rFonts w:ascii="Times New Roman" w:hAnsi="Times New Roman" w:cs="Times New Roman" w:eastAsia="Times New Roman" w:hint="default"/>
          <w:spacing w:val="-1"/>
        </w:rPr>
        <w:t>“</w:t>
      </w:r>
      <w:r>
        <w:rPr>
          <w:spacing w:val="-1"/>
        </w:rPr>
        <w:t>大型园区管理方案</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餐饮集团信息管理方案</w:t>
      </w:r>
      <w:r>
        <w:rPr>
          <w:rFonts w:ascii="Times New Roman" w:hAnsi="Times New Roman" w:cs="Times New Roman" w:eastAsia="Times New Roman" w:hint="default"/>
          <w:spacing w:val="-1"/>
        </w:rPr>
        <w:t>”</w:t>
      </w:r>
      <w:r>
        <w:rPr>
          <w:spacing w:val="-1"/>
        </w:rPr>
        <w:t>方</w:t>
      </w:r>
      <w:r>
        <w:rPr>
          <w:spacing w:val="-40"/>
        </w:rPr>
        <w:t> </w:t>
      </w:r>
      <w:r>
        <w:rPr/>
        <w:t>面进行开发，报告期内新增</w:t>
      </w:r>
      <w:r>
        <w:rPr>
          <w:rFonts w:ascii="Times New Roman" w:hAnsi="Times New Roman" w:cs="Times New Roman" w:eastAsia="Times New Roman" w:hint="default"/>
        </w:rPr>
        <w:t>4</w:t>
      </w:r>
      <w:r>
        <w:rPr/>
        <w:t>家境外酒店，千里马英文版系统得到累计</w:t>
      </w:r>
      <w:r>
        <w:rPr>
          <w:rFonts w:ascii="Times New Roman" w:hAnsi="Times New Roman" w:cs="Times New Roman" w:eastAsia="Times New Roman" w:hint="default"/>
        </w:rPr>
        <w:t>30</w:t>
      </w:r>
      <w:r>
        <w:rPr/>
        <w:t>家境外客户的选用。</w:t>
      </w:r>
    </w:p>
    <w:p>
      <w:pPr>
        <w:pStyle w:val="BodyText"/>
        <w:spacing w:line="264" w:lineRule="auto" w:before="46"/>
        <w:ind w:right="206" w:firstLine="422"/>
        <w:jc w:val="both"/>
      </w:pPr>
      <w:r>
        <w:rPr/>
        <w:t>报告期内，航信华仪实现收购后首年的平稳运营，报告期末在维酒店用户总数达到</w:t>
      </w:r>
      <w:r>
        <w:rPr>
          <w:rFonts w:ascii="Times New Roman" w:hAnsi="Times New Roman" w:cs="Times New Roman" w:eastAsia="Times New Roman" w:hint="default"/>
        </w:rPr>
        <w:t>779</w:t>
      </w:r>
      <w:r>
        <w:rPr/>
        <w:t>家；技术研发</w:t>
      </w:r>
      <w:r>
        <w:rPr>
          <w:w w:val="100"/>
        </w:rPr>
        <w:t> </w:t>
      </w:r>
      <w:r>
        <w:rPr>
          <w:spacing w:val="-2"/>
        </w:rPr>
        <w:t>方面，完善了航信华仪对外的接口功能，实现了整体的标准化接口方案，便于未来与第三方开展连接与合</w:t>
      </w:r>
      <w:r>
        <w:rPr>
          <w:spacing w:val="-45"/>
        </w:rPr>
        <w:t> </w:t>
      </w:r>
      <w:r>
        <w:rPr>
          <w:spacing w:val="-45"/>
        </w:rPr>
      </w:r>
      <w:r>
        <w:rPr/>
        <w:t>作。</w:t>
      </w:r>
    </w:p>
    <w:p>
      <w:pPr>
        <w:pStyle w:val="BodyText"/>
        <w:spacing w:line="240" w:lineRule="auto" w:before="57"/>
        <w:ind w:left="575" w:right="208"/>
        <w:jc w:val="left"/>
      </w:pPr>
      <w:r>
        <w:rPr/>
        <w:t>报告期内，石基昆仑新增酒店用户</w:t>
      </w:r>
      <w:r>
        <w:rPr>
          <w:rFonts w:ascii="Times New Roman" w:hAnsi="Times New Roman" w:cs="Times New Roman" w:eastAsia="Times New Roman" w:hint="default"/>
        </w:rPr>
        <w:t>138</w:t>
      </w:r>
      <w:r>
        <w:rPr/>
        <w:t>家，酒店用户总数达到</w:t>
      </w:r>
      <w:r>
        <w:rPr>
          <w:rFonts w:ascii="Times New Roman" w:hAnsi="Times New Roman" w:cs="Times New Roman" w:eastAsia="Times New Roman" w:hint="default"/>
        </w:rPr>
        <w:t>1189</w:t>
      </w:r>
      <w:r>
        <w:rPr/>
        <w:t>家；石基昆仑核心业务</w:t>
      </w:r>
      <w:r>
        <w:rPr>
          <w:rFonts w:ascii="Times New Roman" w:hAnsi="Times New Roman" w:cs="Times New Roman" w:eastAsia="Times New Roman" w:hint="default"/>
        </w:rPr>
        <w:t>CRS</w:t>
      </w:r>
      <w:r>
        <w:rPr/>
        <w:t>业绩良</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153"/>
        <w:jc w:val="left"/>
      </w:pPr>
      <w:r>
        <w:rPr>
          <w:spacing w:val="-2"/>
        </w:rPr>
        <w:t>好，在国内四五星级连锁酒店集团市场占有率为</w:t>
      </w:r>
      <w:r>
        <w:rPr>
          <w:rFonts w:ascii="Times New Roman" w:hAnsi="Times New Roman" w:cs="Times New Roman" w:eastAsia="Times New Roman" w:hint="default"/>
          <w:spacing w:val="-2"/>
        </w:rPr>
        <w:t>80%</w:t>
      </w:r>
      <w:r>
        <w:rPr>
          <w:spacing w:val="-2"/>
        </w:rPr>
        <w:t>；技术研发方面，石基昆仑着手多业态智能自助机，</w:t>
      </w:r>
      <w:r>
        <w:rPr>
          <w:spacing w:val="-5"/>
        </w:rPr>
        <w:t> </w:t>
      </w:r>
      <w:r>
        <w:rPr>
          <w:spacing w:val="-5"/>
        </w:rPr>
      </w:r>
      <w:r>
        <w:rPr/>
        <w:t>酒店和管理公司</w:t>
      </w:r>
      <w:r>
        <w:rPr>
          <w:rFonts w:ascii="Times New Roman" w:hAnsi="Times New Roman" w:cs="Times New Roman" w:eastAsia="Times New Roman" w:hint="default"/>
        </w:rPr>
        <w:t>BI</w:t>
      </w:r>
      <w:r>
        <w:rPr/>
        <w:t>以及</w:t>
      </w:r>
      <w:r>
        <w:rPr>
          <w:rFonts w:ascii="Times New Roman" w:hAnsi="Times New Roman" w:cs="Times New Roman" w:eastAsia="Times New Roman" w:hint="default"/>
        </w:rPr>
        <w:t>CRM</w:t>
      </w:r>
      <w:r>
        <w:rPr/>
        <w:t>开发、大数据分析以及乐园等集成项目总线的研发。</w:t>
      </w:r>
    </w:p>
    <w:p>
      <w:pPr>
        <w:pStyle w:val="BodyText"/>
        <w:spacing w:line="256" w:lineRule="auto" w:before="46"/>
        <w:ind w:right="150" w:firstLine="422"/>
        <w:jc w:val="both"/>
      </w:pPr>
      <w:r>
        <w:rPr/>
        <w:t>子公司德国</w:t>
      </w:r>
      <w:r>
        <w:rPr>
          <w:rFonts w:ascii="Times New Roman" w:hAnsi="Times New Roman" w:cs="Times New Roman" w:eastAsia="Times New Roman" w:hint="default"/>
        </w:rPr>
        <w:t>Hetras</w:t>
      </w:r>
      <w:r>
        <w:rPr/>
        <w:t>公司主要开发基于云的酒店信息管理系统以及客户面对面技术，使酒店改变了连接</w:t>
      </w:r>
      <w:r>
        <w:rPr>
          <w:w w:val="100"/>
        </w:rPr>
        <w:t> </w:t>
      </w:r>
      <w:r>
        <w:rPr/>
        <w:t>和服务客人的方式。</w:t>
      </w:r>
      <w:r>
        <w:rPr>
          <w:rFonts w:ascii="Times New Roman" w:hAnsi="Times New Roman" w:cs="Times New Roman" w:eastAsia="Times New Roman" w:hint="default"/>
        </w:rPr>
        <w:t>Hetras</w:t>
      </w:r>
      <w:r>
        <w:rPr/>
        <w:t>公司的自动化流程和数据分析将提高服务水平，提供先进的营销策略。报告期</w:t>
      </w:r>
      <w:r>
        <w:rPr>
          <w:spacing w:val="-47"/>
        </w:rPr>
        <w:t> </w:t>
      </w:r>
      <w:r>
        <w:rPr>
          <w:spacing w:val="-47"/>
        </w:rPr>
      </w:r>
      <w:r>
        <w:rPr>
          <w:spacing w:val="-6"/>
        </w:rPr>
        <w:t>内，</w:t>
      </w:r>
      <w:r>
        <w:rPr>
          <w:rFonts w:ascii="Times New Roman" w:hAnsi="Times New Roman" w:cs="Times New Roman" w:eastAsia="Times New Roman" w:hint="default"/>
          <w:spacing w:val="-6"/>
        </w:rPr>
        <w:t>Hetras</w:t>
      </w:r>
      <w:r>
        <w:rPr>
          <w:spacing w:val="-6"/>
        </w:rPr>
        <w:t>公司加大了对产品的研发投入，适当放慢了销售速度，完成了与</w:t>
      </w:r>
      <w:r>
        <w:rPr>
          <w:rFonts w:ascii="Times New Roman" w:hAnsi="Times New Roman" w:cs="Times New Roman" w:eastAsia="Times New Roman" w:hint="default"/>
          <w:spacing w:val="-6"/>
        </w:rPr>
        <w:t>INFRASYS </w:t>
      </w:r>
      <w:r>
        <w:rPr>
          <w:rFonts w:ascii="Times New Roman" w:hAnsi="Times New Roman" w:cs="Times New Roman" w:eastAsia="Times New Roman" w:hint="default"/>
        </w:rPr>
        <w:t>CLOUD</w:t>
      </w:r>
      <w:r>
        <w:rPr/>
        <w:t>和</w:t>
      </w:r>
      <w:r>
        <w:rPr>
          <w:rFonts w:ascii="Times New Roman" w:hAnsi="Times New Roman" w:cs="Times New Roman" w:eastAsia="Times New Roman" w:hint="default"/>
        </w:rPr>
        <w:t>SHIJI BOX</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1"/>
        </w:rPr>
        <w:t>的集成并成功上线新的客户获得良好反馈。随着公司对</w:t>
      </w:r>
      <w:r>
        <w:rPr>
          <w:rFonts w:ascii="Times New Roman" w:hAnsi="Times New Roman" w:cs="Times New Roman" w:eastAsia="Times New Roman" w:hint="default"/>
          <w:spacing w:val="-1"/>
        </w:rPr>
        <w:t>HETRAS</w:t>
      </w:r>
      <w:r>
        <w:rPr>
          <w:spacing w:val="-1"/>
        </w:rPr>
        <w:t>产品的不断投入，</w:t>
      </w:r>
      <w:r>
        <w:rPr>
          <w:rFonts w:ascii="Times New Roman" w:hAnsi="Times New Roman" w:cs="Times New Roman" w:eastAsia="Times New Roman" w:hint="default"/>
          <w:spacing w:val="-1"/>
        </w:rPr>
        <w:t>HETRAS</w:t>
      </w:r>
      <w:r>
        <w:rPr>
          <w:spacing w:val="-1"/>
        </w:rPr>
        <w:t>产品功能将不</w:t>
      </w:r>
      <w:r>
        <w:rPr>
          <w:spacing w:val="-43"/>
        </w:rPr>
        <w:t> </w:t>
      </w:r>
      <w:r>
        <w:rPr>
          <w:spacing w:val="-43"/>
        </w:rPr>
      </w:r>
      <w:r>
        <w:rPr/>
        <w:t>断丰富，成为公司下一代核心云</w:t>
      </w:r>
      <w:r>
        <w:rPr>
          <w:rFonts w:ascii="Times New Roman" w:hAnsi="Times New Roman" w:cs="Times New Roman" w:eastAsia="Times New Roman" w:hint="default"/>
        </w:rPr>
        <w:t>PMS</w:t>
      </w:r>
      <w:r>
        <w:rPr/>
        <w:t>之一，报告期末共部署了</w:t>
      </w:r>
      <w:r>
        <w:rPr>
          <w:rFonts w:ascii="Times New Roman" w:hAnsi="Times New Roman" w:cs="Times New Roman" w:eastAsia="Times New Roman" w:hint="default"/>
        </w:rPr>
        <w:t>119</w:t>
      </w:r>
      <w:r>
        <w:rPr/>
        <w:t>个酒店，</w:t>
      </w:r>
      <w:r>
        <w:rPr>
          <w:rFonts w:ascii="Times New Roman" w:hAnsi="Times New Roman" w:cs="Times New Roman" w:eastAsia="Times New Roman" w:hint="default"/>
        </w:rPr>
        <w:t>14,080</w:t>
      </w:r>
      <w:r>
        <w:rPr/>
        <w:t>间房。</w:t>
      </w:r>
    </w:p>
    <w:p>
      <w:pPr>
        <w:pStyle w:val="BodyText"/>
        <w:spacing w:line="261" w:lineRule="auto" w:before="43"/>
        <w:ind w:right="125" w:firstLine="422"/>
        <w:jc w:val="both"/>
      </w:pPr>
      <w:r>
        <w:rPr/>
        <w:t>控股子公司</w:t>
      </w:r>
      <w:r>
        <w:rPr>
          <w:rFonts w:ascii="Times New Roman" w:hAnsi="Times New Roman" w:cs="Times New Roman" w:eastAsia="Times New Roman" w:hint="default"/>
        </w:rPr>
        <w:t>Snapshot</w:t>
      </w:r>
      <w:r>
        <w:rPr/>
        <w:t>主要从事酒店数据平台的建设与应用开发、酒店商业策略等线上线下培训及酒店</w:t>
      </w:r>
      <w:r>
        <w:rPr>
          <w:w w:val="100"/>
        </w:rPr>
        <w:t> </w:t>
      </w:r>
      <w:r>
        <w:rPr>
          <w:spacing w:val="-2"/>
        </w:rPr>
        <w:t>需求管理咨询服务三大类业务，帮助酒店管理者更有效地管理数据，从而专注于为宾客提供更好的服务、</w:t>
      </w:r>
      <w:r>
        <w:rPr>
          <w:spacing w:val="-21"/>
        </w:rPr>
        <w:t> </w:t>
      </w:r>
      <w:r>
        <w:rPr>
          <w:spacing w:val="-21"/>
        </w:rPr>
      </w:r>
      <w:r>
        <w:rPr/>
        <w:t>提升酒店运营业绩。报告期内，</w:t>
      </w:r>
      <w:r>
        <w:rPr>
          <w:rFonts w:ascii="Times New Roman" w:hAnsi="Times New Roman" w:cs="Times New Roman" w:eastAsia="Times New Roman" w:hint="default"/>
        </w:rPr>
        <w:t>Snapshot</w:t>
      </w:r>
      <w:r>
        <w:rPr/>
        <w:t>继续拓展亚太和美国市场，报告期末已经连接其数据平台的酒店</w:t>
      </w:r>
      <w:r>
        <w:rPr>
          <w:spacing w:val="-55"/>
        </w:rPr>
        <w:t> </w:t>
      </w:r>
      <w:r>
        <w:rPr>
          <w:spacing w:val="-55"/>
        </w:rPr>
      </w:r>
      <w:r>
        <w:rPr/>
        <w:t>达到约</w:t>
      </w:r>
      <w:r>
        <w:rPr>
          <w:rFonts w:ascii="Times New Roman" w:hAnsi="Times New Roman" w:cs="Times New Roman" w:eastAsia="Times New Roman" w:hint="default"/>
        </w:rPr>
        <w:t>6000</w:t>
      </w:r>
      <w:r>
        <w:rPr/>
        <w:t>家，其中约</w:t>
      </w:r>
      <w:r>
        <w:rPr>
          <w:rFonts w:ascii="Times New Roman" w:hAnsi="Times New Roman" w:cs="Times New Roman" w:eastAsia="Times New Roman" w:hint="default"/>
        </w:rPr>
        <w:t>4500</w:t>
      </w:r>
      <w:r>
        <w:rPr/>
        <w:t>家有完整的</w:t>
      </w:r>
      <w:r>
        <w:rPr>
          <w:rFonts w:ascii="Times New Roman" w:hAnsi="Times New Roman" w:cs="Times New Roman" w:eastAsia="Times New Roman" w:hint="default"/>
        </w:rPr>
        <w:t>PMS</w:t>
      </w:r>
      <w:r>
        <w:rPr/>
        <w:t>数据。</w:t>
      </w:r>
    </w:p>
    <w:p>
      <w:pPr>
        <w:pStyle w:val="BodyText"/>
        <w:spacing w:line="261" w:lineRule="auto" w:before="41"/>
        <w:ind w:right="145" w:firstLine="422"/>
        <w:jc w:val="both"/>
      </w:pPr>
      <w:r>
        <w:rPr>
          <w:spacing w:val="-3"/>
        </w:rPr>
        <w:t>为了在市场、技术、数据、团队等多方面与公司之前收购的</w:t>
      </w:r>
      <w:r>
        <w:rPr>
          <w:rFonts w:ascii="Times New Roman" w:hAnsi="Times New Roman" w:cs="Times New Roman" w:eastAsia="Times New Roman" w:hint="default"/>
          <w:spacing w:val="-3"/>
        </w:rPr>
        <w:t>Snapshot</w:t>
      </w:r>
      <w:r>
        <w:rPr>
          <w:spacing w:val="-3"/>
        </w:rPr>
        <w:t>和</w:t>
      </w:r>
      <w:r>
        <w:rPr>
          <w:rFonts w:ascii="Times New Roman" w:hAnsi="Times New Roman" w:cs="Times New Roman" w:eastAsia="Times New Roman" w:hint="default"/>
          <w:spacing w:val="-3"/>
        </w:rPr>
        <w:t>Hetras</w:t>
      </w:r>
      <w:r>
        <w:rPr>
          <w:spacing w:val="-3"/>
        </w:rPr>
        <w:t>公司形成协同效应，形成</w:t>
      </w:r>
      <w:r>
        <w:rPr>
          <w:w w:val="100"/>
        </w:rPr>
        <w:t> </w:t>
      </w:r>
      <w:r>
        <w:rPr/>
        <w:t>新的国际领先的覆盖全旅程数据链的酒店业数据技术和服务产品，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月，公司全资子公司石基（香</w:t>
      </w:r>
      <w:r>
        <w:rPr>
          <w:spacing w:val="-25"/>
        </w:rPr>
        <w:t> </w:t>
      </w:r>
      <w:r>
        <w:rPr>
          <w:spacing w:val="-25"/>
        </w:rPr>
      </w:r>
      <w:r>
        <w:rPr>
          <w:spacing w:val="-2"/>
        </w:rPr>
        <w:t>港）完成收购</w:t>
      </w:r>
      <w:r>
        <w:rPr>
          <w:rFonts w:ascii="Times New Roman" w:hAnsi="Times New Roman" w:cs="Times New Roman" w:eastAsia="Times New Roman" w:hint="default"/>
          <w:spacing w:val="-2"/>
        </w:rPr>
        <w:t>Review</w:t>
      </w:r>
      <w:r>
        <w:rPr>
          <w:rFonts w:ascii="Times New Roman" w:hAnsi="Times New Roman" w:cs="Times New Roman" w:eastAsia="Times New Roman" w:hint="default"/>
        </w:rPr>
        <w:t> </w:t>
      </w:r>
      <w:r>
        <w:rPr>
          <w:rFonts w:ascii="Times New Roman" w:hAnsi="Times New Roman" w:cs="Times New Roman" w:eastAsia="Times New Roman" w:hint="default"/>
          <w:spacing w:val="-1"/>
        </w:rPr>
        <w:t>Rank</w:t>
      </w:r>
      <w:r>
        <w:rPr>
          <w:rFonts w:ascii="Times New Roman" w:hAnsi="Times New Roman" w:cs="Times New Roman" w:eastAsia="Times New Roman" w:hint="default"/>
        </w:rPr>
        <w:t> </w:t>
      </w:r>
      <w:r>
        <w:rPr>
          <w:rFonts w:ascii="Times New Roman" w:hAnsi="Times New Roman" w:cs="Times New Roman" w:eastAsia="Times New Roman" w:hint="default"/>
          <w:spacing w:val="-2"/>
        </w:rPr>
        <w:t>S.A.</w:t>
      </w:r>
      <w:r>
        <w:rPr>
          <w:spacing w:val="-2"/>
        </w:rPr>
        <w:t>公司（以下简称</w:t>
      </w:r>
      <w:r>
        <w:rPr>
          <w:rFonts w:ascii="Times New Roman" w:hAnsi="Times New Roman" w:cs="Times New Roman" w:eastAsia="Times New Roman" w:hint="default"/>
          <w:spacing w:val="-2"/>
        </w:rPr>
        <w:t>“RR</w:t>
      </w:r>
      <w:r>
        <w:rPr>
          <w:spacing w:val="-2"/>
        </w:rPr>
        <w:t>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79.47%</w:t>
      </w:r>
      <w:r>
        <w:rPr>
          <w:spacing w:val="-2"/>
        </w:rPr>
        <w:t>股权。</w:t>
      </w:r>
      <w:r>
        <w:rPr>
          <w:rFonts w:ascii="Times New Roman" w:hAnsi="Times New Roman" w:cs="Times New Roman" w:eastAsia="Times New Roman" w:hint="default"/>
          <w:spacing w:val="-2"/>
        </w:rPr>
        <w:t>RR</w:t>
      </w:r>
      <w:r>
        <w:rPr>
          <w:spacing w:val="-2"/>
        </w:rPr>
        <w:t>公司注册于西班牙，是全面的</w:t>
      </w:r>
      <w:r>
        <w:rPr>
          <w:spacing w:val="-46"/>
        </w:rPr>
        <w:t> </w:t>
      </w:r>
      <w:r>
        <w:rPr>
          <w:spacing w:val="-46"/>
        </w:rPr>
      </w:r>
      <w:r>
        <w:rPr>
          <w:spacing w:val="-2"/>
        </w:rPr>
        <w:t>酒店一站式客户管理平台提供商，为酒店、餐厅、业务咨询顾问、酒店投资者等目标客户群提供网上声誉</w:t>
      </w:r>
      <w:r>
        <w:rPr>
          <w:spacing w:val="-44"/>
        </w:rPr>
        <w:t> </w:t>
      </w:r>
      <w:r>
        <w:rPr>
          <w:spacing w:val="-44"/>
        </w:rPr>
      </w:r>
      <w:r>
        <w:rPr>
          <w:spacing w:val="-2"/>
        </w:rPr>
        <w:t>管理、客户满意度调查、餐饮声誉管理、营收管理及社交媒体、收费分析及技术人员支援等服务，确保客</w:t>
      </w:r>
      <w:r>
        <w:rPr>
          <w:spacing w:val="-43"/>
        </w:rPr>
        <w:t> </w:t>
      </w:r>
      <w:r>
        <w:rPr>
          <w:spacing w:val="-43"/>
        </w:rPr>
      </w:r>
      <w:r>
        <w:rPr/>
        <w:t>户能快速有效进行反馈，</w:t>
      </w:r>
      <w:r>
        <w:rPr>
          <w:rFonts w:ascii="Times New Roman" w:hAnsi="Times New Roman" w:cs="Times New Roman" w:eastAsia="Times New Roman" w:hint="default"/>
        </w:rPr>
        <w:t>RR</w:t>
      </w:r>
      <w:r>
        <w:rPr/>
        <w:t>公司的全球评价指数（</w:t>
      </w:r>
      <w:r>
        <w:rPr>
          <w:rFonts w:ascii="Times New Roman" w:hAnsi="Times New Roman" w:cs="Times New Roman" w:eastAsia="Times New Roman" w:hint="default"/>
        </w:rPr>
        <w:t>GRI</w:t>
      </w:r>
      <w:r>
        <w:rPr/>
        <w:t>）是作为行业标准的在线信誉指数，基于从</w:t>
      </w:r>
      <w:r>
        <w:rPr>
          <w:rFonts w:ascii="Times New Roman" w:hAnsi="Times New Roman" w:cs="Times New Roman" w:eastAsia="Times New Roman" w:hint="default"/>
        </w:rPr>
        <w:t>175</w:t>
      </w:r>
      <w:r>
        <w:rPr/>
        <w:t>个</w:t>
      </w:r>
      <w:r>
        <w:rPr>
          <w:spacing w:val="-39"/>
        </w:rPr>
        <w:t> </w:t>
      </w:r>
      <w:r>
        <w:rPr>
          <w:spacing w:val="-2"/>
        </w:rPr>
        <w:t>以上的</w:t>
      </w:r>
      <w:r>
        <w:rPr>
          <w:rFonts w:ascii="Times New Roman" w:hAnsi="Times New Roman" w:cs="Times New Roman" w:eastAsia="Times New Roman" w:hint="default"/>
          <w:spacing w:val="-2"/>
        </w:rPr>
        <w:t>OTA</w:t>
      </w:r>
      <w:r>
        <w:rPr>
          <w:spacing w:val="-2"/>
        </w:rPr>
        <w:t>和</w:t>
      </w:r>
      <w:r>
        <w:rPr>
          <w:rFonts w:ascii="Times New Roman" w:hAnsi="Times New Roman" w:cs="Times New Roman" w:eastAsia="Times New Roman" w:hint="default"/>
          <w:spacing w:val="-2"/>
        </w:rPr>
        <w:t>45</w:t>
      </w:r>
      <w:r>
        <w:rPr>
          <w:spacing w:val="-2"/>
        </w:rPr>
        <w:t>种以上语种的评价网站搜集的评价数据，其云计算解决方案能够让客户更深入地了解其声</w:t>
      </w:r>
      <w:r>
        <w:rPr>
          <w:spacing w:val="-49"/>
        </w:rPr>
        <w:t> </w:t>
      </w:r>
      <w:r>
        <w:rPr>
          <w:spacing w:val="-49"/>
        </w:rPr>
      </w:r>
      <w:r>
        <w:rPr/>
        <w:t>誉表现以及运营</w:t>
      </w:r>
      <w:r>
        <w:rPr>
          <w:rFonts w:ascii="Times New Roman" w:hAnsi="Times New Roman" w:cs="Times New Roman" w:eastAsia="Times New Roman" w:hint="default"/>
        </w:rPr>
        <w:t>/</w:t>
      </w:r>
      <w:r>
        <w:rPr/>
        <w:t>服务的优势和劣势，可以通过提供可执行的洞察数据，来提高客户满意度和在评论网站</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spacing w:val="-1"/>
        </w:rPr>
        <w:t>在线旅行社上的排名，并最终提高收益。报告期末，</w:t>
      </w:r>
      <w:r>
        <w:rPr>
          <w:rFonts w:ascii="Times New Roman" w:hAnsi="Times New Roman" w:cs="Times New Roman" w:eastAsia="Times New Roman" w:hint="default"/>
          <w:spacing w:val="-1"/>
        </w:rPr>
        <w:t>RR</w:t>
      </w:r>
      <w:r>
        <w:rPr>
          <w:spacing w:val="-1"/>
        </w:rPr>
        <w:t>公司酒店客户（以物业计）总数约</w:t>
      </w:r>
      <w:r>
        <w:rPr>
          <w:rFonts w:ascii="Times New Roman" w:hAnsi="Times New Roman" w:cs="Times New Roman" w:eastAsia="Times New Roman" w:hint="default"/>
          <w:spacing w:val="-1"/>
        </w:rPr>
        <w:t>36000</w:t>
      </w:r>
      <w:r>
        <w:rPr>
          <w:spacing w:val="-1"/>
        </w:rPr>
        <w:t>家，遍布</w:t>
      </w:r>
      <w:r>
        <w:rPr>
          <w:spacing w:val="-51"/>
        </w:rPr>
        <w:t> </w:t>
      </w:r>
      <w:r>
        <w:rPr>
          <w:spacing w:val="-51"/>
        </w:rPr>
      </w:r>
      <w:r>
        <w:rPr>
          <w:spacing w:val="-1"/>
        </w:rPr>
        <w:t>超过</w:t>
      </w:r>
      <w:r>
        <w:rPr>
          <w:rFonts w:ascii="Times New Roman" w:hAnsi="Times New Roman" w:cs="Times New Roman" w:eastAsia="Times New Roman" w:hint="default"/>
          <w:spacing w:val="-1"/>
        </w:rPr>
        <w:t>150</w:t>
      </w:r>
      <w:r>
        <w:rPr>
          <w:spacing w:val="-1"/>
        </w:rPr>
        <w:t>个国家，约</w:t>
      </w:r>
      <w:r>
        <w:rPr>
          <w:rFonts w:ascii="Times New Roman" w:hAnsi="Times New Roman" w:cs="Times New Roman" w:eastAsia="Times New Roman" w:hint="default"/>
          <w:spacing w:val="-1"/>
        </w:rPr>
        <w:t>50%</w:t>
      </w:r>
      <w:r>
        <w:rPr>
          <w:spacing w:val="-1"/>
        </w:rPr>
        <w:t>为欧洲地区，约</w:t>
      </w:r>
      <w:r>
        <w:rPr>
          <w:rFonts w:ascii="Times New Roman" w:hAnsi="Times New Roman" w:cs="Times New Roman" w:eastAsia="Times New Roman" w:hint="default"/>
          <w:spacing w:val="-1"/>
        </w:rPr>
        <w:t>30%</w:t>
      </w:r>
      <w:r>
        <w:rPr>
          <w:spacing w:val="-1"/>
        </w:rPr>
        <w:t>为亚太地区；约</w:t>
      </w:r>
      <w:r>
        <w:rPr>
          <w:rFonts w:ascii="Times New Roman" w:hAnsi="Times New Roman" w:cs="Times New Roman" w:eastAsia="Times New Roman" w:hint="default"/>
          <w:spacing w:val="-1"/>
        </w:rPr>
        <w:t>65%</w:t>
      </w:r>
      <w:r>
        <w:rPr>
          <w:spacing w:val="-1"/>
        </w:rPr>
        <w:t>客户是中小型独立酒店，约</w:t>
      </w:r>
      <w:r>
        <w:rPr>
          <w:rFonts w:ascii="Times New Roman" w:hAnsi="Times New Roman" w:cs="Times New Roman" w:eastAsia="Times New Roman" w:hint="default"/>
          <w:spacing w:val="-1"/>
        </w:rPr>
        <w:t>35%</w:t>
      </w:r>
      <w:r>
        <w:rPr>
          <w:spacing w:val="-1"/>
        </w:rPr>
        <w:t>客户是连</w:t>
      </w:r>
      <w:r>
        <w:rPr>
          <w:spacing w:val="-51"/>
        </w:rPr>
        <w:t> </w:t>
      </w:r>
      <w:r>
        <w:rPr>
          <w:spacing w:val="-51"/>
        </w:rPr>
      </w:r>
      <w:r>
        <w:rPr/>
        <w:t>锁酒店。</w:t>
      </w:r>
    </w:p>
    <w:p>
      <w:pPr>
        <w:pStyle w:val="BodyText"/>
        <w:spacing w:line="268" w:lineRule="auto" w:before="59"/>
        <w:ind w:right="125" w:firstLine="422"/>
        <w:jc w:val="both"/>
      </w:pPr>
      <w:r>
        <w:rPr>
          <w:spacing w:val="-2"/>
        </w:rPr>
        <w:t>公司控股子公司浩华致力于为酒店及休闲旅游业提供专业顾问服务，能够为酒店提供整体咨询解决方</w:t>
      </w:r>
      <w:r>
        <w:rPr>
          <w:w w:val="100"/>
        </w:rPr>
        <w:t> </w:t>
      </w:r>
      <w:r>
        <w:rPr>
          <w:spacing w:val="-2"/>
        </w:rPr>
        <w:t>案，其方案涵盖酒店从初始规划到开发、资产管理、操作建议以及酒店事务、财务重组等各个方面，覆盖</w:t>
      </w:r>
      <w:r>
        <w:rPr>
          <w:spacing w:val="-43"/>
        </w:rPr>
        <w:t> </w:t>
      </w:r>
      <w:r>
        <w:rPr>
          <w:spacing w:val="-43"/>
        </w:rPr>
      </w:r>
      <w:r>
        <w:rPr>
          <w:spacing w:val="-2"/>
        </w:rPr>
        <w:t>酒店完整的生命周期，目前在香港、曼谷、北京、上海、新加坡、雅加达、吉隆坡设立了办事处。浩华是</w:t>
      </w:r>
      <w:r>
        <w:rPr>
          <w:spacing w:val="-49"/>
        </w:rPr>
        <w:t> </w:t>
      </w:r>
      <w:r>
        <w:rPr>
          <w:spacing w:val="-49"/>
        </w:rPr>
      </w:r>
      <w:r>
        <w:rPr>
          <w:spacing w:val="-2"/>
        </w:rPr>
        <w:t>世界最大的酒店咨询服务品牌，至今已为亚太区</w:t>
      </w:r>
      <w:r>
        <w:rPr>
          <w:rFonts w:ascii="Times New Roman" w:hAnsi="Times New Roman" w:cs="Times New Roman" w:eastAsia="Times New Roman" w:hint="default"/>
          <w:spacing w:val="-2"/>
        </w:rPr>
        <w:t>1000</w:t>
      </w:r>
      <w:r>
        <w:rPr>
          <w:spacing w:val="-2"/>
        </w:rPr>
        <w:t>多个酒店和旅游业项目提供开发到运营各阶段的顾问</w:t>
      </w:r>
      <w:r>
        <w:rPr>
          <w:spacing w:val="-43"/>
        </w:rPr>
        <w:t> </w:t>
      </w:r>
      <w:r>
        <w:rPr>
          <w:spacing w:val="-43"/>
        </w:rPr>
      </w:r>
      <w:r>
        <w:rPr>
          <w:spacing w:val="-2"/>
        </w:rPr>
        <w:t>服务，客户范围从个体私营企业到全球知名的酒店管理公司，以及开发商、银行、投资机构及工业企业。</w:t>
      </w:r>
      <w:r>
        <w:rPr>
          <w:spacing w:val="-21"/>
        </w:rPr>
        <w:t> </w:t>
      </w:r>
      <w:r>
        <w:rPr>
          <w:spacing w:val="-21"/>
        </w:rPr>
      </w:r>
      <w:r>
        <w:rPr>
          <w:rFonts w:ascii="Times New Roman" w:hAnsi="Times New Roman" w:cs="Times New Roman" w:eastAsia="Times New Roman" w:hint="default"/>
        </w:rPr>
        <w:t>2017</w:t>
      </w:r>
      <w:r>
        <w:rPr/>
        <w:t>年，浩华实施了</w:t>
      </w:r>
      <w:r>
        <w:rPr>
          <w:rFonts w:ascii="Times New Roman" w:hAnsi="Times New Roman" w:cs="Times New Roman" w:eastAsia="Times New Roman" w:hint="default"/>
        </w:rPr>
        <w:t>176</w:t>
      </w:r>
      <w:r>
        <w:rPr/>
        <w:t>个项目，其中</w:t>
      </w:r>
      <w:r>
        <w:rPr>
          <w:rFonts w:ascii="Times New Roman" w:hAnsi="Times New Roman" w:cs="Times New Roman" w:eastAsia="Times New Roman" w:hint="default"/>
        </w:rPr>
        <w:t>119</w:t>
      </w:r>
      <w:r>
        <w:rPr/>
        <w:t>个来自于新客户。</w:t>
      </w:r>
    </w:p>
    <w:p>
      <w:pPr>
        <w:pStyle w:val="Heading7"/>
        <w:spacing w:line="240" w:lineRule="auto" w:before="31"/>
        <w:ind w:left="575" w:right="153"/>
        <w:jc w:val="left"/>
        <w:rPr>
          <w:b w:val="0"/>
          <w:bCs w:val="0"/>
        </w:rPr>
      </w:pPr>
      <w:r>
        <w:rPr>
          <w:rFonts w:ascii="Times New Roman" w:hAnsi="Times New Roman" w:cs="Times New Roman" w:eastAsia="Times New Roman" w:hint="default"/>
        </w:rPr>
        <w:t>2</w:t>
      </w:r>
      <w:r>
        <w:rPr/>
        <w:t>、餐饮及零售信息系统（</w:t>
      </w:r>
      <w:r>
        <w:rPr>
          <w:rFonts w:ascii="Times New Roman" w:hAnsi="Times New Roman" w:cs="Times New Roman" w:eastAsia="Times New Roman" w:hint="default"/>
        </w:rPr>
        <w:t>POS</w:t>
      </w:r>
      <w:r>
        <w:rPr/>
        <w:t>）业务</w:t>
      </w:r>
      <w:r>
        <w:rPr>
          <w:b w:val="0"/>
          <w:bCs w:val="0"/>
        </w:rPr>
      </w:r>
    </w:p>
    <w:p>
      <w:pPr>
        <w:pStyle w:val="BodyText"/>
        <w:spacing w:line="266" w:lineRule="auto" w:before="62"/>
        <w:ind w:right="146" w:firstLine="422"/>
        <w:jc w:val="both"/>
      </w:pPr>
      <w:r>
        <w:rPr/>
        <w:t>报告期内，在餐饮领域，公司主要由全资子公司</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26"/>
        </w:rPr>
        <w:t> </w:t>
      </w:r>
      <w:r>
        <w:rPr>
          <w:rFonts w:ascii="Times New Roman" w:hAnsi="Times New Roman" w:cs="Times New Roman" w:eastAsia="Times New Roman" w:hint="default"/>
        </w:rPr>
        <w:t>Ltd.</w:t>
      </w:r>
      <w:r>
        <w:rPr/>
        <w:t>、控股子公司上海正品贵德</w:t>
      </w:r>
      <w:r>
        <w:rPr>
          <w:w w:val="100"/>
        </w:rPr>
        <w:t> </w:t>
      </w:r>
      <w:r>
        <w:rPr>
          <w:spacing w:val="-2"/>
        </w:rPr>
        <w:t>软件有限公司开展中高端、连锁餐饮行业的信息系统业务，控股子公司思迅软件开展标准化餐饮信息系统</w:t>
      </w:r>
      <w:r>
        <w:rPr>
          <w:spacing w:val="-44"/>
        </w:rPr>
        <w:t> </w:t>
      </w:r>
      <w:r>
        <w:rPr>
          <w:spacing w:val="-44"/>
        </w:rPr>
      </w:r>
      <w:r>
        <w:rPr>
          <w:spacing w:val="-2"/>
        </w:rPr>
        <w:t>业务；在零售领域，公司主要由全资子公司北京富基融通和长益科技开展规模化零售信息系统业务，控股</w:t>
      </w:r>
      <w:r>
        <w:rPr>
          <w:spacing w:val="-44"/>
        </w:rPr>
        <w:t> </w:t>
      </w:r>
      <w:r>
        <w:rPr>
          <w:spacing w:val="-44"/>
        </w:rPr>
      </w:r>
      <w:r>
        <w:rPr/>
        <w:t>子公司思迅软件开展标准化零售信息系统业务。</w:t>
      </w:r>
    </w:p>
    <w:p>
      <w:pPr>
        <w:pStyle w:val="BodyText"/>
        <w:spacing w:line="256" w:lineRule="auto" w:before="55"/>
        <w:ind w:right="149" w:firstLine="422"/>
        <w:jc w:val="both"/>
      </w:pPr>
      <w:r>
        <w:rPr/>
        <w:t>报告期内，</w:t>
      </w:r>
      <w:r>
        <w:rPr>
          <w:rFonts w:ascii="Times New Roman" w:hAnsi="Times New Roman" w:cs="Times New Roman" w:eastAsia="Times New Roman" w:hint="default"/>
        </w:rPr>
        <w:t>Infrasys</w:t>
      </w:r>
      <w:r>
        <w:rPr/>
        <w:t>新增酒店餐饮用户</w:t>
      </w:r>
      <w:r>
        <w:rPr>
          <w:rFonts w:ascii="Times New Roman" w:hAnsi="Times New Roman" w:cs="Times New Roman" w:eastAsia="Times New Roman" w:hint="default"/>
        </w:rPr>
        <w:t>103</w:t>
      </w:r>
      <w:r>
        <w:rPr/>
        <w:t>家，新增社会餐厅用户</w:t>
      </w:r>
      <w:r>
        <w:rPr>
          <w:rFonts w:ascii="Times New Roman" w:hAnsi="Times New Roman" w:cs="Times New Roman" w:eastAsia="Times New Roman" w:hint="default"/>
        </w:rPr>
        <w:t>323</w:t>
      </w:r>
      <w:r>
        <w:rPr/>
        <w:t>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Infrasys</w:t>
      </w:r>
      <w:r>
        <w:rPr/>
        <w:t>大力推广云</w:t>
      </w:r>
      <w:r>
        <w:rPr>
          <w:w w:val="100"/>
        </w:rPr>
        <w:t> </w:t>
      </w:r>
      <w:r>
        <w:rPr/>
        <w:t>平台</w:t>
      </w:r>
      <w:r>
        <w:rPr>
          <w:rFonts w:ascii="Times New Roman" w:hAnsi="Times New Roman" w:cs="Times New Roman" w:eastAsia="Times New Roman" w:hint="default"/>
        </w:rPr>
        <w:t>POS</w:t>
      </w:r>
      <w:r>
        <w:rPr/>
        <w:t>系统</w:t>
      </w:r>
      <w:r>
        <w:rPr>
          <w:rFonts w:ascii="Times New Roman" w:hAnsi="Times New Roman" w:cs="Times New Roman" w:eastAsia="Times New Roman" w:hint="default"/>
        </w:rPr>
        <w:t>“Infrasys Cloud”</w:t>
      </w:r>
      <w:r>
        <w:rPr/>
        <w:t>及</w:t>
      </w:r>
      <w:r>
        <w:rPr>
          <w:rFonts w:ascii="Times New Roman" w:hAnsi="Times New Roman" w:cs="Times New Roman" w:eastAsia="Times New Roman" w:hint="default"/>
        </w:rPr>
        <w:t>Xpos</w:t>
      </w:r>
      <w:r>
        <w:rPr/>
        <w:t>快速支付系统，</w:t>
      </w:r>
      <w:r>
        <w:rPr>
          <w:rFonts w:ascii="Times New Roman" w:hAnsi="Times New Roman" w:cs="Times New Roman" w:eastAsia="Times New Roman" w:hint="default"/>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rPr>
        <w:t>Cloud”</w:t>
      </w:r>
      <w:r>
        <w:rPr/>
        <w:t>经过多家全球知名国际酒店集团的严</w:t>
      </w:r>
      <w:r>
        <w:rPr>
          <w:w w:val="100"/>
        </w:rPr>
        <w:t> </w:t>
      </w:r>
      <w:r>
        <w:rPr/>
        <w:t>格测试与评标认证为其下一代云餐饮管理系统。</w:t>
      </w:r>
    </w:p>
    <w:p>
      <w:pPr>
        <w:pStyle w:val="BodyText"/>
        <w:spacing w:line="256" w:lineRule="auto" w:before="61"/>
        <w:ind w:right="145" w:firstLine="422"/>
        <w:jc w:val="both"/>
      </w:pPr>
      <w:r>
        <w:rPr>
          <w:spacing w:val="-1"/>
        </w:rPr>
        <w:t>报告期内，正品贵德新增客户</w:t>
      </w:r>
      <w:r>
        <w:rPr>
          <w:rFonts w:ascii="Times New Roman" w:hAnsi="Times New Roman" w:cs="Times New Roman" w:eastAsia="Times New Roman" w:hint="default"/>
          <w:spacing w:val="-1"/>
        </w:rPr>
        <w:t>1081</w:t>
      </w:r>
      <w:r>
        <w:rPr>
          <w:spacing w:val="-1"/>
        </w:rPr>
        <w:t>家，客户总数超过</w:t>
      </w:r>
      <w:r>
        <w:rPr>
          <w:rFonts w:ascii="Times New Roman" w:hAnsi="Times New Roman" w:cs="Times New Roman" w:eastAsia="Times New Roman" w:hint="default"/>
          <w:spacing w:val="-1"/>
        </w:rPr>
        <w:t>11000</w:t>
      </w:r>
      <w:r>
        <w:rPr>
          <w:spacing w:val="-1"/>
        </w:rPr>
        <w:t>家；正品贵德研发推出的全面移动化的</w:t>
      </w:r>
      <w:r>
        <w:rPr>
          <w:rFonts w:ascii="Times New Roman" w:hAnsi="Times New Roman" w:cs="Times New Roman" w:eastAsia="Times New Roman" w:hint="default"/>
          <w:spacing w:val="-1"/>
        </w:rPr>
        <w:t>G9</w:t>
      </w:r>
      <w:r>
        <w:rPr>
          <w:rFonts w:ascii="Times New Roman" w:hAnsi="Times New Roman" w:cs="Times New Roman" w:eastAsia="Times New Roman" w:hint="default"/>
          <w:spacing w:val="1"/>
          <w:w w:val="100"/>
        </w:rPr>
        <w:t> </w:t>
      </w:r>
      <w:r>
        <w:rPr/>
        <w:t>餐饮供应链产品受市场欢迎，</w:t>
      </w:r>
      <w:r>
        <w:rPr>
          <w:rFonts w:ascii="Times New Roman" w:hAnsi="Times New Roman" w:cs="Times New Roman" w:eastAsia="Times New Roman" w:hint="default"/>
        </w:rPr>
        <w:t>G10</w:t>
      </w:r>
      <w:r>
        <w:rPr>
          <w:rFonts w:ascii="Times New Roman" w:hAnsi="Times New Roman" w:cs="Times New Roman" w:eastAsia="Times New Roman" w:hint="default"/>
          <w:spacing w:val="-2"/>
        </w:rPr>
        <w:t> </w:t>
      </w:r>
      <w:r>
        <w:rPr>
          <w:rFonts w:ascii="Times New Roman" w:hAnsi="Times New Roman" w:cs="Times New Roman" w:eastAsia="Times New Roman" w:hint="default"/>
        </w:rPr>
        <w:t>Saas</w:t>
      </w:r>
      <w:r>
        <w:rPr/>
        <w:t>供应链完成基本研发。</w:t>
      </w:r>
    </w:p>
    <w:p>
      <w:pPr>
        <w:pStyle w:val="BodyText"/>
        <w:spacing w:line="261" w:lineRule="auto" w:before="46"/>
        <w:ind w:right="146" w:firstLine="422"/>
        <w:jc w:val="both"/>
      </w:pPr>
      <w:r>
        <w:rPr>
          <w:spacing w:val="2"/>
        </w:rPr>
        <w:t>北京富基融通是中国快速增长的消费品及零售行业软件和解决方案提供商、移动互联网业务的推动</w:t>
      </w:r>
      <w:r>
        <w:rPr>
          <w:w w:val="100"/>
        </w:rPr>
        <w:t> </w:t>
      </w:r>
      <w:r>
        <w:rPr/>
        <w:t>者，为国内外</w:t>
      </w:r>
      <w:r>
        <w:rPr>
          <w:rFonts w:ascii="Times New Roman" w:hAnsi="Times New Roman" w:cs="Times New Roman" w:eastAsia="Times New Roman" w:hint="default"/>
        </w:rPr>
        <w:t>1000</w:t>
      </w:r>
      <w:r>
        <w:rPr/>
        <w:t>余家消费品牌和零售企业及其超过</w:t>
      </w:r>
      <w:r>
        <w:rPr>
          <w:rFonts w:ascii="Times New Roman" w:hAnsi="Times New Roman" w:cs="Times New Roman" w:eastAsia="Times New Roman" w:hint="default"/>
        </w:rPr>
        <w:t>50000</w:t>
      </w:r>
      <w:r>
        <w:rPr/>
        <w:t>家实体门店提供从工厂厂门到消费者家门的全</w:t>
      </w:r>
      <w:r>
        <w:rPr>
          <w:spacing w:val="-25"/>
        </w:rPr>
        <w:t> </w:t>
      </w:r>
      <w:r>
        <w:rPr>
          <w:spacing w:val="-25"/>
        </w:rPr>
      </w:r>
      <w:r>
        <w:rPr>
          <w:spacing w:val="-3"/>
        </w:rPr>
        <w:t>渠道解决方案、移动社交购物和本地服务，其客户群体已经包括中国宝洁、百事、欧莱雅、</w:t>
      </w:r>
      <w:r>
        <w:rPr>
          <w:rFonts w:ascii="Times New Roman" w:hAnsi="Times New Roman" w:cs="Times New Roman" w:eastAsia="Times New Roman" w:hint="default"/>
          <w:spacing w:val="-3"/>
        </w:rPr>
        <w:t>GUCCI</w:t>
      </w:r>
      <w:r>
        <w:rPr>
          <w:spacing w:val="-3"/>
        </w:rPr>
        <w:t>等在内</w:t>
      </w:r>
      <w:r>
        <w:rPr>
          <w:spacing w:val="-16"/>
        </w:rPr>
        <w:t> </w:t>
      </w:r>
      <w:r>
        <w:rPr/>
        <w:t>的全球企业及苏宁电器、华润万家等大型商超。报告期内，北京富基融通新增集团客户数量</w:t>
      </w:r>
      <w:r>
        <w:rPr>
          <w:rFonts w:ascii="Times New Roman" w:hAnsi="Times New Roman" w:cs="Times New Roman" w:eastAsia="Times New Roman" w:hint="default"/>
        </w:rPr>
        <w:t>112</w:t>
      </w:r>
      <w:r>
        <w:rPr/>
        <w:t>家，报告</w:t>
      </w:r>
      <w:r>
        <w:rPr>
          <w:spacing w:val="-24"/>
        </w:rPr>
        <w:t> </w:t>
      </w:r>
      <w:r>
        <w:rPr>
          <w:spacing w:val="-24"/>
        </w:rPr>
      </w:r>
      <w:r>
        <w:rPr/>
        <w:t>期末集团客户总数</w:t>
      </w:r>
      <w:r>
        <w:rPr>
          <w:rFonts w:ascii="Times New Roman" w:hAnsi="Times New Roman" w:cs="Times New Roman" w:eastAsia="Times New Roman" w:hint="default"/>
        </w:rPr>
        <w:t>735</w:t>
      </w:r>
      <w:r>
        <w:rPr/>
        <w:t>家；技术研发方面，在新零售的战略下主要在聚合营销、聚合支付、全渠道业务及</w:t>
      </w:r>
    </w:p>
    <w:p>
      <w:pPr>
        <w:spacing w:after="0" w:line="261"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208"/>
        <w:jc w:val="left"/>
      </w:pPr>
      <w:r>
        <w:rPr>
          <w:spacing w:val="-2"/>
        </w:rPr>
        <w:t>新门店相关产品上加大了研发力度，</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月成立石基零售研发中心，致力于新一代零售综合解决方案</w:t>
      </w:r>
      <w:r>
        <w:rPr>
          <w:spacing w:val="-37"/>
        </w:rPr>
        <w:t> </w:t>
      </w:r>
      <w:r>
        <w:rPr>
          <w:spacing w:val="-37"/>
        </w:rPr>
      </w:r>
      <w:r>
        <w:rPr/>
        <w:t>的研发、创建与应用。</w:t>
      </w:r>
    </w:p>
    <w:p>
      <w:pPr>
        <w:pStyle w:val="BodyText"/>
        <w:spacing w:line="261" w:lineRule="auto" w:before="63"/>
        <w:ind w:right="184" w:firstLine="422"/>
        <w:jc w:val="both"/>
      </w:pPr>
      <w:r>
        <w:rPr>
          <w:spacing w:val="-2"/>
        </w:rPr>
        <w:t>长益科技专注于流通零售行业信息化全面解决方案和服务，其业务涉及零售、分销、物流、电子商务</w:t>
      </w:r>
      <w:r>
        <w:rPr>
          <w:w w:val="100"/>
        </w:rPr>
        <w:t> </w:t>
      </w:r>
      <w:r>
        <w:rPr>
          <w:spacing w:val="-2"/>
        </w:rPr>
        <w:t>等流通业各个领域，产品线覆盖百货、超市、购物中心、专卖店（包括珠宝、化妆、服装、医药、建材、</w:t>
      </w:r>
      <w:r>
        <w:rPr>
          <w:spacing w:val="-20"/>
        </w:rPr>
        <w:t> </w:t>
      </w:r>
      <w:r>
        <w:rPr>
          <w:spacing w:val="-20"/>
        </w:rPr>
      </w:r>
      <w:r>
        <w:rPr>
          <w:spacing w:val="-2"/>
        </w:rPr>
        <w:t>家电）以及无店铺销售等零售业态，典型的客户包括北京翠微集团、北京华联集团（</w:t>
      </w:r>
      <w:r>
        <w:rPr>
          <w:rFonts w:ascii="Times New Roman" w:hAnsi="Times New Roman" w:cs="Times New Roman" w:eastAsia="Times New Roman" w:hint="default"/>
          <w:spacing w:val="-2"/>
        </w:rPr>
        <w:t>SKP</w:t>
      </w:r>
      <w:r>
        <w:rPr>
          <w:spacing w:val="-2"/>
        </w:rPr>
        <w:t>）、北京首商集</w:t>
      </w:r>
      <w:r>
        <w:rPr>
          <w:spacing w:val="-5"/>
        </w:rPr>
        <w:t> </w:t>
      </w:r>
      <w:r>
        <w:rPr>
          <w:spacing w:val="-5"/>
        </w:rPr>
      </w:r>
      <w:r>
        <w:rPr>
          <w:spacing w:val="-2"/>
        </w:rPr>
        <w:t>团、北京物美集团等在内的几十家上市公司及太平洋百货等众多国际顶级零售企业，已经为累计超过</w:t>
      </w:r>
      <w:r>
        <w:rPr>
          <w:rFonts w:ascii="Times New Roman" w:hAnsi="Times New Roman" w:cs="Times New Roman" w:eastAsia="Times New Roman" w:hint="default"/>
          <w:spacing w:val="-2"/>
        </w:rPr>
        <w:t>1000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多家国内外大中型流通零售企业提供解决方案和优异服务。</w:t>
      </w:r>
      <w:r>
        <w:rPr>
          <w:rFonts w:ascii="Times New Roman" w:hAnsi="Times New Roman" w:cs="Times New Roman" w:eastAsia="Times New Roman" w:hint="default"/>
          <w:spacing w:val="-2"/>
        </w:rPr>
        <w:t>2017</w:t>
      </w:r>
      <w:r>
        <w:rPr>
          <w:spacing w:val="-2"/>
        </w:rPr>
        <w:t>年，长益科技新增客户</w:t>
      </w:r>
      <w:r>
        <w:rPr>
          <w:rFonts w:ascii="Times New Roman" w:hAnsi="Times New Roman" w:cs="Times New Roman" w:eastAsia="Times New Roman" w:hint="default"/>
          <w:spacing w:val="-2"/>
        </w:rPr>
        <w:t>47</w:t>
      </w:r>
      <w:r>
        <w:rPr>
          <w:spacing w:val="-2"/>
        </w:rPr>
        <w:t>家；针对未来零</w:t>
      </w:r>
      <w:r>
        <w:rPr>
          <w:spacing w:val="-38"/>
        </w:rPr>
        <w:t> </w:t>
      </w:r>
      <w:r>
        <w:rPr>
          <w:spacing w:val="-38"/>
        </w:rPr>
      </w:r>
      <w:r>
        <w:rPr>
          <w:spacing w:val="-5"/>
        </w:rPr>
        <w:t>售业互联网化及全渠道销售的形势，长益科技加强了新产品开发，目前包括微信营销、顾客</w:t>
      </w:r>
      <w:r>
        <w:rPr>
          <w:rFonts w:ascii="Times New Roman" w:hAnsi="Times New Roman" w:cs="Times New Roman" w:eastAsia="Times New Roman" w:hint="default"/>
          <w:spacing w:val="-5"/>
        </w:rPr>
        <w:t>APP</w:t>
      </w:r>
      <w:r>
        <w:rPr>
          <w:spacing w:val="-5"/>
        </w:rPr>
        <w:t>、移动</w:t>
      </w:r>
      <w:r>
        <w:rPr>
          <w:rFonts w:ascii="Times New Roman" w:hAnsi="Times New Roman" w:cs="Times New Roman" w:eastAsia="Times New Roman" w:hint="default"/>
          <w:spacing w:val="-5"/>
        </w:rPr>
        <w:t>POS</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等产品，并推动基础产品向</w:t>
      </w:r>
      <w:r>
        <w:rPr>
          <w:rFonts w:ascii="Times New Roman" w:hAnsi="Times New Roman" w:cs="Times New Roman" w:eastAsia="Times New Roman" w:hint="default"/>
        </w:rPr>
        <w:t>B/S</w:t>
      </w:r>
      <w:r>
        <w:rPr/>
        <w:t>结构转型，新的三层架构的产品商友</w:t>
      </w:r>
      <w:r>
        <w:rPr>
          <w:rFonts w:ascii="Times New Roman" w:hAnsi="Times New Roman" w:cs="Times New Roman" w:eastAsia="Times New Roman" w:hint="default"/>
        </w:rPr>
        <w:t>V9.0</w:t>
      </w:r>
      <w:r>
        <w:rPr/>
        <w:t>已经开始投入市场，并逐步替代</w:t>
      </w:r>
      <w:r>
        <w:rPr>
          <w:spacing w:val="-21"/>
        </w:rPr>
        <w:t> </w:t>
      </w:r>
      <w:r>
        <w:rPr>
          <w:spacing w:val="-21"/>
        </w:rPr>
      </w:r>
      <w:r>
        <w:rPr>
          <w:rFonts w:ascii="Times New Roman" w:hAnsi="Times New Roman" w:cs="Times New Roman" w:eastAsia="Times New Roman" w:hint="default"/>
        </w:rPr>
        <w:t>8.0</w:t>
      </w:r>
      <w:r>
        <w:rPr/>
        <w:t>成为公司主推产品。</w:t>
      </w:r>
    </w:p>
    <w:p>
      <w:pPr>
        <w:pStyle w:val="BodyText"/>
        <w:spacing w:line="256" w:lineRule="auto" w:before="38"/>
        <w:ind w:right="100" w:firstLine="422"/>
        <w:jc w:val="left"/>
      </w:pPr>
      <w:r>
        <w:rPr/>
        <w:t>报告期内，思迅软件新增用户数</w:t>
      </w:r>
      <w:r>
        <w:rPr>
          <w:rFonts w:ascii="Times New Roman" w:hAnsi="Times New Roman" w:cs="Times New Roman" w:eastAsia="Times New Roman" w:hint="default"/>
        </w:rPr>
        <w:t>90,000</w:t>
      </w:r>
      <w:r>
        <w:rPr/>
        <w:t>家，报告期末客户总数超过</w:t>
      </w:r>
      <w:r>
        <w:rPr>
          <w:rFonts w:ascii="Times New Roman" w:hAnsi="Times New Roman" w:cs="Times New Roman" w:eastAsia="Times New Roman" w:hint="default"/>
        </w:rPr>
        <w:t>50</w:t>
      </w:r>
      <w:r>
        <w:rPr/>
        <w:t>万家，代理商总数</w:t>
      </w:r>
      <w:r>
        <w:rPr>
          <w:rFonts w:ascii="Times New Roman" w:hAnsi="Times New Roman" w:cs="Times New Roman" w:eastAsia="Times New Roman" w:hint="default"/>
        </w:rPr>
        <w:t>1300</w:t>
      </w:r>
      <w:r>
        <w:rPr/>
        <w:t>余家，渠</w:t>
      </w:r>
      <w:r>
        <w:rPr>
          <w:w w:val="100"/>
        </w:rPr>
        <w:t> </w:t>
      </w:r>
      <w:r>
        <w:rPr/>
        <w:t>道覆盖全国</w:t>
      </w:r>
      <w:r>
        <w:rPr>
          <w:rFonts w:ascii="Times New Roman" w:hAnsi="Times New Roman" w:cs="Times New Roman" w:eastAsia="Times New Roman" w:hint="default"/>
        </w:rPr>
        <w:t>300</w:t>
      </w:r>
      <w:r>
        <w:rPr/>
        <w:t>多个城市。</w:t>
      </w:r>
      <w:r>
        <w:rPr>
          <w:rFonts w:ascii="Times New Roman" w:hAnsi="Times New Roman" w:cs="Times New Roman" w:eastAsia="Times New Roman" w:hint="default"/>
        </w:rPr>
        <w:t>2017</w:t>
      </w:r>
      <w:r>
        <w:rPr/>
        <w:t>年，思迅软件在零售和餐饮行业</w:t>
      </w:r>
      <w:r>
        <w:rPr>
          <w:rFonts w:ascii="Times New Roman" w:hAnsi="Times New Roman" w:cs="Times New Roman" w:eastAsia="Times New Roman" w:hint="default"/>
        </w:rPr>
        <w:t>O2O</w:t>
      </w:r>
      <w:r>
        <w:rPr/>
        <w:t>在线平台业务发展迅速，新开通支付</w:t>
      </w:r>
      <w:r>
        <w:rPr>
          <w:spacing w:val="-15"/>
        </w:rPr>
        <w:t> </w:t>
      </w:r>
      <w:r>
        <w:rPr>
          <w:spacing w:val="-15"/>
        </w:rPr>
      </w:r>
      <w:r>
        <w:rPr/>
        <w:t>门店超过</w:t>
      </w:r>
      <w:r>
        <w:rPr>
          <w:rFonts w:ascii="Times New Roman" w:hAnsi="Times New Roman" w:cs="Times New Roman" w:eastAsia="Times New Roman" w:hint="default"/>
        </w:rPr>
        <w:t>5</w:t>
      </w:r>
      <w:r>
        <w:rPr/>
        <w:t>万多家，基于支付的服务及推广费已经成为公司营收的新增长点；全资子公司思迅网络开发的</w:t>
      </w:r>
      <w:r>
        <w:rPr>
          <w:spacing w:val="-25"/>
        </w:rPr>
        <w:t> </w:t>
      </w:r>
      <w:r>
        <w:rPr>
          <w:spacing w:val="-25"/>
        </w:rPr>
      </w:r>
      <w:r>
        <w:rPr>
          <w:rFonts w:ascii="Times New Roman" w:hAnsi="Times New Roman" w:cs="Times New Roman" w:eastAsia="Times New Roman" w:hint="default"/>
          <w:spacing w:val="-4"/>
        </w:rPr>
        <w:t>SaaS</w:t>
      </w:r>
      <w:r>
        <w:rPr>
          <w:spacing w:val="-4"/>
        </w:rPr>
        <w:t>平台</w:t>
      </w:r>
      <w:r>
        <w:rPr>
          <w:rFonts w:ascii="Times New Roman" w:hAnsi="Times New Roman" w:cs="Times New Roman" w:eastAsia="Times New Roman" w:hint="default"/>
          <w:spacing w:val="-4"/>
        </w:rPr>
        <w:t>“</w:t>
      </w:r>
      <w:r>
        <w:rPr>
          <w:spacing w:val="-4"/>
        </w:rPr>
        <w:t>天店</w:t>
      </w:r>
      <w:r>
        <w:rPr>
          <w:rFonts w:ascii="Times New Roman" w:hAnsi="Times New Roman" w:cs="Times New Roman" w:eastAsia="Times New Roman" w:hint="default"/>
          <w:spacing w:val="-4"/>
        </w:rPr>
        <w:t>”</w:t>
      </w:r>
      <w:r>
        <w:rPr>
          <w:spacing w:val="-4"/>
        </w:rPr>
        <w:t>，为消费者、商户、供应商和服务商等提供互联、互通的连接场景和线下交易</w:t>
      </w:r>
      <w:r>
        <w:rPr>
          <w:rFonts w:ascii="Times New Roman" w:hAnsi="Times New Roman" w:cs="Times New Roman" w:eastAsia="Times New Roman" w:hint="default"/>
          <w:spacing w:val="-4"/>
        </w:rPr>
        <w:t>IT</w:t>
      </w:r>
      <w:r>
        <w:rPr>
          <w:spacing w:val="-4"/>
        </w:rPr>
        <w:t>支撑服务；</w:t>
      </w:r>
      <w:r>
        <w:rPr>
          <w:spacing w:val="-6"/>
        </w:rPr>
        <w:t> </w:t>
      </w:r>
      <w:r>
        <w:rPr>
          <w:spacing w:val="-6"/>
        </w:rPr>
      </w:r>
      <w:r>
        <w:rPr>
          <w:rFonts w:ascii="Times New Roman" w:hAnsi="Times New Roman" w:cs="Times New Roman" w:eastAsia="Times New Roman" w:hint="default"/>
        </w:rPr>
        <w:t>2017</w:t>
      </w:r>
      <w:r>
        <w:rPr/>
        <w:t>年初推出的手机移动门店管理系统，得到了小微商户的好评，已经与银联商务、阿里</w:t>
      </w:r>
      <w:r>
        <w:rPr>
          <w:rFonts w:ascii="Times New Roman" w:hAnsi="Times New Roman" w:cs="Times New Roman" w:eastAsia="Times New Roman" w:hint="default"/>
        </w:rPr>
        <w:t>“</w:t>
      </w:r>
      <w:r>
        <w:rPr/>
        <w:t>零售通</w:t>
      </w:r>
      <w:r>
        <w:rPr>
          <w:rFonts w:ascii="Times New Roman" w:hAnsi="Times New Roman" w:cs="Times New Roman" w:eastAsia="Times New Roman" w:hint="default"/>
        </w:rPr>
        <w:t>”</w:t>
      </w:r>
      <w:r>
        <w:rPr/>
        <w:t>、新大</w:t>
      </w:r>
      <w:r>
        <w:rPr>
          <w:w w:val="100"/>
        </w:rPr>
        <w:t> </w:t>
      </w:r>
      <w:r>
        <w:rPr/>
        <w:t>陆等第三平台达成深度合作，自平台上线以来，为数万多家门店的连接提供了平台级的服务。</w:t>
      </w:r>
    </w:p>
    <w:p>
      <w:pPr>
        <w:pStyle w:val="BodyText"/>
        <w:spacing w:line="261" w:lineRule="auto" w:before="63"/>
        <w:ind w:right="207" w:firstLine="422"/>
        <w:jc w:val="both"/>
      </w:pPr>
      <w:r>
        <w:rPr>
          <w:spacing w:val="-4"/>
        </w:rPr>
        <w:t>上海时运的核心业务包括外资项目（</w:t>
      </w:r>
      <w:r>
        <w:rPr>
          <w:rFonts w:ascii="Times New Roman" w:hAnsi="Times New Roman" w:cs="Times New Roman" w:eastAsia="Times New Roman" w:hint="default"/>
          <w:spacing w:val="-4"/>
        </w:rPr>
        <w:t>Oracle</w:t>
      </w:r>
      <w:r>
        <w:rPr>
          <w:spacing w:val="-4"/>
        </w:rPr>
        <w:t>公司</w:t>
      </w:r>
      <w:r>
        <w:rPr>
          <w:rFonts w:ascii="Times New Roman" w:hAnsi="Times New Roman" w:cs="Times New Roman" w:eastAsia="Times New Roman" w:hint="default"/>
          <w:spacing w:val="-4"/>
        </w:rPr>
        <w:t>Xstore</w:t>
      </w:r>
      <w:r>
        <w:rPr>
          <w:spacing w:val="-4"/>
        </w:rPr>
        <w:t>产品亚太地区实施及服务），以及内资项目（自</w:t>
      </w:r>
      <w:r>
        <w:rPr>
          <w:w w:val="100"/>
        </w:rPr>
        <w:t> </w:t>
      </w:r>
      <w:r>
        <w:rPr>
          <w:spacing w:val="-2"/>
        </w:rPr>
        <w:t>主研发的商业零售管理系统），拥有完全自主研发的商业零售管理系统，包括：总部管理系统、物流配送</w:t>
      </w:r>
      <w:r>
        <w:rPr>
          <w:spacing w:val="-43"/>
        </w:rPr>
        <w:t> </w:t>
      </w:r>
      <w:r>
        <w:rPr>
          <w:spacing w:val="-43"/>
        </w:rPr>
      </w:r>
      <w:r>
        <w:rPr>
          <w:spacing w:val="-5"/>
        </w:rPr>
        <w:t>管理系统、生鲜加工管理系统、供应链管理系统、会员管理系统、门店管理系统、</w:t>
      </w:r>
      <w:r>
        <w:rPr>
          <w:rFonts w:ascii="Times New Roman" w:hAnsi="Times New Roman" w:cs="Times New Roman" w:eastAsia="Times New Roman" w:hint="default"/>
          <w:spacing w:val="-5"/>
        </w:rPr>
        <w:t>POS</w:t>
      </w:r>
      <w:r>
        <w:rPr>
          <w:spacing w:val="-5"/>
        </w:rPr>
        <w:t>管理系统、巡店</w:t>
      </w:r>
      <w:r>
        <w:rPr>
          <w:rFonts w:ascii="Times New Roman" w:hAnsi="Times New Roman" w:cs="Times New Roman" w:eastAsia="Times New Roman" w:hint="default"/>
          <w:spacing w:val="-5"/>
        </w:rPr>
        <w:t>APP</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管理系统、移动支付平台、</w:t>
      </w:r>
      <w:r>
        <w:rPr>
          <w:rFonts w:ascii="Times New Roman" w:hAnsi="Times New Roman" w:cs="Times New Roman" w:eastAsia="Times New Roman" w:hint="default"/>
        </w:rPr>
        <w:t>BI</w:t>
      </w:r>
      <w:r>
        <w:rPr/>
        <w:t>商业智能数据分析系统。报告期末，上海时运零售客户总数</w:t>
      </w:r>
      <w:r>
        <w:rPr>
          <w:rFonts w:ascii="Times New Roman" w:hAnsi="Times New Roman" w:cs="Times New Roman" w:eastAsia="Times New Roman" w:hint="default"/>
        </w:rPr>
        <w:t>39</w:t>
      </w:r>
      <w:r>
        <w:rPr/>
        <w:t>家。</w:t>
      </w:r>
    </w:p>
    <w:p>
      <w:pPr>
        <w:pStyle w:val="BodyText"/>
        <w:spacing w:line="290" w:lineRule="auto" w:before="41"/>
        <w:ind w:left="575" w:right="208"/>
        <w:jc w:val="left"/>
      </w:pPr>
      <w:r>
        <w:rPr>
          <w:rFonts w:ascii="Times New Roman" w:hAnsi="Times New Roman" w:cs="Times New Roman" w:eastAsia="Times New Roman" w:hint="default"/>
          <w:b/>
          <w:bCs/>
        </w:rPr>
        <w:t>3</w:t>
      </w:r>
      <w:r>
        <w:rPr>
          <w:rFonts w:ascii="宋体" w:hAnsi="宋体" w:cs="宋体" w:eastAsia="宋体" w:hint="default"/>
          <w:b/>
          <w:bCs/>
        </w:rPr>
        <w:t>、分销与数据业务</w:t>
      </w:r>
      <w:r>
        <w:rPr>
          <w:rFonts w:ascii="宋体" w:hAnsi="宋体" w:cs="宋体" w:eastAsia="宋体" w:hint="default"/>
          <w:b/>
          <w:bCs/>
          <w:spacing w:val="-103"/>
        </w:rPr>
        <w:t> </w:t>
      </w:r>
      <w:r>
        <w:rPr>
          <w:spacing w:val="-2"/>
        </w:rPr>
        <w:t>畅联进一步推进直连在集团／酒店与多种类型渠道合作中的应用，技术功能升级换代，业务拓展范围</w:t>
      </w:r>
    </w:p>
    <w:p>
      <w:pPr>
        <w:pStyle w:val="BodyText"/>
        <w:spacing w:line="284" w:lineRule="exact"/>
        <w:ind w:right="208"/>
        <w:jc w:val="left"/>
      </w:pPr>
      <w:r>
        <w:rPr/>
        <w:t>扩大，</w:t>
      </w:r>
      <w:r>
        <w:rPr>
          <w:rFonts w:ascii="Times New Roman" w:hAnsi="Times New Roman" w:cs="Times New Roman" w:eastAsia="Times New Roman" w:hint="default"/>
        </w:rPr>
        <w:t>2017</w:t>
      </w:r>
      <w:r>
        <w:rPr/>
        <w:t>年畅联有效直连产量</w:t>
      </w:r>
      <w:r>
        <w:rPr>
          <w:rFonts w:ascii="Times New Roman" w:hAnsi="Times New Roman" w:cs="Times New Roman" w:eastAsia="Times New Roman" w:hint="default"/>
        </w:rPr>
        <w:t>524</w:t>
      </w:r>
      <w:r>
        <w:rPr/>
        <w:t>万多间夜，比</w:t>
      </w:r>
      <w:r>
        <w:rPr>
          <w:rFonts w:ascii="Times New Roman" w:hAnsi="Times New Roman" w:cs="Times New Roman" w:eastAsia="Times New Roman" w:hint="default"/>
        </w:rPr>
        <w:t>2016</w:t>
      </w:r>
      <w:r>
        <w:rPr/>
        <w:t>年同期产量</w:t>
      </w:r>
      <w:r>
        <w:rPr>
          <w:rFonts w:ascii="Times New Roman" w:hAnsi="Times New Roman" w:cs="Times New Roman" w:eastAsia="Times New Roman" w:hint="default"/>
        </w:rPr>
        <w:t>390</w:t>
      </w:r>
      <w:r>
        <w:rPr/>
        <w:t>多万间夜增长</w:t>
      </w:r>
      <w:r>
        <w:rPr>
          <w:rFonts w:ascii="Times New Roman" w:hAnsi="Times New Roman" w:cs="Times New Roman" w:eastAsia="Times New Roman" w:hint="default"/>
        </w:rPr>
        <w:t>34%</w:t>
      </w:r>
      <w:r>
        <w:rPr/>
        <w:t>。</w:t>
      </w:r>
    </w:p>
    <w:p>
      <w:pPr>
        <w:pStyle w:val="BodyText"/>
        <w:spacing w:line="256" w:lineRule="auto" w:before="62"/>
        <w:ind w:right="100" w:firstLine="422"/>
        <w:jc w:val="left"/>
      </w:pPr>
      <w:r>
        <w:rPr/>
        <w:t>（</w:t>
      </w:r>
      <w:r>
        <w:rPr>
          <w:rFonts w:ascii="Times New Roman" w:hAnsi="Times New Roman" w:cs="Times New Roman" w:eastAsia="Times New Roman" w:hint="default"/>
        </w:rPr>
        <w:t>1</w:t>
      </w:r>
      <w:r>
        <w:rPr/>
        <w:t>）酒店分销方面，畅联快速发展国内渠道的覆盖，</w:t>
      </w:r>
      <w:r>
        <w:rPr>
          <w:rFonts w:ascii="Times New Roman" w:hAnsi="Times New Roman" w:cs="Times New Roman" w:eastAsia="Times New Roman" w:hint="default"/>
        </w:rPr>
        <w:t>2017</w:t>
      </w:r>
      <w:r>
        <w:rPr/>
        <w:t>年新增渠道</w:t>
      </w:r>
      <w:r>
        <w:rPr>
          <w:rFonts w:ascii="Times New Roman" w:hAnsi="Times New Roman" w:cs="Times New Roman" w:eastAsia="Times New Roman" w:hint="default"/>
        </w:rPr>
        <w:t>40</w:t>
      </w:r>
      <w:r>
        <w:rPr/>
        <w:t>多个，包括京东旅行，上海</w:t>
      </w:r>
      <w:r>
        <w:rPr>
          <w:w w:val="100"/>
        </w:rPr>
        <w:t> </w:t>
      </w:r>
      <w:r>
        <w:rPr>
          <w:spacing w:val="-2"/>
        </w:rPr>
        <w:t>大都市旅行社，龙腾捷旅，东方航空等；新增近</w:t>
      </w:r>
      <w:r>
        <w:rPr>
          <w:rFonts w:ascii="Times New Roman" w:hAnsi="Times New Roman" w:cs="Times New Roman" w:eastAsia="Times New Roman" w:hint="default"/>
          <w:spacing w:val="-2"/>
        </w:rPr>
        <w:t>70</w:t>
      </w:r>
      <w:r>
        <w:rPr>
          <w:spacing w:val="-2"/>
        </w:rPr>
        <w:t>个直连项目，其中较为突出的包括飞猪对接万豪、喜达</w:t>
      </w:r>
      <w:r>
        <w:rPr>
          <w:spacing w:val="-41"/>
        </w:rPr>
        <w:t> </w:t>
      </w:r>
      <w:r>
        <w:rPr>
          <w:spacing w:val="-41"/>
        </w:rPr>
      </w:r>
      <w:r>
        <w:rPr/>
        <w:t>屋集团全球酒店，携程对接万达集团，途牛对接喜达屋集团，</w:t>
      </w:r>
      <w:r>
        <w:rPr>
          <w:rFonts w:ascii="Times New Roman" w:hAnsi="Times New Roman" w:cs="Times New Roman" w:eastAsia="Times New Roman" w:hint="default"/>
        </w:rPr>
        <w:t>Booking.com</w:t>
      </w:r>
      <w:r>
        <w:rPr/>
        <w:t>对接尚客优集团，</w:t>
      </w:r>
      <w:r>
        <w:rPr>
          <w:rFonts w:ascii="Times New Roman" w:hAnsi="Times New Roman" w:cs="Times New Roman" w:eastAsia="Times New Roman" w:hint="default"/>
        </w:rPr>
        <w:t>Expedia</w:t>
      </w:r>
      <w:r>
        <w:rPr/>
        <w:t>对接</w:t>
      </w:r>
      <w:r>
        <w:rPr>
          <w:spacing w:val="-65"/>
        </w:rPr>
        <w:t> </w:t>
      </w:r>
      <w:r>
        <w:rPr>
          <w:spacing w:val="-2"/>
        </w:rPr>
        <w:t>澳门金沙集团，京东对接速</w:t>
      </w:r>
      <w:r>
        <w:rPr>
          <w:rFonts w:ascii="Times New Roman" w:hAnsi="Times New Roman" w:cs="Times New Roman" w:eastAsia="Times New Roman" w:hint="default"/>
          <w:spacing w:val="-2"/>
        </w:rPr>
        <w:t>8</w:t>
      </w:r>
      <w:r>
        <w:rPr>
          <w:spacing w:val="-2"/>
        </w:rPr>
        <w:t>集团等。报告期末，畅联共对接渠道</w:t>
      </w:r>
      <w:r>
        <w:rPr>
          <w:rFonts w:ascii="Times New Roman" w:hAnsi="Times New Roman" w:cs="Times New Roman" w:eastAsia="Times New Roman" w:hint="default"/>
          <w:spacing w:val="-2"/>
        </w:rPr>
        <w:t>90</w:t>
      </w:r>
      <w:r>
        <w:rPr>
          <w:spacing w:val="-2"/>
        </w:rPr>
        <w:t>多个，其中</w:t>
      </w:r>
      <w:r>
        <w:rPr>
          <w:rFonts w:ascii="Times New Roman" w:hAnsi="Times New Roman" w:cs="Times New Roman" w:eastAsia="Times New Roman" w:hint="default"/>
          <w:spacing w:val="-2"/>
        </w:rPr>
        <w:t>60</w:t>
      </w:r>
      <w:r>
        <w:rPr>
          <w:spacing w:val="-2"/>
        </w:rPr>
        <w:t>多个为中国（含港澳台）</w:t>
      </w:r>
      <w:r>
        <w:rPr>
          <w:spacing w:val="-37"/>
        </w:rPr>
        <w:t> </w:t>
      </w:r>
      <w:r>
        <w:rPr>
          <w:spacing w:val="-37"/>
        </w:rPr>
      </w:r>
      <w:r>
        <w:rPr/>
        <w:t>渠道。</w:t>
      </w:r>
    </w:p>
    <w:p>
      <w:pPr>
        <w:pStyle w:val="BodyText"/>
        <w:spacing w:line="256" w:lineRule="auto" w:before="63"/>
        <w:ind w:right="209" w:firstLine="422"/>
        <w:jc w:val="both"/>
      </w:pPr>
      <w:r>
        <w:rPr/>
        <w:t>（</w:t>
      </w:r>
      <w:r>
        <w:rPr>
          <w:rFonts w:ascii="Times New Roman" w:hAnsi="Times New Roman" w:cs="Times New Roman" w:eastAsia="Times New Roman" w:hint="default"/>
        </w:rPr>
        <w:t>2</w:t>
      </w:r>
      <w:r>
        <w:rPr/>
        <w:t>）产品和技术方面，</w:t>
      </w:r>
      <w:r>
        <w:rPr>
          <w:rFonts w:ascii="Times New Roman" w:hAnsi="Times New Roman" w:cs="Times New Roman" w:eastAsia="Times New Roman" w:hint="default"/>
        </w:rPr>
        <w:t>2017</w:t>
      </w:r>
      <w:r>
        <w:rPr/>
        <w:t>年畅联完成对所有集团的高性能缓存开发，在大幅度提高数据的实时性</w:t>
      </w:r>
      <w:r>
        <w:rPr>
          <w:w w:val="100"/>
        </w:rPr>
        <w:t> </w:t>
      </w:r>
      <w:r>
        <w:rPr>
          <w:spacing w:val="-1"/>
        </w:rPr>
        <w:t>的同时降低硬件成本；畅联也完成了日志系统和</w:t>
      </w:r>
      <w:r>
        <w:rPr>
          <w:rFonts w:ascii="Times New Roman" w:hAnsi="Times New Roman" w:cs="Times New Roman" w:eastAsia="Times New Roman" w:hint="default"/>
          <w:spacing w:val="-1"/>
        </w:rPr>
        <w:t>Switch</w:t>
      </w:r>
      <w:r>
        <w:rPr>
          <w:spacing w:val="-1"/>
        </w:rPr>
        <w:t>系统控制台的重构和改造，确保系统的扩展性，提</w:t>
      </w:r>
      <w:r>
        <w:rPr>
          <w:spacing w:val="-38"/>
        </w:rPr>
        <w:t> </w:t>
      </w:r>
      <w:r>
        <w:rPr>
          <w:spacing w:val="-38"/>
        </w:rPr>
      </w:r>
      <w:r>
        <w:rPr/>
        <w:t>高运营效率。</w:t>
      </w:r>
    </w:p>
    <w:p>
      <w:pPr>
        <w:pStyle w:val="BodyText"/>
        <w:spacing w:line="256" w:lineRule="auto" w:before="61"/>
        <w:ind w:right="208" w:firstLine="422"/>
        <w:jc w:val="both"/>
      </w:pPr>
      <w:r>
        <w:rPr/>
        <w:t>（</w:t>
      </w:r>
      <w:r>
        <w:rPr>
          <w:rFonts w:ascii="Times New Roman" w:hAnsi="Times New Roman" w:cs="Times New Roman" w:eastAsia="Times New Roman" w:hint="default"/>
        </w:rPr>
        <w:t>3</w:t>
      </w:r>
      <w:r>
        <w:rPr/>
        <w:t>）战略合作方面，畅联进一步配合飞猪与国际集团的直连，完成了万豪集团全球</w:t>
      </w:r>
      <w:r>
        <w:rPr>
          <w:rFonts w:ascii="Times New Roman" w:hAnsi="Times New Roman" w:cs="Times New Roman" w:eastAsia="Times New Roman" w:hint="default"/>
        </w:rPr>
        <w:t>5000</w:t>
      </w:r>
      <w:r>
        <w:rPr/>
        <w:t>多家酒店全</w:t>
      </w:r>
      <w:r>
        <w:rPr>
          <w:w w:val="100"/>
        </w:rPr>
        <w:t> </w:t>
      </w:r>
      <w:r>
        <w:rPr>
          <w:spacing w:val="-2"/>
        </w:rPr>
        <w:t>面上线，并开始了海外酒店的信用住产品上线工作；在</w:t>
      </w:r>
      <w:r>
        <w:rPr>
          <w:rFonts w:ascii="Times New Roman" w:hAnsi="Times New Roman" w:cs="Times New Roman" w:eastAsia="Times New Roman" w:hint="default"/>
          <w:spacing w:val="-2"/>
        </w:rPr>
        <w:t>2017</w:t>
      </w:r>
      <w:r>
        <w:rPr>
          <w:spacing w:val="-2"/>
        </w:rPr>
        <w:t>年第四季度，畅联启动了飞猪与洲际、雅高集</w:t>
      </w:r>
      <w:r>
        <w:rPr>
          <w:spacing w:val="-42"/>
        </w:rPr>
        <w:t> </w:t>
      </w:r>
      <w:r>
        <w:rPr>
          <w:spacing w:val="-42"/>
        </w:rPr>
      </w:r>
      <w:r>
        <w:rPr/>
        <w:t>团直连项目，预计</w:t>
      </w:r>
      <w:r>
        <w:rPr>
          <w:rFonts w:ascii="Times New Roman" w:hAnsi="Times New Roman" w:cs="Times New Roman" w:eastAsia="Times New Roman" w:hint="default"/>
        </w:rPr>
        <w:t>2018</w:t>
      </w:r>
      <w:r>
        <w:rPr/>
        <w:t>年上线。在与众荟的战略合作上，畅联完成了</w:t>
      </w:r>
      <w:r>
        <w:rPr>
          <w:rFonts w:ascii="Times New Roman" w:hAnsi="Times New Roman" w:cs="Times New Roman" w:eastAsia="Times New Roman" w:hint="default"/>
        </w:rPr>
        <w:t>500</w:t>
      </w:r>
      <w:r>
        <w:rPr/>
        <w:t>多家酒店与携程的直连上线。</w:t>
      </w:r>
    </w:p>
    <w:p>
      <w:pPr>
        <w:pStyle w:val="BodyText"/>
        <w:spacing w:line="261" w:lineRule="auto" w:before="46"/>
        <w:ind w:right="206" w:firstLine="42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月，公司以</w:t>
      </w:r>
      <w:r>
        <w:rPr>
          <w:rFonts w:ascii="Times New Roman" w:hAnsi="Times New Roman" w:cs="Times New Roman" w:eastAsia="Times New Roman" w:hint="default"/>
        </w:rPr>
        <w:t>1</w:t>
      </w:r>
      <w:r>
        <w:rPr/>
        <w:t>亿人民币注册设立石基商用信息技术有限公司（以下简称</w:t>
      </w:r>
      <w:r>
        <w:rPr>
          <w:rFonts w:ascii="Times New Roman" w:hAnsi="Times New Roman" w:cs="Times New Roman" w:eastAsia="Times New Roman" w:hint="default"/>
        </w:rPr>
        <w:t>“</w:t>
      </w:r>
      <w:r>
        <w:rPr/>
        <w:t>石基商用</w:t>
      </w:r>
      <w:r>
        <w:rPr>
          <w:rFonts w:ascii="Times New Roman" w:hAnsi="Times New Roman" w:cs="Times New Roman" w:eastAsia="Times New Roman" w:hint="default"/>
        </w:rPr>
        <w:t>”</w:t>
      </w:r>
      <w:r>
        <w:rPr/>
        <w:t>），专注</w:t>
      </w:r>
      <w:r>
        <w:rPr>
          <w:w w:val="100"/>
        </w:rPr>
        <w:t> </w:t>
      </w:r>
      <w:r>
        <w:rPr>
          <w:spacing w:val="-2"/>
        </w:rPr>
        <w:t>于零售业供应链管理解决方案，即从零售商获取数据、提供给供应商，让后者针对零售端热销产品相应地</w:t>
      </w:r>
      <w:r>
        <w:rPr>
          <w:spacing w:val="-44"/>
        </w:rPr>
        <w:t> </w:t>
      </w:r>
      <w:r>
        <w:rPr>
          <w:spacing w:val="-44"/>
        </w:rPr>
      </w:r>
      <w:r>
        <w:rPr>
          <w:spacing w:val="-4"/>
        </w:rPr>
        <w:t>调整供应链。石基商用下属全资子公司北京商用星联信息科技有限公司（以下简称</w:t>
      </w:r>
      <w:r>
        <w:rPr>
          <w:rFonts w:ascii="Times New Roman" w:hAnsi="Times New Roman" w:cs="Times New Roman" w:eastAsia="Times New Roman" w:hint="default"/>
          <w:spacing w:val="-4"/>
        </w:rPr>
        <w:t>“</w:t>
      </w:r>
      <w:r>
        <w:rPr>
          <w:spacing w:val="-4"/>
        </w:rPr>
        <w:t>商用星联</w:t>
      </w:r>
      <w:r>
        <w:rPr>
          <w:rFonts w:ascii="Times New Roman" w:hAnsi="Times New Roman" w:cs="Times New Roman" w:eastAsia="Times New Roman" w:hint="default"/>
          <w:spacing w:val="-4"/>
        </w:rPr>
        <w:t>”</w:t>
      </w:r>
      <w:r>
        <w:rPr>
          <w:spacing w:val="-4"/>
        </w:rPr>
        <w:t>）的产品</w:t>
      </w:r>
      <w:r>
        <w:rPr>
          <w:rFonts w:ascii="Times New Roman" w:hAnsi="Times New Roman" w:cs="Times New Roman" w:eastAsia="Times New Roman" w:hint="default"/>
          <w:spacing w:val="-4"/>
        </w:rPr>
        <w:t>“</w:t>
      </w:r>
      <w:r>
        <w:rPr>
          <w:spacing w:val="-4"/>
        </w:rPr>
        <w:t>零</w:t>
      </w:r>
      <w:r>
        <w:rPr>
          <w:spacing w:val="-17"/>
        </w:rPr>
        <w:t> </w:t>
      </w:r>
      <w:r>
        <w:rPr>
          <w:spacing w:val="-4"/>
        </w:rPr>
        <w:t>供宝</w:t>
      </w:r>
      <w:r>
        <w:rPr>
          <w:rFonts w:ascii="Times New Roman" w:hAnsi="Times New Roman" w:cs="Times New Roman" w:eastAsia="Times New Roman" w:hint="default"/>
          <w:spacing w:val="-4"/>
        </w:rPr>
        <w:t>”</w:t>
      </w:r>
      <w:r>
        <w:rPr>
          <w:spacing w:val="-4"/>
        </w:rPr>
        <w:t>推行</w:t>
      </w:r>
      <w:r>
        <w:rPr>
          <w:rFonts w:ascii="Times New Roman" w:hAnsi="Times New Roman" w:cs="Times New Roman" w:eastAsia="Times New Roman" w:hint="default"/>
          <w:spacing w:val="-4"/>
        </w:rPr>
        <w:t>“</w:t>
      </w:r>
      <w:r>
        <w:rPr>
          <w:spacing w:val="-4"/>
        </w:rPr>
        <w:t>大数据</w:t>
      </w:r>
      <w:r>
        <w:rPr>
          <w:rFonts w:ascii="Times New Roman" w:hAnsi="Times New Roman" w:cs="Times New Roman" w:eastAsia="Times New Roman" w:hint="default"/>
          <w:spacing w:val="-4"/>
        </w:rPr>
        <w:t>+</w:t>
      </w:r>
      <w:r>
        <w:rPr>
          <w:spacing w:val="-4"/>
        </w:rPr>
        <w:t>云平台</w:t>
      </w:r>
      <w:r>
        <w:rPr>
          <w:rFonts w:ascii="Times New Roman" w:hAnsi="Times New Roman" w:cs="Times New Roman" w:eastAsia="Times New Roman" w:hint="default"/>
          <w:spacing w:val="-4"/>
        </w:rPr>
        <w:t>+</w:t>
      </w:r>
      <w:r>
        <w:rPr>
          <w:spacing w:val="-4"/>
        </w:rPr>
        <w:t>移动互联网</w:t>
      </w:r>
      <w:r>
        <w:rPr>
          <w:rFonts w:ascii="Times New Roman" w:hAnsi="Times New Roman" w:cs="Times New Roman" w:eastAsia="Times New Roman" w:hint="default"/>
          <w:spacing w:val="-4"/>
        </w:rPr>
        <w:t>”</w:t>
      </w:r>
      <w:r>
        <w:rPr>
          <w:spacing w:val="-4"/>
        </w:rPr>
        <w:t>的概念，在原有单据查询的基础上，打通</w:t>
      </w:r>
      <w:r>
        <w:rPr>
          <w:rFonts w:ascii="Times New Roman" w:hAnsi="Times New Roman" w:cs="Times New Roman" w:eastAsia="Times New Roman" w:hint="default"/>
          <w:spacing w:val="-4"/>
        </w:rPr>
        <w:t>ERP</w:t>
      </w:r>
      <w:r>
        <w:rPr>
          <w:spacing w:val="-4"/>
        </w:rPr>
        <w:t>渠道，实现了供货商</w:t>
      </w:r>
      <w:r>
        <w:rPr>
          <w:spacing w:val="-3"/>
        </w:rPr>
        <w:t> </w:t>
      </w:r>
      <w:r>
        <w:rPr>
          <w:spacing w:val="-3"/>
        </w:rPr>
      </w:r>
      <w:r>
        <w:rPr>
          <w:spacing w:val="-2"/>
        </w:rPr>
        <w:t>与商超联合共建，在商品、导购、监控、发票、装修等多个领域为客户提供全套的解决方案。针对租赁用</w:t>
      </w:r>
      <w:r>
        <w:rPr>
          <w:spacing w:val="-45"/>
        </w:rPr>
        <w:t> </w:t>
      </w:r>
      <w:r>
        <w:rPr>
          <w:spacing w:val="-45"/>
        </w:rPr>
      </w:r>
      <w:r>
        <w:rPr>
          <w:spacing w:val="-2"/>
        </w:rPr>
        <w:t>户，推出了销售采集系统，帮助商超采集租赁用户销售数据。</w:t>
      </w:r>
      <w:r>
        <w:rPr>
          <w:rFonts w:ascii="Times New Roman" w:hAnsi="Times New Roman" w:cs="Times New Roman" w:eastAsia="Times New Roman" w:hint="default"/>
          <w:spacing w:val="-2"/>
        </w:rPr>
        <w:t>2017</w:t>
      </w:r>
      <w:r>
        <w:rPr>
          <w:spacing w:val="-2"/>
        </w:rPr>
        <w:t>年商用星联新增门店</w:t>
      </w:r>
      <w:r>
        <w:rPr>
          <w:rFonts w:ascii="Times New Roman" w:hAnsi="Times New Roman" w:cs="Times New Roman" w:eastAsia="Times New Roman" w:hint="default"/>
          <w:spacing w:val="-2"/>
        </w:rPr>
        <w:t>10</w:t>
      </w:r>
      <w:r>
        <w:rPr>
          <w:spacing w:val="-2"/>
        </w:rPr>
        <w:t>家，报告期末客</w:t>
      </w:r>
      <w:r>
        <w:rPr>
          <w:spacing w:val="-45"/>
        </w:rPr>
        <w:t> </w:t>
      </w:r>
      <w:r>
        <w:rPr>
          <w:spacing w:val="-45"/>
        </w:rPr>
      </w:r>
      <w:r>
        <w:rPr/>
        <w:t>户总数为</w:t>
      </w:r>
      <w:r>
        <w:rPr>
          <w:rFonts w:ascii="Times New Roman" w:hAnsi="Times New Roman" w:cs="Times New Roman" w:eastAsia="Times New Roman" w:hint="default"/>
        </w:rPr>
        <w:t>62</w:t>
      </w:r>
      <w:r>
        <w:rPr/>
        <w:t>家。</w:t>
      </w:r>
    </w:p>
    <w:p>
      <w:pPr>
        <w:spacing w:line="290" w:lineRule="auto" w:before="41"/>
        <w:ind w:left="575"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、支付与税控系统业务</w:t>
      </w:r>
      <w:r>
        <w:rPr>
          <w:rFonts w:ascii="宋体" w:hAnsi="宋体" w:cs="宋体" w:eastAsia="宋体" w:hint="default"/>
          <w:b/>
          <w:bCs/>
          <w:w w:val="100"/>
          <w:sz w:val="21"/>
          <w:szCs w:val="21"/>
        </w:rPr>
        <w:t> </w:t>
      </w:r>
      <w:r>
        <w:rPr>
          <w:rFonts w:ascii="宋体" w:hAnsi="宋体" w:cs="宋体" w:eastAsia="宋体" w:hint="default"/>
          <w:spacing w:val="-2"/>
          <w:sz w:val="21"/>
          <w:szCs w:val="21"/>
        </w:rPr>
        <w:t>南京银石专门从事支付领域的软件产品开发和技术服务工作，目前支付产品和解决方案适用范围涵盖</w:t>
      </w:r>
    </w:p>
    <w:p>
      <w:pPr>
        <w:spacing w:after="0" w:line="290"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00"/>
        <w:jc w:val="left"/>
      </w:pPr>
      <w:r>
        <w:rPr>
          <w:spacing w:val="-2"/>
        </w:rPr>
        <w:t>了酒店、餐饮、百货零售、旅游景区等行业。银石产品还包括预付费卡后台主机系统以及支付转接平台和</w:t>
      </w:r>
      <w:r>
        <w:rPr>
          <w:spacing w:val="-44"/>
        </w:rPr>
        <w:t> </w:t>
      </w:r>
      <w:r>
        <w:rPr>
          <w:spacing w:val="-44"/>
        </w:rPr>
      </w:r>
      <w:r>
        <w:rPr>
          <w:spacing w:val="-5"/>
        </w:rPr>
        <w:t>增值业务系统，目前都得到广泛的应用。南京银石也开发了石基支付平台，为商户提供集银行卡、预付卡、</w:t>
      </w:r>
      <w:r>
        <w:rPr>
          <w:spacing w:val="-12"/>
        </w:rPr>
        <w:t> </w:t>
      </w:r>
      <w:r>
        <w:rPr>
          <w:spacing w:val="-12"/>
        </w:rPr>
      </w:r>
      <w:r>
        <w:rPr>
          <w:spacing w:val="-2"/>
        </w:rPr>
        <w:t>支付宝、微信等支付方式于一体的全方位、一体化的支付解决方案，满足商户更安全、更方便，更准确的</w:t>
      </w:r>
      <w:r>
        <w:rPr>
          <w:spacing w:val="-42"/>
        </w:rPr>
        <w:t> </w:t>
      </w:r>
      <w:r>
        <w:rPr>
          <w:spacing w:val="-42"/>
        </w:rPr>
      </w:r>
      <w:r>
        <w:rPr/>
        <w:t>支付受理需求。</w:t>
      </w:r>
    </w:p>
    <w:p>
      <w:pPr>
        <w:pStyle w:val="BodyText"/>
        <w:spacing w:line="261" w:lineRule="auto" w:before="48"/>
        <w:ind w:right="209" w:firstLine="422"/>
        <w:jc w:val="both"/>
      </w:pPr>
      <w:r>
        <w:rPr>
          <w:rFonts w:ascii="Times New Roman" w:hAnsi="Times New Roman" w:cs="Times New Roman" w:eastAsia="Times New Roman" w:hint="default"/>
        </w:rPr>
        <w:t>2017</w:t>
      </w:r>
      <w:r>
        <w:rPr/>
        <w:t>年，传统支付网关</w:t>
      </w:r>
      <w:r>
        <w:rPr>
          <w:rFonts w:ascii="Times New Roman" w:hAnsi="Times New Roman" w:cs="Times New Roman" w:eastAsia="Times New Roman" w:hint="default"/>
        </w:rPr>
        <w:t>SoftPOS</w:t>
      </w:r>
      <w:r>
        <w:rPr/>
        <w:t>已经完成聚合支付功能，并在江苏省中行第一家成功通过测试。基于</w:t>
      </w:r>
      <w:r>
        <w:rPr>
          <w:w w:val="100"/>
        </w:rPr>
        <w:t> </w:t>
      </w:r>
      <w:r>
        <w:rPr>
          <w:spacing w:val="-1"/>
        </w:rPr>
        <w:t>云端的</w:t>
      </w:r>
      <w:r>
        <w:rPr>
          <w:rFonts w:ascii="Times New Roman" w:hAnsi="Times New Roman" w:cs="Times New Roman" w:eastAsia="Times New Roman" w:hint="default"/>
          <w:spacing w:val="-1"/>
        </w:rPr>
        <w:t>“</w:t>
      </w:r>
      <w:r>
        <w:rPr>
          <w:spacing w:val="-1"/>
        </w:rPr>
        <w:t>下一代银行卡支付系统</w:t>
      </w:r>
      <w:r>
        <w:rPr>
          <w:rFonts w:ascii="Times New Roman" w:hAnsi="Times New Roman" w:cs="Times New Roman" w:eastAsia="Times New Roman" w:hint="default"/>
          <w:spacing w:val="-1"/>
        </w:rPr>
        <w:t>”</w:t>
      </w:r>
      <w:r>
        <w:rPr>
          <w:spacing w:val="-1"/>
        </w:rPr>
        <w:t>报告期内已经完成开发。</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月，南京银石的支付平台以及</w:t>
      </w:r>
      <w:r>
        <w:rPr>
          <w:rFonts w:ascii="Times New Roman" w:hAnsi="Times New Roman" w:cs="Times New Roman" w:eastAsia="Times New Roman" w:hint="default"/>
          <w:spacing w:val="-1"/>
        </w:rPr>
        <w:t>TOKEN</w:t>
      </w:r>
      <w:r>
        <w:rPr>
          <w:spacing w:val="-1"/>
        </w:rPr>
        <w:t>服</w:t>
      </w:r>
      <w:r>
        <w:rPr>
          <w:spacing w:val="-39"/>
        </w:rPr>
        <w:t> </w:t>
      </w:r>
      <w:r>
        <w:rPr>
          <w:spacing w:val="-2"/>
        </w:rPr>
        <w:t>务系统获得了支付行业数据安全标准（简称</w:t>
      </w:r>
      <w:r>
        <w:rPr>
          <w:rFonts w:ascii="Times New Roman" w:hAnsi="Times New Roman" w:cs="Times New Roman" w:eastAsia="Times New Roman" w:hint="default"/>
          <w:spacing w:val="-2"/>
        </w:rPr>
        <w:t>PCI</w:t>
      </w:r>
      <w:r>
        <w:rPr>
          <w:rFonts w:ascii="Times New Roman" w:hAnsi="Times New Roman" w:cs="Times New Roman" w:eastAsia="Times New Roman" w:hint="default"/>
        </w:rPr>
        <w:t> </w:t>
      </w:r>
      <w:r>
        <w:rPr>
          <w:rFonts w:ascii="Times New Roman" w:hAnsi="Times New Roman" w:cs="Times New Roman" w:eastAsia="Times New Roman" w:hint="default"/>
          <w:spacing w:val="-2"/>
        </w:rPr>
        <w:t>DSS</w:t>
      </w:r>
      <w:r>
        <w:rPr>
          <w:spacing w:val="-2"/>
        </w:rPr>
        <w:t>）</w:t>
      </w:r>
      <w:r>
        <w:rPr>
          <w:rFonts w:ascii="Times New Roman" w:hAnsi="Times New Roman" w:cs="Times New Roman" w:eastAsia="Times New Roman" w:hint="default"/>
          <w:spacing w:val="-2"/>
        </w:rPr>
        <w:t>3.2</w:t>
      </w:r>
      <w:r>
        <w:rPr>
          <w:spacing w:val="-2"/>
        </w:rPr>
        <w:t>版本一级认证，此认证是支付数据安全领域的最</w:t>
      </w:r>
      <w:r>
        <w:rPr>
          <w:spacing w:val="-67"/>
        </w:rPr>
        <w:t> </w:t>
      </w:r>
      <w:r>
        <w:rPr>
          <w:spacing w:val="-67"/>
        </w:rPr>
      </w:r>
      <w:r>
        <w:rPr>
          <w:spacing w:val="-2"/>
        </w:rPr>
        <w:t>高级别，旨在规范支付交易过程中（存储、处理和转移客户支付数据）能够遵循更加严格的信息安全控制</w:t>
      </w:r>
      <w:r>
        <w:rPr>
          <w:spacing w:val="-47"/>
        </w:rPr>
        <w:t> </w:t>
      </w:r>
      <w:r>
        <w:rPr>
          <w:spacing w:val="-47"/>
        </w:rPr>
      </w:r>
      <w:r>
        <w:rPr/>
        <w:t>和流程。</w:t>
      </w:r>
    </w:p>
    <w:p>
      <w:pPr>
        <w:pStyle w:val="BodyText"/>
        <w:spacing w:line="256" w:lineRule="auto" w:before="56"/>
        <w:ind w:right="208" w:firstLine="422"/>
        <w:jc w:val="both"/>
      </w:pPr>
      <w:r>
        <w:rPr/>
        <w:t>报告期内，南京银石共新签</w:t>
      </w:r>
      <w:r>
        <w:rPr>
          <w:rFonts w:ascii="Times New Roman" w:hAnsi="Times New Roman" w:cs="Times New Roman" w:eastAsia="Times New Roman" w:hint="default"/>
        </w:rPr>
        <w:t>1121</w:t>
      </w:r>
      <w:r>
        <w:rPr/>
        <w:t>个项目，其中新立项软件产品类项目</w:t>
      </w:r>
      <w:r>
        <w:rPr>
          <w:rFonts w:ascii="Times New Roman" w:hAnsi="Times New Roman" w:cs="Times New Roman" w:eastAsia="Times New Roman" w:hint="default"/>
        </w:rPr>
        <w:t>478</w:t>
      </w:r>
      <w:r>
        <w:rPr/>
        <w:t>个，软件开发类项目</w:t>
      </w:r>
      <w:r>
        <w:rPr>
          <w:rFonts w:ascii="Times New Roman" w:hAnsi="Times New Roman" w:cs="Times New Roman" w:eastAsia="Times New Roman" w:hint="default"/>
        </w:rPr>
        <w:t>77</w:t>
      </w:r>
      <w:r>
        <w:rPr/>
        <w:t>个，</w:t>
      </w:r>
      <w:r>
        <w:rPr>
          <w:w w:val="100"/>
        </w:rPr>
        <w:t> </w:t>
      </w:r>
      <w:r>
        <w:rPr/>
        <w:t>硬件设备采购类项目</w:t>
      </w:r>
      <w:r>
        <w:rPr>
          <w:rFonts w:ascii="Times New Roman" w:hAnsi="Times New Roman" w:cs="Times New Roman" w:eastAsia="Times New Roman" w:hint="default"/>
        </w:rPr>
        <w:t>33</w:t>
      </w:r>
      <w:r>
        <w:rPr/>
        <w:t>个，系统维护升级类项目</w:t>
      </w:r>
      <w:r>
        <w:rPr>
          <w:rFonts w:ascii="Times New Roman" w:hAnsi="Times New Roman" w:cs="Times New Roman" w:eastAsia="Times New Roman" w:hint="default"/>
        </w:rPr>
        <w:t>533</w:t>
      </w:r>
      <w:r>
        <w:rPr/>
        <w:t>个。</w:t>
      </w:r>
    </w:p>
    <w:p>
      <w:pPr>
        <w:pStyle w:val="BodyText"/>
        <w:spacing w:line="256" w:lineRule="auto" w:before="46"/>
        <w:ind w:right="208" w:firstLine="422"/>
        <w:jc w:val="both"/>
      </w:pPr>
      <w:r>
        <w:rPr>
          <w:spacing w:val="-8"/>
        </w:rPr>
        <w:t>报告期内，南京银石酒店银行卡收单一体化（</w:t>
      </w:r>
      <w:r>
        <w:rPr>
          <w:rFonts w:ascii="Times New Roman" w:hAnsi="Times New Roman" w:cs="Times New Roman" w:eastAsia="Times New Roman" w:hint="default"/>
          <w:spacing w:val="-8"/>
        </w:rPr>
        <w:t>PGS</w:t>
      </w:r>
      <w:r>
        <w:rPr>
          <w:spacing w:val="-8"/>
        </w:rPr>
        <w:t>）业务新开通酒店</w:t>
      </w:r>
      <w:r>
        <w:rPr>
          <w:rFonts w:ascii="Times New Roman" w:hAnsi="Times New Roman" w:cs="Times New Roman" w:eastAsia="Times New Roman" w:hint="default"/>
          <w:spacing w:val="-8"/>
        </w:rPr>
        <w:t>106</w:t>
      </w:r>
      <w:r>
        <w:rPr>
          <w:spacing w:val="-8"/>
        </w:rPr>
        <w:t>家，报告期末酒店用户合计</w:t>
      </w:r>
      <w:r>
        <w:rPr>
          <w:rFonts w:ascii="Times New Roman" w:hAnsi="Times New Roman" w:cs="Times New Roman" w:eastAsia="Times New Roman" w:hint="default"/>
          <w:spacing w:val="-8"/>
        </w:rPr>
        <w:t>1165</w:t>
      </w:r>
      <w:r>
        <w:rPr>
          <w:rFonts w:ascii="Times New Roman" w:hAnsi="Times New Roman" w:cs="Times New Roman" w:eastAsia="Times New Roman" w:hint="default"/>
          <w:w w:val="100"/>
        </w:rPr>
        <w:t> </w:t>
      </w:r>
      <w:r>
        <w:rPr/>
        <w:t>家，其中开通</w:t>
      </w:r>
      <w:r>
        <w:rPr>
          <w:rFonts w:ascii="Times New Roman" w:hAnsi="Times New Roman" w:cs="Times New Roman" w:eastAsia="Times New Roman" w:hint="default"/>
        </w:rPr>
        <w:t>DCC</w:t>
      </w:r>
      <w:r>
        <w:rPr/>
        <w:t>交易的酒店商户</w:t>
      </w:r>
      <w:r>
        <w:rPr>
          <w:rFonts w:ascii="Times New Roman" w:hAnsi="Times New Roman" w:cs="Times New Roman" w:eastAsia="Times New Roman" w:hint="default"/>
        </w:rPr>
        <w:t>636</w:t>
      </w:r>
      <w:r>
        <w:rPr/>
        <w:t>家。</w:t>
      </w:r>
    </w:p>
    <w:p>
      <w:pPr>
        <w:pStyle w:val="BodyText"/>
        <w:spacing w:line="261" w:lineRule="auto" w:before="46"/>
        <w:ind w:right="206" w:firstLine="422"/>
        <w:jc w:val="both"/>
      </w:pPr>
      <w:r>
        <w:rPr/>
        <w:t>百望金税是由石基信息与百望股份有限公司共同出资于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月成立的合资公司，公司持有百望金</w:t>
      </w:r>
      <w:r>
        <w:rPr>
          <w:w w:val="100"/>
        </w:rPr>
        <w:t> </w:t>
      </w:r>
      <w:r>
        <w:rPr>
          <w:spacing w:val="-2"/>
        </w:rPr>
        <w:t>税</w:t>
      </w:r>
      <w:r>
        <w:rPr>
          <w:rFonts w:ascii="Times New Roman" w:hAnsi="Times New Roman" w:cs="Times New Roman" w:eastAsia="Times New Roman" w:hint="default"/>
          <w:spacing w:val="-2"/>
        </w:rPr>
        <w:t>60%</w:t>
      </w:r>
      <w:r>
        <w:rPr>
          <w:spacing w:val="-2"/>
        </w:rPr>
        <w:t>股份。百望金税致力于为酒店、餐饮、零售等生活服务领域客户，提供增值税税控软硬件一体化解</w:t>
      </w:r>
      <w:r>
        <w:rPr>
          <w:spacing w:val="-5"/>
        </w:rPr>
        <w:t> </w:t>
      </w:r>
      <w:r>
        <w:rPr>
          <w:spacing w:val="-5"/>
        </w:rPr>
      </w:r>
      <w:r>
        <w:rPr>
          <w:spacing w:val="-2"/>
        </w:rPr>
        <w:t>决方案及电子发票服务，打造完美的涉税体验，加速国家营改增政策在大消费领域的实施落地，其产品有</w:t>
      </w:r>
      <w:r>
        <w:rPr>
          <w:spacing w:val="-43"/>
        </w:rPr>
        <w:t> </w:t>
      </w:r>
      <w:r>
        <w:rPr>
          <w:spacing w:val="-43"/>
        </w:rPr>
      </w:r>
      <w:r>
        <w:rPr/>
        <w:t>税控系统专用设备、易开票系统、进项发票管理系统、销项发票管理系统及百望云电子发票平台等。</w:t>
      </w:r>
    </w:p>
    <w:p>
      <w:pPr>
        <w:pStyle w:val="BodyText"/>
        <w:spacing w:line="256" w:lineRule="auto" w:before="56"/>
        <w:ind w:right="182" w:firstLine="422"/>
        <w:jc w:val="both"/>
      </w:pPr>
      <w:r>
        <w:rPr>
          <w:rFonts w:ascii="Times New Roman" w:hAnsi="Times New Roman" w:cs="Times New Roman" w:eastAsia="Times New Roman" w:hint="default"/>
          <w:spacing w:val="-2"/>
        </w:rPr>
        <w:t>2017</w:t>
      </w:r>
      <w:r>
        <w:rPr>
          <w:spacing w:val="-2"/>
        </w:rPr>
        <w:t>年，百望金税新增税控系统及电子发票客户</w:t>
      </w:r>
      <w:r>
        <w:rPr>
          <w:rFonts w:ascii="Times New Roman" w:hAnsi="Times New Roman" w:cs="Times New Roman" w:eastAsia="Times New Roman" w:hint="default"/>
          <w:spacing w:val="-2"/>
        </w:rPr>
        <w:t>86</w:t>
      </w:r>
      <w:r>
        <w:rPr>
          <w:spacing w:val="-2"/>
        </w:rPr>
        <w:t>家，客户包括国际品牌连锁酒店、国内连锁酒店、</w:t>
      </w:r>
      <w:r>
        <w:rPr>
          <w:w w:val="100"/>
        </w:rPr>
        <w:t> </w:t>
      </w:r>
      <w:r>
        <w:rPr/>
        <w:t>单体酒店及社会餐饮连锁等。报告期末，税控系统及电子发票客户总数</w:t>
      </w:r>
      <w:r>
        <w:rPr>
          <w:rFonts w:ascii="Times New Roman" w:hAnsi="Times New Roman" w:cs="Times New Roman" w:eastAsia="Times New Roman" w:hint="default"/>
        </w:rPr>
        <w:t>566</w:t>
      </w:r>
      <w:r>
        <w:rPr/>
        <w:t>家。</w:t>
      </w:r>
    </w:p>
    <w:p>
      <w:pPr>
        <w:pStyle w:val="BodyText"/>
        <w:spacing w:line="290" w:lineRule="auto" w:before="46"/>
        <w:ind w:left="575" w:right="100"/>
        <w:jc w:val="left"/>
      </w:pPr>
      <w:r>
        <w:rPr>
          <w:rFonts w:ascii="Times New Roman" w:hAnsi="Times New Roman" w:cs="Times New Roman" w:eastAsia="Times New Roman" w:hint="default"/>
          <w:b/>
          <w:bCs/>
        </w:rPr>
        <w:t>5</w:t>
      </w:r>
      <w:r>
        <w:rPr>
          <w:rFonts w:ascii="宋体" w:hAnsi="宋体" w:cs="宋体" w:eastAsia="宋体" w:hint="default"/>
          <w:b/>
          <w:bCs/>
        </w:rPr>
        <w:t>、中电业务</w:t>
      </w:r>
      <w:r>
        <w:rPr>
          <w:rFonts w:ascii="宋体" w:hAnsi="宋体" w:cs="宋体" w:eastAsia="宋体" w:hint="default"/>
          <w:b/>
          <w:bCs/>
          <w:spacing w:val="-104"/>
        </w:rPr>
        <w:t> </w:t>
      </w:r>
      <w:r>
        <w:rPr>
          <w:spacing w:val="-5"/>
        </w:rPr>
        <w:t>中电器件的主营业务为石基信息软件业务所配套的硬件业务。</w:t>
      </w:r>
      <w:r>
        <w:rPr>
          <w:rFonts w:ascii="Times New Roman" w:hAnsi="Times New Roman" w:cs="Times New Roman" w:eastAsia="Times New Roman" w:hint="default"/>
          <w:spacing w:val="-5"/>
        </w:rPr>
        <w:t>2017</w:t>
      </w:r>
      <w:r>
        <w:rPr>
          <w:spacing w:val="-5"/>
        </w:rPr>
        <w:t>年，中电器件的渠道销售稳中有进，</w:t>
      </w:r>
    </w:p>
    <w:p>
      <w:pPr>
        <w:pStyle w:val="BodyText"/>
        <w:spacing w:line="247" w:lineRule="exact"/>
        <w:ind w:right="100"/>
        <w:jc w:val="left"/>
      </w:pPr>
      <w:r>
        <w:rPr/>
        <w:t>行业销售实现多品牌复合化，同时积极开拓与母公司石基信息及其它兄弟公司关联度高的产品及业务，如</w:t>
      </w:r>
    </w:p>
    <w:p>
      <w:pPr>
        <w:pStyle w:val="BodyText"/>
        <w:spacing w:line="240" w:lineRule="auto" w:before="37"/>
        <w:ind w:right="208"/>
        <w:jc w:val="left"/>
      </w:pPr>
      <w:r>
        <w:rPr/>
        <w:t>扫描枪、条码打印机、移动终端设备等。</w:t>
      </w:r>
    </w:p>
    <w:p>
      <w:pPr>
        <w:pStyle w:val="Heading7"/>
        <w:spacing w:line="240" w:lineRule="auto" w:before="75"/>
        <w:ind w:left="575" w:right="208"/>
        <w:jc w:val="left"/>
        <w:rPr>
          <w:b w:val="0"/>
          <w:bCs w:val="0"/>
        </w:rPr>
      </w:pPr>
      <w:r>
        <w:rPr>
          <w:rFonts w:ascii="Times New Roman" w:hAnsi="Times New Roman" w:cs="Times New Roman" w:eastAsia="Times New Roman" w:hint="default"/>
        </w:rPr>
        <w:t>6</w:t>
      </w:r>
      <w:r>
        <w:rPr/>
        <w:t>、旅游休闲信息系统业务</w:t>
      </w:r>
      <w:r>
        <w:rPr>
          <w:b w:val="0"/>
          <w:bCs w:val="0"/>
        </w:rPr>
      </w:r>
    </w:p>
    <w:p>
      <w:pPr>
        <w:pStyle w:val="BodyText"/>
        <w:spacing w:line="259" w:lineRule="auto" w:before="62"/>
        <w:ind w:right="10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月，公司通过继续投资此前参股</w:t>
      </w:r>
      <w:r>
        <w:rPr>
          <w:rFonts w:ascii="Times New Roman" w:hAnsi="Times New Roman" w:cs="Times New Roman" w:eastAsia="Times New Roman" w:hint="default"/>
        </w:rPr>
        <w:t>20%</w:t>
      </w:r>
      <w:r>
        <w:rPr/>
        <w:t>的</w:t>
      </w:r>
      <w:r>
        <w:rPr>
          <w:rFonts w:ascii="Times New Roman" w:hAnsi="Times New Roman" w:cs="Times New Roman" w:eastAsia="Times New Roman" w:hint="default"/>
        </w:rPr>
        <w:t>Galasys PLC</w:t>
      </w:r>
      <w:r>
        <w:rPr/>
        <w:t>公司（以下简称</w:t>
      </w:r>
      <w:r>
        <w:rPr>
          <w:rFonts w:ascii="Times New Roman" w:hAnsi="Times New Roman" w:cs="Times New Roman" w:eastAsia="Times New Roman" w:hint="default"/>
        </w:rPr>
        <w:t>“</w:t>
      </w:r>
      <w:r>
        <w:rPr/>
        <w:t>银科环企</w:t>
      </w:r>
      <w:r>
        <w:rPr>
          <w:rFonts w:ascii="Times New Roman" w:hAnsi="Times New Roman" w:cs="Times New Roman" w:eastAsia="Times New Roman" w:hint="default"/>
        </w:rPr>
        <w:t>”</w:t>
      </w:r>
      <w:r>
        <w:rPr/>
        <w:t>），实现控股银科</w:t>
      </w:r>
      <w:r>
        <w:rPr>
          <w:spacing w:val="-71"/>
        </w:rPr>
        <w:t> </w:t>
      </w:r>
      <w:r>
        <w:rPr>
          <w:spacing w:val="-71"/>
        </w:rPr>
      </w:r>
      <w:r>
        <w:rPr>
          <w:spacing w:val="-3"/>
        </w:rPr>
        <w:t>环企</w:t>
      </w:r>
      <w:r>
        <w:rPr>
          <w:rFonts w:ascii="Times New Roman" w:hAnsi="Times New Roman" w:cs="Times New Roman" w:eastAsia="Times New Roman" w:hint="default"/>
          <w:spacing w:val="-3"/>
        </w:rPr>
        <w:t>84.83%</w:t>
      </w:r>
      <w:r>
        <w:rPr>
          <w:spacing w:val="-3"/>
        </w:rPr>
        <w:t>股权。该公司一直专注于为综合性多业态主题公园、景区景点等旅游目的地提供信息化管理服</w:t>
      </w:r>
      <w:r>
        <w:rPr>
          <w:spacing w:val="-6"/>
        </w:rPr>
        <w:t> </w:t>
      </w:r>
      <w:r>
        <w:rPr>
          <w:spacing w:val="-6"/>
        </w:rPr>
      </w:r>
      <w:r>
        <w:rPr>
          <w:spacing w:val="-7"/>
        </w:rPr>
        <w:t>务，主要市场集中在中国及东南亚等亚洲区域，拥有逾两百人的专业团队，在中国排名前</w:t>
      </w:r>
      <w:r>
        <w:rPr>
          <w:rFonts w:ascii="Times New Roman" w:hAnsi="Times New Roman" w:cs="Times New Roman" w:eastAsia="Times New Roman" w:hint="default"/>
          <w:spacing w:val="-7"/>
        </w:rPr>
        <w:t>20</w:t>
      </w:r>
      <w:r>
        <w:rPr>
          <w:spacing w:val="-7"/>
        </w:rPr>
        <w:t>的主题公园（以</w:t>
      </w:r>
      <w:r>
        <w:rPr>
          <w:spacing w:val="-13"/>
        </w:rPr>
        <w:t> </w:t>
      </w:r>
      <w:r>
        <w:rPr>
          <w:spacing w:val="-13"/>
        </w:rPr>
      </w:r>
      <w:r>
        <w:rPr/>
        <w:t>游客量排名）中，银科环企的客户占到一半以上，为包括长隆、万达、富力、华侨城、铁汉、华谊兄弟、</w:t>
      </w:r>
      <w:r>
        <w:rPr>
          <w:w w:val="100"/>
        </w:rPr>
        <w:t> </w:t>
      </w:r>
      <w:r>
        <w:rPr/>
        <w:t>丰远、欧乐堡、顺天等集团公司旗下的文旅项目以及上海迪斯尼提供管理信息化系统服务。</w:t>
      </w:r>
      <w:r>
        <w:rPr>
          <w:rFonts w:ascii="Times New Roman" w:hAnsi="Times New Roman" w:cs="Times New Roman" w:eastAsia="Times New Roman" w:hint="default"/>
        </w:rPr>
        <w:t>2017 </w:t>
      </w:r>
      <w:r>
        <w:rPr/>
        <w:t>年，银</w:t>
      </w:r>
      <w:r>
        <w:rPr>
          <w:spacing w:val="-22"/>
        </w:rPr>
        <w:t> </w:t>
      </w:r>
      <w:r>
        <w:rPr>
          <w:spacing w:val="-5"/>
        </w:rPr>
        <w:t>科环企新增客户数量</w:t>
      </w:r>
      <w:r>
        <w:rPr>
          <w:rFonts w:ascii="Times New Roman" w:hAnsi="Times New Roman" w:cs="Times New Roman" w:eastAsia="Times New Roman" w:hint="default"/>
          <w:spacing w:val="-5"/>
        </w:rPr>
        <w:t>48</w:t>
      </w:r>
      <w:r>
        <w:rPr>
          <w:spacing w:val="-5"/>
        </w:rPr>
        <w:t>个，包括恒大海花岛、华谊兄弟苏州电影世界、顺天洋沙湖旅游度假区、南昌万达、</w:t>
      </w:r>
      <w:r>
        <w:rPr>
          <w:spacing w:val="-6"/>
        </w:rPr>
        <w:t> </w:t>
      </w:r>
      <w:r>
        <w:rPr>
          <w:spacing w:val="-6"/>
        </w:rPr>
      </w:r>
      <w:r>
        <w:rPr/>
        <w:t>南宁万达等集团化大型项目，累计客户数量</w:t>
      </w:r>
      <w:r>
        <w:rPr>
          <w:rFonts w:ascii="Times New Roman" w:hAnsi="Times New Roman" w:cs="Times New Roman" w:eastAsia="Times New Roman" w:hint="default"/>
        </w:rPr>
        <w:t>310</w:t>
      </w:r>
      <w:r>
        <w:rPr/>
        <w:t>个；技术研发方面，针对新业态进行产品研发，主要体现</w:t>
      </w:r>
      <w:r>
        <w:rPr>
          <w:spacing w:val="-26"/>
        </w:rPr>
        <w:t> </w:t>
      </w:r>
      <w:r>
        <w:rPr>
          <w:spacing w:val="-26"/>
        </w:rPr>
      </w:r>
      <w:r>
        <w:rPr/>
        <w:t>在线下软件和线上 </w:t>
      </w:r>
      <w:r>
        <w:rPr>
          <w:rFonts w:ascii="Times New Roman" w:hAnsi="Times New Roman" w:cs="Times New Roman" w:eastAsia="Times New Roman" w:hint="default"/>
        </w:rPr>
        <w:t>CLOTA</w:t>
      </w:r>
      <w:r>
        <w:rPr>
          <w:rFonts w:ascii="Times New Roman" w:hAnsi="Times New Roman" w:cs="Times New Roman" w:eastAsia="Times New Roman" w:hint="default"/>
          <w:spacing w:val="5"/>
        </w:rPr>
        <w:t> </w:t>
      </w:r>
      <w:r>
        <w:rPr/>
        <w:t>旅游目的地平台两个方面。</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3"/>
        <w:spacing w:line="240" w:lineRule="auto"/>
        <w:ind w:right="208"/>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7"/>
        <w:spacing w:line="240" w:lineRule="auto" w:before="36"/>
        <w:ind w:right="15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39"/>
        <w:gridCol w:w="1594"/>
        <w:gridCol w:w="1591"/>
        <w:gridCol w:w="1597"/>
        <w:gridCol w:w="1588"/>
        <w:gridCol w:w="960"/>
      </w:tblGrid>
      <w:tr>
        <w:trPr>
          <w:trHeight w:val="206" w:hRule="exact"/>
        </w:trPr>
        <w:tc>
          <w:tcPr>
            <w:tcW w:w="2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33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33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6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2,961,186,590.64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2,662,608,134.04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w:t>
            </w:r>
          </w:p>
        </w:tc>
      </w:tr>
      <w:tr>
        <w:trPr>
          <w:trHeight w:val="398" w:hRule="exact"/>
        </w:trPr>
        <w:tc>
          <w:tcPr>
            <w:tcW w:w="96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1,719,039,394.64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1,448,154,330.81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54.39%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18.71%</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1,242,147,196.00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1,214,453,803.23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45.61%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r>
      <w:tr>
        <w:trPr>
          <w:trHeight w:val="401" w:hRule="exact"/>
        </w:trPr>
        <w:tc>
          <w:tcPr>
            <w:tcW w:w="96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910,777,007.73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768,765,768.54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28.87%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18.47%</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123,870,732.83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127,238,384.97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118,275,450.95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114,482,700.10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541,343,885.41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435,185,208.98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16.34%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24.39%</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22,402,788.00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打印机、耗材及配件销售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875,122,495.95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915,805,375.28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82,262,002.24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80,135,070.82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中电器件其他销售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276,744,680.29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205,661,331.40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34.56%</w:t>
            </w:r>
            <w:r>
              <w:rPr>
                <w:rFonts w:ascii="Times New Roman"/>
                <w:position w:val="8"/>
                <w:sz w:val="12"/>
              </w:rPr>
              <w:t>1</w:t>
            </w:r>
            <w:r>
              <w:rPr>
                <w:rFonts w:ascii="Times New Roman"/>
                <w:sz w:val="12"/>
              </w:rPr>
            </w:r>
          </w:p>
        </w:tc>
      </w:tr>
      <w:tr>
        <w:trPr>
          <w:trHeight w:val="404"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10,387,547.24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15,334,293.95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-32.26%</w:t>
            </w:r>
            <w:r>
              <w:rPr>
                <w:rFonts w:ascii="Times New Roman"/>
                <w:position w:val="8"/>
                <w:sz w:val="12"/>
              </w:rPr>
              <w:t>2</w:t>
            </w:r>
            <w:r>
              <w:rPr>
                <w:rFonts w:ascii="Times New Roman"/>
                <w:sz w:val="12"/>
              </w:rPr>
            </w:r>
          </w:p>
        </w:tc>
      </w:tr>
      <w:tr>
        <w:trPr>
          <w:trHeight w:val="401" w:hRule="exact"/>
        </w:trPr>
        <w:tc>
          <w:tcPr>
            <w:tcW w:w="96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2,762,373,395.64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2,560,649,515.52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w:t>
            </w:r>
          </w:p>
        </w:tc>
      </w:tr>
      <w:tr>
        <w:trPr>
          <w:trHeight w:val="71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中国大陆地区以外的国家和 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198,813,195.00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101,958,618.52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94.99%</w:t>
            </w:r>
          </w:p>
        </w:tc>
      </w:tr>
    </w:tbl>
    <w:p>
      <w:pPr>
        <w:spacing w:line="300" w:lineRule="auto" w:before="49"/>
        <w:ind w:left="152" w:right="13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中电器件其他销售收入本期比上年同期增长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34.56%</w:t>
      </w:r>
      <w:r>
        <w:rPr>
          <w:rFonts w:ascii="宋体" w:hAnsi="宋体" w:cs="宋体" w:eastAsia="宋体" w:hint="default"/>
          <w:sz w:val="18"/>
          <w:szCs w:val="18"/>
        </w:rPr>
        <w:t>，主要系中电器件下属子公司香港精模进出口代理业务增长较多 所致。</w:t>
      </w:r>
    </w:p>
    <w:p>
      <w:pPr>
        <w:spacing w:before="72"/>
        <w:ind w:left="152" w:right="15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其他业务收入本期比上年同期下降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32.26%</w:t>
      </w:r>
      <w:r>
        <w:rPr>
          <w:rFonts w:ascii="宋体" w:hAnsi="宋体" w:cs="宋体" w:eastAsia="宋体" w:hint="default"/>
          <w:sz w:val="18"/>
          <w:szCs w:val="18"/>
        </w:rPr>
        <w:t>，主要系中电办公楼项目改造，房租减少较多所致。</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37"/>
        <w:gridCol w:w="1366"/>
        <w:gridCol w:w="1368"/>
        <w:gridCol w:w="790"/>
        <w:gridCol w:w="1368"/>
        <w:gridCol w:w="1366"/>
        <w:gridCol w:w="1375"/>
      </w:tblGrid>
      <w:tr>
        <w:trPr>
          <w:trHeight w:val="714" w:hRule="exact"/>
        </w:trPr>
        <w:tc>
          <w:tcPr>
            <w:tcW w:w="20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53"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38"/>
        <w:gridCol w:w="1366"/>
        <w:gridCol w:w="1368"/>
        <w:gridCol w:w="790"/>
        <w:gridCol w:w="1368"/>
        <w:gridCol w:w="1366"/>
        <w:gridCol w:w="1373"/>
      </w:tblGrid>
      <w:tr>
        <w:trPr>
          <w:trHeight w:val="401"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1,719,039,394.64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463,211,328.00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1,242,147,196.00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1,176,318,191.46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910,777,007.73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245,924,443.87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123,870,732.83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24,699,138.60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5.93%</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118,275,450.95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16,394,149.19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541,343,885.41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170,515,261.95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9.55%</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22,402,788.00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4,026,521.45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82.03%</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打印机、耗材及配件销售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875,122,495.95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824,592,756.34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-0.54%</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82,262,002.24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80,911,394.26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中电器件其他销售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276,744,680.29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268,825,880.95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10,387,547.24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3,639,972.85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65.77%</w:t>
            </w:r>
          </w:p>
        </w:tc>
      </w:tr>
      <w:tr>
        <w:trPr>
          <w:trHeight w:val="402"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2,762,373,395.64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1,600,485,319.30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r>
      <w:tr>
        <w:trPr>
          <w:trHeight w:val="715"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中国大陆地区以外的国家 和地区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198,813,195.00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39,044,200.16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z w:val="18"/>
              </w:rPr>
              <w:t>94.99%</w:t>
            </w:r>
            <w:r>
              <w:rPr>
                <w:rFonts w:ascii="Times New Roman"/>
                <w:position w:val="8"/>
                <w:sz w:val="12"/>
              </w:rPr>
              <w:t>1</w:t>
            </w:r>
            <w:r>
              <w:rPr>
                <w:rFonts w:ascii="Times New Roman"/>
                <w:sz w:val="1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w:t>
            </w:r>
          </w:p>
        </w:tc>
      </w:tr>
    </w:tbl>
    <w:p>
      <w:pPr>
        <w:spacing w:line="319" w:lineRule="auto" w:before="49"/>
        <w:ind w:left="152" w:right="139" w:firstLine="0"/>
        <w:jc w:val="left"/>
        <w:rPr>
          <w:rFonts w:ascii="宋体" w:hAnsi="宋体" w:cs="宋体" w:eastAsia="宋体" w:hint="default"/>
          <w:sz w:val="18"/>
          <w:szCs w:val="18"/>
        </w:rPr>
      </w:pPr>
      <w:r>
        <w:rPr>
          <w:rFonts w:ascii="宋体" w:hAnsi="宋体" w:cs="宋体" w:eastAsia="宋体" w:hint="default"/>
          <w:spacing w:val="-8"/>
          <w:sz w:val="18"/>
          <w:szCs w:val="18"/>
        </w:rPr>
        <w:t>注：</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中国大陆地区以外的国家和地区本期收入较上年同期增长</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94.99%</w:t>
      </w:r>
      <w:r>
        <w:rPr>
          <w:rFonts w:ascii="宋体" w:hAnsi="宋体" w:cs="宋体" w:eastAsia="宋体" w:hint="default"/>
          <w:sz w:val="18"/>
          <w:szCs w:val="18"/>
        </w:rPr>
        <w:t>，成本较上年同期增长</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146.61%</w:t>
      </w:r>
      <w:r>
        <w:rPr>
          <w:rFonts w:ascii="宋体" w:hAnsi="宋体" w:cs="宋体" w:eastAsia="宋体" w:hint="default"/>
          <w:sz w:val="18"/>
          <w:szCs w:val="18"/>
        </w:rPr>
        <w:t>，主要系本期新增收 购境外子公司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REVIEW</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RANK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r>
        <w:rPr>
          <w:rFonts w:ascii="宋体" w:hAnsi="宋体" w:cs="宋体" w:eastAsia="宋体" w:hint="default"/>
          <w:sz w:val="18"/>
          <w:szCs w:val="18"/>
        </w:rPr>
        <w:t>，以及香港精模新增国际代理业务增加较多共同所致。 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38"/>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36"/>
        <w:gridCol w:w="2254"/>
        <w:gridCol w:w="595"/>
        <w:gridCol w:w="1594"/>
        <w:gridCol w:w="1594"/>
        <w:gridCol w:w="1597"/>
      </w:tblGrid>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0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59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vMerge/>
            <w:tcBorders>
              <w:left w:val="single" w:sz="4" w:space="0" w:color="000000"/>
              <w:right w:val="single" w:sz="9" w:space="0" w:color="D2D2D2"/>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维护及安装收入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444,653,713.76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419,200,133.25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6.07%</w:t>
            </w:r>
          </w:p>
        </w:tc>
      </w:tr>
      <w:tr>
        <w:trPr>
          <w:trHeight w:val="401" w:hRule="exact"/>
        </w:trPr>
        <w:tc>
          <w:tcPr>
            <w:tcW w:w="2036" w:type="dxa"/>
            <w:vMerge/>
            <w:tcBorders>
              <w:left w:val="single" w:sz="4" w:space="0" w:color="000000"/>
              <w:right w:val="single" w:sz="9" w:space="0" w:color="D2D2D2"/>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3,601,427.18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4,246,969.08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-15.20%</w:t>
            </w:r>
          </w:p>
        </w:tc>
      </w:tr>
      <w:tr>
        <w:trPr>
          <w:trHeight w:val="403" w:hRule="exact"/>
        </w:trPr>
        <w:tc>
          <w:tcPr>
            <w:tcW w:w="2036" w:type="dxa"/>
            <w:vMerge/>
            <w:tcBorders>
              <w:left w:val="single" w:sz="4" w:space="0" w:color="000000"/>
              <w:bottom w:val="single" w:sz="4" w:space="0" w:color="000000"/>
              <w:right w:val="single" w:sz="9" w:space="0" w:color="D2D2D2"/>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软件、硬件、技术开发收入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1,270,784,253.7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1,024,707,228.49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24.01%</w:t>
            </w:r>
          </w:p>
        </w:tc>
      </w:tr>
      <w:tr>
        <w:trPr>
          <w:trHeight w:val="401" w:hRule="exact"/>
        </w:trPr>
        <w:tc>
          <w:tcPr>
            <w:tcW w:w="2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59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vMerge/>
            <w:tcBorders>
              <w:left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商品批发收入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1,235,361,075.94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1,201,763,851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2.80%</w:t>
            </w:r>
          </w:p>
        </w:tc>
      </w:tr>
      <w:tr>
        <w:trPr>
          <w:trHeight w:val="403" w:hRule="exact"/>
        </w:trPr>
        <w:tc>
          <w:tcPr>
            <w:tcW w:w="2036" w:type="dxa"/>
            <w:vMerge/>
            <w:tcBorders>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6,786,120.06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12,689,952.23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1"/>
        <w:ind w:left="152" w:right="2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商品批发与贸易行业：其他业务收入本期比上年同期下降</w:t>
      </w:r>
      <w:r>
        <w:rPr>
          <w:rFonts w:ascii="Times New Roman" w:hAnsi="Times New Roman" w:cs="Times New Roman" w:eastAsia="Times New Roman" w:hint="default"/>
          <w:sz w:val="18"/>
          <w:szCs w:val="18"/>
        </w:rPr>
        <w:t>46.52%</w:t>
      </w:r>
      <w:r>
        <w:rPr>
          <w:rFonts w:ascii="宋体" w:hAnsi="宋体" w:cs="宋体" w:eastAsia="宋体" w:hint="default"/>
          <w:sz w:val="18"/>
          <w:szCs w:val="18"/>
        </w:rPr>
        <w:t>，主要系中电器件公司办公楼改造，房租收入减少所致。</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3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否</w:t>
      </w:r>
    </w:p>
    <w:p>
      <w:pPr>
        <w:spacing w:line="240" w:lineRule="auto" w:before="9"/>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000"/>
        <w:gridCol w:w="2679"/>
        <w:gridCol w:w="1136"/>
        <w:gridCol w:w="2150"/>
        <w:gridCol w:w="1280"/>
      </w:tblGrid>
      <w:tr>
        <w:trPr>
          <w:trHeight w:val="352" w:hRule="exact"/>
        </w:trPr>
        <w:tc>
          <w:tcPr>
            <w:tcW w:w="20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2679"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1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7"/>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7"/>
              <w:ind w:left="88" w:right="0"/>
              <w:jc w:val="left"/>
              <w:rPr>
                <w:rFonts w:ascii="宋体" w:hAnsi="宋体" w:cs="宋体" w:eastAsia="宋体" w:hint="default"/>
                <w:sz w:val="18"/>
                <w:szCs w:val="18"/>
              </w:rPr>
            </w:pPr>
            <w:r>
              <w:rPr>
                <w:rFonts w:ascii="宋体" w:hAnsi="宋体" w:cs="宋体" w:eastAsia="宋体" w:hint="default"/>
                <w:sz w:val="18"/>
                <w:szCs w:val="18"/>
              </w:rPr>
              <w:t>本期订单完成比例（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7"/>
              <w:ind w:left="88" w:right="0"/>
              <w:jc w:val="left"/>
              <w:rPr>
                <w:rFonts w:ascii="宋体" w:hAnsi="宋体" w:cs="宋体" w:eastAsia="宋体" w:hint="default"/>
                <w:sz w:val="18"/>
                <w:szCs w:val="18"/>
              </w:rPr>
            </w:pPr>
            <w:r>
              <w:rPr>
                <w:rFonts w:ascii="宋体" w:hAnsi="宋体" w:cs="宋体" w:eastAsia="宋体" w:hint="default"/>
                <w:sz w:val="18"/>
                <w:szCs w:val="18"/>
              </w:rPr>
              <w:t>跨期执行情况</w:t>
            </w:r>
          </w:p>
        </w:tc>
      </w:tr>
      <w:tr>
        <w:trPr>
          <w:trHeight w:val="352"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酒店信息系统业务</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2675</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82.77%</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461</w:t>
            </w:r>
          </w:p>
        </w:tc>
      </w:tr>
      <w:tr>
        <w:trPr>
          <w:trHeight w:val="353"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5150</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73.24%</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1378</w:t>
            </w:r>
          </w:p>
        </w:tc>
      </w:tr>
      <w:tr>
        <w:trPr>
          <w:trHeight w:val="353"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餐饮信息系统业务</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3437</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89.32%</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367</w:t>
            </w:r>
          </w:p>
        </w:tc>
      </w:tr>
      <w:tr>
        <w:trPr>
          <w:trHeight w:val="350"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986</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83.98%</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158</w:t>
            </w:r>
          </w:p>
        </w:tc>
      </w:tr>
      <w:tr>
        <w:trPr>
          <w:trHeight w:val="353"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新签合同及订单、分店</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279</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83.87%</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45</w:t>
            </w:r>
          </w:p>
        </w:tc>
      </w:tr>
      <w:tr>
        <w:trPr>
          <w:trHeight w:val="353"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351</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82.91%</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60</w:t>
            </w:r>
          </w:p>
        </w:tc>
      </w:tr>
      <w:tr>
        <w:trPr>
          <w:trHeight w:val="350"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新签合同及订单、分店</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7101</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92.35%</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543</w:t>
            </w:r>
          </w:p>
        </w:tc>
      </w:tr>
      <w:tr>
        <w:trPr>
          <w:trHeight w:val="353"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z w:val="18"/>
              </w:rPr>
              <w:t>627</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z w:val="18"/>
              </w:rPr>
              <w:t>54.70%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z w:val="18"/>
              </w:rPr>
              <w:t>284</w:t>
            </w:r>
          </w:p>
        </w:tc>
      </w:tr>
      <w:tr>
        <w:trPr>
          <w:trHeight w:val="353"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旅游休闲系统</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新签合同及订单、分店</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137</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79.56%</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28</w:t>
            </w:r>
          </w:p>
        </w:tc>
      </w:tr>
      <w:tr>
        <w:trPr>
          <w:trHeight w:val="350"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15</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60.00%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w:t>
            </w:r>
          </w:p>
        </w:tc>
      </w:tr>
      <w:tr>
        <w:trPr>
          <w:trHeight w:val="353" w:hRule="exact"/>
        </w:trPr>
        <w:tc>
          <w:tcPr>
            <w:tcW w:w="20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2679"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1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本期订单完成比例（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跨期执行情况</w:t>
            </w:r>
          </w:p>
        </w:tc>
      </w:tr>
      <w:tr>
        <w:trPr>
          <w:trHeight w:val="353" w:hRule="exact"/>
        </w:trPr>
        <w:tc>
          <w:tcPr>
            <w:tcW w:w="2000"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计算机周边产品</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6656</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50973</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电子元器件产品</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126</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其他销售及国际业务</w:t>
            </w: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47</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2000" w:type="dxa"/>
            <w:vMerge/>
            <w:tcBorders>
              <w:left w:val="single" w:sz="8" w:space="0" w:color="000000"/>
              <w:bottom w:val="single" w:sz="8" w:space="0" w:color="000000"/>
              <w:right w:val="single" w:sz="8" w:space="0" w:color="000000"/>
            </w:tcBorders>
          </w:tcPr>
          <w:p>
            <w:pPr/>
          </w:p>
        </w:tc>
        <w:tc>
          <w:tcPr>
            <w:tcW w:w="2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105</w:t>
            </w:r>
          </w:p>
        </w:tc>
        <w:tc>
          <w:tcPr>
            <w:tcW w:w="2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9"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57914</w:t>
            </w:r>
          </w:p>
        </w:tc>
        <w:tc>
          <w:tcPr>
            <w:tcW w:w="2150" w:type="dxa"/>
            <w:tcBorders>
              <w:top w:val="single" w:sz="8" w:space="0" w:color="000000"/>
              <w:left w:val="single" w:sz="8" w:space="0" w:color="000000"/>
              <w:bottom w:val="single" w:sz="8" w:space="0" w:color="000000"/>
              <w:right w:val="single" w:sz="8" w:space="0" w:color="000000"/>
            </w:tcBorders>
          </w:tcPr>
          <w:p>
            <w:pPr/>
          </w:p>
        </w:tc>
        <w:tc>
          <w:tcPr>
            <w:tcW w:w="1280"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62" w:lineRule="exact"/>
        <w:ind w:right="0"/>
        <w:jc w:val="both"/>
      </w:pPr>
      <w:r>
        <w:rPr/>
        <w:t>注：</w:t>
      </w:r>
    </w:p>
    <w:p>
      <w:pPr>
        <w:pStyle w:val="BodyText"/>
        <w:spacing w:line="256" w:lineRule="auto" w:before="37"/>
        <w:ind w:right="148"/>
        <w:jc w:val="both"/>
      </w:pPr>
      <w:r>
        <w:rPr/>
        <w:t>（</w:t>
      </w:r>
      <w:r>
        <w:rPr>
          <w:rFonts w:ascii="Times New Roman" w:hAnsi="Times New Roman" w:cs="Times New Roman" w:eastAsia="Times New Roman" w:hint="default"/>
        </w:rPr>
        <w:t>1</w:t>
      </w:r>
      <w:r>
        <w:rPr/>
        <w:t>）酒店信息系统：本年度新签的合同及订单（本处是指新签署的而非确认收入的）包括北京总公司酒</w:t>
      </w:r>
      <w:r>
        <w:rPr>
          <w:spacing w:val="-25"/>
        </w:rPr>
        <w:t> </w:t>
      </w:r>
      <w:r>
        <w:rPr>
          <w:spacing w:val="-25"/>
        </w:rPr>
      </w:r>
      <w:r>
        <w:rPr>
          <w:spacing w:val="-4"/>
        </w:rPr>
        <w:t>店系统集成合同及订单（不包括星巴克、</w:t>
      </w:r>
      <w:r>
        <w:rPr>
          <w:rFonts w:ascii="Times New Roman" w:hAnsi="Times New Roman" w:cs="Times New Roman" w:eastAsia="Times New Roman" w:hint="default"/>
          <w:spacing w:val="-4"/>
        </w:rPr>
        <w:t>COSTA</w:t>
      </w:r>
      <w:r>
        <w:rPr>
          <w:spacing w:val="-4"/>
        </w:rPr>
        <w:t>、汉堡王和所有社会餐饮客户合同，社会餐饮客户是指该</w:t>
      </w:r>
      <w:r>
        <w:rPr>
          <w:spacing w:val="-5"/>
        </w:rPr>
        <w:t> </w:t>
      </w:r>
      <w:r>
        <w:rPr>
          <w:spacing w:val="-5"/>
        </w:rPr>
      </w:r>
      <w:r>
        <w:rPr/>
        <w:t>客户没有提供客房住宿服务或没有与酒店管理系统接口的独立餐厅）</w:t>
      </w:r>
      <w:r>
        <w:rPr>
          <w:rFonts w:ascii="Times New Roman" w:hAnsi="Times New Roman" w:cs="Times New Roman" w:eastAsia="Times New Roman" w:hint="default"/>
        </w:rPr>
        <w:t>+</w:t>
      </w:r>
      <w:r>
        <w:rPr/>
        <w:t>软件子公司酒店系统集成合同及订</w:t>
      </w:r>
      <w:r>
        <w:rPr>
          <w:spacing w:val="-35"/>
        </w:rPr>
        <w:t> </w:t>
      </w:r>
      <w:r>
        <w:rPr>
          <w:spacing w:val="-35"/>
        </w:rPr>
      </w:r>
      <w:r>
        <w:rPr>
          <w:spacing w:val="-3"/>
        </w:rPr>
        <w:t>单</w:t>
      </w:r>
      <w:r>
        <w:rPr>
          <w:rFonts w:ascii="Times New Roman" w:hAnsi="Times New Roman" w:cs="Times New Roman" w:eastAsia="Times New Roman" w:hint="default"/>
          <w:spacing w:val="-3"/>
        </w:rPr>
        <w:t>+</w:t>
      </w:r>
      <w:r>
        <w:rPr>
          <w:spacing w:val="-3"/>
        </w:rPr>
        <w:t>西软酒店系统集成合同及订单</w:t>
      </w:r>
      <w:r>
        <w:rPr>
          <w:rFonts w:ascii="Times New Roman" w:hAnsi="Times New Roman" w:cs="Times New Roman" w:eastAsia="Times New Roman" w:hint="default"/>
          <w:spacing w:val="-3"/>
        </w:rPr>
        <w:t>+</w:t>
      </w:r>
      <w:r>
        <w:rPr>
          <w:spacing w:val="-3"/>
        </w:rPr>
        <w:t>北海维护与酒店系统集成合同及订单</w:t>
      </w:r>
      <w:r>
        <w:rPr>
          <w:rFonts w:ascii="Times New Roman" w:hAnsi="Times New Roman" w:cs="Times New Roman" w:eastAsia="Times New Roman" w:hint="default"/>
          <w:spacing w:val="-3"/>
        </w:rPr>
        <w:t>+</w:t>
      </w:r>
      <w:r>
        <w:rPr>
          <w:spacing w:val="-3"/>
        </w:rPr>
        <w:t>石基昆仑的全部业务；</w:t>
      </w:r>
      <w:r>
        <w:rPr>
          <w:rFonts w:ascii="Times New Roman" w:hAnsi="Times New Roman" w:cs="Times New Roman" w:eastAsia="Times New Roman" w:hint="default"/>
          <w:spacing w:val="-3"/>
        </w:rPr>
        <w:t>+</w:t>
      </w:r>
      <w:r>
        <w:rPr>
          <w:spacing w:val="-3"/>
        </w:rPr>
        <w:t>航信华谊</w:t>
      </w:r>
      <w:r>
        <w:rPr>
          <w:spacing w:val="-49"/>
        </w:rPr>
        <w:t> </w:t>
      </w:r>
      <w:r>
        <w:rPr>
          <w:spacing w:val="-49"/>
        </w:rPr>
      </w:r>
      <w:r>
        <w:rPr/>
        <w:t>公司的酒店系统合同。</w:t>
      </w:r>
    </w:p>
    <w:p>
      <w:pPr>
        <w:pStyle w:val="BodyText"/>
        <w:spacing w:line="256" w:lineRule="auto" w:before="22"/>
        <w:ind w:right="148"/>
        <w:jc w:val="both"/>
      </w:pPr>
      <w:r>
        <w:rPr>
          <w:spacing w:val="-4"/>
        </w:rPr>
        <w:t>（</w:t>
      </w:r>
      <w:r>
        <w:rPr>
          <w:rFonts w:ascii="Times New Roman" w:hAnsi="Times New Roman" w:cs="Times New Roman" w:eastAsia="Times New Roman" w:hint="default"/>
          <w:spacing w:val="-4"/>
        </w:rPr>
        <w:t>2</w:t>
      </w:r>
      <w:r>
        <w:rPr>
          <w:spacing w:val="-4"/>
        </w:rPr>
        <w:t>）餐饮信息系统：本年度新签署的合同及订单（本处是指新签署的而非确认收入的）包括</w:t>
      </w:r>
      <w:r>
        <w:rPr>
          <w:rFonts w:ascii="Times New Roman" w:hAnsi="Times New Roman" w:cs="Times New Roman" w:eastAsia="Times New Roman" w:hint="default"/>
          <w:spacing w:val="-4"/>
        </w:rPr>
        <w:t>MICROS</w:t>
      </w:r>
      <w:r>
        <w:rPr>
          <w:spacing w:val="-4"/>
        </w:rPr>
        <w:t>社会</w:t>
      </w:r>
      <w:r>
        <w:rPr>
          <w:spacing w:val="-14"/>
        </w:rPr>
        <w:t> </w:t>
      </w:r>
      <w:r>
        <w:rPr>
          <w:spacing w:val="-1"/>
        </w:rPr>
        <w:t>餐饮客户合同及订单</w:t>
      </w:r>
      <w:r>
        <w:rPr>
          <w:rFonts w:ascii="Times New Roman" w:hAnsi="Times New Roman" w:cs="Times New Roman" w:eastAsia="Times New Roman" w:hint="default"/>
          <w:spacing w:val="-1"/>
        </w:rPr>
        <w:t>+</w:t>
      </w:r>
      <w:r>
        <w:rPr>
          <w:spacing w:val="-1"/>
        </w:rPr>
        <w:t>北京现化的社会餐饮合同及订单（不包括软子代签的合同）</w:t>
      </w:r>
      <w:r>
        <w:rPr>
          <w:rFonts w:ascii="Times New Roman" w:hAnsi="Times New Roman" w:cs="Times New Roman" w:eastAsia="Times New Roman" w:hint="default"/>
          <w:spacing w:val="-1"/>
        </w:rPr>
        <w:t>+Infrasys</w:t>
      </w:r>
      <w:r>
        <w:rPr>
          <w:spacing w:val="-1"/>
        </w:rPr>
        <w:t>境外的业务</w:t>
      </w:r>
      <w:r>
        <w:rPr>
          <w:rFonts w:ascii="Times New Roman" w:hAnsi="Times New Roman" w:cs="Times New Roman" w:eastAsia="Times New Roman" w:hint="default"/>
          <w:spacing w:val="-1"/>
        </w:rPr>
        <w:t>(</w:t>
      </w:r>
      <w:r>
        <w:rPr>
          <w:spacing w:val="-1"/>
        </w:rPr>
        <w:t>海</w:t>
      </w:r>
      <w:r>
        <w:rPr>
          <w:spacing w:val="-15"/>
        </w:rPr>
        <w:t> </w:t>
      </w:r>
      <w:r>
        <w:rPr/>
        <w:t>外业务最好也分成酒店业和社会餐饮业</w:t>
      </w:r>
      <w:r>
        <w:rPr>
          <w:rFonts w:ascii="Times New Roman" w:hAnsi="Times New Roman" w:cs="Times New Roman" w:eastAsia="Times New Roman" w:hint="default"/>
        </w:rPr>
        <w:t>)+</w:t>
      </w:r>
      <w:r>
        <w:rPr/>
        <w:t>上海正品的餐饮合同及订单。</w:t>
      </w:r>
    </w:p>
    <w:p>
      <w:pPr>
        <w:pStyle w:val="BodyText"/>
        <w:spacing w:line="256" w:lineRule="auto" w:before="5"/>
        <w:ind w:right="151"/>
        <w:jc w:val="both"/>
      </w:pPr>
      <w:r>
        <w:rPr/>
        <w:t>（</w:t>
      </w:r>
      <w:r>
        <w:rPr>
          <w:rFonts w:ascii="Times New Roman" w:hAnsi="Times New Roman" w:cs="Times New Roman" w:eastAsia="Times New Roman" w:hint="default"/>
        </w:rPr>
        <w:t>3</w:t>
      </w:r>
      <w:r>
        <w:rPr/>
        <w:t>）支付系统业务：本年度新签署的合同及订单（本处是指新签署的而非确认收入的）包括南京银石合</w:t>
      </w:r>
      <w:r>
        <w:rPr>
          <w:spacing w:val="-23"/>
        </w:rPr>
        <w:t> </w:t>
      </w:r>
      <w:r>
        <w:rPr>
          <w:spacing w:val="-23"/>
        </w:rPr>
      </w:r>
      <w:r>
        <w:rPr/>
        <w:t>同</w:t>
      </w:r>
      <w:r>
        <w:rPr>
          <w:rFonts w:ascii="Times New Roman" w:hAnsi="Times New Roman" w:cs="Times New Roman" w:eastAsia="Times New Roman" w:hint="default"/>
        </w:rPr>
        <w:t>+</w:t>
      </w:r>
      <w:r>
        <w:rPr/>
        <w:t>北海</w:t>
      </w:r>
      <w:r>
        <w:rPr>
          <w:rFonts w:ascii="Times New Roman" w:hAnsi="Times New Roman" w:cs="Times New Roman" w:eastAsia="Times New Roman" w:hint="default"/>
        </w:rPr>
        <w:t>PGS</w:t>
      </w:r>
      <w:r>
        <w:rPr/>
        <w:t>合同。</w:t>
      </w:r>
    </w:p>
    <w:p>
      <w:pPr>
        <w:pStyle w:val="BodyText"/>
        <w:spacing w:line="256" w:lineRule="auto" w:before="5"/>
        <w:ind w:right="153"/>
        <w:jc w:val="both"/>
      </w:pPr>
      <w:r>
        <w:rPr/>
        <w:t>（</w:t>
      </w:r>
      <w:r>
        <w:rPr>
          <w:rFonts w:ascii="Times New Roman" w:hAnsi="Times New Roman" w:cs="Times New Roman" w:eastAsia="Times New Roman" w:hint="default"/>
        </w:rPr>
        <w:t>4</w:t>
      </w:r>
      <w:r>
        <w:rPr/>
        <w:t>）商业流通管理系统业务：本年度新签署的合同及订单（本处是指新签署的而非确认收入的）包括深</w:t>
      </w:r>
      <w:r>
        <w:rPr>
          <w:spacing w:val="-25"/>
        </w:rPr>
        <w:t> </w:t>
      </w:r>
      <w:r>
        <w:rPr>
          <w:spacing w:val="-25"/>
        </w:rPr>
      </w:r>
      <w:r>
        <w:rPr/>
        <w:t>圳万国思迅、长京益康、富基公司、上海时运等的合同。</w:t>
      </w:r>
    </w:p>
    <w:p>
      <w:pPr>
        <w:pStyle w:val="BodyText"/>
        <w:spacing w:line="256" w:lineRule="auto" w:before="22"/>
        <w:ind w:right="230"/>
        <w:jc w:val="both"/>
      </w:pPr>
      <w:r>
        <w:rPr>
          <w:spacing w:val="-2"/>
        </w:rPr>
        <w:t>（</w:t>
      </w:r>
      <w:r>
        <w:rPr>
          <w:rFonts w:ascii="Times New Roman" w:hAnsi="Times New Roman" w:cs="Times New Roman" w:eastAsia="Times New Roman" w:hint="default"/>
          <w:spacing w:val="-2"/>
        </w:rPr>
        <w:t>5</w:t>
      </w:r>
      <w:r>
        <w:rPr>
          <w:spacing w:val="-2"/>
        </w:rPr>
        <w:t>）旅游休闲系统：本年度新签署的合同及订单（本处是指新签署的而非确认收入的）包括银科环企。</w:t>
      </w:r>
      <w:r>
        <w:rPr>
          <w:spacing w:val="-21"/>
        </w:rPr>
        <w:t> </w:t>
      </w:r>
      <w:r>
        <w:rPr>
          <w:spacing w:val="-21"/>
        </w:rPr>
      </w:r>
      <w:r>
        <w:rPr/>
        <w:t>大额订单情况</w:t>
      </w:r>
    </w:p>
    <w:p>
      <w:pPr>
        <w:spacing w:line="240" w:lineRule="auto" w:before="9"/>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977"/>
        <w:gridCol w:w="2126"/>
        <w:gridCol w:w="2268"/>
        <w:gridCol w:w="1849"/>
      </w:tblGrid>
      <w:tr>
        <w:trPr>
          <w:trHeight w:val="353" w:hRule="exact"/>
        </w:trPr>
        <w:tc>
          <w:tcPr>
            <w:tcW w:w="29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年大额订单数量</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年大额订单总额</w:t>
            </w:r>
          </w:p>
        </w:tc>
        <w:tc>
          <w:tcPr>
            <w:tcW w:w="184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大额订单占全部订单旳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977"/>
        <w:gridCol w:w="2126"/>
        <w:gridCol w:w="2268"/>
        <w:gridCol w:w="1844"/>
      </w:tblGrid>
      <w:tr>
        <w:trPr>
          <w:trHeight w:val="352" w:hRule="exact"/>
        </w:trPr>
        <w:tc>
          <w:tcPr>
            <w:tcW w:w="2977"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2126"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8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4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酒店信息系统业务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163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345,736,135</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6.09%</w:t>
            </w:r>
          </w:p>
        </w:tc>
      </w:tr>
      <w:tr>
        <w:trPr>
          <w:trHeight w:val="353"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餐饮信息系统业务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66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19,879,171</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1.92%</w:t>
            </w:r>
          </w:p>
        </w:tc>
      </w:tr>
      <w:tr>
        <w:trPr>
          <w:trHeight w:val="353"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24</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74,911,201</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8.60%</w:t>
            </w:r>
          </w:p>
        </w:tc>
      </w:tr>
      <w:tr>
        <w:trPr>
          <w:trHeight w:val="35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804</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316,145,087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11.32%</w:t>
            </w:r>
          </w:p>
        </w:tc>
      </w:tr>
      <w:tr>
        <w:trPr>
          <w:trHeight w:val="353"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78</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56,598,977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56.93%</w:t>
            </w:r>
          </w:p>
        </w:tc>
      </w:tr>
      <w:tr>
        <w:trPr>
          <w:trHeight w:val="353"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1,057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813,270,571.41</w:t>
            </w:r>
          </w:p>
        </w:tc>
        <w:tc>
          <w:tcPr>
            <w:tcW w:w="184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78" w:lineRule="exact"/>
        <w:ind w:right="153"/>
        <w:jc w:val="left"/>
      </w:pPr>
      <w:r>
        <w:rPr/>
        <w:t>大额订单情况（大于</w:t>
      </w:r>
      <w:r>
        <w:rPr>
          <w:rFonts w:ascii="Times New Roman" w:hAnsi="Times New Roman" w:cs="Times New Roman" w:eastAsia="Times New Roman" w:hint="default"/>
        </w:rPr>
        <w:t>10</w:t>
      </w:r>
      <w:r>
        <w:rPr/>
        <w:t>万元订单）</w:t>
      </w:r>
    </w:p>
    <w:p>
      <w:pPr>
        <w:spacing w:line="240" w:lineRule="auto" w:before="8"/>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991"/>
        <w:gridCol w:w="1702"/>
        <w:gridCol w:w="1560"/>
        <w:gridCol w:w="3065"/>
      </w:tblGrid>
      <w:tr>
        <w:trPr>
          <w:trHeight w:val="413" w:hRule="exact"/>
        </w:trPr>
        <w:tc>
          <w:tcPr>
            <w:tcW w:w="299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306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大额订单占全部订单旳比例（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0" w:hRule="exact"/>
        </w:trPr>
        <w:tc>
          <w:tcPr>
            <w:tcW w:w="2991"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大额订单数量</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3065" w:type="dxa"/>
            <w:tcBorders>
              <w:top w:val="single" w:sz="8" w:space="0" w:color="000000"/>
              <w:left w:val="single" w:sz="8" w:space="0" w:color="000000"/>
              <w:bottom w:val="single" w:sz="8" w:space="0" w:color="000000"/>
              <w:right w:val="single" w:sz="8" w:space="0" w:color="000000"/>
            </w:tcBorders>
            <w:shd w:val="clear" w:color="auto" w:fill="D9D9D9"/>
          </w:tcPr>
          <w:p>
            <w:pPr/>
          </w:p>
        </w:tc>
      </w:tr>
      <w:tr>
        <w:trPr>
          <w:trHeight w:val="413" w:hRule="exact"/>
        </w:trPr>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计算机周边产品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z w:val="18"/>
              </w:rPr>
              <w:t>2,679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521,879,695.57</w:t>
            </w:r>
          </w:p>
        </w:tc>
        <w:tc>
          <w:tcPr>
            <w:tcW w:w="3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40.25%</w:t>
            </w:r>
          </w:p>
        </w:tc>
      </w:tr>
      <w:tr>
        <w:trPr>
          <w:trHeight w:val="413" w:hRule="exact"/>
        </w:trPr>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电子元器件产品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65"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55,907,326.13</w:t>
            </w:r>
          </w:p>
        </w:tc>
        <w:tc>
          <w:tcPr>
            <w:tcW w:w="3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71.43%</w:t>
            </w:r>
          </w:p>
        </w:tc>
      </w:tr>
      <w:tr>
        <w:trPr>
          <w:trHeight w:val="413" w:hRule="exact"/>
        </w:trPr>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其他销售及国际业务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z w:val="18"/>
              </w:rPr>
              <w:t>23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222,164,425.99</w:t>
            </w:r>
          </w:p>
        </w:tc>
        <w:tc>
          <w:tcPr>
            <w:tcW w:w="3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48.94%</w:t>
            </w:r>
          </w:p>
        </w:tc>
      </w:tr>
      <w:tr>
        <w:trPr>
          <w:trHeight w:val="413" w:hRule="exact"/>
        </w:trPr>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w w:val="95"/>
                <w:sz w:val="18"/>
              </w:rPr>
              <w:t>2,707.00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799,951,447.69</w:t>
            </w:r>
          </w:p>
        </w:tc>
        <w:tc>
          <w:tcPr>
            <w:tcW w:w="3065"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75"/>
        <w:gridCol w:w="1369"/>
        <w:gridCol w:w="1366"/>
        <w:gridCol w:w="1368"/>
        <w:gridCol w:w="1368"/>
        <w:gridCol w:w="1366"/>
        <w:gridCol w:w="958"/>
      </w:tblGrid>
      <w:tr>
        <w:trPr>
          <w:trHeight w:val="402" w:hRule="exact"/>
        </w:trPr>
        <w:tc>
          <w:tcPr>
            <w:tcW w:w="18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75"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5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257,088,719.66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190,205,213.50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35.16%</w:t>
            </w: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205,513,086.00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256,234,954.41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-19.80%</w:t>
            </w:r>
          </w:p>
        </w:tc>
      </w:tr>
      <w:tr>
        <w:trPr>
          <w:trHeight w:val="40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609,522.34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779,018.35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-21.76%</w:t>
            </w: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1,173,287,740.95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1,123,616,345.39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4.42%</w:t>
            </w:r>
          </w:p>
        </w:tc>
      </w:tr>
      <w:tr>
        <w:trPr>
          <w:trHeight w:val="40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3,030,450.51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14,462,561.23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-79.05%</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16"/>
        <w:gridCol w:w="778"/>
        <w:gridCol w:w="1361"/>
        <w:gridCol w:w="1366"/>
        <w:gridCol w:w="1368"/>
        <w:gridCol w:w="1369"/>
        <w:gridCol w:w="955"/>
      </w:tblGrid>
      <w:tr>
        <w:trPr>
          <w:trHeight w:val="402" w:hRule="exact"/>
        </w:trPr>
        <w:tc>
          <w:tcPr>
            <w:tcW w:w="22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5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245,924,443.87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210,767,914.64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16.68%</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778" w:type="dxa"/>
            <w:vMerge/>
            <w:tcBorders>
              <w:left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24,699,138.60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32,917,154.65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2.08%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-24.97%</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778" w:type="dxa"/>
            <w:vMerge/>
            <w:tcBorders>
              <w:left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16,394,149.19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9,915,097.96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65.35%</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商业流通系统业务</w:t>
            </w:r>
          </w:p>
        </w:tc>
        <w:tc>
          <w:tcPr>
            <w:tcW w:w="778" w:type="dxa"/>
            <w:vMerge/>
            <w:tcBorders>
              <w:left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170,515,261.95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178,647,268.98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-4.55%</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778" w:type="dxa"/>
            <w:vMerge/>
            <w:tcBorders>
              <w:left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4,026,521.45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打印机、耗材及配件销售</w:t>
            </w:r>
          </w:p>
        </w:tc>
        <w:tc>
          <w:tcPr>
            <w:tcW w:w="778" w:type="dxa"/>
            <w:vMerge/>
            <w:tcBorders>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824,592,756.34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858,018,039.41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16"/>
        <w:gridCol w:w="778"/>
        <w:gridCol w:w="1361"/>
        <w:gridCol w:w="1366"/>
        <w:gridCol w:w="1368"/>
        <w:gridCol w:w="1369"/>
        <w:gridCol w:w="955"/>
      </w:tblGrid>
      <w:tr>
        <w:trPr>
          <w:trHeight w:val="401"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778" w:type="dxa"/>
            <w:vMerge w:val="restart"/>
            <w:tcBorders>
              <w:top w:val="nil" w:sz="6" w:space="0" w:color="auto"/>
              <w:left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80,911,394.26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79,093,772.27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中电器件其他销售</w:t>
            </w:r>
          </w:p>
        </w:tc>
        <w:tc>
          <w:tcPr>
            <w:tcW w:w="778" w:type="dxa"/>
            <w:vMerge/>
            <w:tcBorders>
              <w:left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268,825,880.95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200,480,507.49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12.65%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34.09%</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778"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3,639,972.85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15,458,337.48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-76.45%</w:t>
            </w:r>
          </w:p>
        </w:tc>
      </w:tr>
    </w:tbl>
    <w:p>
      <w:pPr>
        <w:spacing w:before="49"/>
        <w:ind w:left="152" w:right="208"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61" w:lineRule="auto" w:before="94"/>
        <w:ind w:right="100"/>
        <w:jc w:val="left"/>
      </w:pPr>
      <w:r>
        <w:rPr>
          <w:rFonts w:ascii="Times New Roman" w:hAnsi="Times New Roman" w:cs="Times New Roman" w:eastAsia="Times New Roman" w:hint="default"/>
        </w:rPr>
        <w:t>1.</w:t>
      </w:r>
      <w:r>
        <w:rPr/>
        <w:t>计算机应用及服务行业系统集成成本本期比上年同期增长</w:t>
      </w:r>
      <w:r>
        <w:rPr>
          <w:rFonts w:ascii="Times New Roman" w:hAnsi="Times New Roman" w:cs="Times New Roman" w:eastAsia="Times New Roman" w:hint="default"/>
        </w:rPr>
        <w:t>35.16%</w:t>
      </w:r>
      <w:r>
        <w:rPr/>
        <w:t>，主要系本期扩大合并范围，新增收购</w:t>
      </w:r>
      <w:r>
        <w:rPr>
          <w:w w:val="100"/>
        </w:rPr>
        <w:t> </w:t>
      </w:r>
      <w:r>
        <w:rPr/>
        <w:t>的</w:t>
      </w:r>
      <w:r>
        <w:rPr>
          <w:rFonts w:ascii="Times New Roman" w:hAnsi="Times New Roman" w:cs="Times New Roman" w:eastAsia="Times New Roman" w:hint="default"/>
        </w:rPr>
        <w:t>GALASYS</w:t>
      </w:r>
      <w:r>
        <w:rPr/>
        <w:t>公司系统集成成本增多较多所致；</w:t>
      </w:r>
      <w:r>
        <w:rPr>
          <w:w w:val="100"/>
        </w:rPr>
        <w:t> </w:t>
      </w:r>
      <w:r>
        <w:rPr>
          <w:rFonts w:ascii="Times New Roman" w:hAnsi="Times New Roman" w:cs="Times New Roman" w:eastAsia="Times New Roman" w:hint="default"/>
        </w:rPr>
        <w:t>2.</w:t>
      </w:r>
      <w:r>
        <w:rPr/>
        <w:t>商品批发与贸易行业其他业务成本本期较上年同期下降</w:t>
      </w:r>
      <w:r>
        <w:rPr>
          <w:rFonts w:ascii="Times New Roman" w:hAnsi="Times New Roman" w:cs="Times New Roman" w:eastAsia="Times New Roman" w:hint="default"/>
        </w:rPr>
        <w:t>79.05%</w:t>
      </w:r>
      <w:r>
        <w:rPr/>
        <w:t>，主要系本期因办公楼改造，投资性房地</w:t>
      </w:r>
      <w:r>
        <w:rPr>
          <w:w w:val="100"/>
        </w:rPr>
        <w:t> </w:t>
      </w:r>
      <w:r>
        <w:rPr/>
        <w:t>产维护成本大幅下降所致；</w:t>
      </w:r>
      <w:r>
        <w:rPr>
          <w:w w:val="100"/>
        </w:rPr>
        <w:t> </w:t>
      </w:r>
      <w:r>
        <w:rPr>
          <w:rFonts w:ascii="Times New Roman" w:hAnsi="Times New Roman" w:cs="Times New Roman" w:eastAsia="Times New Roman" w:hint="default"/>
        </w:rPr>
        <w:t>3.</w:t>
      </w:r>
      <w:r>
        <w:rPr/>
        <w:t>支付系统业务成本本期比上年同期增长</w:t>
      </w:r>
      <w:r>
        <w:rPr>
          <w:rFonts w:ascii="Times New Roman" w:hAnsi="Times New Roman" w:cs="Times New Roman" w:eastAsia="Times New Roman" w:hint="default"/>
        </w:rPr>
        <w:t>65.35%</w:t>
      </w:r>
      <w:r>
        <w:rPr/>
        <w:t>，主要系本期代银行采购硬件产品订单较上期增长较多所</w:t>
      </w:r>
      <w:r>
        <w:rPr>
          <w:w w:val="100"/>
        </w:rPr>
        <w:t> </w:t>
      </w:r>
      <w:r>
        <w:rPr/>
        <w:t>致。</w:t>
      </w:r>
      <w:r>
        <w:rPr>
          <w:spacing w:val="-103"/>
        </w:rPr>
        <w:t> </w:t>
      </w:r>
      <w:r>
        <w:rPr>
          <w:rFonts w:ascii="Times New Roman" w:hAnsi="Times New Roman" w:cs="Times New Roman" w:eastAsia="Times New Roman" w:hint="default"/>
        </w:rPr>
        <w:t>4.</w:t>
      </w:r>
      <w:r>
        <w:rPr/>
        <w:t>中电器件其他销售本期比上年同期增长</w:t>
      </w:r>
      <w:r>
        <w:rPr>
          <w:rFonts w:ascii="Times New Roman" w:hAnsi="Times New Roman" w:cs="Times New Roman" w:eastAsia="Times New Roman" w:hint="default"/>
        </w:rPr>
        <w:t>34.09%</w:t>
      </w:r>
      <w:r>
        <w:rPr/>
        <w:t>，主要系中电器件下属子公司香港精模进出口代理业务增</w:t>
      </w:r>
      <w:r>
        <w:rPr>
          <w:w w:val="100"/>
        </w:rPr>
        <w:t> </w:t>
      </w:r>
      <w:r>
        <w:rPr/>
        <w:t>长较多，成本增加较多所致。</w:t>
      </w:r>
      <w:r>
        <w:rPr>
          <w:w w:val="100"/>
        </w:rPr>
        <w:t> </w:t>
      </w:r>
      <w:r>
        <w:rPr>
          <w:rFonts w:ascii="Times New Roman" w:hAnsi="Times New Roman" w:cs="Times New Roman" w:eastAsia="Times New Roman" w:hint="default"/>
          <w:spacing w:val="-3"/>
        </w:rPr>
        <w:t>5.</w:t>
      </w:r>
      <w:r>
        <w:rPr>
          <w:spacing w:val="-3"/>
        </w:rPr>
        <w:t>其他业务成本本期比上年同期下降</w:t>
      </w:r>
      <w:r>
        <w:rPr>
          <w:rFonts w:ascii="Times New Roman" w:hAnsi="Times New Roman" w:cs="Times New Roman" w:eastAsia="Times New Roman" w:hint="default"/>
          <w:spacing w:val="-3"/>
        </w:rPr>
        <w:t>76.45%</w:t>
      </w:r>
      <w:r>
        <w:rPr>
          <w:spacing w:val="-3"/>
        </w:rPr>
        <w:t>，主要系本期因办公楼改造，投资性房地产维护成本大幅下降，</w:t>
      </w:r>
      <w:r>
        <w:rPr>
          <w:spacing w:val="-49"/>
        </w:rPr>
        <w:t> </w:t>
      </w:r>
      <w:r>
        <w:rPr>
          <w:spacing w:val="-49"/>
        </w:rPr>
      </w:r>
      <w:r>
        <w:rPr/>
        <w:t>以及房租大幅下降共同所致。</w:t>
      </w:r>
    </w:p>
    <w:p>
      <w:pPr>
        <w:spacing w:line="240" w:lineRule="auto" w:before="4"/>
        <w:rPr>
          <w:rFonts w:ascii="宋体" w:hAnsi="宋体" w:cs="宋体" w:eastAsia="宋体" w:hint="default"/>
          <w:sz w:val="24"/>
          <w:szCs w:val="24"/>
        </w:rPr>
      </w:pPr>
    </w:p>
    <w:p>
      <w:pPr>
        <w:pStyle w:val="Heading7"/>
        <w:spacing w:line="240" w:lineRule="auto"/>
        <w:ind w:right="208"/>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4" w:lineRule="auto"/>
        <w:ind w:right="209"/>
        <w:jc w:val="both"/>
      </w:pPr>
      <w:r>
        <w:rPr>
          <w:spacing w:val="-2"/>
        </w:rPr>
        <w:t>本集团合并财务报表范围包括</w:t>
      </w:r>
      <w:r>
        <w:rPr>
          <w:rFonts w:ascii="Times New Roman" w:hAnsi="Times New Roman" w:cs="Times New Roman" w:eastAsia="Times New Roman" w:hint="default"/>
          <w:spacing w:val="-2"/>
        </w:rPr>
        <w:t>69</w:t>
      </w:r>
      <w:r>
        <w:rPr>
          <w:spacing w:val="-2"/>
        </w:rPr>
        <w:t>家子公司，其中二级子公司</w:t>
      </w:r>
      <w:r>
        <w:rPr>
          <w:rFonts w:ascii="Times New Roman" w:hAnsi="Times New Roman" w:cs="Times New Roman" w:eastAsia="Times New Roman" w:hint="default"/>
          <w:spacing w:val="-2"/>
        </w:rPr>
        <w:t>15</w:t>
      </w:r>
      <w:r>
        <w:rPr>
          <w:spacing w:val="-2"/>
        </w:rPr>
        <w:t>家、三级子公司</w:t>
      </w:r>
      <w:r>
        <w:rPr>
          <w:rFonts w:ascii="Times New Roman" w:hAnsi="Times New Roman" w:cs="Times New Roman" w:eastAsia="Times New Roman" w:hint="default"/>
          <w:spacing w:val="-2"/>
        </w:rPr>
        <w:t>25</w:t>
      </w:r>
      <w:r>
        <w:rPr>
          <w:spacing w:val="-2"/>
        </w:rPr>
        <w:t>家、四级子公司</w:t>
      </w:r>
      <w:r>
        <w:rPr>
          <w:w w:val="100"/>
        </w:rPr>
        <w:t> </w:t>
      </w:r>
      <w:r>
        <w:rPr>
          <w:rFonts w:ascii="Times New Roman" w:hAnsi="Times New Roman" w:cs="Times New Roman" w:eastAsia="Times New Roman" w:hint="default"/>
          <w:spacing w:val="-6"/>
        </w:rPr>
        <w:t>19</w:t>
      </w:r>
      <w:r>
        <w:rPr>
          <w:spacing w:val="-6"/>
        </w:rPr>
        <w:t>家、五级子公司</w:t>
      </w:r>
      <w:r>
        <w:rPr>
          <w:rFonts w:ascii="Times New Roman" w:hAnsi="Times New Roman" w:cs="Times New Roman" w:eastAsia="Times New Roman" w:hint="default"/>
          <w:spacing w:val="-6"/>
        </w:rPr>
        <w:t>10</w:t>
      </w:r>
      <w:r>
        <w:rPr>
          <w:spacing w:val="-6"/>
        </w:rPr>
        <w:t>家。与上年相比，本年因非同一控制下企业合并增加</w:t>
      </w:r>
      <w:r>
        <w:rPr>
          <w:rFonts w:ascii="Times New Roman" w:hAnsi="Times New Roman" w:cs="Times New Roman" w:eastAsia="Times New Roman" w:hint="default"/>
          <w:spacing w:val="-6"/>
        </w:rPr>
        <w:t>Review </w:t>
      </w:r>
      <w:r>
        <w:rPr>
          <w:rFonts w:ascii="Times New Roman" w:hAnsi="Times New Roman" w:cs="Times New Roman" w:eastAsia="Times New Roman" w:hint="default"/>
        </w:rPr>
        <w:t>Rank </w:t>
      </w:r>
      <w:r>
        <w:rPr>
          <w:rFonts w:ascii="Times New Roman" w:hAnsi="Times New Roman" w:cs="Times New Roman" w:eastAsia="Times New Roman" w:hint="default"/>
          <w:spacing w:val="-6"/>
        </w:rPr>
        <w:t>S.A.</w:t>
      </w:r>
      <w:r>
        <w:rPr>
          <w:spacing w:val="-6"/>
        </w:rPr>
        <w:t>、</w:t>
      </w:r>
      <w:r>
        <w:rPr>
          <w:rFonts w:ascii="Times New Roman" w:hAnsi="Times New Roman" w:cs="Times New Roman" w:eastAsia="Times New Roman" w:hint="default"/>
          <w:spacing w:val="-6"/>
        </w:rPr>
        <w:t>Galasys </w:t>
      </w:r>
      <w:r>
        <w:rPr>
          <w:rFonts w:ascii="Times New Roman" w:hAnsi="Times New Roman" w:cs="Times New Roman" w:eastAsia="Times New Roman" w:hint="default"/>
        </w:rPr>
        <w:t>Plc</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等</w:t>
      </w:r>
      <w:r>
        <w:rPr>
          <w:rFonts w:ascii="Times New Roman" w:hAnsi="Times New Roman" w:cs="Times New Roman" w:eastAsia="Times New Roman" w:hint="default"/>
        </w:rPr>
        <w:t>11</w:t>
      </w:r>
      <w:r>
        <w:rPr/>
        <w:t>家，因派生分立增加敏付科技有限公司。因处置减少</w:t>
      </w:r>
      <w:r>
        <w:rPr>
          <w:rFonts w:ascii="Times New Roman" w:hAnsi="Times New Roman" w:cs="Times New Roman" w:eastAsia="Times New Roman" w:hint="default"/>
        </w:rPr>
        <w:t>Great Kylin Investment</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w:t>
      </w:r>
    </w:p>
    <w:p>
      <w:pPr>
        <w:spacing w:line="240" w:lineRule="auto" w:before="7"/>
        <w:rPr>
          <w:rFonts w:ascii="宋体" w:hAnsi="宋体" w:cs="宋体" w:eastAsia="宋体" w:hint="default"/>
          <w:sz w:val="18"/>
          <w:szCs w:val="18"/>
        </w:rPr>
      </w:pPr>
    </w:p>
    <w:p>
      <w:pPr>
        <w:pStyle w:val="Heading6"/>
        <w:spacing w:line="244" w:lineRule="auto"/>
        <w:ind w:right="211"/>
        <w:jc w:val="both"/>
      </w:pPr>
      <w:r>
        <w:rPr>
          <w:spacing w:val="2"/>
        </w:rPr>
        <w:t>详见本报告第十一节财务报告附注</w:t>
      </w:r>
      <w:r>
        <w:rPr>
          <w:rFonts w:ascii="Times New Roman" w:hAnsi="Times New Roman" w:cs="Times New Roman" w:eastAsia="Times New Roman" w:hint="default"/>
          <w:spacing w:val="2"/>
        </w:rPr>
        <w:t>“</w:t>
      </w:r>
      <w:r>
        <w:rPr>
          <w:spacing w:val="2"/>
        </w:rPr>
        <w:t>八、合并范围的变更</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4"/>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相关内容。</w:t>
      </w:r>
    </w:p>
    <w:p>
      <w:pPr>
        <w:spacing w:line="240" w:lineRule="auto" w:before="2"/>
        <w:rPr>
          <w:rFonts w:ascii="宋体" w:hAnsi="宋体" w:cs="宋体" w:eastAsia="宋体" w:hint="default"/>
          <w:sz w:val="25"/>
          <w:szCs w:val="25"/>
        </w:rPr>
      </w:pPr>
    </w:p>
    <w:p>
      <w:pPr>
        <w:pStyle w:val="Heading7"/>
        <w:spacing w:line="240" w:lineRule="auto"/>
        <w:ind w:right="20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208"/>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88"/>
        <w:gridCol w:w="4112"/>
      </w:tblGrid>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257,015,511.09</w:t>
            </w:r>
          </w:p>
        </w:tc>
      </w:tr>
      <w:tr>
        <w:trPr>
          <w:trHeight w:val="401"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20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746"/>
        <w:gridCol w:w="2552"/>
        <w:gridCol w:w="2413"/>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75,359,702.91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Kuajingcom In't</w:t>
            </w:r>
            <w:r>
              <w:rPr>
                <w:rFonts w:ascii="Times New Roman"/>
                <w:spacing w:val="-8"/>
                <w:sz w:val="18"/>
              </w:rPr>
              <w:t> </w:t>
            </w:r>
            <w:r>
              <w:rPr>
                <w:rFonts w:ascii="Times New Roman"/>
                <w:sz w:val="18"/>
              </w:rPr>
              <w:t>Group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57,159,833.95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北京铭成嘉业科技发展有限公司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52,672,726.84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746"/>
        <w:gridCol w:w="2552"/>
        <w:gridCol w:w="2413"/>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上海泸美木业有限公司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42,691,241.22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5</w:t>
            </w:r>
          </w:p>
        </w:tc>
        <w:tc>
          <w:tcPr>
            <w:tcW w:w="3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北京健铭伟业科技有限公司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29,132,006.17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0.98%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257,015,511.09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19" w:lineRule="auto"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公司前五名客户与公司不存在任何关联关系，公司董事、监事、高级管理人员、核心技术人员、持股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 制人和其他关联方在主要客户中不存在直接或间接拥有权益的情形。</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19"/>
        <w:gridCol w:w="3981"/>
      </w:tblGrid>
      <w:tr>
        <w:trPr>
          <w:trHeight w:val="401"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871,769,795.27</w:t>
            </w:r>
          </w:p>
        </w:tc>
      </w:tr>
      <w:tr>
        <w:trPr>
          <w:trHeight w:val="403"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57.47%</w:t>
            </w:r>
          </w:p>
        </w:tc>
      </w:tr>
      <w:tr>
        <w:trPr>
          <w:trHeight w:val="401"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9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613"/>
        <w:gridCol w:w="2552"/>
        <w:gridCol w:w="2413"/>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6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爱普生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有限公司上海分公司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359,220,604.37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6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富士施乐实业发展（中国）有限公司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230,975,078.37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6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112,263,657.43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6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联想（北京）电子科技有限公司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92,570,650.20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6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JOY CHINA (HONGKONG)</w:t>
            </w:r>
            <w:r>
              <w:rPr>
                <w:rFonts w:ascii="Times New Roman"/>
                <w:spacing w:val="-28"/>
                <w:sz w:val="18"/>
              </w:rPr>
              <w:t> </w:t>
            </w:r>
            <w:r>
              <w:rPr>
                <w:rFonts w:ascii="Times New Roman"/>
                <w:sz w:val="18"/>
              </w:rPr>
              <w:t>LIMITED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76,739,804.90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871,769,795.27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57.47%</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pStyle w:val="BodyText"/>
        <w:spacing w:line="295" w:lineRule="auto" w:before="117"/>
        <w:ind w:right="15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公司前五名供应商与公司不存在任何关联关系，公司董事、监事、高级管理人员、核心技术人员、持股</w:t>
      </w:r>
      <w:r>
        <w:rPr>
          <w:rFonts w:ascii="宋体" w:hAnsi="宋体" w:cs="宋体" w:eastAsia="宋体" w:hint="default"/>
          <w:spacing w:val="-2"/>
        </w:rPr>
        <w:t>5%</w:t>
      </w:r>
      <w:r>
        <w:rPr>
          <w:rFonts w:ascii="宋体" w:hAnsi="宋体" w:cs="宋体" w:eastAsia="宋体" w:hint="default"/>
          <w:spacing w:val="-41"/>
        </w:rPr>
        <w:t> </w:t>
      </w:r>
      <w:r>
        <w:rPr/>
        <w:t>以上股东、实际控制人和其他关联方在主要客户中不存在直接或间接拥有权益的情形。</w:t>
      </w:r>
    </w:p>
    <w:p>
      <w:pPr>
        <w:spacing w:line="240" w:lineRule="auto" w:before="1"/>
        <w:rPr>
          <w:rFonts w:ascii="宋体" w:hAnsi="宋体" w:cs="宋体" w:eastAsia="宋体" w:hint="default"/>
          <w:sz w:val="22"/>
          <w:szCs w:val="22"/>
        </w:rPr>
      </w:pPr>
    </w:p>
    <w:p>
      <w:pPr>
        <w:pStyle w:val="Heading7"/>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3"/>
        <w:gridCol w:w="1372"/>
        <w:gridCol w:w="1364"/>
        <w:gridCol w:w="1394"/>
        <w:gridCol w:w="4139"/>
      </w:tblGrid>
      <w:tr>
        <w:trPr>
          <w:trHeight w:val="401" w:hRule="exact"/>
        </w:trPr>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188,605,905.77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183,966,682.23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41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718,086,379.26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556,670,439.23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29.00%</w:t>
            </w:r>
          </w:p>
        </w:tc>
        <w:tc>
          <w:tcPr>
            <w:tcW w:w="413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1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2" w:right="0"/>
              <w:jc w:val="left"/>
              <w:rPr>
                <w:rFonts w:ascii="Times New Roman" w:hAnsi="Times New Roman" w:cs="Times New Roman" w:eastAsia="Times New Roman" w:hint="default"/>
                <w:sz w:val="18"/>
                <w:szCs w:val="18"/>
              </w:rPr>
            </w:pPr>
            <w:r>
              <w:rPr>
                <w:rFonts w:ascii="Times New Roman"/>
                <w:sz w:val="18"/>
              </w:rPr>
              <w:t>-910,076.63</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-81,529,853.82</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8" w:right="0"/>
              <w:jc w:val="left"/>
              <w:rPr>
                <w:rFonts w:ascii="Times New Roman" w:hAnsi="Times New Roman" w:cs="Times New Roman" w:eastAsia="Times New Roman" w:hint="default"/>
                <w:sz w:val="18"/>
                <w:szCs w:val="18"/>
              </w:rPr>
            </w:pPr>
            <w:r>
              <w:rPr>
                <w:rFonts w:ascii="Times New Roman"/>
                <w:sz w:val="18"/>
              </w:rPr>
              <w:t>98.88%</w:t>
            </w:r>
          </w:p>
        </w:tc>
        <w:tc>
          <w:tcPr>
            <w:tcW w:w="413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36"/>
              <w:jc w:val="both"/>
              <w:rPr>
                <w:rFonts w:ascii="宋体" w:hAnsi="宋体" w:cs="宋体" w:eastAsia="宋体" w:hint="default"/>
                <w:sz w:val="18"/>
                <w:szCs w:val="18"/>
              </w:rPr>
            </w:pPr>
            <w:r>
              <w:rPr>
                <w:rFonts w:ascii="宋体" w:hAnsi="宋体" w:cs="宋体" w:eastAsia="宋体" w:hint="default"/>
                <w:sz w:val="18"/>
                <w:szCs w:val="18"/>
              </w:rPr>
              <w:t>本期较上年同期增长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98.88%</w:t>
            </w:r>
            <w:r>
              <w:rPr>
                <w:rFonts w:ascii="宋体" w:hAnsi="宋体" w:cs="宋体" w:eastAsia="宋体" w:hint="default"/>
                <w:spacing w:val="-4"/>
                <w:sz w:val="18"/>
                <w:szCs w:val="18"/>
              </w:rPr>
              <w:t>，主要系</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年公司结</w:t>
            </w:r>
            <w:r>
              <w:rPr>
                <w:rFonts w:ascii="宋体" w:hAnsi="宋体" w:cs="宋体" w:eastAsia="宋体" w:hint="default"/>
                <w:spacing w:val="-88"/>
                <w:sz w:val="18"/>
                <w:szCs w:val="18"/>
              </w:rPr>
              <w:t> </w:t>
            </w:r>
            <w:r>
              <w:rPr>
                <w:rFonts w:ascii="宋体" w:hAnsi="宋体" w:cs="宋体" w:eastAsia="宋体" w:hint="default"/>
                <w:spacing w:val="-3"/>
                <w:sz w:val="18"/>
                <w:szCs w:val="18"/>
              </w:rPr>
              <w:t>构性存款（募集资金账户）利息收入较高，本年资金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用于购买理财产品；另本年港币对人民币汇率下降， 出现较大的汇兑损失所致。</w:t>
            </w:r>
          </w:p>
        </w:tc>
      </w:tr>
      <w:tr>
        <w:trPr>
          <w:trHeight w:val="394" w:hRule="exact"/>
        </w:trPr>
        <w:tc>
          <w:tcPr>
            <w:tcW w:w="11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72" w:type="dxa"/>
            <w:vMerge/>
            <w:tcBorders>
              <w:left w:val="single" w:sz="10" w:space="0" w:color="D2D2D2"/>
              <w:right w:val="single" w:sz="4" w:space="0" w:color="000000"/>
            </w:tcBorders>
          </w:tcPr>
          <w:p>
            <w:pPr/>
          </w:p>
        </w:tc>
        <w:tc>
          <w:tcPr>
            <w:tcW w:w="136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4139" w:type="dxa"/>
            <w:vMerge/>
            <w:tcBorders>
              <w:left w:val="single" w:sz="4" w:space="0" w:color="000000"/>
              <w:right w:val="single" w:sz="4" w:space="0" w:color="000000"/>
            </w:tcBorders>
          </w:tcPr>
          <w:p>
            <w:pPr/>
          </w:p>
        </w:tc>
      </w:tr>
      <w:tr>
        <w:trPr>
          <w:trHeight w:val="473" w:hRule="exact"/>
        </w:trPr>
        <w:tc>
          <w:tcPr>
            <w:tcW w:w="11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2" w:type="dxa"/>
            <w:vMerge/>
            <w:tcBorders>
              <w:left w:val="single" w:sz="10" w:space="0" w:color="D2D2D2"/>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4139" w:type="dxa"/>
            <w:vMerge/>
            <w:tcBorders>
              <w:left w:val="single" w:sz="4" w:space="0" w:color="000000"/>
              <w:bottom w:val="single" w:sz="4" w:space="0" w:color="000000"/>
              <w:right w:val="single" w:sz="4" w:space="0" w:color="000000"/>
            </w:tcBorders>
          </w:tcPr>
          <w:p>
            <w:pPr/>
          </w:p>
        </w:tc>
      </w:tr>
      <w:tr>
        <w:trPr>
          <w:trHeight w:val="401" w:hRule="exact"/>
        </w:trPr>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59,390,579.09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71,806,414.00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-17.29%</w:t>
            </w:r>
          </w:p>
        </w:tc>
        <w:tc>
          <w:tcPr>
            <w:tcW w:w="41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7"/>
        <w:spacing w:line="240" w:lineRule="auto" w:before="36"/>
        <w:ind w:right="15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4" w:lineRule="auto"/>
        <w:ind w:right="153"/>
        <w:jc w:val="left"/>
      </w:pPr>
      <w:r>
        <w:rPr>
          <w:rFonts w:ascii="Times New Roman" w:hAnsi="Times New Roman" w:cs="Times New Roman" w:eastAsia="Times New Roman" w:hint="default"/>
          <w:spacing w:val="-1"/>
        </w:rPr>
        <w:t>1.</w:t>
      </w:r>
      <w:r>
        <w:rPr>
          <w:spacing w:val="-1"/>
        </w:rPr>
        <w:t>本公司开发支出分为研究阶段和开发阶段，研发项目进入开发阶段开始资本化，本年末公司资</w:t>
      </w:r>
      <w:r>
        <w:rPr>
          <w:w w:val="100"/>
        </w:rPr>
        <w:t> </w:t>
      </w:r>
      <w:r>
        <w:rPr/>
        <w:t>本化的项目均已进入开发阶段；</w:t>
      </w:r>
    </w:p>
    <w:p>
      <w:pPr>
        <w:spacing w:line="240" w:lineRule="auto" w:before="11"/>
        <w:rPr>
          <w:rFonts w:ascii="宋体" w:hAnsi="宋体" w:cs="宋体" w:eastAsia="宋体" w:hint="default"/>
          <w:sz w:val="19"/>
          <w:szCs w:val="19"/>
        </w:rPr>
      </w:pPr>
    </w:p>
    <w:p>
      <w:pPr>
        <w:pStyle w:val="Heading6"/>
        <w:spacing w:line="240" w:lineRule="auto"/>
        <w:ind w:left="592" w:right="153" w:firstLine="0"/>
        <w:jc w:val="left"/>
      </w:pPr>
      <w:r>
        <w:rPr>
          <w:rFonts w:ascii="Times New Roman" w:hAnsi="Times New Roman" w:cs="Times New Roman" w:eastAsia="Times New Roman" w:hint="default"/>
        </w:rPr>
        <w:t>2.</w:t>
      </w:r>
      <w:r>
        <w:rPr/>
        <w:t>公司研发支出主要用于自有软件产品的更新和新产品的研发；</w:t>
      </w:r>
    </w:p>
    <w:p>
      <w:pPr>
        <w:spacing w:line="240" w:lineRule="auto" w:before="12"/>
        <w:rPr>
          <w:rFonts w:ascii="宋体" w:hAnsi="宋体" w:cs="宋体" w:eastAsia="宋体" w:hint="default"/>
          <w:sz w:val="18"/>
          <w:szCs w:val="18"/>
        </w:rPr>
      </w:pPr>
    </w:p>
    <w:p>
      <w:pPr>
        <w:spacing w:line="244" w:lineRule="auto" w:before="0"/>
        <w:ind w:left="152" w:right="155" w:firstLine="439"/>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年度公司发生资本化项目支出，主要系本公司的开发项目：</w:t>
      </w:r>
      <w:r>
        <w:rPr>
          <w:rFonts w:ascii="Times New Roman" w:hAnsi="Times New Roman" w:cs="Times New Roman" w:eastAsia="Times New Roman" w:hint="default"/>
          <w:sz w:val="22"/>
          <w:szCs w:val="22"/>
        </w:rPr>
        <w:t>SWD-APP STORE</w:t>
      </w:r>
      <w:r>
        <w:rPr>
          <w:rFonts w:ascii="Times New Roman" w:hAnsi="Times New Roman" w:cs="Times New Roman" w:eastAsia="Times New Roman" w:hint="default"/>
          <w:spacing w:val="-6"/>
          <w:sz w:val="22"/>
          <w:szCs w:val="22"/>
        </w:rPr>
        <w:t> </w:t>
      </w:r>
      <w:r>
        <w:rPr>
          <w:rFonts w:ascii="Times New Roman" w:hAnsi="Times New Roman" w:cs="Times New Roman" w:eastAsia="Times New Roman" w:hint="default"/>
          <w:sz w:val="22"/>
          <w:szCs w:val="22"/>
        </w:rPr>
        <w:t>V2</w:t>
      </w:r>
      <w:r>
        <w:rPr>
          <w:rFonts w:ascii="宋体" w:hAnsi="宋体" w:cs="宋体" w:eastAsia="宋体" w:hint="default"/>
          <w:sz w:val="22"/>
          <w:szCs w:val="22"/>
        </w:rPr>
        <w:t>、供应商服</w:t>
      </w:r>
      <w:r>
        <w:rPr>
          <w:rFonts w:ascii="宋体" w:hAnsi="宋体" w:cs="宋体" w:eastAsia="宋体" w:hint="default"/>
          <w:w w:val="100"/>
          <w:sz w:val="22"/>
          <w:szCs w:val="22"/>
        </w:rPr>
        <w:t> </w:t>
      </w:r>
      <w:r>
        <w:rPr>
          <w:rFonts w:ascii="宋体" w:hAnsi="宋体" w:cs="宋体" w:eastAsia="宋体" w:hint="default"/>
          <w:sz w:val="22"/>
          <w:szCs w:val="22"/>
        </w:rPr>
        <w:t>务系统移动版等，详见本报告第十一节财务附注：七、</w:t>
      </w:r>
      <w:r>
        <w:rPr>
          <w:rFonts w:ascii="Times New Roman" w:hAnsi="Times New Roman" w:cs="Times New Roman" w:eastAsia="Times New Roman" w:hint="default"/>
          <w:sz w:val="22"/>
          <w:szCs w:val="22"/>
        </w:rPr>
        <w:t>15.</w:t>
      </w:r>
      <w:r>
        <w:rPr>
          <w:rFonts w:ascii="宋体" w:hAnsi="宋体" w:cs="宋体" w:eastAsia="宋体" w:hint="default"/>
          <w:sz w:val="22"/>
          <w:szCs w:val="22"/>
        </w:rPr>
        <w:t>开发支出。</w:t>
      </w:r>
    </w:p>
    <w:p>
      <w:pPr>
        <w:spacing w:line="240" w:lineRule="auto" w:before="10"/>
        <w:rPr>
          <w:rFonts w:ascii="宋体" w:hAnsi="宋体" w:cs="宋体" w:eastAsia="宋体" w:hint="default"/>
          <w:sz w:val="30"/>
          <w:szCs w:val="30"/>
        </w:rPr>
      </w:pPr>
    </w:p>
    <w:p>
      <w:pPr>
        <w:pStyle w:val="BodyText"/>
        <w:spacing w:line="240" w:lineRule="auto"/>
        <w:ind w:right="153"/>
        <w:jc w:val="left"/>
      </w:pPr>
      <w:r>
        <w:rPr/>
        <w:t>公司研发投入情况</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13"/>
        <w:gridCol w:w="2320"/>
        <w:gridCol w:w="2268"/>
        <w:gridCol w:w="2105"/>
      </w:tblGrid>
      <w:tr>
        <w:trPr>
          <w:trHeight w:val="401"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15.10%</w:t>
            </w:r>
          </w:p>
        </w:tc>
      </w:tr>
      <w:tr>
        <w:trPr>
          <w:trHeight w:val="401"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25.48%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287,409,944.76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155,010,559.97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85.41%</w:t>
            </w:r>
          </w:p>
        </w:tc>
      </w:tr>
      <w:tr>
        <w:trPr>
          <w:trHeight w:val="401"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r>
      <w:tr>
        <w:trPr>
          <w:trHeight w:val="403"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55,536,095.42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7,782,090.43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613.64%</w:t>
            </w:r>
          </w:p>
        </w:tc>
      </w:tr>
      <w:tr>
        <w:trPr>
          <w:trHeight w:val="401" w:hRule="exact"/>
        </w:trPr>
        <w:tc>
          <w:tcPr>
            <w:tcW w:w="2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3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49"/>
        <w:jc w:val="left"/>
      </w:pPr>
      <w:r>
        <w:rPr>
          <w:spacing w:val="-4"/>
          <w:w w:val="100"/>
        </w:rPr>
        <w:t>主要系本年各子公司加大研发投入，石基香港的子公司</w:t>
      </w:r>
      <w:r>
        <w:rPr>
          <w:rFonts w:ascii="Times New Roman" w:hAnsi="Times New Roman" w:cs="Times New Roman" w:eastAsia="Times New Roman" w:hint="default"/>
          <w:spacing w:val="-4"/>
          <w:w w:val="100"/>
        </w:rPr>
        <w:t>AC</w:t>
      </w:r>
      <w:r>
        <w:rPr>
          <w:spacing w:val="-4"/>
          <w:w w:val="100"/>
        </w:rPr>
        <w:t>期末自主研发资本化金额</w:t>
      </w:r>
      <w:r>
        <w:rPr>
          <w:rFonts w:ascii="Times New Roman" w:hAnsi="Times New Roman" w:cs="Times New Roman" w:eastAsia="Times New Roman" w:hint="default"/>
          <w:spacing w:val="-4"/>
          <w:w w:val="100"/>
        </w:rPr>
        <w:t>6000</w:t>
      </w:r>
      <w:r>
        <w:rPr>
          <w:spacing w:val="-4"/>
          <w:w w:val="100"/>
        </w:rPr>
        <w:t>万以及零售版块因</w:t>
      </w:r>
      <w:r>
        <w:rPr>
          <w:spacing w:val="-83"/>
          <w:w w:val="100"/>
        </w:rPr>
        <w:t> </w:t>
      </w:r>
      <w:r>
        <w:rPr>
          <w:spacing w:val="-83"/>
          <w:w w:val="100"/>
        </w:rPr>
      </w:r>
      <w:r>
        <w:rPr/>
        <w:t>新零售业务研究的云项目增加所致。</w:t>
      </w:r>
    </w:p>
    <w:p>
      <w:pPr>
        <w:spacing w:line="240" w:lineRule="auto" w:before="8"/>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83"/>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3,386,741,010.37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3,424,197,270.18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2,873,678,780.15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2,810,959,509.33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513,062,230.22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613,237,760.85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-16.34%</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3,613,787,792.45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2,222,190,115.71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62.62%</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5,244,085,265.04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2,143,895,104.73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144.61%</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-1,630,297,472.59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78,295,010.98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-2,182.25%</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242,287,536.94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38,526,214.64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297,621,284.62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72,910,123.45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20"/>
        <w:gridCol w:w="2268"/>
        <w:gridCol w:w="2268"/>
        <w:gridCol w:w="1983"/>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-55,333,747.68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-34,383,908.81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-60.93%</w:t>
            </w: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-1,171,236,361.93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657,392,521.43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-278.16%</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53" w:firstLine="434"/>
        <w:jc w:val="left"/>
      </w:pPr>
      <w:r>
        <w:rPr>
          <w:rFonts w:ascii="Times New Roman" w:hAnsi="Times New Roman" w:cs="Times New Roman" w:eastAsia="Times New Roman" w:hint="default"/>
          <w:spacing w:val="-2"/>
        </w:rPr>
        <w:t>1.</w:t>
      </w:r>
      <w:r>
        <w:rPr>
          <w:spacing w:val="-2"/>
        </w:rPr>
        <w:t>投资活动现金流入本期比上年同期增长</w:t>
      </w:r>
      <w:r>
        <w:rPr>
          <w:rFonts w:ascii="Times New Roman" w:hAnsi="Times New Roman" w:cs="Times New Roman" w:eastAsia="Times New Roman" w:hint="default"/>
          <w:spacing w:val="-2"/>
        </w:rPr>
        <w:t>62.62%</w:t>
      </w:r>
      <w:r>
        <w:rPr>
          <w:spacing w:val="-2"/>
        </w:rPr>
        <w:t>，主要系本期理财产品的购买频率较上年同期有所增</w:t>
      </w:r>
      <w:r>
        <w:rPr>
          <w:w w:val="100"/>
        </w:rPr>
        <w:t> </w:t>
      </w:r>
      <w:r>
        <w:rPr/>
        <w:t>加所致；</w:t>
      </w:r>
    </w:p>
    <w:p>
      <w:pPr>
        <w:pStyle w:val="BodyText"/>
        <w:spacing w:line="256" w:lineRule="auto" w:before="22"/>
        <w:ind w:right="153" w:firstLine="434"/>
        <w:jc w:val="left"/>
      </w:pPr>
      <w:r>
        <w:rPr>
          <w:rFonts w:ascii="Times New Roman" w:hAnsi="Times New Roman" w:cs="Times New Roman" w:eastAsia="Times New Roman" w:hint="default"/>
          <w:spacing w:val="-2"/>
        </w:rPr>
        <w:t>2.</w:t>
      </w:r>
      <w:r>
        <w:rPr>
          <w:spacing w:val="-2"/>
        </w:rPr>
        <w:t>投资活动现金流出本期比上年同期增长</w:t>
      </w:r>
      <w:r>
        <w:rPr>
          <w:rFonts w:ascii="Times New Roman" w:hAnsi="Times New Roman" w:cs="Times New Roman" w:eastAsia="Times New Roman" w:hint="default"/>
          <w:spacing w:val="-2"/>
        </w:rPr>
        <w:t>144.61%</w:t>
      </w:r>
      <w:r>
        <w:rPr>
          <w:spacing w:val="-2"/>
        </w:rPr>
        <w:t>，主要系本期理财产品的购买频率较上年同期有所</w:t>
      </w:r>
      <w:r>
        <w:rPr>
          <w:w w:val="100"/>
        </w:rPr>
        <w:t> </w:t>
      </w:r>
      <w:r>
        <w:rPr/>
        <w:t>增加所致；</w:t>
      </w:r>
    </w:p>
    <w:p>
      <w:pPr>
        <w:pStyle w:val="BodyText"/>
        <w:spacing w:line="256" w:lineRule="auto" w:before="22"/>
        <w:ind w:right="153" w:firstLine="434"/>
        <w:jc w:val="left"/>
      </w:pPr>
      <w:r>
        <w:rPr>
          <w:rFonts w:ascii="Times New Roman" w:hAnsi="Times New Roman" w:cs="Times New Roman" w:eastAsia="Times New Roman" w:hint="default"/>
          <w:w w:val="100"/>
        </w:rPr>
        <w:t>3.</w:t>
      </w:r>
      <w:r>
        <w:rPr>
          <w:rFonts w:ascii="Times New Roman" w:hAnsi="Times New Roman" w:cs="Times New Roman" w:eastAsia="Times New Roman" w:hint="default"/>
          <w:spacing w:val="10"/>
          <w:w w:val="100"/>
        </w:rPr>
        <w:t> </w:t>
      </w:r>
      <w:r>
        <w:rPr>
          <w:spacing w:val="-4"/>
          <w:w w:val="100"/>
        </w:rPr>
        <w:t>投资活动产生的现金流量净额本期较上年同期下降</w:t>
      </w:r>
      <w:r>
        <w:rPr>
          <w:rFonts w:ascii="Times New Roman" w:hAnsi="Times New Roman" w:cs="Times New Roman" w:eastAsia="Times New Roman" w:hint="default"/>
          <w:spacing w:val="-4"/>
          <w:w w:val="100"/>
        </w:rPr>
        <w:t>2182.25%</w:t>
      </w:r>
      <w:r>
        <w:rPr>
          <w:spacing w:val="-4"/>
          <w:w w:val="100"/>
        </w:rPr>
        <w:t>，主要系本期较上年同期购买的理财产</w:t>
      </w:r>
      <w:r>
        <w:rPr>
          <w:w w:val="100"/>
        </w:rPr>
        <w:t> </w:t>
      </w:r>
      <w:r>
        <w:rPr/>
        <w:t>品较多所致；</w:t>
      </w:r>
    </w:p>
    <w:p>
      <w:pPr>
        <w:pStyle w:val="BodyText"/>
        <w:spacing w:line="240" w:lineRule="auto" w:before="22"/>
        <w:ind w:left="587" w:right="153"/>
        <w:jc w:val="left"/>
      </w:pPr>
      <w:r>
        <w:rPr>
          <w:rFonts w:ascii="Times New Roman" w:hAnsi="Times New Roman" w:cs="Times New Roman" w:eastAsia="Times New Roman" w:hint="default"/>
        </w:rPr>
        <w:t>4.</w:t>
      </w:r>
      <w:r>
        <w:rPr/>
        <w:t>筹资活动现金流入本期比上年同期增长</w:t>
      </w:r>
      <w:r>
        <w:rPr>
          <w:rFonts w:ascii="Times New Roman" w:hAnsi="Times New Roman" w:cs="Times New Roman" w:eastAsia="Times New Roman" w:hint="default"/>
        </w:rPr>
        <w:t>528.89%</w:t>
      </w:r>
      <w:r>
        <w:rPr/>
        <w:t>，主要系比上年同期收到的长期借款较多所致；</w:t>
      </w:r>
    </w:p>
    <w:p>
      <w:pPr>
        <w:pStyle w:val="BodyText"/>
        <w:spacing w:line="259" w:lineRule="auto" w:before="21"/>
        <w:ind w:right="153" w:firstLine="434"/>
        <w:jc w:val="left"/>
      </w:pPr>
      <w:r>
        <w:rPr>
          <w:rFonts w:ascii="Times New Roman" w:hAnsi="Times New Roman" w:cs="Times New Roman" w:eastAsia="Times New Roman" w:hint="default"/>
          <w:spacing w:val="-3"/>
        </w:rPr>
        <w:t>5.</w:t>
      </w:r>
      <w:r>
        <w:rPr>
          <w:spacing w:val="-3"/>
        </w:rPr>
        <w:t>筹资活动现金流出本期比上年同期增长</w:t>
      </w:r>
      <w:r>
        <w:rPr>
          <w:rFonts w:ascii="Times New Roman" w:hAnsi="Times New Roman" w:cs="Times New Roman" w:eastAsia="Times New Roman" w:hint="default"/>
          <w:spacing w:val="-3"/>
        </w:rPr>
        <w:t>308.20%</w:t>
      </w:r>
      <w:r>
        <w:rPr>
          <w:spacing w:val="-3"/>
        </w:rPr>
        <w:t>，主要系本期新增长期借款的保函保证金</w:t>
      </w:r>
      <w:r>
        <w:rPr>
          <w:rFonts w:ascii="Times New Roman" w:hAnsi="Times New Roman" w:cs="Times New Roman" w:eastAsia="Times New Roman" w:hint="default"/>
          <w:spacing w:val="-3"/>
        </w:rPr>
        <w:t>2.22</w:t>
      </w:r>
      <w:r>
        <w:rPr>
          <w:spacing w:val="-3"/>
        </w:rPr>
        <w:t>亿，用</w:t>
      </w:r>
      <w:r>
        <w:rPr>
          <w:w w:val="100"/>
        </w:rPr>
        <w:t> </w:t>
      </w:r>
      <w:r>
        <w:rPr/>
        <w:t>于石基香港在卢森堡招行贷款所致；</w:t>
      </w:r>
    </w:p>
    <w:p>
      <w:pPr>
        <w:pStyle w:val="BodyText"/>
        <w:spacing w:line="256" w:lineRule="auto" w:before="20"/>
        <w:ind w:right="153" w:firstLine="434"/>
        <w:jc w:val="left"/>
      </w:pPr>
      <w:r>
        <w:rPr>
          <w:rFonts w:ascii="Times New Roman" w:hAnsi="Times New Roman" w:cs="Times New Roman" w:eastAsia="Times New Roman" w:hint="default"/>
          <w:spacing w:val="-2"/>
        </w:rPr>
        <w:t>6.</w:t>
      </w:r>
      <w:r>
        <w:rPr>
          <w:spacing w:val="-2"/>
        </w:rPr>
        <w:t>筹资活动产生的现金流量净额本期比上年同期下降</w:t>
      </w:r>
      <w:r>
        <w:rPr>
          <w:rFonts w:ascii="Times New Roman" w:hAnsi="Times New Roman" w:cs="Times New Roman" w:eastAsia="Times New Roman" w:hint="default"/>
          <w:spacing w:val="-2"/>
        </w:rPr>
        <w:t>60.93%</w:t>
      </w:r>
      <w:r>
        <w:rPr>
          <w:spacing w:val="-2"/>
        </w:rPr>
        <w:t>，主要系上年同期收回质押存款，而本期</w:t>
      </w:r>
      <w:r>
        <w:rPr>
          <w:w w:val="100"/>
        </w:rPr>
        <w:t> </w:t>
      </w:r>
      <w:r>
        <w:rPr/>
        <w:t>未有发生，导致净额大幅下降所致；</w:t>
      </w:r>
    </w:p>
    <w:p>
      <w:pPr>
        <w:pStyle w:val="BodyText"/>
        <w:spacing w:line="256" w:lineRule="auto" w:before="63"/>
        <w:ind w:right="153"/>
        <w:jc w:val="left"/>
      </w:pPr>
      <w:r>
        <w:rPr>
          <w:rFonts w:ascii="Times New Roman" w:hAnsi="Times New Roman" w:cs="Times New Roman" w:eastAsia="Times New Roman" w:hint="default"/>
          <w:spacing w:val="-4"/>
        </w:rPr>
        <w:t>7.</w:t>
      </w:r>
      <w:r>
        <w:rPr>
          <w:spacing w:val="-4"/>
        </w:rPr>
        <w:t>现金及现金等价物净增加额本期较上年同期下降</w:t>
      </w:r>
      <w:r>
        <w:rPr>
          <w:rFonts w:ascii="Times New Roman" w:hAnsi="Times New Roman" w:cs="Times New Roman" w:eastAsia="Times New Roman" w:hint="default"/>
          <w:spacing w:val="-4"/>
        </w:rPr>
        <w:t>278.16%</w:t>
      </w:r>
      <w:r>
        <w:rPr>
          <w:spacing w:val="-4"/>
        </w:rPr>
        <w:t>，主要系本期购买的理财产品较多，现金流出较 </w:t>
      </w:r>
      <w:r>
        <w:rPr/>
        <w:t>多所致。</w:t>
      </w:r>
    </w:p>
    <w:p>
      <w:pPr>
        <w:spacing w:line="240" w:lineRule="auto" w:before="0"/>
        <w:rPr>
          <w:rFonts w:ascii="宋体" w:hAnsi="宋体" w:cs="宋体" w:eastAsia="宋体" w:hint="default"/>
          <w:sz w:val="20"/>
          <w:szCs w:val="20"/>
        </w:rPr>
      </w:pPr>
    </w:p>
    <w:p>
      <w:pPr>
        <w:spacing w:before="172"/>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507"/>
        <w:gridCol w:w="1318"/>
        <w:gridCol w:w="1496"/>
        <w:gridCol w:w="1315"/>
        <w:gridCol w:w="958"/>
        <w:gridCol w:w="1316"/>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8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2824" w:type="dxa"/>
            <w:gridSpan w:val="2"/>
            <w:vMerge/>
            <w:tcBorders>
              <w:left w:val="single" w:sz="4" w:space="0" w:color="000000"/>
              <w:bottom w:val="single" w:sz="4" w:space="0" w:color="000000"/>
              <w:right w:val="single" w:sz="4" w:space="0" w:color="000000"/>
            </w:tcBorders>
            <w:shd w:val="clear" w:color="auto" w:fill="D2D2D2"/>
          </w:tcPr>
          <w:p>
            <w:pPr/>
          </w:p>
        </w:tc>
        <w:tc>
          <w:tcPr>
            <w:tcW w:w="2811" w:type="dxa"/>
            <w:gridSpan w:val="2"/>
            <w:vMerge/>
            <w:tcBorders>
              <w:left w:val="single" w:sz="4" w:space="0" w:color="000000"/>
              <w:bottom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58"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496"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1,714,961,087.82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2,644,765,481.81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-18.39%</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441,234,382.22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342,576,439.79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271,557,513.71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262,444,226.14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56,328,348.58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106,243,764.19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353,173,204.23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557,307,067.59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328,105,170.26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350,295,620.18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52,062,798.61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13,540,623.15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16,384,830.73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49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2"/>
        <w:gridCol w:w="1496"/>
        <w:gridCol w:w="1318"/>
        <w:gridCol w:w="1496"/>
        <w:gridCol w:w="1315"/>
        <w:gridCol w:w="958"/>
        <w:gridCol w:w="1316"/>
      </w:tblGrid>
      <w:tr>
        <w:trPr>
          <w:trHeight w:val="403"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208,467,614.63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8" w:right="0"/>
              <w:jc w:val="left"/>
              <w:rPr>
                <w:rFonts w:ascii="Times New Roman" w:hAnsi="Times New Roman" w:cs="Times New Roman" w:eastAsia="Times New Roman" w:hint="default"/>
                <w:sz w:val="18"/>
                <w:szCs w:val="18"/>
              </w:rPr>
            </w:pPr>
            <w:r>
              <w:rPr>
                <w:rFonts w:ascii="Times New Roman"/>
                <w:sz w:val="18"/>
              </w:rPr>
              <w:t>3.07%</w:t>
            </w:r>
          </w:p>
        </w:tc>
        <w:tc>
          <w:tcPr>
            <w:tcW w:w="149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8"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3.07%</w:t>
            </w: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07"/>
        <w:gridCol w:w="2765"/>
        <w:gridCol w:w="3685"/>
      </w:tblGrid>
      <w:tr>
        <w:trPr>
          <w:trHeight w:val="346"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5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2"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258,472,553.25</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融资性保函保证金及票据保证金等</w:t>
            </w:r>
          </w:p>
        </w:tc>
      </w:tr>
      <w:tr>
        <w:trPr>
          <w:trHeight w:val="346"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2,646,191.10</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国家机关维修基金</w:t>
            </w:r>
          </w:p>
        </w:tc>
      </w:tr>
      <w:tr>
        <w:trPr>
          <w:trHeight w:val="34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27,798,254.10</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抵押担保</w:t>
            </w:r>
          </w:p>
        </w:tc>
      </w:tr>
      <w:tr>
        <w:trPr>
          <w:trHeight w:val="349"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9,339,925.62</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抵押担保</w:t>
            </w:r>
          </w:p>
        </w:tc>
      </w:tr>
      <w:tr>
        <w:trPr>
          <w:trHeight w:val="346"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5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298,256,924.07</w:t>
            </w:r>
            <w:r>
              <w:rPr>
                <w:rFonts w:ascii="Times New Roman"/>
                <w:spacing w:val="-1"/>
                <w:sz w:val="18"/>
              </w:rPr>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7"/>
              <w:jc w:val="righ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501,959,399.73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1,132,859,421.11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77"/>
              <w:jc w:val="right"/>
              <w:rPr>
                <w:rFonts w:ascii="Times New Roman" w:hAnsi="Times New Roman" w:cs="Times New Roman" w:eastAsia="Times New Roman" w:hint="default"/>
                <w:sz w:val="18"/>
                <w:szCs w:val="18"/>
              </w:rPr>
            </w:pPr>
            <w:r>
              <w:rPr>
                <w:rFonts w:ascii="Times New Roman"/>
                <w:sz w:val="18"/>
              </w:rPr>
              <w:t>-55.69%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994"/>
        <w:gridCol w:w="1982"/>
        <w:gridCol w:w="427"/>
        <w:gridCol w:w="850"/>
        <w:gridCol w:w="566"/>
        <w:gridCol w:w="425"/>
        <w:gridCol w:w="852"/>
        <w:gridCol w:w="425"/>
        <w:gridCol w:w="425"/>
        <w:gridCol w:w="2268"/>
        <w:gridCol w:w="566"/>
        <w:gridCol w:w="710"/>
        <w:gridCol w:w="566"/>
        <w:gridCol w:w="850"/>
        <w:gridCol w:w="2081"/>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1" w:right="41" w:hanging="272"/>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9" w:right="46" w:hanging="990"/>
              <w:jc w:val="left"/>
              <w:rPr>
                <w:rFonts w:ascii="宋体" w:hAnsi="宋体" w:cs="宋体" w:eastAsia="宋体" w:hint="default"/>
                <w:sz w:val="18"/>
                <w:szCs w:val="18"/>
              </w:rPr>
            </w:pPr>
            <w:r>
              <w:rPr>
                <w:rFonts w:ascii="宋体" w:hAnsi="宋体" w:cs="宋体" w:eastAsia="宋体" w:hint="default"/>
                <w:sz w:val="18"/>
                <w:szCs w:val="18"/>
              </w:rPr>
              <w:t>截至资产负债表日的进展情 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5" w:right="9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3" w:right="31"/>
              <w:jc w:val="left"/>
              <w:rPr>
                <w:rFonts w:ascii="Times New Roman" w:hAnsi="Times New Roman" w:cs="Times New Roman" w:eastAsia="Times New Roman" w:hint="default"/>
                <w:sz w:val="18"/>
                <w:szCs w:val="18"/>
              </w:rPr>
            </w:pPr>
            <w:r>
              <w:rPr>
                <w:rFonts w:ascii="Times New Roman"/>
                <w:sz w:val="18"/>
              </w:rPr>
              <w:t>ReviewRank S.A.</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49"/>
              <w:jc w:val="left"/>
              <w:rPr>
                <w:rFonts w:ascii="宋体" w:hAnsi="宋体" w:cs="宋体" w:eastAsia="宋体" w:hint="default"/>
                <w:sz w:val="18"/>
                <w:szCs w:val="18"/>
              </w:rPr>
            </w:pPr>
            <w:r>
              <w:rPr>
                <w:rFonts w:ascii="宋体" w:hAnsi="宋体" w:cs="宋体" w:eastAsia="宋体" w:hint="default"/>
                <w:sz w:val="18"/>
                <w:szCs w:val="18"/>
              </w:rPr>
              <w:t>主要从事酒店业客房智 能技术解决方案等业务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192,612,7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61.07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RR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 全体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 股东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1,255,37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pacing w:val="-16"/>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pStyle w:val="TableParagraph"/>
              <w:spacing w:line="309" w:lineRule="auto" w:before="19"/>
              <w:ind w:left="24" w:right="65"/>
              <w:jc w:val="both"/>
              <w:rPr>
                <w:rFonts w:ascii="宋体" w:hAnsi="宋体" w:cs="宋体" w:eastAsia="宋体" w:hint="default"/>
                <w:sz w:val="18"/>
                <w:szCs w:val="18"/>
              </w:rPr>
            </w:pPr>
            <w:r>
              <w:rPr>
                <w:rFonts w:ascii="宋体" w:hAnsi="宋体" w:cs="宋体" w:eastAsia="宋体" w:hint="default"/>
                <w:sz w:val="18"/>
                <w:szCs w:val="18"/>
              </w:rPr>
              <w:t>《关于公司全资子公司收 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Review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Rank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S.A.</w:t>
            </w:r>
            <w:r>
              <w:rPr>
                <w:rFonts w:ascii="宋体" w:hAnsi="宋体" w:cs="宋体" w:eastAsia="宋体" w:hint="default"/>
                <w:sz w:val="18"/>
                <w:szCs w:val="18"/>
              </w:rPr>
              <w:t>股权 及相关事项的公告》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w:t>
            </w:r>
            <w:r>
              <w:rPr>
                <w:rFonts w:ascii="宋体" w:hAnsi="宋体" w:cs="宋体" w:eastAsia="宋体" w:hint="default"/>
                <w:sz w:val="18"/>
                <w:szCs w:val="18"/>
              </w:rPr>
              <w:t>）</w:t>
            </w:r>
          </w:p>
        </w:tc>
      </w:tr>
      <w:tr>
        <w:trPr>
          <w:trHeight w:val="165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GalasysPLC</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1" w:right="149"/>
              <w:jc w:val="left"/>
              <w:rPr>
                <w:rFonts w:ascii="宋体" w:hAnsi="宋体" w:cs="宋体" w:eastAsia="宋体" w:hint="default"/>
                <w:sz w:val="18"/>
                <w:szCs w:val="18"/>
              </w:rPr>
            </w:pPr>
            <w:r>
              <w:rPr>
                <w:rFonts w:ascii="宋体" w:hAnsi="宋体" w:cs="宋体" w:eastAsia="宋体" w:hint="default"/>
                <w:sz w:val="18"/>
                <w:szCs w:val="18"/>
              </w:rPr>
              <w:t>主要为主题公园提供服 务和解决方案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133,859,3</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38.15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3" w:right="96"/>
              <w:jc w:val="both"/>
              <w:rPr>
                <w:rFonts w:ascii="宋体" w:hAnsi="宋体" w:cs="宋体" w:eastAsia="宋体" w:hint="default"/>
                <w:sz w:val="18"/>
                <w:szCs w:val="18"/>
              </w:rPr>
            </w:pPr>
            <w:r>
              <w:rPr>
                <w:rFonts w:ascii="宋体" w:hAnsi="宋体" w:cs="宋体" w:eastAsia="宋体" w:hint="default"/>
                <w:sz w:val="18"/>
                <w:szCs w:val="18"/>
              </w:rPr>
              <w:t>标的公司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名创始 人股东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8,633,65</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both"/>
              <w:rPr>
                <w:rFonts w:ascii="宋体" w:hAnsi="宋体" w:cs="宋体" w:eastAsia="宋体" w:hint="default"/>
                <w:sz w:val="18"/>
                <w:szCs w:val="18"/>
              </w:rPr>
            </w:pPr>
            <w:r>
              <w:rPr>
                <w:rFonts w:ascii="宋体" w:hAnsi="宋体" w:cs="宋体" w:eastAsia="宋体" w:hint="default"/>
                <w:spacing w:val="-16"/>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pStyle w:val="TableParagraph"/>
              <w:spacing w:line="309" w:lineRule="auto" w:before="20"/>
              <w:ind w:left="24" w:right="65"/>
              <w:jc w:val="both"/>
              <w:rPr>
                <w:rFonts w:ascii="宋体" w:hAnsi="宋体" w:cs="宋体" w:eastAsia="宋体" w:hint="default"/>
                <w:sz w:val="18"/>
                <w:szCs w:val="18"/>
              </w:rPr>
            </w:pPr>
            <w:r>
              <w:rPr>
                <w:rFonts w:ascii="宋体" w:hAnsi="宋体" w:cs="宋体" w:eastAsia="宋体" w:hint="default"/>
                <w:sz w:val="18"/>
                <w:szCs w:val="18"/>
              </w:rPr>
              <w:t>《关于全资子公司对外投 资控股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 </w:t>
            </w:r>
            <w:r>
              <w:rPr>
                <w:rFonts w:ascii="宋体" w:hAnsi="宋体" w:cs="宋体" w:eastAsia="宋体" w:hint="default"/>
                <w:spacing w:val="-7"/>
                <w:sz w:val="18"/>
                <w:szCs w:val="18"/>
              </w:rPr>
              <w:t>的公告》（</w:t>
            </w:r>
            <w:r>
              <w:rPr>
                <w:rFonts w:ascii="Times New Roman" w:hAnsi="Times New Roman" w:cs="Times New Roman" w:eastAsia="Times New Roman" w:hint="default"/>
                <w:spacing w:val="-7"/>
                <w:sz w:val="18"/>
                <w:szCs w:val="18"/>
              </w:rPr>
              <w:t>2017-45</w:t>
            </w:r>
            <w:r>
              <w:rPr>
                <w:rFonts w:ascii="宋体" w:hAnsi="宋体" w:cs="宋体" w:eastAsia="宋体" w:hint="default"/>
                <w:spacing w:val="-7"/>
                <w:sz w:val="18"/>
                <w:szCs w:val="18"/>
              </w:rPr>
              <w:t>）</w:t>
            </w:r>
          </w:p>
        </w:tc>
      </w:tr>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3" w:right="98"/>
              <w:jc w:val="both"/>
              <w:rPr>
                <w:rFonts w:ascii="Times New Roman" w:hAnsi="Times New Roman" w:cs="Times New Roman" w:eastAsia="Times New Roman" w:hint="default"/>
                <w:sz w:val="18"/>
                <w:szCs w:val="18"/>
              </w:rPr>
            </w:pPr>
            <w:r>
              <w:rPr>
                <w:rFonts w:ascii="Times New Roman"/>
                <w:sz w:val="18"/>
              </w:rPr>
              <w:t>Shiji</w:t>
            </w:r>
            <w:r>
              <w:rPr>
                <w:rFonts w:ascii="Times New Roman"/>
                <w:spacing w:val="-2"/>
                <w:sz w:val="18"/>
              </w:rPr>
              <w:t> </w:t>
            </w:r>
            <w:r>
              <w:rPr>
                <w:rFonts w:ascii="Times New Roman"/>
                <w:sz w:val="18"/>
              </w:rPr>
              <w:t>Retail</w:t>
            </w:r>
            <w:r>
              <w:rPr>
                <w:rFonts w:ascii="Times New Roman"/>
                <w:sz w:val="18"/>
              </w:rPr>
              <w:t> Information Technology Co.</w:t>
            </w:r>
            <w:r>
              <w:rPr>
                <w:rFonts w:ascii="Times New Roman"/>
                <w:spacing w:val="-2"/>
                <w:sz w:val="18"/>
              </w:rPr>
              <w:t> </w:t>
            </w:r>
            <w:r>
              <w:rPr>
                <w:rFonts w:ascii="Times New Roman"/>
                <w:sz w:val="18"/>
              </w:rPr>
              <w:t>Ltd</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49"/>
              <w:jc w:val="left"/>
              <w:rPr>
                <w:rFonts w:ascii="宋体" w:hAnsi="宋体" w:cs="宋体" w:eastAsia="宋体" w:hint="default"/>
                <w:sz w:val="18"/>
                <w:szCs w:val="18"/>
              </w:rPr>
            </w:pPr>
            <w:r>
              <w:rPr>
                <w:rFonts w:ascii="宋体" w:hAnsi="宋体" w:cs="宋体" w:eastAsia="宋体" w:hint="default"/>
                <w:sz w:val="18"/>
                <w:szCs w:val="18"/>
              </w:rPr>
              <w:t>主要从事零售信息系统 业务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增资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123,860,1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81.10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7"/>
              <w:jc w:val="left"/>
              <w:rPr>
                <w:rFonts w:ascii="Times New Roman" w:hAnsi="Times New Roman" w:cs="Times New Roman" w:eastAsia="Times New Roman" w:hint="default"/>
                <w:sz w:val="18"/>
                <w:szCs w:val="18"/>
              </w:rPr>
            </w:pPr>
            <w:r>
              <w:rPr>
                <w:rFonts w:ascii="Times New Roman"/>
                <w:sz w:val="18"/>
              </w:rPr>
              <w:t>Shiji Retail Informatio n Technolog y Co.</w:t>
            </w:r>
            <w:r>
              <w:rPr>
                <w:rFonts w:ascii="Times New Roman"/>
                <w:spacing w:val="-6"/>
                <w:sz w:val="18"/>
              </w:rPr>
              <w:t> </w:t>
            </w:r>
            <w:r>
              <w:rPr>
                <w:rFonts w:ascii="Times New Roman"/>
                <w:sz w:val="18"/>
              </w:rPr>
              <w:t>Ltd</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81,583,9</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3" w:right="53"/>
              <w:jc w:val="left"/>
              <w:rPr>
                <w:rFonts w:ascii="Times New Roman" w:hAnsi="Times New Roman" w:cs="Times New Roman" w:eastAsia="Times New Roman" w:hint="default"/>
                <w:sz w:val="18"/>
                <w:szCs w:val="18"/>
              </w:rPr>
            </w:pPr>
            <w:r>
              <w:rPr>
                <w:rFonts w:ascii="Times New Roman"/>
                <w:sz w:val="18"/>
              </w:rPr>
              <w:t>Kalibri</w:t>
            </w:r>
            <w:r>
              <w:rPr>
                <w:rFonts w:ascii="Times New Roman"/>
                <w:spacing w:val="-3"/>
                <w:sz w:val="18"/>
              </w:rPr>
              <w:t> </w:t>
            </w:r>
            <w:r>
              <w:rPr>
                <w:rFonts w:ascii="Times New Roman"/>
                <w:sz w:val="18"/>
              </w:rPr>
              <w:t>Labs</w:t>
            </w:r>
            <w:r>
              <w:rPr>
                <w:rFonts w:ascii="Times New Roman"/>
                <w:w w:val="99"/>
                <w:sz w:val="18"/>
              </w:rPr>
              <w:t> </w:t>
            </w:r>
            <w:r>
              <w:rPr>
                <w:rFonts w:ascii="Times New Roman"/>
                <w:sz w:val="18"/>
              </w:rPr>
              <w:t>LLC</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149"/>
              <w:jc w:val="left"/>
              <w:rPr>
                <w:rFonts w:ascii="宋体" w:hAnsi="宋体" w:cs="宋体" w:eastAsia="宋体" w:hint="default"/>
                <w:sz w:val="18"/>
                <w:szCs w:val="18"/>
              </w:rPr>
            </w:pPr>
            <w:r>
              <w:rPr>
                <w:rFonts w:ascii="宋体" w:hAnsi="宋体" w:cs="宋体" w:eastAsia="宋体" w:hint="default"/>
                <w:sz w:val="18"/>
                <w:szCs w:val="18"/>
              </w:rPr>
              <w:t>主要从事酒店大数据等 业务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增资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26,136,80</w:t>
            </w:r>
          </w:p>
          <w:p>
            <w:pPr>
              <w:pStyle w:val="TableParagraph"/>
              <w:spacing w:line="240" w:lineRule="auto" w:before="103"/>
              <w:ind w:left="501"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3" w:right="84"/>
              <w:jc w:val="left"/>
              <w:rPr>
                <w:rFonts w:ascii="Times New Roman" w:hAnsi="Times New Roman" w:cs="Times New Roman" w:eastAsia="Times New Roman" w:hint="default"/>
                <w:sz w:val="18"/>
                <w:szCs w:val="18"/>
              </w:rPr>
            </w:pPr>
            <w:r>
              <w:rPr>
                <w:rFonts w:ascii="Times New Roman"/>
                <w:sz w:val="18"/>
              </w:rPr>
              <w:t>Kalibri Labs</w:t>
            </w:r>
            <w:r>
              <w:rPr>
                <w:rFonts w:ascii="Times New Roman"/>
                <w:spacing w:val="-4"/>
                <w:sz w:val="18"/>
              </w:rPr>
              <w:t> </w:t>
            </w:r>
            <w:r>
              <w:rPr>
                <w:rFonts w:ascii="Times New Roman"/>
                <w:sz w:val="18"/>
              </w:rPr>
              <w:t>LLC</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170"/>
              <w:jc w:val="left"/>
              <w:rPr>
                <w:rFonts w:ascii="Times New Roman" w:hAnsi="Times New Roman" w:cs="Times New Roman" w:eastAsia="Times New Roman" w:hint="default"/>
                <w:sz w:val="18"/>
                <w:szCs w:val="18"/>
              </w:rPr>
            </w:pPr>
            <w:r>
              <w:rPr>
                <w:rFonts w:ascii="Times New Roman"/>
                <w:spacing w:val="-2"/>
                <w:sz w:val="18"/>
              </w:rPr>
              <w:t>Touchpeak</w:t>
            </w:r>
            <w:r>
              <w:rPr>
                <w:rFonts w:ascii="Times New Roman"/>
                <w:spacing w:val="-40"/>
                <w:sz w:val="18"/>
              </w:rPr>
              <w:t> </w:t>
            </w:r>
            <w:r>
              <w:rPr>
                <w:rFonts w:ascii="Times New Roman"/>
                <w:spacing w:val="-40"/>
                <w:sz w:val="18"/>
              </w:rPr>
            </w:r>
            <w:r>
              <w:rPr>
                <w:rFonts w:ascii="Times New Roman"/>
                <w:sz w:val="18"/>
              </w:rPr>
              <w:t>Software</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9"/>
              <w:jc w:val="left"/>
              <w:rPr>
                <w:rFonts w:ascii="宋体" w:hAnsi="宋体" w:cs="宋体" w:eastAsia="宋体" w:hint="default"/>
                <w:sz w:val="18"/>
                <w:szCs w:val="18"/>
              </w:rPr>
            </w:pPr>
            <w:r>
              <w:rPr>
                <w:rFonts w:ascii="宋体" w:hAnsi="宋体" w:cs="宋体" w:eastAsia="宋体" w:hint="default"/>
                <w:sz w:val="18"/>
                <w:szCs w:val="18"/>
              </w:rPr>
              <w:t>主要从事支付方案等业 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增资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9,801,347.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28"/>
              <w:jc w:val="left"/>
              <w:rPr>
                <w:rFonts w:ascii="Times New Roman" w:hAnsi="Times New Roman" w:cs="Times New Roman" w:eastAsia="Times New Roman" w:hint="default"/>
                <w:sz w:val="18"/>
                <w:szCs w:val="18"/>
              </w:rPr>
            </w:pPr>
            <w:r>
              <w:rPr>
                <w:rFonts w:ascii="Times New Roman"/>
                <w:spacing w:val="-2"/>
                <w:sz w:val="18"/>
              </w:rPr>
              <w:t>Touchpeak</w:t>
            </w:r>
            <w:r>
              <w:rPr>
                <w:rFonts w:ascii="Times New Roman"/>
                <w:spacing w:val="-40"/>
                <w:sz w:val="18"/>
              </w:rPr>
              <w:t> </w:t>
            </w:r>
            <w:r>
              <w:rPr>
                <w:rFonts w:ascii="Times New Roman"/>
                <w:spacing w:val="-40"/>
                <w:sz w:val="18"/>
              </w:rPr>
            </w:r>
            <w:r>
              <w:rPr>
                <w:rFonts w:ascii="Times New Roman"/>
                <w:sz w:val="18"/>
              </w:rPr>
              <w:t>Software</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72"/>
              <w:jc w:val="left"/>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-362,856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67" w:footer="980" w:top="1060" w:bottom="1160" w:left="1300" w:right="1280"/>
          <w:pgNumType w:start="3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994"/>
        <w:gridCol w:w="1982"/>
        <w:gridCol w:w="427"/>
        <w:gridCol w:w="850"/>
        <w:gridCol w:w="566"/>
        <w:gridCol w:w="425"/>
        <w:gridCol w:w="852"/>
        <w:gridCol w:w="425"/>
        <w:gridCol w:w="425"/>
        <w:gridCol w:w="2268"/>
        <w:gridCol w:w="566"/>
        <w:gridCol w:w="710"/>
        <w:gridCol w:w="566"/>
        <w:gridCol w:w="850"/>
        <w:gridCol w:w="2081"/>
      </w:tblGrid>
      <w:tr>
        <w:trPr>
          <w:trHeight w:val="377" w:hRule="exact"/>
        </w:trPr>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Inc</w:t>
            </w:r>
          </w:p>
        </w:tc>
        <w:tc>
          <w:tcPr>
            <w:tcW w:w="1982"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Inc</w:t>
            </w: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48"/>
              <w:jc w:val="center"/>
              <w:rPr>
                <w:rFonts w:ascii="宋体" w:hAnsi="宋体" w:cs="宋体" w:eastAsia="宋体" w:hint="default"/>
                <w:sz w:val="18"/>
                <w:szCs w:val="18"/>
              </w:rPr>
            </w:pPr>
            <w:r>
              <w:rPr>
                <w:rFonts w:ascii="宋体" w:hAnsi="宋体" w:cs="宋体" w:eastAsia="宋体" w:hint="default"/>
                <w:sz w:val="18"/>
                <w:szCs w:val="18"/>
              </w:rPr>
              <w:t>涉及的债权债务已全部转移</w:t>
            </w:r>
          </w:p>
        </w:tc>
        <w:tc>
          <w:tcPr>
            <w:tcW w:w="56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2081"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3" w:right="296"/>
              <w:jc w:val="left"/>
              <w:rPr>
                <w:rFonts w:ascii="Times New Roman" w:hAnsi="Times New Roman" w:cs="Times New Roman" w:eastAsia="Times New Roman" w:hint="default"/>
                <w:sz w:val="18"/>
                <w:szCs w:val="18"/>
              </w:rPr>
            </w:pPr>
            <w:r>
              <w:rPr>
                <w:rFonts w:ascii="Times New Roman"/>
                <w:sz w:val="18"/>
              </w:rPr>
              <w:t>Snapshot GmbH</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主要从事酒店数据平台 </w:t>
            </w:r>
            <w:r>
              <w:rPr>
                <w:rFonts w:ascii="宋体" w:hAnsi="宋体" w:cs="宋体" w:eastAsia="宋体" w:hint="default"/>
                <w:spacing w:val="-5"/>
                <w:sz w:val="18"/>
                <w:szCs w:val="18"/>
              </w:rPr>
              <w:t>的建设与应用开发、酒店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商业策略等线上线下培 训及酒店需求管理咨询 服务三大类业务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增资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5,048,082.</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3" w:right="154"/>
              <w:jc w:val="left"/>
              <w:rPr>
                <w:rFonts w:ascii="Times New Roman" w:hAnsi="Times New Roman" w:cs="Times New Roman" w:eastAsia="Times New Roman" w:hint="default"/>
                <w:sz w:val="18"/>
                <w:szCs w:val="18"/>
              </w:rPr>
            </w:pPr>
            <w:r>
              <w:rPr>
                <w:rFonts w:ascii="Times New Roman"/>
                <w:sz w:val="18"/>
              </w:rPr>
              <w:t>Snapshot GmbH</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-29,621,</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792.49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52"/>
              <w:jc w:val="left"/>
              <w:rPr>
                <w:rFonts w:ascii="Times New Roman" w:hAnsi="Times New Roman" w:cs="Times New Roman" w:eastAsia="Times New Roman" w:hint="default"/>
                <w:sz w:val="18"/>
                <w:szCs w:val="18"/>
              </w:rPr>
            </w:pPr>
            <w:r>
              <w:rPr>
                <w:rFonts w:ascii="Times New Roman"/>
                <w:sz w:val="18"/>
              </w:rPr>
              <w:t>AC</w:t>
            </w:r>
            <w:r>
              <w:rPr>
                <w:rFonts w:ascii="Times New Roman"/>
                <w:spacing w:val="-2"/>
                <w:sz w:val="18"/>
              </w:rPr>
              <w:t> </w:t>
            </w:r>
            <w:r>
              <w:rPr>
                <w:rFonts w:ascii="Times New Roman"/>
                <w:sz w:val="18"/>
              </w:rPr>
              <w:t>Project</w:t>
            </w:r>
            <w:r>
              <w:rPr>
                <w:rFonts w:ascii="Times New Roman"/>
                <w:w w:val="99"/>
                <w:sz w:val="18"/>
              </w:rPr>
              <w:t> </w:t>
            </w:r>
            <w:r>
              <w:rPr>
                <w:rFonts w:ascii="Times New Roman"/>
                <w:sz w:val="18"/>
              </w:rPr>
              <w:t>GmbH</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49"/>
              <w:jc w:val="left"/>
              <w:rPr>
                <w:rFonts w:ascii="宋体" w:hAnsi="宋体" w:cs="宋体" w:eastAsia="宋体" w:hint="default"/>
                <w:sz w:val="18"/>
                <w:szCs w:val="18"/>
              </w:rPr>
            </w:pPr>
            <w:r>
              <w:rPr>
                <w:rFonts w:ascii="宋体" w:hAnsi="宋体" w:cs="宋体" w:eastAsia="宋体" w:hint="default"/>
                <w:sz w:val="18"/>
                <w:szCs w:val="18"/>
              </w:rPr>
              <w:t>酒店管理系统开发与销 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增资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AC</w:t>
            </w:r>
          </w:p>
          <w:p>
            <w:pPr>
              <w:pStyle w:val="TableParagraph"/>
              <w:spacing w:line="362" w:lineRule="auto" w:before="105"/>
              <w:ind w:left="23" w:right="305"/>
              <w:jc w:val="left"/>
              <w:rPr>
                <w:rFonts w:ascii="Times New Roman" w:hAnsi="Times New Roman" w:cs="Times New Roman" w:eastAsia="Times New Roman" w:hint="default"/>
                <w:sz w:val="18"/>
                <w:szCs w:val="18"/>
              </w:rPr>
            </w:pPr>
            <w:r>
              <w:rPr>
                <w:rFonts w:ascii="Times New Roman"/>
                <w:sz w:val="18"/>
              </w:rPr>
              <w:t>Project</w:t>
            </w:r>
            <w:r>
              <w:rPr>
                <w:rFonts w:ascii="Times New Roman"/>
                <w:w w:val="99"/>
                <w:sz w:val="18"/>
              </w:rPr>
              <w:t> </w:t>
            </w:r>
            <w:r>
              <w:rPr>
                <w:rFonts w:ascii="Times New Roman"/>
                <w:sz w:val="18"/>
              </w:rPr>
              <w:t>GmbH</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-7,495,5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47.72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04"/>
              <w:jc w:val="left"/>
              <w:rPr>
                <w:rFonts w:ascii="Times New Roman" w:hAnsi="Times New Roman" w:cs="Times New Roman" w:eastAsia="Times New Roman" w:hint="default"/>
                <w:sz w:val="18"/>
                <w:szCs w:val="18"/>
              </w:rPr>
            </w:pPr>
            <w:r>
              <w:rPr>
                <w:rFonts w:ascii="Times New Roman"/>
                <w:sz w:val="18"/>
              </w:rPr>
              <w:t>Stay </w:t>
            </w:r>
            <w:r>
              <w:rPr>
                <w:rFonts w:ascii="Times New Roman"/>
                <w:spacing w:val="-3"/>
                <w:sz w:val="18"/>
              </w:rPr>
              <w:t>NTouch</w:t>
            </w:r>
            <w:r>
              <w:rPr>
                <w:rFonts w:ascii="Times New Roman"/>
                <w:spacing w:val="5"/>
                <w:sz w:val="18"/>
              </w:rPr>
              <w:t> </w:t>
            </w:r>
            <w:r>
              <w:rPr>
                <w:rFonts w:ascii="Times New Roman"/>
                <w:sz w:val="18"/>
              </w:rPr>
              <w:t>Inc</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49"/>
              <w:jc w:val="left"/>
              <w:rPr>
                <w:rFonts w:ascii="宋体" w:hAnsi="宋体" w:cs="宋体" w:eastAsia="宋体" w:hint="default"/>
                <w:sz w:val="18"/>
                <w:szCs w:val="18"/>
              </w:rPr>
            </w:pPr>
            <w:r>
              <w:rPr>
                <w:rFonts w:ascii="宋体" w:hAnsi="宋体" w:cs="宋体" w:eastAsia="宋体" w:hint="default"/>
                <w:sz w:val="18"/>
                <w:szCs w:val="18"/>
              </w:rPr>
              <w:t>主要从事酒店管理系统 开发与销售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增资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6,527,083.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39"/>
              <w:jc w:val="left"/>
              <w:rPr>
                <w:rFonts w:ascii="Times New Roman" w:hAnsi="Times New Roman" w:cs="Times New Roman" w:eastAsia="Times New Roman" w:hint="default"/>
                <w:sz w:val="18"/>
                <w:szCs w:val="18"/>
              </w:rPr>
            </w:pPr>
            <w:r>
              <w:rPr>
                <w:rFonts w:ascii="Times New Roman"/>
                <w:sz w:val="18"/>
              </w:rPr>
              <w:t>Stay </w:t>
            </w:r>
            <w:r>
              <w:rPr>
                <w:rFonts w:ascii="Times New Roman"/>
                <w:spacing w:val="-3"/>
                <w:sz w:val="18"/>
              </w:rPr>
              <w:t>NTouch</w:t>
            </w:r>
            <w:r>
              <w:rPr>
                <w:rFonts w:ascii="Times New Roman"/>
                <w:spacing w:val="-42"/>
                <w:sz w:val="18"/>
              </w:rPr>
              <w:t> </w:t>
            </w:r>
            <w:r>
              <w:rPr>
                <w:rFonts w:ascii="Times New Roman"/>
                <w:spacing w:val="-42"/>
                <w:sz w:val="18"/>
              </w:rPr>
            </w:r>
            <w:r>
              <w:rPr>
                <w:rFonts w:ascii="Times New Roman"/>
                <w:sz w:val="18"/>
              </w:rPr>
              <w:t>Inc</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截止资产负债表日，所涉及 的股权产权已全部过户，所 涉及的债权债务已全部转移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无法 预计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501,959,3</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99.73</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53,992,7</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77.36</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6"/>
        <w:ind w:left="120"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left="120"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left="120"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11"/>
        <w:rPr>
          <w:rFonts w:ascii="宋体" w:hAnsi="宋体" w:cs="宋体" w:eastAsia="宋体" w:hint="default"/>
          <w:sz w:val="2"/>
          <w:szCs w:val="2"/>
        </w:rPr>
      </w:pPr>
      <w:r>
        <w:rPr/>
        <w:pict>
          <v:shape style="position:absolute;margin-left:632.098999pt;margin-top:232.970001pt;width:139pt;height:23.4pt;mso-position-horizontal-relative:page;mso-position-vertical-relative:page;z-index:-1160536"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餐饮领域项目合作投入。</w:t>
                  </w:r>
                </w:p>
              </w:txbxContent>
            </v:textbox>
            <w10:wrap type="none"/>
          </v:shape>
        </w:pict>
      </w:r>
      <w:r>
        <w:rPr/>
        <w:pict>
          <v:group style="position:absolute;margin-left:728.26001pt;margin-top:232.970001pt;width:42.85pt;height:23.4pt;mso-position-horizontal-relative:page;mso-position-vertical-relative:page;z-index:-1160512" coordorigin="14565,4659" coordsize="857,468">
            <v:shape style="position:absolute;left:14565;top:4659;width:857;height:468" coordorigin="14565,4659" coordsize="857,468" path="m14565,5127l15422,5127,15422,4659,14565,4659,14565,5127xe" filled="true" fillcolor="#ffffff" stroked="false">
              <v:path arrowok="t"/>
              <v:fill type="solid"/>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867"/>
        <w:gridCol w:w="862"/>
        <w:gridCol w:w="878"/>
        <w:gridCol w:w="869"/>
        <w:gridCol w:w="872"/>
        <w:gridCol w:w="869"/>
        <w:gridCol w:w="869"/>
        <w:gridCol w:w="871"/>
        <w:gridCol w:w="869"/>
        <w:gridCol w:w="5293"/>
        <w:gridCol w:w="871"/>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54"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71"/>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71"/>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5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尚未使用募集资金用途及去向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3,855.78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104,467.89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3"/>
              <w:jc w:val="center"/>
              <w:rPr>
                <w:rFonts w:ascii="Times New Roman" w:hAnsi="Times New Roman" w:cs="Times New Roman" w:eastAsia="Times New Roman" w:hint="default"/>
                <w:sz w:val="18"/>
                <w:szCs w:val="18"/>
              </w:rPr>
            </w:pPr>
            <w:r>
              <w:rPr>
                <w:rFonts w:ascii="Times New Roman"/>
                <w:sz w:val="18"/>
              </w:rPr>
              <w:t>74,728.26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74,728.26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59,691.78</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对于尚未使用的募集资金，继续存放于公司募集资金专用账户，用 于部分募集资金投资项目的后续投入及补充流动资金。将</w:t>
            </w:r>
            <w:r>
              <w:rPr>
                <w:rFonts w:ascii="Times New Roman" w:hAnsi="Times New Roman" w:cs="Times New Roman" w:eastAsia="Times New Roman" w:hint="default"/>
                <w:sz w:val="18"/>
                <w:szCs w:val="18"/>
              </w:rPr>
              <w:t>“</w:t>
            </w:r>
            <w:r>
              <w:rPr>
                <w:rFonts w:ascii="宋体" w:hAnsi="宋体" w:cs="宋体" w:eastAsia="宋体" w:hint="default"/>
                <w:sz w:val="18"/>
                <w:szCs w:val="18"/>
              </w:rPr>
              <w:t>与淘宝</w:t>
            </w: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（中国）软件在酒店、餐饮领域开展业务合作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两个项目的剩余募集</w:t>
            </w:r>
            <w:r>
              <w:rPr>
                <w:rFonts w:ascii="宋体" w:hAnsi="宋体" w:cs="宋体" w:eastAsia="宋体" w:hint="default"/>
                <w:spacing w:val="-68"/>
                <w:sz w:val="18"/>
                <w:szCs w:val="18"/>
              </w:rPr>
              <w:t> </w:t>
            </w:r>
            <w:r>
              <w:rPr>
                <w:rFonts w:ascii="宋体" w:hAnsi="宋体" w:cs="宋体" w:eastAsia="宋体" w:hint="default"/>
                <w:spacing w:val="-3"/>
                <w:sz w:val="18"/>
                <w:szCs w:val="18"/>
              </w:rPr>
              <w:t>资金用于后续与淘宝（中国）在新的酒店、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59,691.78</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3,855.78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104,467.89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3"/>
              <w:jc w:val="center"/>
              <w:rPr>
                <w:rFonts w:ascii="Times New Roman" w:hAnsi="Times New Roman" w:cs="Times New Roman" w:eastAsia="Times New Roman" w:hint="default"/>
                <w:sz w:val="18"/>
                <w:szCs w:val="18"/>
              </w:rPr>
            </w:pPr>
            <w:r>
              <w:rPr>
                <w:rFonts w:ascii="Times New Roman"/>
                <w:sz w:val="18"/>
              </w:rPr>
              <w:t>74,728.26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8"/>
              <w:jc w:val="center"/>
              <w:rPr>
                <w:rFonts w:ascii="Times New Roman" w:hAnsi="Times New Roman" w:cs="Times New Roman" w:eastAsia="Times New Roman" w:hint="default"/>
                <w:sz w:val="18"/>
                <w:szCs w:val="18"/>
              </w:rPr>
            </w:pPr>
            <w:r>
              <w:rPr>
                <w:rFonts w:ascii="Times New Roman"/>
                <w:sz w:val="18"/>
              </w:rPr>
              <w:t>74,728.26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31.28%</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59,691.78</w:t>
            </w:r>
          </w:p>
        </w:tc>
        <w:tc>
          <w:tcPr>
            <w:tcW w:w="5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59,691.78</w:t>
            </w:r>
          </w:p>
        </w:tc>
      </w:tr>
      <w:tr>
        <w:trPr>
          <w:trHeight w:val="401" w:hRule="exact"/>
        </w:trPr>
        <w:tc>
          <w:tcPr>
            <w:tcW w:w="1398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700" w:hRule="exact"/>
        </w:trPr>
        <w:tc>
          <w:tcPr>
            <w:tcW w:w="1398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（一）公司募集资金数额和资金到位时间</w:t>
            </w:r>
          </w:p>
          <w:p>
            <w:pPr>
              <w:pStyle w:val="TableParagraph"/>
              <w:spacing w:line="300" w:lineRule="auto" w:before="115"/>
              <w:ind w:left="23" w:right="17"/>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[2015]2456 </w:t>
            </w:r>
            <w:r>
              <w:rPr>
                <w:rFonts w:ascii="宋体" w:hAnsi="宋体" w:cs="宋体" w:eastAsia="宋体" w:hint="default"/>
                <w:sz w:val="18"/>
                <w:szCs w:val="18"/>
              </w:rPr>
              <w:t>号”文《中国证券监督管理委员会关于核准北京中长石基信息技术股份有限公司向特定对象非公开发行股票的批复》核准，并 经深圳证券交易所同意，本公司向淘宝（中国）软件有限公司非公开发行不超过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46,476,251.00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股新股，实际发行股票数量为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46,476,251.00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股，每股面值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元，每股发行价格为人</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51.4 </w:t>
            </w:r>
            <w:r>
              <w:rPr>
                <w:rFonts w:ascii="宋体" w:hAnsi="宋体" w:cs="宋体" w:eastAsia="宋体" w:hint="default"/>
                <w:sz w:val="18"/>
                <w:szCs w:val="18"/>
              </w:rPr>
              <w:t>元，募集资金总额为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2,388,879,301.40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元，扣除各项发行费用人民币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16,706,875.25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2,372,172,426.15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日全部到位，并业经中审众环会计师事务所（特殊普通合伙）验证并出具了众环验字</w:t>
            </w:r>
            <w:r>
              <w:rPr>
                <w:rFonts w:ascii="Times New Roman" w:hAnsi="Times New Roman" w:cs="Times New Roman" w:eastAsia="Times New Roman" w:hint="default"/>
                <w:sz w:val="18"/>
                <w:szCs w:val="18"/>
              </w:rPr>
              <w:t>[2015]010119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号验资报告审验。</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（二）募集资金以前年度使用金额</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年实际使用募集资金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17,241,871.61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元，其中用于与阿里巴巴在零售、支付领域开展业务合作相关支出项目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2,717,447.76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元，用于与淘宝（中国）软件在酒店领域开展</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业务合作项目</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用于与淘</w:t>
            </w:r>
            <w:r>
              <w:rPr>
                <w:rFonts w:ascii="宋体" w:hAnsi="宋体" w:cs="宋体" w:eastAsia="宋体" w:hint="default"/>
                <w:spacing w:val="-92"/>
                <w:sz w:val="18"/>
                <w:szCs w:val="18"/>
              </w:rPr>
              <w:t>宝</w:t>
            </w:r>
            <w:r>
              <w:rPr>
                <w:rFonts w:ascii="宋体" w:hAnsi="宋体" w:cs="宋体" w:eastAsia="宋体" w:hint="default"/>
                <w:sz w:val="18"/>
                <w:szCs w:val="18"/>
              </w:rPr>
              <w:t>（中</w:t>
            </w:r>
            <w:r>
              <w:rPr>
                <w:rFonts w:ascii="宋体" w:hAnsi="宋体" w:cs="宋体" w:eastAsia="宋体" w:hint="default"/>
                <w:spacing w:val="2"/>
                <w:sz w:val="18"/>
                <w:szCs w:val="18"/>
              </w:rPr>
              <w:t>国</w:t>
            </w:r>
            <w:r>
              <w:rPr>
                <w:rFonts w:ascii="宋体" w:hAnsi="宋体" w:cs="宋体" w:eastAsia="宋体" w:hint="default"/>
                <w:spacing w:val="-92"/>
                <w:sz w:val="18"/>
                <w:szCs w:val="18"/>
              </w:rPr>
              <w:t>）</w:t>
            </w:r>
            <w:r>
              <w:rPr>
                <w:rFonts w:ascii="宋体" w:hAnsi="宋体" w:cs="宋体" w:eastAsia="宋体" w:hint="default"/>
                <w:sz w:val="18"/>
                <w:szCs w:val="18"/>
              </w:rPr>
              <w:t>软件在餐</w:t>
            </w:r>
            <w:r>
              <w:rPr>
                <w:rFonts w:ascii="宋体" w:hAnsi="宋体" w:cs="宋体" w:eastAsia="宋体" w:hint="default"/>
                <w:spacing w:val="2"/>
                <w:sz w:val="18"/>
                <w:szCs w:val="18"/>
              </w:rPr>
              <w:t>饮</w:t>
            </w:r>
            <w:r>
              <w:rPr>
                <w:rFonts w:ascii="宋体" w:hAnsi="宋体" w:cs="宋体" w:eastAsia="宋体" w:hint="default"/>
                <w:sz w:val="18"/>
                <w:szCs w:val="18"/>
              </w:rPr>
              <w:t>领域开展业务合作项目</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w:t>
            </w:r>
            <w:r>
              <w:rPr>
                <w:rFonts w:ascii="宋体" w:hAnsi="宋体" w:cs="宋体" w:eastAsia="宋体" w:hint="default"/>
                <w:spacing w:val="-3"/>
                <w:sz w:val="18"/>
                <w:szCs w:val="18"/>
              </w:rPr>
              <w:t>到</w:t>
            </w:r>
            <w:r>
              <w:rPr>
                <w:rFonts w:ascii="宋体" w:hAnsi="宋体" w:cs="宋体" w:eastAsia="宋体" w:hint="default"/>
                <w:sz w:val="18"/>
                <w:szCs w:val="18"/>
              </w:rPr>
              <w:t>的银行存款利息扣除银行手续费等的净额</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w:t>
            </w:r>
            <w:r>
              <w:rPr>
                <w:rFonts w:ascii="宋体" w:hAnsi="宋体" w:cs="宋体" w:eastAsia="宋体" w:hint="default"/>
                <w:spacing w:val="-3"/>
                <w:sz w:val="18"/>
                <w:szCs w:val="18"/>
              </w:rPr>
              <w:t>公</w:t>
            </w:r>
            <w:r>
              <w:rPr>
                <w:rFonts w:ascii="宋体" w:hAnsi="宋体" w:cs="宋体" w:eastAsia="宋体" w:hint="default"/>
                <w:sz w:val="18"/>
                <w:szCs w:val="18"/>
              </w:rPr>
              <w:t>司募集资金专户余额为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元（含募集资金存</w:t>
            </w:r>
            <w:r>
              <w:rPr>
                <w:rFonts w:ascii="宋体" w:hAnsi="宋体" w:cs="宋体" w:eastAsia="宋体" w:hint="default"/>
                <w:spacing w:val="-3"/>
                <w:sz w:val="18"/>
                <w:szCs w:val="18"/>
              </w:rPr>
              <w:t>放</w:t>
            </w:r>
            <w:r>
              <w:rPr>
                <w:rFonts w:ascii="宋体" w:hAnsi="宋体" w:cs="宋体" w:eastAsia="宋体" w:hint="default"/>
                <w:sz w:val="18"/>
                <w:szCs w:val="18"/>
              </w:rPr>
              <w:t>在银行所收到的银行利息扣除银行手续费等的净额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（三）募集资金本期使用金额及报告期末金额</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年实际使用募集资金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38,557,796.13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元，其中使用自有资金支付尚未从募集资金账户划转金额为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27,248,439.47</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元，使用募集资金支付</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11,309,356.66</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元，用于与淘宝（中</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国）软件在酒店领域开展业务合作项目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28,388,784.82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元，用于与淘宝（中国）软件在餐饮领域开展业务合作项目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10,169,011.31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年度收到的银行存款利息扣除银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行手续费等的净额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17,449,597.93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元、理财产品收益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11,687,500.00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before="86"/>
        <w:ind w:left="168" w:right="170" w:firstLine="0"/>
        <w:jc w:val="left"/>
        <w:rPr>
          <w:rFonts w:ascii="宋体" w:hAnsi="宋体" w:cs="宋体" w:eastAsia="宋体" w:hint="default"/>
          <w:sz w:val="18"/>
          <w:szCs w:val="18"/>
        </w:rPr>
      </w:pPr>
      <w:r>
        <w:rPr/>
        <w:pict>
          <v:group style="position:absolute;margin-left:70.199997pt;margin-top:55.200008pt;width:701.65pt;height:464.05pt;mso-position-horizontal-relative:page;mso-position-vertical-relative:page;z-index:-1160488" coordorigin="1404,1104" coordsize="14033,9281">
            <v:group style="position:absolute;left:1411;top:1111;width:14018;height:2" coordorigin="1411,1111" coordsize="14018,2">
              <v:shape style="position:absolute;left:1411;top:1111;width:14018;height:2" coordorigin="1411,1111" coordsize="14018,0" path="m1411,1111l15429,1111e" filled="false" stroked="true" strokeweight=".72pt" strokecolor="#000000">
                <v:path arrowok="t"/>
              </v:shape>
            </v:group>
            <v:group style="position:absolute;left:1445;top:1138;width:13980;height:2" coordorigin="1445,1138" coordsize="13980,2">
              <v:shape style="position:absolute;left:1445;top:1138;width:13980;height:2" coordorigin="1445,1138" coordsize="13980,0" path="m1445,1138l15424,1138e" filled="false" stroked="true" strokeweight=".48pt" strokecolor="#000000">
                <v:path arrowok="t"/>
              </v:shape>
            </v:group>
            <v:group style="position:absolute;left:1440;top:1133;width:2;height:9247" coordorigin="1440,1133" coordsize="2,9247">
              <v:shape style="position:absolute;left:1440;top:1133;width:2;height:9247" coordorigin="1440,1133" coordsize="0,9247" path="m1440,1133l1440,10380e" filled="false" stroked="true" strokeweight=".48pt" strokecolor="#000000">
                <v:path arrowok="t"/>
              </v:shape>
            </v:group>
            <v:group style="position:absolute;left:1445;top:10375;width:13980;height:2" coordorigin="1445,10375" coordsize="13980,2">
              <v:shape style="position:absolute;left:1445;top:10375;width:13980;height:2" coordorigin="1445,10375" coordsize="13980,0" path="m1445,10375l15424,10375e" filled="false" stroked="true" strokeweight=".47998pt" strokecolor="#000000">
                <v:path arrowok="t"/>
              </v:shape>
            </v:group>
            <v:group style="position:absolute;left:15429;top:1133;width:2;height:9247" coordorigin="15429,1133" coordsize="2,9247">
              <v:shape style="position:absolute;left:15429;top:1133;width:2;height:9247" coordorigin="15429,1133" coordsize="0,9247" path="m15429,1133l15429,10380e" filled="false" stroked="true" strokeweight=".47998pt" strokecolor="#000000">
                <v:path arrowok="t"/>
              </v:shape>
            </v:group>
            <w10:wrap type="none"/>
          </v:group>
        </w:pic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174,837,782.21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元（含募集资金存放在银行所收到的银行利息扣除银行手续费等的净额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17,449,597.93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元、理财产品收益</w:t>
      </w:r>
    </w:p>
    <w:p>
      <w:pPr>
        <w:spacing w:before="63"/>
        <w:ind w:left="168" w:right="170" w:firstLine="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309" w:lineRule="auto" w:before="101"/>
        <w:ind w:left="168" w:right="170" w:firstLine="0"/>
        <w:jc w:val="left"/>
        <w:rPr>
          <w:rFonts w:ascii="宋体" w:hAnsi="宋体" w:cs="宋体" w:eastAsia="宋体" w:hint="default"/>
          <w:sz w:val="18"/>
          <w:szCs w:val="18"/>
        </w:rPr>
      </w:pPr>
      <w:r>
        <w:rPr>
          <w:rFonts w:ascii="宋体" w:hAnsi="宋体" w:cs="宋体" w:eastAsia="宋体" w:hint="default"/>
          <w:spacing w:val="-3"/>
          <w:sz w:val="18"/>
          <w:szCs w:val="18"/>
        </w:rPr>
        <w:t>（四）</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日，公司分别召开第六届董事会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年第三次临时会议及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年第一次临时股东大会，审议通过《关于公司部分募集资金投资项目终 </w:t>
      </w:r>
      <w:r>
        <w:rPr>
          <w:rFonts w:ascii="宋体" w:hAnsi="宋体" w:cs="宋体" w:eastAsia="宋体" w:hint="default"/>
          <w:spacing w:val="-3"/>
          <w:sz w:val="18"/>
          <w:szCs w:val="18"/>
        </w:rPr>
        <w:t>止并拟将部分剩余募集资金永久补充流动资金的议案》，同意公司终止</w:t>
      </w:r>
      <w:r>
        <w:rPr>
          <w:rFonts w:ascii="宋体" w:hAnsi="宋体" w:cs="宋体" w:eastAsia="宋体" w:hint="default"/>
          <w:sz w:val="18"/>
          <w:szCs w:val="18"/>
        </w:rPr>
        <w:t> </w:t>
      </w:r>
      <w:r>
        <w:rPr>
          <w:rFonts w:ascii="宋体" w:hAnsi="宋体" w:cs="宋体" w:eastAsia="宋体" w:hint="default"/>
          <w:spacing w:val="-4"/>
          <w:sz w:val="18"/>
          <w:szCs w:val="18"/>
        </w:rPr>
        <w:t>“与阿里巴巴在零售、支付系统领域开展业务合作”（简称“零售支付项目”）的募投项目，且将该募投项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目剩余募集资金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77,782.29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万元（含利息收入）永久补充流动资金。</w:t>
      </w:r>
    </w:p>
    <w:p>
      <w:pPr>
        <w:spacing w:line="300" w:lineRule="auto" w:before="46"/>
        <w:ind w:left="168" w:right="170" w:firstLine="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召</w:t>
      </w:r>
      <w:r>
        <w:rPr>
          <w:rFonts w:ascii="宋体" w:hAnsi="宋体" w:cs="宋体" w:eastAsia="宋体" w:hint="default"/>
          <w:sz w:val="18"/>
          <w:szCs w:val="18"/>
        </w:rPr>
        <w:t>开第六届董事会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w:t>
      </w:r>
      <w:r>
        <w:rPr>
          <w:rFonts w:ascii="宋体" w:hAnsi="宋体" w:cs="宋体" w:eastAsia="宋体" w:hint="default"/>
          <w:spacing w:val="-3"/>
          <w:sz w:val="18"/>
          <w:szCs w:val="18"/>
        </w:rPr>
        <w:t>次</w:t>
      </w:r>
      <w:r>
        <w:rPr>
          <w:rFonts w:ascii="宋体" w:hAnsi="宋体" w:cs="宋体" w:eastAsia="宋体" w:hint="default"/>
          <w:sz w:val="18"/>
          <w:szCs w:val="18"/>
        </w:rPr>
        <w:t>临时会议</w:t>
      </w:r>
      <w:r>
        <w:rPr>
          <w:rFonts w:ascii="宋体" w:hAnsi="宋体" w:cs="宋体" w:eastAsia="宋体" w:hint="default"/>
          <w:spacing w:val="-5"/>
          <w:sz w:val="18"/>
          <w:szCs w:val="18"/>
        </w:rPr>
        <w:t>，</w:t>
      </w:r>
      <w:r>
        <w:rPr>
          <w:rFonts w:ascii="宋体" w:hAnsi="宋体" w:cs="宋体" w:eastAsia="宋体" w:hint="default"/>
          <w:sz w:val="18"/>
          <w:szCs w:val="18"/>
        </w:rPr>
        <w:t>审议通</w:t>
      </w:r>
      <w:r>
        <w:rPr>
          <w:rFonts w:ascii="宋体" w:hAnsi="宋体" w:cs="宋体" w:eastAsia="宋体" w:hint="default"/>
          <w:spacing w:val="-5"/>
          <w:sz w:val="18"/>
          <w:szCs w:val="18"/>
        </w:rPr>
        <w:t>过</w:t>
      </w:r>
      <w:r>
        <w:rPr>
          <w:rFonts w:ascii="宋体" w:hAnsi="宋体" w:cs="宋体" w:eastAsia="宋体" w:hint="default"/>
          <w:sz w:val="18"/>
          <w:szCs w:val="18"/>
        </w:rPr>
        <w:t>《关于变更部分募集资金专户开户行的议案</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同意公司应桂林银行总行要求将原募集资金专户</w:t>
      </w:r>
      <w:r>
        <w:rPr>
          <w:rFonts w:ascii="宋体" w:hAnsi="宋体" w:cs="宋体" w:eastAsia="宋体" w:hint="default"/>
          <w:sz w:val="18"/>
          <w:szCs w:val="18"/>
        </w:rPr>
        <w:t> 开户行“桂林银行股份有限公司南宁东葛路支行”变更为“桂林银行股份有限公司北海分行营业部</w:t>
      </w:r>
      <w:r>
        <w:rPr>
          <w:rFonts w:ascii="宋体" w:hAnsi="宋体" w:cs="宋体" w:eastAsia="宋体" w:hint="default"/>
          <w:spacing w:val="-92"/>
          <w:sz w:val="18"/>
          <w:szCs w:val="18"/>
        </w:rPr>
        <w:t>”</w:t>
      </w:r>
      <w:r>
        <w:rPr>
          <w:rFonts w:ascii="宋体" w:hAnsi="宋体" w:cs="宋体" w:eastAsia="宋体" w:hint="default"/>
          <w:sz w:val="18"/>
          <w:szCs w:val="18"/>
        </w:rPr>
        <w:t>，除募集资金专户</w:t>
      </w:r>
      <w:r>
        <w:rPr>
          <w:rFonts w:ascii="宋体" w:hAnsi="宋体" w:cs="宋体" w:eastAsia="宋体" w:hint="default"/>
          <w:spacing w:val="2"/>
          <w:sz w:val="18"/>
          <w:szCs w:val="18"/>
        </w:rPr>
        <w:t>开</w:t>
      </w:r>
      <w:r>
        <w:rPr>
          <w:rFonts w:ascii="宋体" w:hAnsi="宋体" w:cs="宋体" w:eastAsia="宋体" w:hint="default"/>
          <w:sz w:val="18"/>
          <w:szCs w:val="18"/>
        </w:rPr>
        <w:t>户行变更以外，银行账号、户名均不发生变更。</w:t>
      </w:r>
    </w:p>
    <w:p>
      <w:pPr>
        <w:spacing w:before="72"/>
        <w:ind w:left="168" w:right="0" w:firstLine="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司第六届董事会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w:t>
      </w:r>
      <w:r>
        <w:rPr>
          <w:rFonts w:ascii="宋体" w:hAnsi="宋体" w:cs="宋体" w:eastAsia="宋体" w:hint="default"/>
          <w:spacing w:val="-3"/>
          <w:sz w:val="18"/>
          <w:szCs w:val="18"/>
        </w:rPr>
        <w:t>次</w:t>
      </w:r>
      <w:r>
        <w:rPr>
          <w:rFonts w:ascii="宋体" w:hAnsi="宋体" w:cs="宋体" w:eastAsia="宋体" w:hint="default"/>
          <w:sz w:val="18"/>
          <w:szCs w:val="18"/>
        </w:rPr>
        <w:t>临时会议审议通过了《关于公司使用部分闲置募集资金购买银行保本理财产品的议案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意公司在不影响正常经营，</w:t>
      </w:r>
    </w:p>
    <w:p>
      <w:pPr>
        <w:spacing w:line="309" w:lineRule="auto" w:before="63"/>
        <w:ind w:left="168" w:right="246" w:firstLine="0"/>
        <w:jc w:val="both"/>
        <w:rPr>
          <w:rFonts w:ascii="宋体" w:hAnsi="宋体" w:cs="宋体" w:eastAsia="宋体" w:hint="default"/>
          <w:sz w:val="18"/>
          <w:szCs w:val="18"/>
        </w:rPr>
      </w:pPr>
      <w:r>
        <w:rPr>
          <w:rFonts w:ascii="宋体" w:hAnsi="宋体" w:cs="宋体" w:eastAsia="宋体" w:hint="default"/>
          <w:sz w:val="18"/>
          <w:szCs w:val="18"/>
        </w:rPr>
        <w:t>不影响募投项目建设和募集资金正常使用的情况下，使用闲置项目募集资金不超过人民币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亿元（含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亿元）择机购买保本浮动收益型银行理财产品及其它保本型理财产品，所 购产品为安全性高、满足保本要求、流动性好的投资产品，投资授权期限为董事会审议通过之日起十二个月内有效，购买单个投资产品的期限不得超过十二个月，资金在前述额 度及授权期限内可滚动使用。</w:t>
      </w:r>
    </w:p>
    <w:p>
      <w:pPr>
        <w:spacing w:before="62"/>
        <w:ind w:left="168" w:right="17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日，公司使用闲置项目募集资金实际购买理财产品结余金额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万元，使用闲置募集资金购买的尚未到期的银行理财产品明细情况如下：</w:t>
      </w:r>
    </w:p>
    <w:p>
      <w:pPr>
        <w:spacing w:before="103"/>
        <w:ind w:left="168" w:right="1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）桂林银行漓江理财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2017-323 </w:t>
      </w:r>
      <w:r>
        <w:rPr>
          <w:rFonts w:ascii="宋体" w:hAnsi="宋体" w:cs="宋体" w:eastAsia="宋体" w:hint="default"/>
          <w:sz w:val="18"/>
          <w:szCs w:val="18"/>
        </w:rPr>
        <w:t>期理财产品</w:t>
      </w:r>
    </w:p>
    <w:p>
      <w:pPr>
        <w:spacing w:line="348" w:lineRule="auto" w:before="103"/>
        <w:ind w:left="168" w:right="937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产品名称：桂林银行</w:t>
      </w:r>
      <w:r>
        <w:rPr>
          <w:rFonts w:ascii="Times New Roman" w:hAnsi="Times New Roman" w:cs="Times New Roman" w:eastAsia="Times New Roman" w:hint="default"/>
          <w:sz w:val="18"/>
          <w:szCs w:val="18"/>
        </w:rPr>
        <w:t>“</w:t>
      </w:r>
      <w:r>
        <w:rPr>
          <w:rFonts w:ascii="宋体" w:hAnsi="宋体" w:cs="宋体" w:eastAsia="宋体" w:hint="default"/>
          <w:sz w:val="18"/>
          <w:szCs w:val="18"/>
        </w:rPr>
        <w:t>漓江理财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2017-323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人民币理财产品 产品类型：保本浮动收益型 产品登记编码：</w:t>
      </w:r>
      <w:r>
        <w:rPr>
          <w:rFonts w:ascii="Times New Roman" w:hAnsi="Times New Roman" w:cs="Times New Roman" w:eastAsia="Times New Roman" w:hint="default"/>
          <w:sz w:val="18"/>
          <w:szCs w:val="18"/>
        </w:rPr>
        <w:t>C1140417A000038</w:t>
      </w:r>
    </w:p>
    <w:p>
      <w:pPr>
        <w:spacing w:line="338" w:lineRule="auto" w:before="14"/>
        <w:ind w:left="168" w:right="7353" w:firstLine="0"/>
        <w:jc w:val="left"/>
        <w:rPr>
          <w:rFonts w:ascii="宋体" w:hAnsi="宋体" w:cs="宋体" w:eastAsia="宋体" w:hint="default"/>
          <w:sz w:val="18"/>
          <w:szCs w:val="18"/>
        </w:rPr>
      </w:pPr>
      <w:r>
        <w:rPr>
          <w:rFonts w:ascii="宋体" w:hAnsi="宋体" w:cs="宋体" w:eastAsia="宋体" w:hint="default"/>
          <w:sz w:val="18"/>
          <w:szCs w:val="18"/>
        </w:rPr>
        <w:t>投资期限：</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 产品收益：产品收益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投资本金</w:t>
      </w:r>
      <w:r>
        <w:rPr>
          <w:rFonts w:ascii="Times New Roman" w:hAnsi="Times New Roman" w:cs="Times New Roman" w:eastAsia="Times New Roman" w:hint="default"/>
          <w:sz w:val="18"/>
          <w:szCs w:val="18"/>
        </w:rPr>
        <w:t>*</w:t>
      </w:r>
      <w:r>
        <w:rPr>
          <w:rFonts w:ascii="宋体" w:hAnsi="宋体" w:cs="宋体" w:eastAsia="宋体" w:hint="default"/>
          <w:sz w:val="18"/>
          <w:szCs w:val="18"/>
        </w:rPr>
        <w:t>实际年化收益率</w:t>
      </w:r>
      <w:r>
        <w:rPr>
          <w:rFonts w:ascii="Times New Roman" w:hAnsi="Times New Roman" w:cs="Times New Roman" w:eastAsia="Times New Roman" w:hint="default"/>
          <w:sz w:val="18"/>
          <w:szCs w:val="18"/>
        </w:rPr>
        <w:t>/365*</w:t>
      </w:r>
      <w:r>
        <w:rPr>
          <w:rFonts w:ascii="宋体" w:hAnsi="宋体" w:cs="宋体" w:eastAsia="宋体" w:hint="default"/>
          <w:sz w:val="18"/>
          <w:szCs w:val="18"/>
        </w:rPr>
        <w:t>实际天数预期年化收益率：</w:t>
      </w:r>
      <w:r>
        <w:rPr>
          <w:rFonts w:ascii="Times New Roman" w:hAnsi="Times New Roman" w:cs="Times New Roman" w:eastAsia="Times New Roman" w:hint="default"/>
          <w:sz w:val="18"/>
          <w:szCs w:val="18"/>
        </w:rPr>
        <w:t>5.0% </w:t>
      </w:r>
      <w:r>
        <w:rPr>
          <w:rFonts w:ascii="宋体" w:hAnsi="宋体" w:cs="宋体" w:eastAsia="宋体" w:hint="default"/>
          <w:sz w:val="18"/>
          <w:szCs w:val="18"/>
        </w:rPr>
        <w:t>产品起息日：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before="22"/>
        <w:ind w:left="168" w:right="170" w:firstLine="0"/>
        <w:jc w:val="left"/>
        <w:rPr>
          <w:rFonts w:ascii="宋体" w:hAnsi="宋体" w:cs="宋体" w:eastAsia="宋体" w:hint="default"/>
          <w:sz w:val="18"/>
          <w:szCs w:val="18"/>
        </w:rPr>
      </w:pPr>
      <w:r>
        <w:rPr>
          <w:rFonts w:ascii="宋体" w:hAnsi="宋体" w:cs="宋体" w:eastAsia="宋体" w:hint="default"/>
          <w:sz w:val="18"/>
          <w:szCs w:val="18"/>
        </w:rPr>
        <w:t>产品到期日：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before="101"/>
        <w:ind w:left="168" w:right="170" w:firstLine="0"/>
        <w:jc w:val="left"/>
        <w:rPr>
          <w:rFonts w:ascii="宋体" w:hAnsi="宋体" w:cs="宋体" w:eastAsia="宋体" w:hint="default"/>
          <w:sz w:val="18"/>
          <w:szCs w:val="18"/>
        </w:rPr>
      </w:pPr>
      <w:r>
        <w:rPr>
          <w:rFonts w:ascii="宋体" w:hAnsi="宋体" w:cs="宋体" w:eastAsia="宋体" w:hint="default"/>
          <w:sz w:val="18"/>
          <w:szCs w:val="18"/>
        </w:rPr>
        <w:t>认购金额：人民币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03"/>
        <w:ind w:left="168" w:right="1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）桂林银行漓江理财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2017-324 </w:t>
      </w:r>
      <w:r>
        <w:rPr>
          <w:rFonts w:ascii="宋体" w:hAnsi="宋体" w:cs="宋体" w:eastAsia="宋体" w:hint="default"/>
          <w:sz w:val="18"/>
          <w:szCs w:val="18"/>
        </w:rPr>
        <w:t>期理财产品</w:t>
      </w:r>
    </w:p>
    <w:p>
      <w:pPr>
        <w:spacing w:line="348" w:lineRule="auto" w:before="103"/>
        <w:ind w:left="168" w:right="937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产品名称：桂林银行</w:t>
      </w:r>
      <w:r>
        <w:rPr>
          <w:rFonts w:ascii="Times New Roman" w:hAnsi="Times New Roman" w:cs="Times New Roman" w:eastAsia="Times New Roman" w:hint="default"/>
          <w:sz w:val="18"/>
          <w:szCs w:val="18"/>
        </w:rPr>
        <w:t>“</w:t>
      </w:r>
      <w:r>
        <w:rPr>
          <w:rFonts w:ascii="宋体" w:hAnsi="宋体" w:cs="宋体" w:eastAsia="宋体" w:hint="default"/>
          <w:sz w:val="18"/>
          <w:szCs w:val="18"/>
        </w:rPr>
        <w:t>漓江理财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2017-324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人民币理财产品 产品类型：保本浮动收益型 产品登记编码：</w:t>
      </w:r>
      <w:r>
        <w:rPr>
          <w:rFonts w:ascii="Times New Roman" w:hAnsi="Times New Roman" w:cs="Times New Roman" w:eastAsia="Times New Roman" w:hint="default"/>
          <w:sz w:val="18"/>
          <w:szCs w:val="18"/>
        </w:rPr>
        <w:t>C1140417A000039</w:t>
      </w:r>
    </w:p>
    <w:p>
      <w:pPr>
        <w:spacing w:line="338" w:lineRule="auto" w:before="14"/>
        <w:ind w:left="168" w:right="735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投资期限：</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 产品收益：产品收益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投资本金</w:t>
      </w:r>
      <w:r>
        <w:rPr>
          <w:rFonts w:ascii="Times New Roman" w:hAnsi="Times New Roman" w:cs="Times New Roman" w:eastAsia="Times New Roman" w:hint="default"/>
          <w:sz w:val="18"/>
          <w:szCs w:val="18"/>
        </w:rPr>
        <w:t>*</w:t>
      </w:r>
      <w:r>
        <w:rPr>
          <w:rFonts w:ascii="宋体" w:hAnsi="宋体" w:cs="宋体" w:eastAsia="宋体" w:hint="default"/>
          <w:sz w:val="18"/>
          <w:szCs w:val="18"/>
        </w:rPr>
        <w:t>实际年化收益率</w:t>
      </w:r>
      <w:r>
        <w:rPr>
          <w:rFonts w:ascii="Times New Roman" w:hAnsi="Times New Roman" w:cs="Times New Roman" w:eastAsia="Times New Roman" w:hint="default"/>
          <w:sz w:val="18"/>
          <w:szCs w:val="18"/>
        </w:rPr>
        <w:t>/365*</w:t>
      </w:r>
      <w:r>
        <w:rPr>
          <w:rFonts w:ascii="宋体" w:hAnsi="宋体" w:cs="宋体" w:eastAsia="宋体" w:hint="default"/>
          <w:sz w:val="18"/>
          <w:szCs w:val="18"/>
        </w:rPr>
        <w:t>实际天数预期年化收益率：</w:t>
      </w:r>
      <w:r>
        <w:rPr>
          <w:rFonts w:ascii="Times New Roman" w:hAnsi="Times New Roman" w:cs="Times New Roman" w:eastAsia="Times New Roman" w:hint="default"/>
          <w:sz w:val="18"/>
          <w:szCs w:val="18"/>
        </w:rPr>
        <w:t>5.0%</w:t>
      </w:r>
    </w:p>
    <w:p>
      <w:pPr>
        <w:spacing w:after="0" w:line="338"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60"/>
        </w:sectPr>
      </w:pPr>
    </w:p>
    <w:p>
      <w:pPr>
        <w:spacing w:line="240" w:lineRule="auto" w:before="10"/>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226"/>
        <w:gridCol w:w="4425"/>
        <w:gridCol w:w="2026"/>
        <w:gridCol w:w="1260"/>
        <w:gridCol w:w="1776"/>
        <w:gridCol w:w="1276"/>
      </w:tblGrid>
      <w:tr>
        <w:trPr>
          <w:trHeight w:val="1492" w:hRule="exact"/>
        </w:trPr>
        <w:tc>
          <w:tcPr>
            <w:tcW w:w="13989" w:type="dxa"/>
            <w:gridSpan w:val="6"/>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产品起息日：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产品到期日：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认购金额：人民币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（七）募集资金专户存储情况截至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日止，本公司募集资金专户存储情况如下：</w:t>
            </w:r>
          </w:p>
        </w:tc>
      </w:tr>
      <w:tr>
        <w:trPr>
          <w:trHeight w:val="266" w:hRule="exact"/>
        </w:trPr>
        <w:tc>
          <w:tcPr>
            <w:tcW w:w="3226" w:type="dxa"/>
            <w:tcBorders>
              <w:top w:val="nil" w:sz="6" w:space="0" w:color="auto"/>
              <w:left w:val="single" w:sz="4" w:space="0" w:color="000000"/>
              <w:bottom w:val="nil" w:sz="6" w:space="0" w:color="auto"/>
              <w:right w:val="nil" w:sz="6" w:space="0" w:color="auto"/>
            </w:tcBorders>
          </w:tcPr>
          <w:p>
            <w:pPr/>
          </w:p>
        </w:tc>
        <w:tc>
          <w:tcPr>
            <w:tcW w:w="4425"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sz w:val="18"/>
                <w:szCs w:val="18"/>
              </w:rPr>
              <w:t>单位：元</w:t>
            </w:r>
          </w:p>
        </w:tc>
        <w:tc>
          <w:tcPr>
            <w:tcW w:w="1276" w:type="dxa"/>
            <w:tcBorders>
              <w:top w:val="nil" w:sz="6" w:space="0" w:color="auto"/>
              <w:left w:val="nil" w:sz="6" w:space="0" w:color="auto"/>
              <w:bottom w:val="nil" w:sz="6" w:space="0" w:color="auto"/>
              <w:right w:val="single" w:sz="4" w:space="0" w:color="000000"/>
            </w:tcBorders>
          </w:tcPr>
          <w:p>
            <w:pPr/>
          </w:p>
        </w:tc>
      </w:tr>
      <w:tr>
        <w:trPr>
          <w:trHeight w:val="353" w:hRule="exact"/>
        </w:trPr>
        <w:tc>
          <w:tcPr>
            <w:tcW w:w="3226"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83" w:right="0"/>
              <w:jc w:val="left"/>
              <w:rPr>
                <w:rFonts w:ascii="宋体" w:hAnsi="宋体" w:cs="宋体" w:eastAsia="宋体" w:hint="default"/>
                <w:sz w:val="18"/>
                <w:szCs w:val="18"/>
              </w:rPr>
            </w:pPr>
            <w:r>
              <w:rPr>
                <w:rFonts w:ascii="宋体" w:hAnsi="宋体" w:cs="宋体" w:eastAsia="宋体" w:hint="default"/>
                <w:sz w:val="18"/>
                <w:szCs w:val="18"/>
              </w:rPr>
              <w:t>账号</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宋体" w:hAnsi="宋体" w:cs="宋体" w:eastAsia="宋体" w:hint="default"/>
                <w:sz w:val="18"/>
                <w:szCs w:val="18"/>
              </w:rPr>
            </w:pPr>
            <w:r>
              <w:rPr>
                <w:rFonts w:ascii="宋体" w:hAnsi="宋体" w:cs="宋体" w:eastAsia="宋体" w:hint="default"/>
                <w:sz w:val="18"/>
                <w:szCs w:val="18"/>
              </w:rPr>
              <w:t>账户类型</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75" w:right="0"/>
              <w:jc w:val="left"/>
              <w:rPr>
                <w:rFonts w:ascii="宋体" w:hAnsi="宋体" w:cs="宋体" w:eastAsia="宋体" w:hint="default"/>
                <w:sz w:val="18"/>
                <w:szCs w:val="18"/>
              </w:rPr>
            </w:pPr>
            <w:r>
              <w:rPr>
                <w:rFonts w:ascii="宋体" w:hAnsi="宋体" w:cs="宋体" w:eastAsia="宋体" w:hint="default"/>
                <w:sz w:val="18"/>
                <w:szCs w:val="18"/>
              </w:rPr>
              <w:t>存款金额</w:t>
            </w:r>
          </w:p>
        </w:tc>
        <w:tc>
          <w:tcPr>
            <w:tcW w:w="1276" w:type="dxa"/>
            <w:tcBorders>
              <w:top w:val="nil" w:sz="6" w:space="0" w:color="auto"/>
              <w:left w:val="nil" w:sz="6" w:space="0" w:color="auto"/>
              <w:bottom w:val="nil" w:sz="6" w:space="0" w:color="auto"/>
              <w:right w:val="single" w:sz="4" w:space="0" w:color="000000"/>
            </w:tcBorders>
          </w:tcPr>
          <w:p>
            <w:pPr/>
          </w:p>
        </w:tc>
      </w:tr>
      <w:tr>
        <w:trPr>
          <w:trHeight w:val="357" w:hRule="exact"/>
        </w:trPr>
        <w:tc>
          <w:tcPr>
            <w:tcW w:w="3226"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中国工商银行股份有限公司北海分行</w:t>
            </w:r>
          </w:p>
        </w:tc>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18"/>
                <w:szCs w:val="18"/>
              </w:rPr>
            </w:pPr>
            <w:r>
              <w:rPr>
                <w:rFonts w:ascii="宋体" w:hAnsi="宋体" w:cs="宋体" w:eastAsia="宋体" w:hint="default"/>
                <w:sz w:val="18"/>
                <w:szCs w:val="18"/>
              </w:rPr>
              <w:t>补充日常流动资金</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1" w:right="0"/>
              <w:jc w:val="left"/>
              <w:rPr>
                <w:rFonts w:ascii="Times New Roman" w:hAnsi="Times New Roman" w:cs="Times New Roman" w:eastAsia="Times New Roman" w:hint="default"/>
                <w:sz w:val="18"/>
                <w:szCs w:val="18"/>
              </w:rPr>
            </w:pPr>
            <w:r>
              <w:rPr>
                <w:rFonts w:ascii="Times New Roman"/>
                <w:sz w:val="18"/>
              </w:rPr>
              <w:t>2107530029300889995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宋体" w:hAnsi="宋体" w:cs="宋体" w:eastAsia="宋体" w:hint="default"/>
                <w:sz w:val="18"/>
                <w:szCs w:val="18"/>
              </w:rPr>
            </w:pPr>
            <w:r>
              <w:rPr>
                <w:rFonts w:ascii="宋体" w:hAnsi="宋体" w:cs="宋体" w:eastAsia="宋体" w:hint="default"/>
                <w:sz w:val="18"/>
                <w:szCs w:val="18"/>
              </w:rPr>
              <w:t>专户</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04" w:right="0"/>
              <w:jc w:val="left"/>
              <w:rPr>
                <w:rFonts w:ascii="Times New Roman" w:hAnsi="Times New Roman" w:cs="Times New Roman" w:eastAsia="Times New Roman" w:hint="default"/>
                <w:sz w:val="18"/>
                <w:szCs w:val="18"/>
              </w:rPr>
            </w:pPr>
            <w:r>
              <w:rPr>
                <w:rFonts w:ascii="Times New Roman"/>
                <w:sz w:val="18"/>
              </w:rPr>
              <w:t>1225.56</w:t>
            </w:r>
          </w:p>
        </w:tc>
        <w:tc>
          <w:tcPr>
            <w:tcW w:w="1276" w:type="dxa"/>
            <w:tcBorders>
              <w:top w:val="nil" w:sz="6" w:space="0" w:color="auto"/>
              <w:left w:val="nil" w:sz="6" w:space="0" w:color="auto"/>
              <w:bottom w:val="nil" w:sz="6" w:space="0" w:color="auto"/>
              <w:right w:val="single" w:sz="4" w:space="0" w:color="000000"/>
            </w:tcBorders>
          </w:tcPr>
          <w:p>
            <w:pPr/>
          </w:p>
        </w:tc>
      </w:tr>
      <w:tr>
        <w:trPr>
          <w:trHeight w:val="352" w:hRule="exact"/>
        </w:trPr>
        <w:tc>
          <w:tcPr>
            <w:tcW w:w="3226"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3" w:right="0"/>
              <w:jc w:val="left"/>
              <w:rPr>
                <w:rFonts w:ascii="宋体" w:hAnsi="宋体" w:cs="宋体" w:eastAsia="宋体" w:hint="default"/>
                <w:sz w:val="18"/>
                <w:szCs w:val="18"/>
              </w:rPr>
            </w:pPr>
            <w:r>
              <w:rPr>
                <w:rFonts w:ascii="宋体" w:hAnsi="宋体" w:cs="宋体" w:eastAsia="宋体" w:hint="default"/>
                <w:sz w:val="18"/>
                <w:szCs w:val="18"/>
              </w:rPr>
              <w:t>与阿里巴巴在零售、支付领域开展业务合作相关支出</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1" w:right="0"/>
              <w:jc w:val="left"/>
              <w:rPr>
                <w:rFonts w:ascii="Times New Roman" w:hAnsi="Times New Roman" w:cs="Times New Roman" w:eastAsia="Times New Roman" w:hint="default"/>
                <w:sz w:val="18"/>
                <w:szCs w:val="18"/>
              </w:rPr>
            </w:pPr>
            <w:r>
              <w:rPr>
                <w:rFonts w:ascii="Times New Roman"/>
                <w:sz w:val="18"/>
              </w:rPr>
              <w:t>660200057036500010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96" w:right="0"/>
              <w:jc w:val="left"/>
              <w:rPr>
                <w:rFonts w:ascii="宋体" w:hAnsi="宋体" w:cs="宋体" w:eastAsia="宋体" w:hint="default"/>
                <w:sz w:val="18"/>
                <w:szCs w:val="18"/>
              </w:rPr>
            </w:pPr>
            <w:r>
              <w:rPr>
                <w:rFonts w:ascii="宋体" w:hAnsi="宋体" w:cs="宋体" w:eastAsia="宋体" w:hint="default"/>
                <w:sz w:val="18"/>
                <w:szCs w:val="18"/>
              </w:rPr>
              <w:t>专户</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04" w:right="0"/>
              <w:jc w:val="left"/>
              <w:rPr>
                <w:rFonts w:ascii="Times New Roman" w:hAnsi="Times New Roman" w:cs="Times New Roman" w:eastAsia="Times New Roman" w:hint="default"/>
                <w:sz w:val="18"/>
                <w:szCs w:val="18"/>
              </w:rPr>
            </w:pPr>
            <w:r>
              <w:rPr>
                <w:rFonts w:ascii="Times New Roman"/>
                <w:sz w:val="18"/>
              </w:rPr>
              <w:t>542,298.10</w:t>
            </w:r>
          </w:p>
        </w:tc>
        <w:tc>
          <w:tcPr>
            <w:tcW w:w="1276" w:type="dxa"/>
            <w:tcBorders>
              <w:top w:val="nil" w:sz="6" w:space="0" w:color="auto"/>
              <w:left w:val="nil" w:sz="6" w:space="0" w:color="auto"/>
              <w:bottom w:val="nil" w:sz="6" w:space="0" w:color="auto"/>
              <w:right w:val="single" w:sz="4" w:space="0" w:color="000000"/>
            </w:tcBorders>
          </w:tcPr>
          <w:p>
            <w:pPr/>
          </w:p>
        </w:tc>
      </w:tr>
      <w:tr>
        <w:trPr>
          <w:trHeight w:val="353" w:hRule="exact"/>
        </w:trPr>
        <w:tc>
          <w:tcPr>
            <w:tcW w:w="3226"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宋体" w:hAnsi="宋体" w:cs="宋体" w:eastAsia="宋体" w:hint="default"/>
                <w:sz w:val="18"/>
                <w:szCs w:val="18"/>
              </w:rPr>
            </w:pPr>
            <w:r>
              <w:rPr>
                <w:rFonts w:ascii="宋体" w:hAnsi="宋体" w:cs="宋体" w:eastAsia="宋体" w:hint="default"/>
                <w:sz w:val="18"/>
                <w:szCs w:val="18"/>
              </w:rPr>
              <w:t>与淘宝（中国）软件在酒店领域开展业务合作</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50" w:right="0"/>
              <w:jc w:val="left"/>
              <w:rPr>
                <w:rFonts w:ascii="Times New Roman" w:hAnsi="Times New Roman" w:cs="Times New Roman" w:eastAsia="Times New Roman" w:hint="default"/>
                <w:sz w:val="18"/>
                <w:szCs w:val="18"/>
              </w:rPr>
            </w:pPr>
            <w:r>
              <w:rPr>
                <w:rFonts w:ascii="Times New Roman"/>
                <w:sz w:val="18"/>
              </w:rPr>
              <w:t>660200057036500020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6" w:right="0"/>
              <w:jc w:val="left"/>
              <w:rPr>
                <w:rFonts w:ascii="宋体" w:hAnsi="宋体" w:cs="宋体" w:eastAsia="宋体" w:hint="default"/>
                <w:sz w:val="18"/>
                <w:szCs w:val="18"/>
              </w:rPr>
            </w:pPr>
            <w:r>
              <w:rPr>
                <w:rFonts w:ascii="宋体" w:hAnsi="宋体" w:cs="宋体" w:eastAsia="宋体" w:hint="default"/>
                <w:sz w:val="18"/>
                <w:szCs w:val="18"/>
              </w:rPr>
              <w:t>专户</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04" w:right="0"/>
              <w:jc w:val="left"/>
              <w:rPr>
                <w:rFonts w:ascii="Times New Roman" w:hAnsi="Times New Roman" w:cs="Times New Roman" w:eastAsia="Times New Roman" w:hint="default"/>
                <w:sz w:val="18"/>
                <w:szCs w:val="18"/>
              </w:rPr>
            </w:pPr>
            <w:r>
              <w:rPr>
                <w:rFonts w:ascii="Times New Roman"/>
                <w:sz w:val="18"/>
              </w:rPr>
              <w:t>104,996,315.27</w:t>
            </w:r>
          </w:p>
        </w:tc>
        <w:tc>
          <w:tcPr>
            <w:tcW w:w="1276" w:type="dxa"/>
            <w:tcBorders>
              <w:top w:val="nil" w:sz="6" w:space="0" w:color="auto"/>
              <w:left w:val="nil" w:sz="6" w:space="0" w:color="auto"/>
              <w:bottom w:val="nil" w:sz="6" w:space="0" w:color="auto"/>
              <w:right w:val="single" w:sz="4" w:space="0" w:color="000000"/>
            </w:tcBorders>
          </w:tcPr>
          <w:p>
            <w:pPr/>
          </w:p>
        </w:tc>
      </w:tr>
      <w:tr>
        <w:trPr>
          <w:trHeight w:val="352" w:hRule="exact"/>
        </w:trPr>
        <w:tc>
          <w:tcPr>
            <w:tcW w:w="3226"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宋体" w:hAnsi="宋体" w:cs="宋体" w:eastAsia="宋体" w:hint="default"/>
                <w:sz w:val="18"/>
                <w:szCs w:val="18"/>
              </w:rPr>
            </w:pPr>
            <w:r>
              <w:rPr>
                <w:rFonts w:ascii="宋体" w:hAnsi="宋体" w:cs="宋体" w:eastAsia="宋体" w:hint="default"/>
                <w:sz w:val="18"/>
                <w:szCs w:val="18"/>
              </w:rPr>
              <w:t>与淘宝（中国）软件在餐饮领域开展业务合作</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50" w:right="0"/>
              <w:jc w:val="left"/>
              <w:rPr>
                <w:rFonts w:ascii="Times New Roman" w:hAnsi="Times New Roman" w:cs="Times New Roman" w:eastAsia="Times New Roman" w:hint="default"/>
                <w:sz w:val="18"/>
                <w:szCs w:val="18"/>
              </w:rPr>
            </w:pPr>
            <w:r>
              <w:rPr>
                <w:rFonts w:ascii="Times New Roman"/>
                <w:sz w:val="18"/>
              </w:rPr>
              <w:t>660200057036500039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6" w:right="0"/>
              <w:jc w:val="left"/>
              <w:rPr>
                <w:rFonts w:ascii="宋体" w:hAnsi="宋体" w:cs="宋体" w:eastAsia="宋体" w:hint="default"/>
                <w:sz w:val="18"/>
                <w:szCs w:val="18"/>
              </w:rPr>
            </w:pPr>
            <w:r>
              <w:rPr>
                <w:rFonts w:ascii="宋体" w:hAnsi="宋体" w:cs="宋体" w:eastAsia="宋体" w:hint="default"/>
                <w:sz w:val="18"/>
                <w:szCs w:val="18"/>
              </w:rPr>
              <w:t>专户</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04" w:right="0"/>
              <w:jc w:val="left"/>
              <w:rPr>
                <w:rFonts w:ascii="Times New Roman" w:hAnsi="Times New Roman" w:cs="Times New Roman" w:eastAsia="Times New Roman" w:hint="default"/>
                <w:sz w:val="18"/>
                <w:szCs w:val="18"/>
              </w:rPr>
            </w:pPr>
            <w:r>
              <w:rPr>
                <w:rFonts w:ascii="Times New Roman"/>
                <w:sz w:val="18"/>
              </w:rPr>
              <w:t>69,297,943.28</w:t>
            </w:r>
          </w:p>
        </w:tc>
        <w:tc>
          <w:tcPr>
            <w:tcW w:w="1276" w:type="dxa"/>
            <w:tcBorders>
              <w:top w:val="nil" w:sz="6" w:space="0" w:color="auto"/>
              <w:left w:val="nil" w:sz="6" w:space="0" w:color="auto"/>
              <w:bottom w:val="nil" w:sz="6" w:space="0" w:color="auto"/>
              <w:right w:val="single" w:sz="4" w:space="0" w:color="000000"/>
            </w:tcBorders>
          </w:tcPr>
          <w:p>
            <w:pPr/>
          </w:p>
        </w:tc>
      </w:tr>
      <w:tr>
        <w:trPr>
          <w:trHeight w:val="374" w:hRule="exact"/>
        </w:trPr>
        <w:tc>
          <w:tcPr>
            <w:tcW w:w="3226" w:type="dxa"/>
            <w:tcBorders>
              <w:top w:val="nil" w:sz="6" w:space="0" w:color="auto"/>
              <w:left w:val="single" w:sz="4" w:space="0" w:color="000000"/>
              <w:bottom w:val="single" w:sz="4" w:space="0" w:color="000000"/>
              <w:right w:val="nil" w:sz="6" w:space="0" w:color="auto"/>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2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9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1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75" w:right="0"/>
              <w:jc w:val="left"/>
              <w:rPr>
                <w:rFonts w:ascii="Times New Roman" w:hAnsi="Times New Roman" w:cs="Times New Roman" w:eastAsia="Times New Roman" w:hint="default"/>
                <w:sz w:val="18"/>
                <w:szCs w:val="18"/>
              </w:rPr>
            </w:pPr>
            <w:r>
              <w:rPr>
                <w:rFonts w:ascii="Times New Roman"/>
                <w:sz w:val="18"/>
              </w:rPr>
              <w:t>174,837,782.21</w:t>
            </w:r>
          </w:p>
        </w:tc>
        <w:tc>
          <w:tcPr>
            <w:tcW w:w="1276" w:type="dxa"/>
            <w:tcBorders>
              <w:top w:val="nil" w:sz="6" w:space="0" w:color="auto"/>
              <w:left w:val="nil" w:sz="6" w:space="0" w:color="auto"/>
              <w:bottom w:val="single" w:sz="4" w:space="0" w:color="000000"/>
              <w:right w:val="single" w:sz="4" w:space="0" w:color="000000"/>
            </w:tcBorders>
          </w:tcPr>
          <w:p>
            <w:pPr/>
          </w:p>
        </w:tc>
      </w:tr>
      <w:tr>
        <w:trPr>
          <w:trHeight w:val="781"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tc>
        <w:tc>
          <w:tcPr>
            <w:tcW w:w="4425" w:type="dxa"/>
            <w:tcBorders>
              <w:top w:val="single" w:sz="4" w:space="0" w:color="000000"/>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
        </w:tc>
      </w:tr>
      <w:tr>
        <w:trPr>
          <w:trHeight w:val="83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tc>
        <w:tc>
          <w:tcPr>
            <w:tcW w:w="4425"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单位：万元</w:t>
            </w:r>
          </w:p>
        </w:tc>
      </w:tr>
    </w:tbl>
    <w:tbl>
      <w:tblPr>
        <w:tblW w:w="0" w:type="auto"/>
        <w:jc w:val="left"/>
        <w:tblInd w:w="115" w:type="dxa"/>
        <w:tblLayout w:type="fixed"/>
        <w:tblCellMar>
          <w:top w:w="0" w:type="dxa"/>
          <w:left w:w="0" w:type="dxa"/>
          <w:bottom w:w="0" w:type="dxa"/>
          <w:right w:w="0" w:type="dxa"/>
        </w:tblCellMar>
        <w:tblLook w:val="01E0"/>
      </w:tblPr>
      <w:tblGrid>
        <w:gridCol w:w="4112"/>
        <w:gridCol w:w="853"/>
        <w:gridCol w:w="991"/>
        <w:gridCol w:w="991"/>
        <w:gridCol w:w="994"/>
        <w:gridCol w:w="992"/>
        <w:gridCol w:w="1135"/>
        <w:gridCol w:w="1558"/>
        <w:gridCol w:w="711"/>
        <w:gridCol w:w="708"/>
        <w:gridCol w:w="1020"/>
      </w:tblGrid>
      <w:tr>
        <w:trPr>
          <w:trHeight w:val="102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81"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31" w:right="2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38"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04"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38"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98" w:right="95"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321" w:right="5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0"/>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5"/>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1" w:hRule="exact"/>
        </w:trPr>
        <w:tc>
          <w:tcPr>
            <w:tcW w:w="140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、补充日常流动资金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98,887.93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98,887.93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98,887.93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、与淘宝（中国）软件在酒店领域开展业务合作</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2,838.88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、与淘宝（中国）软件在餐饮领域开展业务合作</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1,164.22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、与阿里巴巴在零售、支付领域开展业务合作相关 支出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238,887.93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164,159.67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3,855.78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104,467.89</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2" w:space="0" w:color="D2D2D2"/>
              <w:bottom w:val="single" w:sz="4" w:space="0" w:color="000000"/>
              <w:right w:val="single" w:sz="12" w:space="0" w:color="D2D2D2"/>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100"/>
        <w:gridCol w:w="853"/>
        <w:gridCol w:w="991"/>
        <w:gridCol w:w="991"/>
        <w:gridCol w:w="994"/>
        <w:gridCol w:w="992"/>
        <w:gridCol w:w="1135"/>
        <w:gridCol w:w="1558"/>
        <w:gridCol w:w="711"/>
        <w:gridCol w:w="708"/>
        <w:gridCol w:w="1020"/>
      </w:tblGrid>
      <w:tr>
        <w:trPr>
          <w:trHeight w:val="417" w:hRule="exact"/>
        </w:trPr>
        <w:tc>
          <w:tcPr>
            <w:tcW w:w="14052"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238,887.93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164,159.67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8" w:right="0"/>
              <w:jc w:val="left"/>
              <w:rPr>
                <w:rFonts w:ascii="Times New Roman" w:hAnsi="Times New Roman" w:cs="Times New Roman" w:eastAsia="Times New Roman" w:hint="default"/>
                <w:sz w:val="18"/>
                <w:szCs w:val="18"/>
              </w:rPr>
            </w:pPr>
            <w:r>
              <w:rPr>
                <w:rFonts w:ascii="Times New Roman"/>
                <w:sz w:val="18"/>
              </w:rPr>
              <w:t>3,855.78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104,467.89</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941" w:hRule="exact"/>
        </w:trPr>
        <w:tc>
          <w:tcPr>
            <w:tcW w:w="4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2" w:type="dxa"/>
            <w:gridSpan w:val="10"/>
            <w:vMerge w:val="restart"/>
            <w:tcBorders>
              <w:top w:val="single" w:sz="4" w:space="0" w:color="000000"/>
              <w:left w:val="single" w:sz="10" w:space="0" w:color="D2D2D2"/>
              <w:right w:val="single" w:sz="4" w:space="0" w:color="000000"/>
            </w:tcBorders>
          </w:tcPr>
          <w:p>
            <w:pPr>
              <w:pStyle w:val="TableParagraph"/>
              <w:spacing w:line="304" w:lineRule="auto" w:before="49"/>
              <w:ind w:left="16" w:right="5"/>
              <w:jc w:val="left"/>
              <w:rPr>
                <w:rFonts w:ascii="宋体" w:hAnsi="宋体" w:cs="宋体" w:eastAsia="宋体" w:hint="default"/>
                <w:sz w:val="18"/>
                <w:szCs w:val="18"/>
              </w:rPr>
            </w:pPr>
            <w:r>
              <w:rPr>
                <w:rFonts w:ascii="宋体" w:hAnsi="宋体" w:cs="宋体" w:eastAsia="宋体" w:hint="default"/>
                <w:spacing w:val="-2"/>
                <w:sz w:val="18"/>
                <w:szCs w:val="18"/>
              </w:rPr>
              <w:t>淘宝（中国）软件有限公司（以下简称淘宝（中国））在酒店领域开展业务合作和在餐饮领域开展业务合作方面，公司募集资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月到位后，考虑到新一代酒店信息管理系统技术的变迁，开始与德国领先的云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PMS/CRS </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HETRAS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洽谈， 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年中下旬完成收购德国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HETRAS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公司全部股权，而考虑新一代云平台的酒店信息管理系统与淘宝（中国）的酒店预 订平台的直连合作，以及新一代云平台的餐饮系统与阿里相关平台的直连对接将无需开发、维护以及设备投入，因此截至</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日，公司与阿里旅行在酒店领域的合作方面共同推出</w:t>
            </w:r>
            <w:r>
              <w:rPr>
                <w:rFonts w:ascii="Times New Roman" w:hAnsi="Times New Roman" w:cs="Times New Roman" w:eastAsia="Times New Roman" w:hint="default"/>
                <w:sz w:val="18"/>
                <w:szCs w:val="18"/>
              </w:rPr>
              <w:t>“</w:t>
            </w:r>
            <w:r>
              <w:rPr>
                <w:rFonts w:ascii="宋体" w:hAnsi="宋体" w:cs="宋体" w:eastAsia="宋体" w:hint="default"/>
                <w:sz w:val="18"/>
                <w:szCs w:val="18"/>
              </w:rPr>
              <w:t>信用住</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，开发了</w:t>
            </w:r>
            <w:r>
              <w:rPr>
                <w:rFonts w:ascii="Times New Roman" w:hAnsi="Times New Roman" w:cs="Times New Roman" w:eastAsia="Times New Roman" w:hint="default"/>
                <w:sz w:val="18"/>
                <w:szCs w:val="18"/>
              </w:rPr>
              <w:t>“</w:t>
            </w:r>
            <w:r>
              <w:rPr>
                <w:rFonts w:ascii="宋体" w:hAnsi="宋体" w:cs="宋体" w:eastAsia="宋体" w:hint="default"/>
                <w:sz w:val="18"/>
                <w:szCs w:val="18"/>
              </w:rPr>
              <w:t>未来酒店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到</w:t>
            </w:r>
            <w:r>
              <w:rPr>
                <w:rFonts w:ascii="Times New Roman" w:hAnsi="Times New Roman" w:cs="Times New Roman" w:eastAsia="Times New Roman" w:hint="default"/>
                <w:sz w:val="18"/>
                <w:szCs w:val="18"/>
              </w:rPr>
              <w:t>“</w:t>
            </w:r>
            <w:r>
              <w:rPr>
                <w:rFonts w:ascii="宋体" w:hAnsi="宋体" w:cs="宋体" w:eastAsia="宋体" w:hint="default"/>
                <w:sz w:val="18"/>
                <w:szCs w:val="18"/>
              </w:rPr>
              <w:t>未来酒店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的功能，并 按计划进度完成了现有酒店信息管理系统与</w:t>
            </w:r>
            <w:r>
              <w:rPr>
                <w:rFonts w:ascii="Times New Roman" w:hAnsi="Times New Roman" w:cs="Times New Roman" w:eastAsia="Times New Roman" w:hint="default"/>
                <w:sz w:val="18"/>
                <w:szCs w:val="18"/>
              </w:rPr>
              <w:t>“</w:t>
            </w:r>
            <w:r>
              <w:rPr>
                <w:rFonts w:ascii="宋体" w:hAnsi="宋体" w:cs="宋体" w:eastAsia="宋体" w:hint="default"/>
                <w:sz w:val="18"/>
                <w:szCs w:val="18"/>
              </w:rPr>
              <w:t>去啊</w:t>
            </w:r>
            <w:r>
              <w:rPr>
                <w:rFonts w:ascii="Times New Roman" w:hAnsi="Times New Roman" w:cs="Times New Roman" w:eastAsia="Times New Roman" w:hint="default"/>
                <w:sz w:val="18"/>
                <w:szCs w:val="18"/>
              </w:rPr>
              <w:t>”</w:t>
            </w:r>
            <w:r>
              <w:rPr>
                <w:rFonts w:ascii="宋体" w:hAnsi="宋体" w:cs="宋体" w:eastAsia="宋体" w:hint="default"/>
                <w:sz w:val="18"/>
                <w:szCs w:val="18"/>
              </w:rPr>
              <w:t>的直连、后付、会员服务平台接入、扫码支付等功能的开发和客户直连；在 餐饮领域打通了现有餐饮软件与阿里相关平台的接口，并配合相关合作进行了一定的人员招聘，提高现有人员待遇，但未按计 划进行大规模投入。目前，公司正在与淘宝（中国）协商新的酒店、餐饮领域合作项目的投入计划。</w:t>
            </w:r>
          </w:p>
        </w:tc>
      </w:tr>
      <w:tr>
        <w:trPr>
          <w:trHeight w:val="703" w:hRule="exact"/>
        </w:trPr>
        <w:tc>
          <w:tcPr>
            <w:tcW w:w="4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20"/>
              <w:jc w:val="left"/>
              <w:rPr>
                <w:rFonts w:ascii="宋体" w:hAnsi="宋体" w:cs="宋体" w:eastAsia="宋体" w:hint="default"/>
                <w:sz w:val="18"/>
                <w:szCs w:val="18"/>
              </w:rPr>
            </w:pPr>
            <w:r>
              <w:rPr>
                <w:rFonts w:ascii="宋体" w:hAnsi="宋体" w:cs="宋体" w:eastAsia="宋体" w:hint="default"/>
                <w:spacing w:val="-4"/>
                <w:sz w:val="18"/>
                <w:szCs w:val="18"/>
              </w:rPr>
              <w:t>未达到计划进度或预计收益的情况和原因（分具体项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w:t>
            </w:r>
          </w:p>
        </w:tc>
        <w:tc>
          <w:tcPr>
            <w:tcW w:w="9952" w:type="dxa"/>
            <w:gridSpan w:val="10"/>
            <w:vMerge/>
            <w:tcBorders>
              <w:left w:val="single" w:sz="10" w:space="0" w:color="D2D2D2"/>
              <w:right w:val="single" w:sz="4" w:space="0" w:color="000000"/>
            </w:tcBorders>
          </w:tcPr>
          <w:p>
            <w:pPr/>
          </w:p>
        </w:tc>
      </w:tr>
      <w:tr>
        <w:trPr>
          <w:trHeight w:val="941" w:hRule="exact"/>
        </w:trPr>
        <w:tc>
          <w:tcPr>
            <w:tcW w:w="4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2" w:type="dxa"/>
            <w:gridSpan w:val="10"/>
            <w:vMerge/>
            <w:tcBorders>
              <w:left w:val="single" w:sz="10" w:space="0" w:color="D2D2D2"/>
              <w:bottom w:val="single" w:sz="4" w:space="0" w:color="000000"/>
              <w:right w:val="single" w:sz="4" w:space="0" w:color="000000"/>
            </w:tcBorders>
          </w:tcPr>
          <w:p>
            <w:pPr/>
          </w:p>
        </w:tc>
      </w:tr>
      <w:tr>
        <w:trPr>
          <w:trHeight w:val="475" w:hRule="exact"/>
        </w:trPr>
        <w:tc>
          <w:tcPr>
            <w:tcW w:w="4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2" w:type="dxa"/>
            <w:gridSpan w:val="10"/>
            <w:vMerge w:val="restart"/>
            <w:tcBorders>
              <w:top w:val="single" w:sz="4" w:space="0" w:color="000000"/>
              <w:left w:val="single" w:sz="10" w:space="0" w:color="D2D2D2"/>
              <w:right w:val="single" w:sz="4" w:space="0" w:color="000000"/>
            </w:tcBorders>
          </w:tcPr>
          <w:p>
            <w:pPr>
              <w:pStyle w:val="TableParagraph"/>
              <w:spacing w:line="312" w:lineRule="auto" w:before="51"/>
              <w:ind w:left="16" w:right="17"/>
              <w:jc w:val="both"/>
              <w:rPr>
                <w:rFonts w:ascii="宋体" w:hAnsi="宋体" w:cs="宋体" w:eastAsia="宋体" w:hint="default"/>
                <w:sz w:val="18"/>
                <w:szCs w:val="18"/>
              </w:rPr>
            </w:pPr>
            <w:r>
              <w:rPr>
                <w:rFonts w:ascii="宋体" w:hAnsi="宋体" w:cs="宋体" w:eastAsia="宋体" w:hint="default"/>
                <w:sz w:val="18"/>
                <w:szCs w:val="18"/>
              </w:rPr>
              <w:t>鉴于与阿里巴巴在零售、支付领域开展业务合作的原募投项目的目标已经通过公司以自有资金收购零售信息系统业务子公司实 现，经公司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日召开的第六届董事会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年第三次临时会议以及公司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 时股东大会审议通过，公司已终止与阿里巴巴在零售、支付领域开展业务合作项目的原募投项目，并将剩余募集资金及利息永 久补充流动资金。</w:t>
            </w:r>
          </w:p>
        </w:tc>
      </w:tr>
      <w:tr>
        <w:trPr>
          <w:trHeight w:val="391" w:hRule="exact"/>
        </w:trPr>
        <w:tc>
          <w:tcPr>
            <w:tcW w:w="4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952" w:type="dxa"/>
            <w:gridSpan w:val="10"/>
            <w:vMerge/>
            <w:tcBorders>
              <w:left w:val="single" w:sz="10" w:space="0" w:color="D2D2D2"/>
              <w:right w:val="single" w:sz="4" w:space="0" w:color="000000"/>
            </w:tcBorders>
          </w:tcPr>
          <w:p>
            <w:pPr/>
          </w:p>
        </w:tc>
      </w:tr>
      <w:tr>
        <w:trPr>
          <w:trHeight w:val="473" w:hRule="exact"/>
        </w:trPr>
        <w:tc>
          <w:tcPr>
            <w:tcW w:w="4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2" w:type="dxa"/>
            <w:gridSpan w:val="10"/>
            <w:vMerge/>
            <w:tcBorders>
              <w:left w:val="single" w:sz="10" w:space="0" w:color="D2D2D2"/>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995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95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95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95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995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3" w:hRule="exact"/>
        </w:trPr>
        <w:tc>
          <w:tcPr>
            <w:tcW w:w="4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952"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3"/>
              <w:jc w:val="left"/>
              <w:rPr>
                <w:rFonts w:ascii="宋体" w:hAnsi="宋体" w:cs="宋体" w:eastAsia="宋体" w:hint="default"/>
                <w:sz w:val="18"/>
                <w:szCs w:val="18"/>
              </w:rPr>
            </w:pPr>
            <w:r>
              <w:rPr>
                <w:rFonts w:ascii="宋体" w:hAnsi="宋体" w:cs="宋体" w:eastAsia="宋体" w:hint="default"/>
                <w:spacing w:val="-2"/>
                <w:sz w:val="18"/>
                <w:szCs w:val="18"/>
              </w:rPr>
              <w:t>本公司严格按照《募集资金管理办法》使用募集资金，报告期末募集资金结余的原因为募投项目部分尚未完成，以及本表中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未</w:t>
            </w:r>
            <w:r>
              <w:rPr>
                <w:rFonts w:ascii="宋体" w:hAnsi="宋体" w:cs="宋体" w:eastAsia="宋体" w:hint="default"/>
                <w:spacing w:val="-66"/>
                <w:sz w:val="18"/>
                <w:szCs w:val="18"/>
              </w:rPr>
              <w:t> </w:t>
            </w:r>
            <w:r>
              <w:rPr>
                <w:rFonts w:ascii="宋体" w:hAnsi="宋体" w:cs="宋体" w:eastAsia="宋体" w:hint="default"/>
                <w:sz w:val="18"/>
                <w:szCs w:val="18"/>
              </w:rPr>
              <w:t>达到计划进度或预计收益的情况和原因（分具体项目）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披露的原因所致。</w:t>
            </w:r>
          </w:p>
        </w:tc>
      </w:tr>
      <w:tr>
        <w:trPr>
          <w:trHeight w:val="361" w:hRule="exact"/>
        </w:trPr>
        <w:tc>
          <w:tcPr>
            <w:tcW w:w="4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2" w:type="dxa"/>
            <w:gridSpan w:val="10"/>
            <w:vMerge/>
            <w:tcBorders>
              <w:left w:val="single" w:sz="10" w:space="0" w:color="D2D2D2"/>
              <w:bottom w:val="single" w:sz="4" w:space="0" w:color="000000"/>
              <w:right w:val="single" w:sz="4" w:space="0" w:color="000000"/>
            </w:tcBorders>
          </w:tcPr>
          <w:p>
            <w:pPr/>
          </w:p>
        </w:tc>
      </w:tr>
      <w:tr>
        <w:trPr>
          <w:trHeight w:val="319" w:hRule="exact"/>
        </w:trPr>
        <w:tc>
          <w:tcPr>
            <w:tcW w:w="4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2"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1"/>
              <w:ind w:left="16" w:right="23"/>
              <w:jc w:val="both"/>
              <w:rPr>
                <w:rFonts w:ascii="宋体" w:hAnsi="宋体" w:cs="宋体" w:eastAsia="宋体" w:hint="default"/>
                <w:sz w:val="18"/>
                <w:szCs w:val="18"/>
              </w:rPr>
            </w:pPr>
            <w:r>
              <w:rPr>
                <w:rFonts w:ascii="宋体" w:hAnsi="宋体" w:cs="宋体" w:eastAsia="宋体" w:hint="default"/>
                <w:spacing w:val="-2"/>
                <w:sz w:val="18"/>
                <w:szCs w:val="18"/>
              </w:rPr>
              <w:t>对于尚未使用的募集资金，继续存放于公司募集资金专用账户，用于部分募集资金投资项目的后续投入及补充流动资金。将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w:t>
            </w:r>
            <w:r>
              <w:rPr>
                <w:rFonts w:ascii="宋体" w:hAnsi="宋体" w:cs="宋体" w:eastAsia="宋体" w:hint="default"/>
                <w:spacing w:val="-65"/>
                <w:sz w:val="18"/>
                <w:szCs w:val="18"/>
              </w:rPr>
              <w:t> </w:t>
            </w:r>
            <w:r>
              <w:rPr>
                <w:rFonts w:ascii="宋体" w:hAnsi="宋体" w:cs="宋体" w:eastAsia="宋体" w:hint="default"/>
                <w:spacing w:val="-2"/>
                <w:sz w:val="18"/>
                <w:szCs w:val="18"/>
              </w:rPr>
              <w:t>淘宝（中国）软件在酒店、餐饮领域开展业务合作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两个项目的剩余募集资金用于后续与淘宝（中国）在新的酒店、餐饮领域项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目合作投入。</w:t>
            </w:r>
          </w:p>
        </w:tc>
      </w:tr>
      <w:tr>
        <w:trPr>
          <w:trHeight w:val="391" w:hRule="exact"/>
        </w:trPr>
        <w:tc>
          <w:tcPr>
            <w:tcW w:w="4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952" w:type="dxa"/>
            <w:gridSpan w:val="10"/>
            <w:vMerge/>
            <w:tcBorders>
              <w:left w:val="single" w:sz="10" w:space="0" w:color="D2D2D2"/>
              <w:right w:val="single" w:sz="4" w:space="0" w:color="000000"/>
            </w:tcBorders>
          </w:tcPr>
          <w:p>
            <w:pPr/>
          </w:p>
        </w:tc>
      </w:tr>
      <w:tr>
        <w:trPr>
          <w:trHeight w:val="317" w:hRule="exact"/>
        </w:trPr>
        <w:tc>
          <w:tcPr>
            <w:tcW w:w="4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2" w:type="dxa"/>
            <w:gridSpan w:val="10"/>
            <w:vMerge/>
            <w:tcBorders>
              <w:left w:val="single" w:sz="10" w:space="0" w:color="D2D2D2"/>
              <w:bottom w:val="single" w:sz="4" w:space="0" w:color="000000"/>
              <w:right w:val="single" w:sz="4" w:space="0" w:color="000000"/>
            </w:tcBorders>
          </w:tcPr>
          <w:p>
            <w:pPr/>
          </w:p>
        </w:tc>
      </w:tr>
    </w:tbl>
    <w:p>
      <w:pPr>
        <w:spacing w:after="0"/>
        <w:sectPr>
          <w:pgSz w:w="16840" w:h="11910" w:orient="landscape"/>
          <w:pgMar w:header="867" w:footer="980" w:top="1060" w:bottom="1160" w:left="134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112"/>
        <w:gridCol w:w="9952"/>
      </w:tblGrid>
      <w:tr>
        <w:trPr>
          <w:trHeight w:val="418" w:hRule="exact"/>
        </w:trPr>
        <w:tc>
          <w:tcPr>
            <w:tcW w:w="41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99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不存在</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left="120" w:right="20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20"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31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0" w:right="126" w:firstLine="0"/>
        <w:jc w:val="right"/>
        <w:rPr>
          <w:rFonts w:ascii="宋体" w:hAnsi="宋体" w:cs="宋体" w:eastAsia="宋体" w:hint="default"/>
          <w:sz w:val="18"/>
          <w:szCs w:val="18"/>
        </w:rPr>
      </w:pPr>
      <w:r>
        <w:rPr/>
        <w:pict>
          <v:shape style="position:absolute;margin-left:71.760002pt;margin-top:-241.13829pt;width:700.3pt;height:370.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2126"/>
                    <w:gridCol w:w="1844"/>
                    <w:gridCol w:w="1133"/>
                    <w:gridCol w:w="1416"/>
                    <w:gridCol w:w="1419"/>
                    <w:gridCol w:w="1418"/>
                    <w:gridCol w:w="991"/>
                    <w:gridCol w:w="853"/>
                    <w:gridCol w:w="1798"/>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0" w:right="106" w:hanging="255"/>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变更后项目拟投入募 集资金总额</w:t>
                        </w:r>
                        <w:r>
                          <w:rPr>
                            <w:rFonts w:ascii="Times New Roman" w:hAnsi="Times New Roman" w:cs="Times New Roman" w:eastAsia="Times New Roman" w:hint="default"/>
                            <w:sz w:val="18"/>
                            <w:szCs w:val="18"/>
                          </w:rPr>
                          <w:t>(1)</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71"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截至期末实际累 计投入金额</w:t>
                        </w:r>
                        <w:r>
                          <w:rPr>
                            <w:rFonts w:ascii="Times New Roman" w:hAnsi="Times New Roman" w:cs="Times New Roman" w:eastAsia="Times New Roman" w:hint="default"/>
                            <w:sz w:val="18"/>
                            <w:szCs w:val="18"/>
                          </w:rPr>
                          <w:t>(2)</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72" w:hanging="149"/>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截至期末投资进 度</w:t>
                        </w:r>
                        <w:r>
                          <w:rPr>
                            <w:rFonts w:ascii="Times New Roman" w:hAnsi="Times New Roman" w:cs="Times New Roman" w:eastAsia="Times New Roman" w:hint="default"/>
                            <w:sz w:val="18"/>
                            <w:szCs w:val="18"/>
                          </w:rPr>
                          <w:t>(3)=(2)/(1)</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72" w:hanging="89"/>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41"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84" w:hanging="92"/>
                          <w:jc w:val="left"/>
                          <w:rPr>
                            <w:rFonts w:ascii="宋体" w:hAnsi="宋体" w:cs="宋体" w:eastAsia="宋体" w:hint="default"/>
                            <w:sz w:val="18"/>
                            <w:szCs w:val="18"/>
                          </w:rPr>
                        </w:pPr>
                        <w:r>
                          <w:rPr>
                            <w:rFonts w:ascii="宋体" w:hAnsi="宋体" w:cs="宋体" w:eastAsia="宋体" w:hint="default"/>
                            <w:sz w:val="18"/>
                            <w:szCs w:val="18"/>
                          </w:rPr>
                          <w:t>变更后的项目可行性 是否发生重大变化</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4"/>
                          <w:jc w:val="left"/>
                          <w:rPr>
                            <w:rFonts w:ascii="宋体" w:hAnsi="宋体" w:cs="宋体" w:eastAsia="宋体" w:hint="default"/>
                            <w:sz w:val="18"/>
                            <w:szCs w:val="18"/>
                          </w:rPr>
                        </w:pPr>
                        <w:r>
                          <w:rPr>
                            <w:rFonts w:ascii="宋体" w:hAnsi="宋体" w:cs="宋体" w:eastAsia="宋体" w:hint="default"/>
                            <w:spacing w:val="-8"/>
                            <w:sz w:val="18"/>
                            <w:szCs w:val="18"/>
                          </w:rPr>
                          <w:t>与阿里巴巴在零售、支付系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统领域开展业务合作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74,728.26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74,728.26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0"/>
                          <w:jc w:val="right"/>
                          <w:rPr>
                            <w:rFonts w:ascii="Times New Roman" w:hAnsi="Times New Roman" w:cs="Times New Roman" w:eastAsia="Times New Roman" w:hint="default"/>
                            <w:sz w:val="18"/>
                            <w:szCs w:val="18"/>
                          </w:rPr>
                        </w:pPr>
                        <w:r>
                          <w:rPr>
                            <w:rFonts w:ascii="Times New Roman"/>
                            <w:spacing w:val="-1"/>
                            <w:sz w:val="18"/>
                          </w:rPr>
                          <w:t>74,728.26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74,728.26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1"/>
                          <w:jc w:val="right"/>
                          <w:rPr>
                            <w:rFonts w:ascii="Times New Roman" w:hAnsi="Times New Roman" w:cs="Times New Roman" w:eastAsia="Times New Roman" w:hint="default"/>
                            <w:sz w:val="18"/>
                            <w:szCs w:val="18"/>
                          </w:rPr>
                        </w:pPr>
                        <w:r>
                          <w:rPr>
                            <w:rFonts w:ascii="Times New Roman"/>
                            <w:spacing w:val="-1"/>
                            <w:sz w:val="18"/>
                          </w:rPr>
                          <w:t>74,728.26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0"/>
                          <w:jc w:val="right"/>
                          <w:rPr>
                            <w:rFonts w:ascii="Times New Roman" w:hAnsi="Times New Roman" w:cs="Times New Roman" w:eastAsia="Times New Roman" w:hint="default"/>
                            <w:sz w:val="18"/>
                            <w:szCs w:val="18"/>
                          </w:rPr>
                        </w:pPr>
                        <w:r>
                          <w:rPr>
                            <w:rFonts w:ascii="Times New Roman"/>
                            <w:spacing w:val="-1"/>
                            <w:sz w:val="18"/>
                          </w:rPr>
                          <w:t>74,728.26</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664" w:hRule="exact"/>
                    </w:trPr>
                    <w:tc>
                      <w:tcPr>
                        <w:tcW w:w="3120" w:type="dxa"/>
                        <w:gridSpan w:val="2"/>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 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10871" w:type="dxa"/>
                        <w:gridSpan w:val="8"/>
                        <w:tcBorders>
                          <w:top w:val="single" w:sz="4" w:space="0" w:color="000000"/>
                          <w:left w:val="single" w:sz="8" w:space="0" w:color="000000"/>
                          <w:bottom w:val="single" w:sz="4" w:space="0" w:color="000000"/>
                          <w:right w:val="single" w:sz="4" w:space="0" w:color="000000"/>
                        </w:tcBorders>
                      </w:tcPr>
                      <w:p>
                        <w:pPr>
                          <w:pStyle w:val="TableParagraph"/>
                          <w:spacing w:line="316" w:lineRule="auto" w:before="49"/>
                          <w:ind w:left="16" w:right="39" w:firstLine="360"/>
                          <w:jc w:val="both"/>
                          <w:rPr>
                            <w:rFonts w:ascii="宋体" w:hAnsi="宋体" w:cs="宋体" w:eastAsia="宋体" w:hint="default"/>
                            <w:sz w:val="18"/>
                            <w:szCs w:val="18"/>
                          </w:rPr>
                        </w:pPr>
                        <w:r>
                          <w:rPr>
                            <w:rFonts w:ascii="宋体" w:hAnsi="宋体" w:cs="宋体" w:eastAsia="宋体" w:hint="default"/>
                            <w:sz w:val="18"/>
                            <w:szCs w:val="18"/>
                          </w:rPr>
                          <w:t>与阿里巴巴在零售、支付领域开展业务合作项目终止原因：因公司在与阿里的零售、支付系统领域合作中，共享了新收购子公司的员 工、销售网络、设备和丰富客户资源，支付宝产品集成也已经主要通过共享各子公司现有人力、物力和财力来实现，因此公司无需进行大 规模投入就完成了最初的零售、支付系统领域合作项目。公司履行了以下程序：</w:t>
                        </w:r>
                      </w:p>
                      <w:p>
                        <w:pPr>
                          <w:pStyle w:val="TableParagraph"/>
                          <w:spacing w:line="240" w:lineRule="auto" w:before="5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日召开第六届董事会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年第三次临时会议审议通过《关于公司部分募集资金投资项目终止并拟将部分</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剩余募集资金永久补充流动资金的议案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详见公司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17"/>
                            <w:sz w:val="18"/>
                            <w:szCs w:val="18"/>
                          </w:rPr>
                          <w:t>于</w:t>
                        </w:r>
                        <w:r>
                          <w:rPr>
                            <w:rFonts w:ascii="宋体" w:hAnsi="宋体" w:cs="宋体" w:eastAsia="宋体" w:hint="default"/>
                            <w:sz w:val="18"/>
                            <w:szCs w:val="18"/>
                          </w:rPr>
                          <w:t>《中国证券</w:t>
                        </w:r>
                        <w:r>
                          <w:rPr>
                            <w:rFonts w:ascii="宋体" w:hAnsi="宋体" w:cs="宋体" w:eastAsia="宋体" w:hint="default"/>
                            <w:spacing w:val="-3"/>
                            <w:sz w:val="18"/>
                            <w:szCs w:val="18"/>
                          </w:rPr>
                          <w:t>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《证券时报</w:t>
                        </w:r>
                        <w:r>
                          <w:rPr>
                            <w:rFonts w:ascii="宋体" w:hAnsi="宋体" w:cs="宋体" w:eastAsia="宋体" w:hint="default"/>
                            <w:spacing w:val="-15"/>
                            <w:sz w:val="18"/>
                            <w:szCs w:val="18"/>
                          </w:rPr>
                          <w:t>》</w:t>
                        </w:r>
                        <w:r>
                          <w:rPr>
                            <w:rFonts w:ascii="宋体" w:hAnsi="宋体" w:cs="宋体" w:eastAsia="宋体" w:hint="default"/>
                            <w:sz w:val="18"/>
                            <w:szCs w:val="18"/>
                          </w:rPr>
                          <w:t>及巨潮资讯网</w:t>
                        </w:r>
                        <w:r>
                          <w:rPr>
                            <w:rFonts w:ascii="宋体" w:hAnsi="宋体" w:cs="宋体" w:eastAsia="宋体" w:hint="default"/>
                            <w:spacing w:val="-15"/>
                            <w:sz w:val="18"/>
                            <w:szCs w:val="18"/>
                          </w:rPr>
                          <w:t>的</w:t>
                        </w:r>
                        <w:r>
                          <w:rPr>
                            <w:rFonts w:ascii="宋体" w:hAnsi="宋体" w:cs="宋体" w:eastAsia="宋体" w:hint="default"/>
                            <w:sz w:val="18"/>
                            <w:szCs w:val="18"/>
                          </w:rPr>
                          <w:t>《第六届董事会</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年第三次临时会议决议</w:t>
                        </w:r>
                        <w:r>
                          <w:rPr>
                            <w:rFonts w:ascii="宋体" w:hAnsi="宋体" w:cs="宋体" w:eastAsia="宋体" w:hint="default"/>
                            <w:spacing w:val="-3"/>
                            <w:sz w:val="18"/>
                            <w:szCs w:val="18"/>
                          </w:rPr>
                          <w:t>公</w:t>
                        </w: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07</w:t>
                        </w:r>
                        <w:r>
                          <w:rPr>
                            <w:rFonts w:ascii="宋体" w:hAnsi="宋体" w:cs="宋体" w:eastAsia="宋体" w:hint="default"/>
                            <w:sz w:val="18"/>
                            <w:szCs w:val="18"/>
                          </w:rPr>
                          <w:t>）及相关文件；</w:t>
                        </w:r>
                      </w:p>
                      <w:p>
                        <w:pPr>
                          <w:pStyle w:val="TableParagraph"/>
                          <w:spacing w:line="300" w:lineRule="auto" w:before="103"/>
                          <w:ind w:left="16" w:right="22"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24"/>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w:t>
                        </w:r>
                        <w:r>
                          <w:rPr>
                            <w:rFonts w:ascii="宋体" w:hAnsi="宋体" w:cs="宋体" w:eastAsia="宋体" w:hint="default"/>
                            <w:sz w:val="18"/>
                            <w:szCs w:val="18"/>
                          </w:rPr>
                          <w:t>该议</w:t>
                        </w:r>
                        <w:r>
                          <w:rPr>
                            <w:rFonts w:ascii="宋体" w:hAnsi="宋体" w:cs="宋体" w:eastAsia="宋体" w:hint="default"/>
                            <w:spacing w:val="-3"/>
                            <w:sz w:val="18"/>
                            <w:szCs w:val="18"/>
                          </w:rPr>
                          <w:t>案</w:t>
                        </w:r>
                        <w:r>
                          <w:rPr>
                            <w:rFonts w:ascii="宋体" w:hAnsi="宋体" w:cs="宋体" w:eastAsia="宋体" w:hint="default"/>
                            <w:sz w:val="18"/>
                            <w:szCs w:val="18"/>
                          </w:rPr>
                          <w:t>已经公司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w:t>
                        </w:r>
                        <w:r>
                          <w:rPr>
                            <w:rFonts w:ascii="宋体" w:hAnsi="宋体" w:cs="宋体" w:eastAsia="宋体" w:hint="default"/>
                            <w:spacing w:val="-3"/>
                            <w:sz w:val="18"/>
                            <w:szCs w:val="18"/>
                          </w:rPr>
                          <w:t>股</w:t>
                        </w:r>
                        <w:r>
                          <w:rPr>
                            <w:rFonts w:ascii="宋体" w:hAnsi="宋体" w:cs="宋体" w:eastAsia="宋体" w:hint="default"/>
                            <w:sz w:val="18"/>
                            <w:szCs w:val="18"/>
                          </w:rPr>
                          <w:t>东大会审议通过</w:t>
                        </w:r>
                        <w:r>
                          <w:rPr>
                            <w:rFonts w:ascii="宋体" w:hAnsi="宋体" w:cs="宋体" w:eastAsia="宋体" w:hint="default"/>
                            <w:spacing w:val="-24"/>
                            <w:sz w:val="18"/>
                            <w:szCs w:val="18"/>
                          </w:rPr>
                          <w:t>，</w:t>
                        </w:r>
                        <w:r>
                          <w:rPr>
                            <w:rFonts w:ascii="宋体" w:hAnsi="宋体" w:cs="宋体" w:eastAsia="宋体" w:hint="default"/>
                            <w:sz w:val="18"/>
                            <w:szCs w:val="18"/>
                          </w:rPr>
                          <w:t>详见公司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24"/>
                            <w:sz w:val="18"/>
                            <w:szCs w:val="18"/>
                          </w:rPr>
                          <w:t>于</w:t>
                        </w:r>
                        <w:r>
                          <w:rPr>
                            <w:rFonts w:ascii="宋体" w:hAnsi="宋体" w:cs="宋体" w:eastAsia="宋体" w:hint="default"/>
                            <w:sz w:val="18"/>
                            <w:szCs w:val="18"/>
                          </w:rPr>
                          <w:t>《中国</w:t>
                        </w:r>
                        <w:r>
                          <w:rPr>
                            <w:rFonts w:ascii="宋体" w:hAnsi="宋体" w:cs="宋体" w:eastAsia="宋体" w:hint="default"/>
                            <w:spacing w:val="-3"/>
                            <w:sz w:val="18"/>
                            <w:szCs w:val="18"/>
                          </w:rPr>
                          <w:t>证</w:t>
                        </w:r>
                        <w:r>
                          <w:rPr>
                            <w:rFonts w:ascii="宋体" w:hAnsi="宋体" w:cs="宋体" w:eastAsia="宋体" w:hint="default"/>
                            <w:sz w:val="18"/>
                            <w:szCs w:val="18"/>
                          </w:rPr>
                          <w:t>券报</w:t>
                        </w:r>
                        <w:r>
                          <w:rPr>
                            <w:rFonts w:ascii="宋体" w:hAnsi="宋体" w:cs="宋体" w:eastAsia="宋体" w:hint="default"/>
                            <w:spacing w:val="-92"/>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券时报》及巨潮资讯网的《</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年第一次临时股东大会决</w:t>
                        </w:r>
                        <w:r>
                          <w:rPr>
                            <w:rFonts w:ascii="宋体" w:hAnsi="宋体" w:cs="宋体" w:eastAsia="宋体" w:hint="default"/>
                            <w:spacing w:val="-3"/>
                            <w:sz w:val="18"/>
                            <w:szCs w:val="18"/>
                          </w:rPr>
                          <w:t>议</w:t>
                        </w:r>
                        <w:r>
                          <w:rPr>
                            <w:rFonts w:ascii="宋体" w:hAnsi="宋体" w:cs="宋体" w:eastAsia="宋体" w:hint="default"/>
                            <w:sz w:val="18"/>
                            <w:szCs w:val="18"/>
                          </w:rPr>
                          <w:t>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）及相关文</w:t>
                        </w:r>
                        <w:r>
                          <w:rPr>
                            <w:rFonts w:ascii="宋体" w:hAnsi="宋体" w:cs="宋体" w:eastAsia="宋体" w:hint="default"/>
                            <w:spacing w:val="-3"/>
                            <w:sz w:val="18"/>
                            <w:szCs w:val="18"/>
                          </w:rPr>
                          <w:t>件。</w:t>
                        </w:r>
                        <w:r>
                          <w:rPr>
                            <w:rFonts w:ascii="宋体" w:hAnsi="宋体" w:cs="宋体" w:eastAsia="宋体" w:hint="default"/>
                            <w:sz w:val="18"/>
                            <w:szCs w:val="18"/>
                          </w:rPr>
                        </w:r>
                      </w:p>
                    </w:tc>
                  </w:tr>
                  <w:tr>
                    <w:trPr>
                      <w:trHeight w:val="2900" w:hRule="exact"/>
                    </w:trPr>
                    <w:tc>
                      <w:tcPr>
                        <w:tcW w:w="3120" w:type="dxa"/>
                        <w:gridSpan w:val="2"/>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10871" w:type="dxa"/>
                        <w:gridSpan w:val="8"/>
                        <w:tcBorders>
                          <w:top w:val="single" w:sz="4" w:space="0" w:color="000000"/>
                          <w:left w:val="single" w:sz="8" w:space="0" w:color="000000"/>
                          <w:bottom w:val="single" w:sz="4" w:space="0" w:color="000000"/>
                          <w:right w:val="single" w:sz="4" w:space="0" w:color="000000"/>
                        </w:tcBorders>
                      </w:tcPr>
                      <w:p>
                        <w:pPr>
                          <w:pStyle w:val="TableParagraph"/>
                          <w:spacing w:line="314" w:lineRule="auto" w:before="51"/>
                          <w:ind w:left="16" w:right="36" w:firstLine="360"/>
                          <w:jc w:val="left"/>
                          <w:rPr>
                            <w:rFonts w:ascii="宋体" w:hAnsi="宋体" w:cs="宋体" w:eastAsia="宋体" w:hint="default"/>
                            <w:sz w:val="18"/>
                            <w:szCs w:val="18"/>
                          </w:rPr>
                        </w:pPr>
                        <w:r>
                          <w:rPr>
                            <w:rFonts w:ascii="宋体" w:hAnsi="宋体" w:cs="宋体" w:eastAsia="宋体" w:hint="default"/>
                            <w:sz w:val="18"/>
                            <w:szCs w:val="18"/>
                          </w:rPr>
                          <w:t>因下列两方面的原因本公司与阿里巴巴零售、支付系统领域开展业务合作项目已经完成，原计划将零售软件系统与支付宝产品接口集 </w:t>
                        </w:r>
                        <w:r>
                          <w:rPr>
                            <w:rFonts w:ascii="宋体" w:hAnsi="宋体" w:cs="宋体" w:eastAsia="宋体" w:hint="default"/>
                            <w:spacing w:val="-2"/>
                            <w:sz w:val="18"/>
                            <w:szCs w:val="18"/>
                          </w:rPr>
                          <w:t>成的目标已经提前实现：一方面，本公司全资子公司南京银石计算机系统有限公司（以下简称南京银石）凭借自身的技术力量和行业经验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依托公司旗下各子公司占据中国规模化零售业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 </w:t>
                        </w:r>
                        <w:r>
                          <w:rPr>
                            <w:rFonts w:ascii="宋体" w:hAnsi="宋体" w:cs="宋体" w:eastAsia="宋体" w:hint="default"/>
                            <w:sz w:val="18"/>
                            <w:szCs w:val="18"/>
                          </w:rPr>
                          <w:t>成客户的庞大客户资源，开发并建成了石基一体化支付平台，能够为商户提供集成支付 宝相关产品接口的一体化的支付解决方案；另一方面，本公司从事零售信息系统业务的全部子公司深圳市思迅软件股份有限公司（以下简 </w:t>
                        </w:r>
                        <w:r>
                          <w:rPr>
                            <w:rFonts w:ascii="宋体" w:hAnsi="宋体" w:cs="宋体" w:eastAsia="宋体" w:hint="default"/>
                            <w:spacing w:val="-3"/>
                            <w:sz w:val="18"/>
                            <w:szCs w:val="18"/>
                          </w:rPr>
                          <w:t>称思迅）、北京长京益康信息科技有限公司（以下简称长益）、北京富基融通科技有限公司（以下简称富基）以及参股公司科传计算机科技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控股有限公司（以下简称科传）的零售信息系统已经完成与南京银石一体化支付平台的直连对接，同时也直接支持与支付宝平台的直连对 接。该项目募集资金投入金额较少未达募集资金计划使用进度的原因如下：</w:t>
                        </w:r>
                      </w:p>
                      <w:p>
                        <w:pPr>
                          <w:pStyle w:val="TableParagraph"/>
                          <w:spacing w:line="300" w:lineRule="auto" w:before="61"/>
                          <w:ind w:left="16" w:right="19" w:firstLine="360"/>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年底至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年初新收购了零售信息系统公司，公司零售板块业务架构和在零售信息系统行业所处的地位与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 公布《募集资金可行性报告》之时相比已经有了本质变化，这使得公司可以在与阿里巴巴的零售、支付系统领域开展业务合作项目中利用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20" w:right="1220"/>
        </w:sectPr>
      </w:pPr>
    </w:p>
    <w:p>
      <w:pPr>
        <w:spacing w:line="240" w:lineRule="auto" w:before="0"/>
        <w:rPr>
          <w:rFonts w:ascii="宋体" w:hAnsi="宋体" w:cs="宋体" w:eastAsia="宋体" w:hint="default"/>
          <w:sz w:val="27"/>
          <w:szCs w:val="27"/>
        </w:rPr>
      </w:pPr>
    </w:p>
    <w:p>
      <w:pPr>
        <w:spacing w:before="44"/>
        <w:ind w:left="0" w:right="125" w:firstLine="0"/>
        <w:jc w:val="right"/>
        <w:rPr>
          <w:rFonts w:ascii="宋体" w:hAnsi="宋体" w:cs="宋体" w:eastAsia="宋体" w:hint="default"/>
          <w:sz w:val="18"/>
          <w:szCs w:val="18"/>
        </w:rPr>
      </w:pPr>
      <w:r>
        <w:rPr/>
        <w:pict>
          <v:shape style="position:absolute;margin-left:71.760002pt;margin-top:-15.868273pt;width:700.3pt;height:180.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10871"/>
                  </w:tblGrid>
                  <w:tr>
                    <w:trPr>
                      <w:trHeight w:val="2873" w:hRule="exact"/>
                    </w:trPr>
                    <w:tc>
                      <w:tcPr>
                        <w:tcW w:w="3120" w:type="dxa"/>
                        <w:tcBorders>
                          <w:top w:val="single" w:sz="15" w:space="0" w:color="000000"/>
                          <w:left w:val="single" w:sz="4" w:space="0" w:color="000000"/>
                          <w:bottom w:val="single" w:sz="4" w:space="0" w:color="000000"/>
                          <w:right w:val="single" w:sz="8" w:space="0" w:color="000000"/>
                        </w:tcBorders>
                        <w:shd w:val="clear" w:color="auto" w:fill="D2D2D2"/>
                      </w:tcPr>
                      <w:p>
                        <w:pPr/>
                      </w:p>
                    </w:tc>
                    <w:tc>
                      <w:tcPr>
                        <w:tcW w:w="10871" w:type="dxa"/>
                        <w:tcBorders>
                          <w:top w:val="single" w:sz="15" w:space="0" w:color="000000"/>
                          <w:left w:val="single" w:sz="8" w:space="0" w:color="000000"/>
                          <w:bottom w:val="single" w:sz="4" w:space="0" w:color="000000"/>
                          <w:right w:val="single" w:sz="4" w:space="0" w:color="000000"/>
                        </w:tcBorders>
                      </w:tcPr>
                      <w:p>
                        <w:pPr>
                          <w:pStyle w:val="TableParagraph"/>
                          <w:spacing w:line="307" w:lineRule="auto" w:before="11"/>
                          <w:ind w:left="16" w:right="22"/>
                          <w:jc w:val="left"/>
                          <w:rPr>
                            <w:rFonts w:ascii="宋体" w:hAnsi="宋体" w:cs="宋体" w:eastAsia="宋体" w:hint="default"/>
                            <w:sz w:val="18"/>
                            <w:szCs w:val="18"/>
                          </w:rPr>
                        </w:pPr>
                        <w:r>
                          <w:rPr>
                            <w:rFonts w:ascii="宋体" w:hAnsi="宋体" w:cs="宋体" w:eastAsia="宋体" w:hint="default"/>
                            <w:sz w:val="18"/>
                            <w:szCs w:val="18"/>
                          </w:rPr>
                          <w:t>零售业信息系统板块新形成的行业竞争优势，共享新收购零售子公司的现有各项资源。</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月，公司下属零售子公司只包括控股的思 迅和参股</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的科传。思迅是中国标准化零售信息系统供应商的领导者，科传是主要的规模化零售信息系统供应商之一，且公司只是参股 因此，当时本公司在中国整体零售信息系统行业没有获得领导地位，为了实现在零售、支付系统领域与阿里的合作目的，需要通过大量投 入人员和设备来实现。而在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年初，本公司零售业务板块增加了一些重要的子公司，即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月初完成收购的全资</w:t>
                        </w:r>
                      </w:p>
                      <w:p>
                        <w:pPr>
                          <w:pStyle w:val="TableParagraph"/>
                          <w:spacing w:line="240" w:lineRule="auto" w:before="7"/>
                          <w:ind w:left="16" w:right="0"/>
                          <w:jc w:val="left"/>
                          <w:rPr>
                            <w:rFonts w:ascii="宋体" w:hAnsi="宋体" w:cs="宋体" w:eastAsia="宋体" w:hint="default"/>
                            <w:sz w:val="18"/>
                            <w:szCs w:val="18"/>
                          </w:rPr>
                        </w:pPr>
                        <w:r>
                          <w:rPr>
                            <w:rFonts w:ascii="宋体" w:hAnsi="宋体" w:cs="宋体" w:eastAsia="宋体" w:hint="default"/>
                            <w:sz w:val="18"/>
                            <w:szCs w:val="18"/>
                          </w:rPr>
                          <w:t>子公司长益科技和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月实现控股并于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日完成私有化的全资子公</w:t>
                        </w:r>
                        <w:r>
                          <w:rPr>
                            <w:rFonts w:ascii="宋体" w:hAnsi="宋体" w:cs="宋体" w:eastAsia="宋体" w:hint="default"/>
                            <w:spacing w:val="-3"/>
                            <w:sz w:val="18"/>
                            <w:szCs w:val="18"/>
                          </w:rPr>
                          <w:t>司</w:t>
                        </w:r>
                        <w:r>
                          <w:rPr>
                            <w:rFonts w:ascii="宋体" w:hAnsi="宋体" w:cs="宋体" w:eastAsia="宋体" w:hint="default"/>
                            <w:sz w:val="18"/>
                            <w:szCs w:val="18"/>
                          </w:rPr>
                          <w:t>富基</w:t>
                        </w:r>
                        <w:r>
                          <w:rPr>
                            <w:rFonts w:ascii="宋体" w:hAnsi="宋体" w:cs="宋体" w:eastAsia="宋体" w:hint="default"/>
                            <w:spacing w:val="-85"/>
                            <w:sz w:val="18"/>
                            <w:szCs w:val="18"/>
                          </w:rPr>
                          <w:t>，</w:t>
                        </w:r>
                        <w:r>
                          <w:rPr>
                            <w:rFonts w:ascii="宋体" w:hAnsi="宋体" w:cs="宋体" w:eastAsia="宋体" w:hint="default"/>
                            <w:sz w:val="18"/>
                            <w:szCs w:val="18"/>
                          </w:rPr>
                          <w:t>以及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完</w:t>
                        </w:r>
                        <w:r>
                          <w:rPr>
                            <w:rFonts w:ascii="宋体" w:hAnsi="宋体" w:cs="宋体" w:eastAsia="宋体" w:hint="default"/>
                            <w:sz w:val="18"/>
                            <w:szCs w:val="18"/>
                          </w:rPr>
                          <w:t>成收购的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w:t>
                        </w:r>
                      </w:p>
                      <w:p>
                        <w:pPr>
                          <w:pStyle w:val="TableParagraph"/>
                          <w:spacing w:line="312" w:lineRule="auto" w:before="63"/>
                          <w:ind w:left="16" w:right="39"/>
                          <w:jc w:val="left"/>
                          <w:rPr>
                            <w:rFonts w:ascii="宋体" w:hAnsi="宋体" w:cs="宋体" w:eastAsia="宋体" w:hint="default"/>
                            <w:sz w:val="18"/>
                            <w:szCs w:val="18"/>
                          </w:rPr>
                        </w:pPr>
                        <w:r>
                          <w:rPr>
                            <w:rFonts w:ascii="宋体" w:hAnsi="宋体" w:cs="宋体" w:eastAsia="宋体" w:hint="default"/>
                            <w:spacing w:val="-3"/>
                            <w:sz w:val="18"/>
                            <w:szCs w:val="18"/>
                          </w:rPr>
                          <w:t>的上海时运信息技术有限公司（以下简称时运）。长益、富基和科传为中国</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成的规模化零售客户提供信息化解决方案，事实上在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年初完成控股或投资长益、富基、科传、思迅就已经基本确立了公司在中国零售业信息系统市场的领导地位。公司在与阿里的零售、支付 </w:t>
                        </w:r>
                        <w:r>
                          <w:rPr>
                            <w:rFonts w:ascii="宋体" w:hAnsi="宋体" w:cs="宋体" w:eastAsia="宋体" w:hint="default"/>
                            <w:spacing w:val="-2"/>
                            <w:sz w:val="18"/>
                            <w:szCs w:val="18"/>
                          </w:rPr>
                          <w:t>系统领域合作中，共享了新收购子公司的员工、销售网络、设备和丰富客户资源，支付宝产品集成也已经主要通过共享各子公司现有人力</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物力和财力来实现，因此公司无需进行大规模投入就完成了最初的零售、支付系统领域合作项目。</w:t>
                        </w:r>
                      </w:p>
                    </w:tc>
                  </w:tr>
                  <w:tr>
                    <w:trPr>
                      <w:trHeight w:val="716"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10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2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spacing w:line="240" w:lineRule="auto" w:before="26"/>
        <w:ind w:left="120" w:right="209"/>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left="120" w:right="209"/>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20" w:right="118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7"/>
        <w:spacing w:line="240" w:lineRule="auto"/>
        <w:ind w:left="120" w:right="209"/>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20"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27"/>
        <w:gridCol w:w="567"/>
        <w:gridCol w:w="566"/>
        <w:gridCol w:w="850"/>
        <w:gridCol w:w="1418"/>
        <w:gridCol w:w="850"/>
        <w:gridCol w:w="1277"/>
        <w:gridCol w:w="566"/>
        <w:gridCol w:w="566"/>
        <w:gridCol w:w="710"/>
        <w:gridCol w:w="850"/>
        <w:gridCol w:w="1702"/>
        <w:gridCol w:w="566"/>
        <w:gridCol w:w="3147"/>
      </w:tblGrid>
      <w:tr>
        <w:trPr>
          <w:trHeight w:val="1337" w:hRule="exact"/>
        </w:trPr>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6"/>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8"/>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7" w:right="98" w:hanging="92"/>
              <w:jc w:val="left"/>
              <w:rPr>
                <w:rFonts w:ascii="宋体" w:hAnsi="宋体" w:cs="宋体" w:eastAsia="宋体" w:hint="default"/>
                <w:sz w:val="18"/>
                <w:szCs w:val="18"/>
              </w:rPr>
            </w:pPr>
            <w:r>
              <w:rPr>
                <w:rFonts w:ascii="宋体" w:hAnsi="宋体" w:cs="宋体" w:eastAsia="宋体" w:hint="default"/>
                <w:sz w:val="18"/>
                <w:szCs w:val="18"/>
              </w:rPr>
              <w:t>出售 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本期初起至出售 日该股权为上市 公司贡献的净利 润（万元）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 w:right="58"/>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股权出售为上 市公司贡献的 净利润占净利 润总额的比例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8"/>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7" w:right="60"/>
              <w:jc w:val="center"/>
              <w:rPr>
                <w:rFonts w:ascii="宋体" w:hAnsi="宋体" w:cs="宋体" w:eastAsia="宋体" w:hint="default"/>
                <w:sz w:val="18"/>
                <w:szCs w:val="18"/>
              </w:rPr>
            </w:pPr>
            <w:r>
              <w:rPr>
                <w:rFonts w:ascii="宋体" w:hAnsi="宋体" w:cs="宋体" w:eastAsia="宋体" w:hint="default"/>
                <w:sz w:val="18"/>
                <w:szCs w:val="18"/>
              </w:rPr>
              <w:t>所涉及的 股权是否 已全部过 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5" w:firstLine="9"/>
              <w:jc w:val="center"/>
              <w:rPr>
                <w:rFonts w:ascii="宋体" w:hAnsi="宋体" w:cs="宋体" w:eastAsia="宋体" w:hint="default"/>
                <w:sz w:val="18"/>
                <w:szCs w:val="18"/>
              </w:rPr>
            </w:pPr>
            <w:r>
              <w:rPr>
                <w:rFonts w:ascii="宋体" w:hAnsi="宋体" w:cs="宋体" w:eastAsia="宋体" w:hint="default"/>
                <w:sz w:val="18"/>
                <w:szCs w:val="18"/>
              </w:rPr>
              <w:t>是否按计划如期实 </w:t>
            </w:r>
            <w:r>
              <w:rPr>
                <w:rFonts w:ascii="宋体" w:hAnsi="宋体" w:cs="宋体" w:eastAsia="宋体" w:hint="default"/>
                <w:spacing w:val="-8"/>
                <w:sz w:val="18"/>
                <w:szCs w:val="18"/>
              </w:rPr>
              <w:t>施，如未按计划实施</w:t>
            </w:r>
            <w:r>
              <w:rPr>
                <w:rFonts w:ascii="宋体" w:hAnsi="宋体" w:cs="宋体" w:eastAsia="宋体" w:hint="default"/>
                <w:sz w:val="18"/>
                <w:szCs w:val="18"/>
              </w:rPr>
              <w:t> 应当说明原因及公司 已采取的措施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披露</w:t>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3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张鸿 麟</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62" w:lineRule="auto"/>
              <w:ind w:left="22" w:right="124"/>
              <w:jc w:val="left"/>
              <w:rPr>
                <w:rFonts w:ascii="Times New Roman" w:hAnsi="Times New Roman" w:cs="Times New Roman" w:eastAsia="Times New Roman" w:hint="default"/>
                <w:sz w:val="18"/>
                <w:szCs w:val="18"/>
              </w:rPr>
            </w:pPr>
            <w:r>
              <w:rPr>
                <w:rFonts w:ascii="Times New Roman"/>
                <w:sz w:val="18"/>
              </w:rPr>
              <w:t>Great</w:t>
            </w:r>
            <w:r>
              <w:rPr>
                <w:rFonts w:ascii="Times New Roman"/>
                <w:w w:val="99"/>
                <w:sz w:val="18"/>
              </w:rPr>
              <w:t> </w:t>
            </w:r>
            <w:r>
              <w:rPr>
                <w:rFonts w:ascii="Times New Roman"/>
                <w:sz w:val="18"/>
              </w:rPr>
              <w:t>Kylin</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16,991.89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处置该股 权的投资 收益为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77"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1" w:right="173"/>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《关于全资子公司签署</w:t>
            </w:r>
            <w:r>
              <w:rPr>
                <w:rFonts w:ascii="Times New Roman" w:hAnsi="Times New Roman" w:cs="Times New Roman" w:eastAsia="Times New Roman" w:hint="default"/>
                <w:sz w:val="18"/>
                <w:szCs w:val="18"/>
              </w:rPr>
              <w:t>&lt;GREAT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KYLIN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INVESTMENT LIMITED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股权回购协</w:t>
            </w:r>
          </w:p>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61</w:t>
            </w:r>
            <w:r>
              <w:rPr>
                <w:rFonts w:ascii="宋体" w:hAnsi="宋体" w:cs="宋体" w:eastAsia="宋体" w:hint="default"/>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2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27"/>
        <w:gridCol w:w="567"/>
        <w:gridCol w:w="566"/>
        <w:gridCol w:w="850"/>
        <w:gridCol w:w="1418"/>
        <w:gridCol w:w="850"/>
        <w:gridCol w:w="1277"/>
        <w:gridCol w:w="566"/>
        <w:gridCol w:w="566"/>
        <w:gridCol w:w="710"/>
        <w:gridCol w:w="850"/>
        <w:gridCol w:w="1702"/>
        <w:gridCol w:w="566"/>
        <w:gridCol w:w="3163"/>
      </w:tblGrid>
      <w:tr>
        <w:trPr>
          <w:trHeight w:val="689" w:hRule="exact"/>
        </w:trPr>
        <w:tc>
          <w:tcPr>
            <w:tcW w:w="427"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1509.55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 元</w:t>
            </w: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63"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日的《中国证券报》、《证券时报》</w:t>
            </w:r>
            <w:r>
              <w:rPr>
                <w:rFonts w:ascii="宋体" w:hAnsi="宋体" w:cs="宋体" w:eastAsia="宋体" w:hint="default"/>
                <w:sz w:val="18"/>
                <w:szCs w:val="18"/>
              </w:rPr>
              <w:t> 及巨潮资讯网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6840" w:h="11910" w:orient="landscape"/>
          <w:pgMar w:header="867" w:footer="980" w:top="1060" w:bottom="1160" w:left="1320" w:right="120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10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7"/>
          <w:footerReference w:type="default" r:id="rId18"/>
          <w:pgSz w:w="11910" w:h="16840"/>
          <w:pgMar w:header="877" w:footer="980" w:top="1100" w:bottom="1160" w:left="980" w:right="780"/>
          <w:pgNumType w:start="39"/>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780"/>
          <w:cols w:num="2" w:equalWidth="0">
            <w:col w:w="4851" w:space="4069"/>
            <w:col w:w="12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566"/>
        <w:gridCol w:w="850"/>
        <w:gridCol w:w="853"/>
        <w:gridCol w:w="1284"/>
        <w:gridCol w:w="1268"/>
        <w:gridCol w:w="1416"/>
        <w:gridCol w:w="1429"/>
        <w:gridCol w:w="1361"/>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北京中长 石基软件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酒店信息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859,068,527.09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390,680,126.13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7,535,687.65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21,582,493.63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21,619,180.86</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上海石基 信息技术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酒店信息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97,028,170.40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-7,609,189.95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42,554,972.00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-11,172,763.15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-10,975,536.93</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北海石基 信息技术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酒店信息 管理系统</w:t>
            </w:r>
            <w:r>
              <w:rPr>
                <w:rFonts w:ascii="Times New Roman" w:hAnsi="Times New Roman" w:cs="Times New Roman" w:eastAsia="Times New Roman" w:hint="default"/>
                <w:sz w:val="18"/>
                <w:szCs w:val="18"/>
              </w:rPr>
              <w:t>/ </w:t>
            </w:r>
            <w:r>
              <w:rPr>
                <w:rFonts w:ascii="宋体" w:hAnsi="宋体" w:cs="宋体" w:eastAsia="宋体" w:hint="default"/>
                <w:sz w:val="18"/>
                <w:szCs w:val="18"/>
              </w:rPr>
              <w:t>支付系统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1,585,849,649.1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1,179,741,665.8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478,115,068.58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294,708,622.76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277,714,173.28</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杭州西软 科技有限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酒店信息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201,807,341.35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115,693,257.62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97,733,598.63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12,616,893.84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12,304,817.03</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石基昆仑 软件有限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酒店信息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428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90,212,088.81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50,395,243.92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34,474,551.04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11,478,586.33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11,082,000.07</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石基（香 港）有限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餐饮信息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93093.35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2,040,079,883.4</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1,132,527,983.8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579,898,340.02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50,830,166.61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25,539,451.32</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上海正品 贵德软件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餐饮信息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5,947,819.95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2,182,412.64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11,166,574.37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-876,528.80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-777,734.01</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北京长京 益康信息 科技有限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商业流通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215,421,698.21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178,300,803.45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134,376,838.34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45,065,244.31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37,535,700.42</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中国电子 器件工业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电子设备 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19403.8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 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809,036,661.41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531,963,025.73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1,265,106,652.85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1,345,399.18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-10,078,859.93</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深圳市思 迅软件股 份有限公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5"/>
              <w:jc w:val="left"/>
              <w:rPr>
                <w:rFonts w:ascii="宋体" w:hAnsi="宋体" w:cs="宋体" w:eastAsia="宋体" w:hint="default"/>
                <w:sz w:val="18"/>
                <w:szCs w:val="18"/>
              </w:rPr>
            </w:pPr>
            <w:r>
              <w:rPr>
                <w:rFonts w:ascii="宋体" w:hAnsi="宋体" w:cs="宋体" w:eastAsia="宋体" w:hint="default"/>
                <w:sz w:val="18"/>
                <w:szCs w:val="18"/>
              </w:rPr>
              <w:t>商业流通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10450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238,253,337.55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197,583,710.80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144,334,728.54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70,439,279.74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60,770,371.94</w:t>
            </w:r>
          </w:p>
        </w:tc>
      </w:tr>
      <w:tr>
        <w:trPr>
          <w:trHeight w:val="67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上海时运 信息技术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商业流通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555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8,929,383.82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8,041,541.75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10,360,021.56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2,317,405.38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2,348,361.69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7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52"/>
        <w:gridCol w:w="566"/>
        <w:gridCol w:w="850"/>
        <w:gridCol w:w="853"/>
        <w:gridCol w:w="1284"/>
        <w:gridCol w:w="1268"/>
        <w:gridCol w:w="1416"/>
        <w:gridCol w:w="1429"/>
        <w:gridCol w:w="1361"/>
      </w:tblGrid>
      <w:tr>
        <w:trPr>
          <w:trHeight w:val="36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管理系统</w:t>
            </w:r>
          </w:p>
        </w:tc>
        <w:tc>
          <w:tcPr>
            <w:tcW w:w="85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百望金税 科技有限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酒店信息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11,566,805.75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10,204,400.61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5,334,172.64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399,102.37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358,050.13</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北京航信 华仪软件 技术有限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酒店信息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1,167,782.69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-405,025.11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3,761,330.12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260,525.70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273,722.10</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石基商用 信息技术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商业流通 管理系统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78,632,478.34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20,490,213.58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20,644,741.97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16,175,665.28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13,955,926.11</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敏付科技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111,299,703.80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108,835,444.95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-1,996,630.51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-1,996,630.51</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979"/>
        <w:gridCol w:w="4818"/>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6"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ReviewRankS.A.</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1,255,370.739 </w:t>
            </w:r>
            <w:r>
              <w:rPr>
                <w:rFonts w:ascii="宋体" w:hAnsi="宋体" w:cs="宋体" w:eastAsia="宋体" w:hint="default"/>
                <w:sz w:val="18"/>
                <w:szCs w:val="18"/>
              </w:rPr>
              <w:t>元</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GalasysPLC</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8,633,657.80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GreatKylin</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90" w:lineRule="auto" w:before="94"/>
        <w:ind w:left="573"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）北京中长石基软件有限公司</w:t>
      </w:r>
      <w:r>
        <w:rPr>
          <w:rFonts w:ascii="宋体" w:hAnsi="宋体" w:cs="宋体" w:eastAsia="宋体" w:hint="default"/>
          <w:b/>
          <w:bCs/>
          <w:w w:val="100"/>
          <w:sz w:val="21"/>
          <w:szCs w:val="21"/>
        </w:rPr>
        <w:t> </w:t>
      </w:r>
      <w:r>
        <w:rPr>
          <w:rFonts w:ascii="宋体" w:hAnsi="宋体" w:cs="宋体" w:eastAsia="宋体" w:hint="default"/>
          <w:sz w:val="21"/>
          <w:szCs w:val="21"/>
        </w:rPr>
        <w:t>北京中长石基软件有限公司为本公司全资子公司，成立于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年，注册资本</w:t>
      </w: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万元，主要业务</w:t>
      </w:r>
    </w:p>
    <w:p>
      <w:pPr>
        <w:pStyle w:val="BodyText"/>
        <w:spacing w:line="248" w:lineRule="exact"/>
        <w:ind w:right="0"/>
        <w:jc w:val="both"/>
      </w:pPr>
      <w:r>
        <w:rPr/>
        <w:t>为软件研发、销售和技术咨询。</w:t>
      </w:r>
    </w:p>
    <w:p>
      <w:pPr>
        <w:spacing w:line="290" w:lineRule="auto" w:before="78"/>
        <w:ind w:left="573"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）上海石基信息技术有限公司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上海石基信息技术有限公司为本公司的全资子公司，注册资本</w:t>
      </w:r>
      <w:r>
        <w:rPr>
          <w:rFonts w:ascii="Times New Roman" w:hAnsi="Times New Roman" w:cs="Times New Roman" w:eastAsia="Times New Roman" w:hint="default"/>
          <w:spacing w:val="-1"/>
          <w:sz w:val="21"/>
          <w:szCs w:val="21"/>
        </w:rPr>
        <w:t>100.00</w:t>
      </w:r>
      <w:r>
        <w:rPr>
          <w:rFonts w:ascii="宋体" w:hAnsi="宋体" w:cs="宋体" w:eastAsia="宋体" w:hint="default"/>
          <w:spacing w:val="-1"/>
          <w:sz w:val="21"/>
          <w:szCs w:val="21"/>
        </w:rPr>
        <w:t>万元，主要负责本公司的技术支</w:t>
      </w:r>
    </w:p>
    <w:p>
      <w:pPr>
        <w:pStyle w:val="BodyText"/>
        <w:spacing w:line="247" w:lineRule="exact"/>
        <w:ind w:right="0"/>
        <w:jc w:val="both"/>
      </w:pPr>
      <w:r>
        <w:rPr/>
        <w:t>持与维护业务。</w:t>
      </w:r>
    </w:p>
    <w:p>
      <w:pPr>
        <w:spacing w:line="290" w:lineRule="auto" w:before="78"/>
        <w:ind w:left="573"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）北海石基信息技术有限公司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北海石基信息技术有限公司为本公司的全资子公司，成立于</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月，注册资本</w:t>
      </w:r>
      <w:r>
        <w:rPr>
          <w:rFonts w:ascii="Times New Roman" w:hAnsi="Times New Roman" w:cs="Times New Roman" w:eastAsia="Times New Roman" w:hint="default"/>
          <w:spacing w:val="-3"/>
          <w:sz w:val="21"/>
          <w:szCs w:val="21"/>
        </w:rPr>
        <w:t>20,000</w:t>
      </w:r>
      <w:r>
        <w:rPr>
          <w:rFonts w:ascii="宋体" w:hAnsi="宋体" w:cs="宋体" w:eastAsia="宋体" w:hint="default"/>
          <w:spacing w:val="-3"/>
          <w:sz w:val="21"/>
          <w:szCs w:val="21"/>
        </w:rPr>
        <w:t>万元，主要业</w:t>
      </w:r>
    </w:p>
    <w:p>
      <w:pPr>
        <w:pStyle w:val="BodyText"/>
        <w:spacing w:line="247" w:lineRule="exact"/>
        <w:ind w:right="0"/>
        <w:jc w:val="both"/>
      </w:pPr>
      <w:r>
        <w:rPr/>
        <w:t>务是计算机软件开发、销售及相关的系统集成、技术服务；电子产品、网络设备、网络技术的研究开发、</w:t>
      </w:r>
    </w:p>
    <w:p>
      <w:pPr>
        <w:pStyle w:val="BodyText"/>
        <w:spacing w:line="240" w:lineRule="auto" w:before="37"/>
        <w:ind w:right="0"/>
        <w:jc w:val="both"/>
      </w:pPr>
      <w:r>
        <w:rPr/>
        <w:t>销售及服务（以上项目不含互联网信息服务）。</w:t>
      </w:r>
    </w:p>
    <w:p>
      <w:pPr>
        <w:spacing w:line="290" w:lineRule="auto" w:before="75"/>
        <w:ind w:left="573" w:right="10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）杭州西软科技有限公司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杭州西软科技有限公司，成立于</w:t>
      </w:r>
      <w:r>
        <w:rPr>
          <w:rFonts w:ascii="Times New Roman" w:hAnsi="Times New Roman" w:cs="Times New Roman" w:eastAsia="Times New Roman" w:hint="default"/>
          <w:spacing w:val="-2"/>
          <w:sz w:val="21"/>
          <w:szCs w:val="21"/>
        </w:rPr>
        <w:t>2001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日，注册资本为</w:t>
      </w:r>
      <w:r>
        <w:rPr>
          <w:rFonts w:ascii="Times New Roman" w:hAnsi="Times New Roman" w:cs="Times New Roman" w:eastAsia="Times New Roman" w:hint="default"/>
          <w:spacing w:val="-2"/>
          <w:sz w:val="21"/>
          <w:szCs w:val="21"/>
        </w:rPr>
        <w:t>1,970.00</w:t>
      </w:r>
      <w:r>
        <w:rPr>
          <w:rFonts w:ascii="宋体" w:hAnsi="宋体" w:cs="宋体" w:eastAsia="宋体" w:hint="default"/>
          <w:spacing w:val="-2"/>
          <w:sz w:val="21"/>
          <w:szCs w:val="21"/>
        </w:rPr>
        <w:t>万元人民币，是本公司的控股子</w:t>
      </w:r>
    </w:p>
    <w:p>
      <w:pPr>
        <w:pStyle w:val="BodyText"/>
        <w:spacing w:line="263" w:lineRule="exact"/>
        <w:ind w:right="0"/>
        <w:jc w:val="both"/>
      </w:pPr>
      <w:r>
        <w:rPr>
          <w:spacing w:val="-4"/>
        </w:rPr>
        <w:t>公司，本公司现持有其</w:t>
      </w:r>
      <w:r>
        <w:rPr>
          <w:rFonts w:ascii="Times New Roman" w:hAnsi="Times New Roman" w:cs="Times New Roman" w:eastAsia="Times New Roman" w:hint="default"/>
          <w:spacing w:val="-4"/>
        </w:rPr>
        <w:t>100%</w:t>
      </w:r>
      <w:r>
        <w:rPr>
          <w:spacing w:val="-4"/>
        </w:rPr>
        <w:t>的股份。该公司主要从事开发销售计算机软硬件及外围设备，西软科技拥有包</w:t>
      </w:r>
    </w:p>
    <w:p>
      <w:pPr>
        <w:pStyle w:val="BodyText"/>
        <w:spacing w:line="256" w:lineRule="auto" w:before="22"/>
        <w:ind w:right="351"/>
        <w:jc w:val="both"/>
      </w:pPr>
      <w:r>
        <w:rPr/>
        <w:t>括</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X5”</w:t>
      </w:r>
      <w:r>
        <w:rPr/>
        <w:t>、</w:t>
      </w:r>
      <w:r>
        <w:rPr>
          <w:rFonts w:ascii="Times New Roman" w:hAnsi="Times New Roman" w:cs="Times New Roman" w:eastAsia="Times New Roman" w:hint="default"/>
        </w:rPr>
        <w:t>“FOXHIS</w:t>
      </w:r>
      <w:r>
        <w:rPr>
          <w:rFonts w:ascii="Times New Roman" w:hAnsi="Times New Roman" w:cs="Times New Roman" w:eastAsia="Times New Roman" w:hint="default"/>
          <w:spacing w:val="44"/>
        </w:rPr>
        <w:t> </w:t>
      </w:r>
      <w:r>
        <w:rPr>
          <w:rFonts w:ascii="Times New Roman" w:hAnsi="Times New Roman" w:cs="Times New Roman" w:eastAsia="Times New Roman" w:hint="default"/>
        </w:rPr>
        <w:t>V</w:t>
      </w:r>
      <w:r>
        <w:rPr/>
        <w:t>系列</w:t>
      </w:r>
      <w:r>
        <w:rPr>
          <w:rFonts w:ascii="Times New Roman" w:hAnsi="Times New Roman" w:cs="Times New Roman" w:eastAsia="Times New Roman" w:hint="default"/>
        </w:rPr>
        <w:t>”</w:t>
      </w:r>
      <w:r>
        <w:rPr/>
        <w:t>、</w:t>
      </w:r>
      <w:r>
        <w:rPr>
          <w:rFonts w:ascii="Times New Roman" w:hAnsi="Times New Roman" w:cs="Times New Roman" w:eastAsia="Times New Roman" w:hint="default"/>
        </w:rPr>
        <w:t>“Smart”</w:t>
      </w:r>
      <w:r>
        <w:rPr/>
        <w:t>等针对不同档次酒店用户需求的较为完整的产品序列，连续多</w:t>
      </w:r>
      <w:r>
        <w:rPr>
          <w:spacing w:val="-101"/>
        </w:rPr>
        <w:t> </w:t>
      </w:r>
      <w:r>
        <w:rPr>
          <w:spacing w:val="-101"/>
        </w:rPr>
      </w:r>
      <w:r>
        <w:rPr>
          <w:spacing w:val="-1"/>
        </w:rPr>
        <w:t>年荣获中国软件行业协会</w:t>
      </w:r>
      <w:r>
        <w:rPr>
          <w:rFonts w:ascii="Times New Roman" w:hAnsi="Times New Roman" w:cs="Times New Roman" w:eastAsia="Times New Roman" w:hint="default"/>
          <w:spacing w:val="-1"/>
        </w:rPr>
        <w:t>“</w:t>
      </w:r>
      <w:r>
        <w:rPr>
          <w:spacing w:val="-1"/>
        </w:rPr>
        <w:t>年度推荐优秀软件产品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中国优秀软件产品</w:t>
      </w:r>
      <w:r>
        <w:rPr>
          <w:rFonts w:ascii="Times New Roman" w:hAnsi="Times New Roman" w:cs="Times New Roman" w:eastAsia="Times New Roman" w:hint="default"/>
          <w:spacing w:val="-1"/>
        </w:rPr>
        <w:t>”</w:t>
      </w:r>
      <w:r>
        <w:rPr>
          <w:spacing w:val="-1"/>
        </w:rPr>
        <w:t>称号，并拥有多项软件著作权，</w:t>
      </w:r>
      <w:r>
        <w:rPr>
          <w:spacing w:val="-41"/>
        </w:rPr>
        <w:t> </w:t>
      </w:r>
      <w:r>
        <w:rPr>
          <w:spacing w:val="-41"/>
        </w:rPr>
      </w:r>
      <w:r>
        <w:rPr/>
        <w:t>是目前国内用户数量最多的酒店信息系统公司。</w:t>
      </w:r>
    </w:p>
    <w:p>
      <w:pPr>
        <w:spacing w:line="290" w:lineRule="auto" w:before="63"/>
        <w:ind w:left="575"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）北京石基昆仑软件有限公司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北京石基昆仑软件有限公司为本公司控股子公司。成立于</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日，注册资本</w:t>
      </w:r>
      <w:r>
        <w:rPr>
          <w:rFonts w:ascii="Times New Roman" w:hAnsi="Times New Roman" w:cs="Times New Roman" w:eastAsia="Times New Roman" w:hint="default"/>
          <w:spacing w:val="-1"/>
          <w:sz w:val="21"/>
          <w:szCs w:val="21"/>
        </w:rPr>
        <w:t>428.00</w:t>
      </w:r>
      <w:r>
        <w:rPr>
          <w:rFonts w:ascii="宋体" w:hAnsi="宋体" w:cs="宋体" w:eastAsia="宋体" w:hint="default"/>
          <w:spacing w:val="-1"/>
          <w:sz w:val="21"/>
          <w:szCs w:val="21"/>
        </w:rPr>
        <w:t>万元。本公</w:t>
      </w:r>
    </w:p>
    <w:p>
      <w:pPr>
        <w:pStyle w:val="BodyText"/>
        <w:spacing w:line="263" w:lineRule="exact"/>
        <w:ind w:right="0"/>
        <w:jc w:val="both"/>
      </w:pPr>
      <w:r>
        <w:rPr>
          <w:spacing w:val="-6"/>
        </w:rPr>
        <w:t>司持有石基昆仑</w:t>
      </w:r>
      <w:r>
        <w:rPr>
          <w:rFonts w:ascii="Times New Roman" w:hAnsi="Times New Roman" w:cs="Times New Roman" w:eastAsia="Times New Roman" w:hint="default"/>
          <w:spacing w:val="-6"/>
        </w:rPr>
        <w:t>82.40%</w:t>
      </w:r>
      <w:r>
        <w:rPr>
          <w:spacing w:val="-6"/>
        </w:rPr>
        <w:t>的股权。石基昆仑的主要业务开发和实施酒店</w:t>
      </w:r>
      <w:r>
        <w:rPr>
          <w:rFonts w:ascii="Times New Roman" w:hAnsi="Times New Roman" w:cs="Times New Roman" w:eastAsia="Times New Roman" w:hint="default"/>
          <w:spacing w:val="-6"/>
        </w:rPr>
        <w:t>CRM</w:t>
      </w:r>
      <w:r>
        <w:rPr>
          <w:spacing w:val="-6"/>
        </w:rPr>
        <w:t>（客户关系管理系统）、</w:t>
      </w:r>
      <w:r>
        <w:rPr>
          <w:rFonts w:ascii="Times New Roman" w:hAnsi="Times New Roman" w:cs="Times New Roman" w:eastAsia="Times New Roman" w:hint="default"/>
          <w:spacing w:val="-6"/>
        </w:rPr>
        <w:t>LPS</w:t>
      </w:r>
      <w:r>
        <w:rPr>
          <w:spacing w:val="-6"/>
        </w:rPr>
        <w:t>（会</w:t>
      </w:r>
    </w:p>
    <w:p>
      <w:pPr>
        <w:pStyle w:val="BodyText"/>
        <w:spacing w:line="240" w:lineRule="auto" w:before="21"/>
        <w:ind w:right="0"/>
        <w:jc w:val="both"/>
      </w:pPr>
      <w:r>
        <w:rPr/>
        <w:t>员积分和管理系统）和</w:t>
      </w:r>
      <w:r>
        <w:rPr>
          <w:rFonts w:ascii="Times New Roman" w:hAnsi="Times New Roman" w:cs="Times New Roman" w:eastAsia="Times New Roman" w:hint="default"/>
        </w:rPr>
        <w:t>CRS</w:t>
      </w:r>
      <w:r>
        <w:rPr/>
        <w:t>（集团酒店中央预订系统），配合石基数字酒店信息系统提供中国本地酒店集</w:t>
      </w:r>
    </w:p>
    <w:p>
      <w:pPr>
        <w:spacing w:after="0" w:line="240" w:lineRule="auto"/>
        <w:jc w:val="both"/>
        <w:sectPr>
          <w:pgSz w:w="11910" w:h="16840"/>
          <w:pgMar w:header="877" w:footer="980" w:top="1100" w:bottom="1160" w:left="980" w:right="780"/>
        </w:sectPr>
      </w:pPr>
    </w:p>
    <w:p>
      <w:pPr>
        <w:spacing w:line="240" w:lineRule="auto" w:before="11"/>
        <w:rPr>
          <w:rFonts w:ascii="宋体" w:hAnsi="宋体" w:cs="宋体" w:eastAsia="宋体" w:hint="default"/>
          <w:sz w:val="20"/>
          <w:szCs w:val="20"/>
        </w:rPr>
      </w:pPr>
    </w:p>
    <w:p>
      <w:pPr>
        <w:pStyle w:val="BodyText"/>
        <w:spacing w:line="240" w:lineRule="auto" w:before="36"/>
        <w:ind w:right="153"/>
        <w:jc w:val="left"/>
      </w:pPr>
      <w:r>
        <w:rPr/>
        <w:t>团化解决方案。</w:t>
      </w:r>
    </w:p>
    <w:p>
      <w:pPr>
        <w:spacing w:line="273" w:lineRule="auto" w:before="78"/>
        <w:ind w:left="152" w:right="153" w:firstLine="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）石基（香港）有限公司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石基（香港）有限公司为本公司的全资子公司，注册资本为</w:t>
      </w:r>
      <w:r>
        <w:rPr>
          <w:rFonts w:ascii="Times New Roman" w:hAnsi="Times New Roman" w:cs="Times New Roman" w:eastAsia="Times New Roman" w:hint="default"/>
          <w:spacing w:val="-2"/>
          <w:sz w:val="18"/>
          <w:szCs w:val="18"/>
        </w:rPr>
        <w:t>93093.35</w:t>
      </w:r>
      <w:r>
        <w:rPr>
          <w:rFonts w:ascii="宋体" w:hAnsi="宋体" w:cs="宋体" w:eastAsia="宋体" w:hint="default"/>
          <w:spacing w:val="-2"/>
          <w:sz w:val="18"/>
          <w:szCs w:val="18"/>
        </w:rPr>
        <w:t>万</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日在中国香港成立，</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主要从事酒店及餐饮信息管理系统经营相关投资业务。</w:t>
      </w:r>
    </w:p>
    <w:p>
      <w:pPr>
        <w:spacing w:line="290" w:lineRule="auto" w:before="48"/>
        <w:ind w:left="57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）上海正品贵德软件有限公司</w:t>
      </w:r>
      <w:r>
        <w:rPr>
          <w:rFonts w:ascii="宋体" w:hAnsi="宋体" w:cs="宋体" w:eastAsia="宋体" w:hint="default"/>
          <w:b/>
          <w:bCs/>
          <w:w w:val="100"/>
          <w:sz w:val="21"/>
          <w:szCs w:val="21"/>
        </w:rPr>
        <w:t> </w:t>
      </w:r>
      <w:r>
        <w:rPr>
          <w:rFonts w:ascii="宋体" w:hAnsi="宋体" w:cs="宋体" w:eastAsia="宋体" w:hint="default"/>
          <w:sz w:val="21"/>
          <w:szCs w:val="21"/>
        </w:rPr>
        <w:t>上海正品贵德软件有限公司为本公司控股子公司，成立于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日，注册资本</w:t>
      </w:r>
      <w:r>
        <w:rPr>
          <w:rFonts w:ascii="Times New Roman" w:hAnsi="Times New Roman" w:cs="Times New Roman" w:eastAsia="Times New Roman" w:hint="default"/>
          <w:sz w:val="21"/>
          <w:szCs w:val="21"/>
        </w:rPr>
        <w:t>500</w:t>
      </w:r>
      <w:r>
        <w:rPr>
          <w:rFonts w:ascii="宋体" w:hAnsi="宋体" w:cs="宋体" w:eastAsia="宋体" w:hint="default"/>
          <w:sz w:val="21"/>
          <w:szCs w:val="21"/>
        </w:rPr>
        <w:t>万元，本公</w:t>
      </w:r>
    </w:p>
    <w:p>
      <w:pPr>
        <w:pStyle w:val="BodyText"/>
        <w:spacing w:line="263" w:lineRule="exact"/>
        <w:ind w:right="0"/>
        <w:jc w:val="left"/>
      </w:pPr>
      <w:r>
        <w:rPr/>
        <w:t>司持有正品贵德</w:t>
      </w:r>
      <w:r>
        <w:rPr>
          <w:rFonts w:ascii="Times New Roman" w:hAnsi="Times New Roman" w:cs="Times New Roman" w:eastAsia="Times New Roman" w:hint="default"/>
        </w:rPr>
        <w:t>70%</w:t>
      </w:r>
      <w:r>
        <w:rPr/>
        <w:t>的股权。正品贵德主要从事餐饮信息系统的研发及销售，拥有连锁餐饮、大型中餐餐</w:t>
      </w:r>
    </w:p>
    <w:p>
      <w:pPr>
        <w:pStyle w:val="BodyText"/>
        <w:spacing w:line="240" w:lineRule="auto" w:before="21"/>
        <w:ind w:right="153"/>
        <w:jc w:val="left"/>
      </w:pPr>
      <w:r>
        <w:rPr/>
        <w:t>饮、西餐咖啡厅、酒店、会所等众多业态信息化管理软件系列产品。</w:t>
      </w:r>
    </w:p>
    <w:p>
      <w:pPr>
        <w:spacing w:line="290" w:lineRule="auto" w:before="75"/>
        <w:ind w:left="645" w:right="153" w:hanging="7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）中国电子器件工业有限公司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中国电子器件工业有限公司为本公司子公司，成立于</w:t>
      </w:r>
      <w:r>
        <w:rPr>
          <w:rFonts w:ascii="Times New Roman" w:hAnsi="Times New Roman" w:cs="Times New Roman" w:eastAsia="Times New Roman" w:hint="default"/>
          <w:spacing w:val="-1"/>
          <w:sz w:val="21"/>
          <w:szCs w:val="21"/>
        </w:rPr>
        <w:t>1982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日，注册资本</w:t>
      </w:r>
      <w:r>
        <w:rPr>
          <w:rFonts w:ascii="Times New Roman" w:hAnsi="Times New Roman" w:cs="Times New Roman" w:eastAsia="Times New Roman" w:hint="default"/>
          <w:spacing w:val="-1"/>
          <w:sz w:val="21"/>
          <w:szCs w:val="21"/>
        </w:rPr>
        <w:t>19,403.80</w:t>
      </w:r>
      <w:r>
        <w:rPr>
          <w:rFonts w:ascii="宋体" w:hAnsi="宋体" w:cs="宋体" w:eastAsia="宋体" w:hint="default"/>
          <w:spacing w:val="-1"/>
          <w:sz w:val="21"/>
          <w:szCs w:val="21"/>
        </w:rPr>
        <w:t>万元，本公</w:t>
      </w:r>
    </w:p>
    <w:p>
      <w:pPr>
        <w:pStyle w:val="BodyText"/>
        <w:spacing w:line="263" w:lineRule="exact"/>
        <w:ind w:right="153"/>
        <w:jc w:val="left"/>
      </w:pPr>
      <w:r>
        <w:rPr>
          <w:spacing w:val="-4"/>
        </w:rPr>
        <w:t>司持有中国电子器件公司</w:t>
      </w:r>
      <w:r>
        <w:rPr>
          <w:rFonts w:ascii="Times New Roman" w:hAnsi="Times New Roman" w:cs="Times New Roman" w:eastAsia="Times New Roman" w:hint="default"/>
          <w:spacing w:val="-4"/>
        </w:rPr>
        <w:t>100%</w:t>
      </w:r>
      <w:r>
        <w:rPr>
          <w:spacing w:val="-4"/>
        </w:rPr>
        <w:t>的股权。中电器件主要从事电子设备的销售等业务。中电器件及其下属子公</w:t>
      </w:r>
    </w:p>
    <w:p>
      <w:pPr>
        <w:pStyle w:val="BodyText"/>
        <w:spacing w:line="256" w:lineRule="auto" w:before="21"/>
        <w:ind w:right="153"/>
        <w:jc w:val="left"/>
      </w:pPr>
      <w:r>
        <w:rPr>
          <w:spacing w:val="-2"/>
        </w:rPr>
        <w:t>司香港精密模具有限公司、北京凯利德智科技发展有限公司（</w:t>
      </w:r>
      <w:r>
        <w:rPr>
          <w:rFonts w:ascii="Times New Roman" w:hAnsi="Times New Roman" w:cs="Times New Roman" w:eastAsia="Times New Roman" w:hint="default"/>
          <w:spacing w:val="-2"/>
        </w:rPr>
        <w:t>2014</w:t>
      </w:r>
      <w:r>
        <w:rPr>
          <w:spacing w:val="-2"/>
        </w:rPr>
        <w:t>年北京凯利德智科技发展有限公司名称</w:t>
      </w:r>
      <w:r>
        <w:rPr>
          <w:spacing w:val="-40"/>
        </w:rPr>
        <w:t> </w:t>
      </w:r>
      <w:r>
        <w:rPr>
          <w:spacing w:val="-40"/>
        </w:rPr>
      </w:r>
      <w:r>
        <w:rPr/>
        <w:t>变更为北京中长商通科技有限公司）。自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日起纳入合并报表范围。</w:t>
      </w:r>
    </w:p>
    <w:p>
      <w:pPr>
        <w:spacing w:line="256" w:lineRule="auto" w:before="46"/>
        <w:ind w:left="585"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）深圳市思迅软件股份有限公司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深圳市思迅软件股份有限公司为本公司控股子公司，成立于</w:t>
      </w:r>
      <w:r>
        <w:rPr>
          <w:rFonts w:ascii="Times New Roman" w:hAnsi="Times New Roman" w:cs="Times New Roman" w:eastAsia="Times New Roman" w:hint="default"/>
          <w:spacing w:val="-3"/>
          <w:sz w:val="21"/>
          <w:szCs w:val="21"/>
        </w:rPr>
        <w:t>2004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日，注册资本</w:t>
      </w:r>
      <w:r>
        <w:rPr>
          <w:rFonts w:ascii="Times New Roman" w:hAnsi="Times New Roman" w:cs="Times New Roman" w:eastAsia="Times New Roman" w:hint="default"/>
          <w:spacing w:val="-3"/>
          <w:sz w:val="21"/>
          <w:szCs w:val="21"/>
        </w:rPr>
        <w:t>10,450</w:t>
      </w:r>
      <w:r>
        <w:rPr>
          <w:rFonts w:ascii="宋体" w:hAnsi="宋体" w:cs="宋体" w:eastAsia="宋体" w:hint="default"/>
          <w:spacing w:val="-3"/>
          <w:sz w:val="21"/>
          <w:szCs w:val="21"/>
        </w:rPr>
        <w:t>万元，本</w:t>
      </w:r>
    </w:p>
    <w:p>
      <w:pPr>
        <w:pStyle w:val="BodyText"/>
        <w:spacing w:line="256" w:lineRule="auto" w:before="5"/>
        <w:ind w:right="153"/>
        <w:jc w:val="left"/>
      </w:pPr>
      <w:r>
        <w:rPr>
          <w:spacing w:val="-4"/>
        </w:rPr>
        <w:t>公司持有</w:t>
      </w:r>
      <w:r>
        <w:rPr>
          <w:rFonts w:ascii="Times New Roman" w:hAnsi="Times New Roman" w:cs="Times New Roman" w:eastAsia="Times New Roman" w:hint="default"/>
          <w:spacing w:val="-4"/>
        </w:rPr>
        <w:t>75%</w:t>
      </w:r>
      <w:r>
        <w:rPr>
          <w:spacing w:val="-4"/>
        </w:rPr>
        <w:t>的股权。深圳市思迅软件股份有限公司主要从事商业流通系统软件业务。于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w:t>
      </w:r>
      <w:r>
        <w:rPr>
          <w:spacing w:val="-4"/>
        </w:rPr>
        <w:t>月收购深</w:t>
      </w:r>
      <w:r>
        <w:rPr>
          <w:spacing w:val="-9"/>
        </w:rPr>
        <w:t> </w:t>
      </w:r>
      <w:r>
        <w:rPr>
          <w:spacing w:val="-9"/>
        </w:rPr>
      </w:r>
      <w:r>
        <w:rPr/>
        <w:t>圳奥凯软件有限公司</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日起纳入合并报表范围。</w:t>
      </w:r>
    </w:p>
    <w:p>
      <w:pPr>
        <w:pStyle w:val="Heading7"/>
        <w:spacing w:line="240" w:lineRule="auto" w:before="5"/>
        <w:ind w:left="585" w:right="153"/>
        <w:jc w:val="left"/>
        <w:rPr>
          <w:b w:val="0"/>
          <w:bCs w:val="0"/>
        </w:rPr>
      </w:pPr>
      <w:r>
        <w:rPr/>
        <w:t>（</w:t>
      </w:r>
      <w:r>
        <w:rPr>
          <w:rFonts w:ascii="Times New Roman" w:hAnsi="Times New Roman" w:cs="Times New Roman" w:eastAsia="Times New Roman" w:hint="default"/>
        </w:rPr>
        <w:t>10</w:t>
      </w:r>
      <w:r>
        <w:rPr/>
        <w:t>）</w:t>
      </w:r>
      <w:r>
        <w:rPr>
          <w:spacing w:val="-18"/>
        </w:rPr>
        <w:t> </w:t>
      </w:r>
      <w:r>
        <w:rPr/>
        <w:t>北京长京益康信息科技有限公司</w:t>
      </w:r>
      <w:r>
        <w:rPr>
          <w:b w:val="0"/>
          <w:bCs w:val="0"/>
        </w:rPr>
      </w:r>
    </w:p>
    <w:p>
      <w:pPr>
        <w:pStyle w:val="BodyText"/>
        <w:spacing w:line="256" w:lineRule="auto" w:before="21"/>
        <w:ind w:right="287" w:firstLine="432"/>
        <w:jc w:val="left"/>
      </w:pPr>
      <w:r>
        <w:rPr/>
        <w:t>北京长京益康信息科技有限公司为本公司全资子公司</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主要从事商业流通系统软件业务。自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w:t>
      </w:r>
      <w:r>
        <w:rPr/>
        <w:t>日起纳入合并报表范围。</w:t>
      </w:r>
    </w:p>
    <w:p>
      <w:pPr>
        <w:spacing w:line="256" w:lineRule="auto" w:before="5"/>
        <w:ind w:left="489" w:right="153" w:firstLine="9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上海时运信息技术有限公司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上海时运信息技术有限公司为本公司控股子公司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本公司持有</w:t>
      </w:r>
      <w:r>
        <w:rPr>
          <w:rFonts w:ascii="Times New Roman" w:hAnsi="Times New Roman" w:cs="Times New Roman" w:eastAsia="Times New Roman" w:hint="default"/>
          <w:spacing w:val="-2"/>
          <w:sz w:val="21"/>
          <w:szCs w:val="21"/>
        </w:rPr>
        <w:t>75%</w:t>
      </w:r>
      <w:r>
        <w:rPr>
          <w:rFonts w:ascii="宋体" w:hAnsi="宋体" w:cs="宋体" w:eastAsia="宋体" w:hint="default"/>
          <w:spacing w:val="-2"/>
          <w:sz w:val="21"/>
          <w:szCs w:val="21"/>
        </w:rPr>
        <w:t>的股权。主要从事商业流通系统软件</w:t>
      </w:r>
    </w:p>
    <w:p>
      <w:pPr>
        <w:pStyle w:val="BodyText"/>
        <w:spacing w:line="240" w:lineRule="auto" w:before="5"/>
        <w:ind w:right="153"/>
        <w:jc w:val="left"/>
      </w:pPr>
      <w:r>
        <w:rPr/>
        <w:t>业务。自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日起纳入合并报表范围。</w:t>
      </w:r>
    </w:p>
    <w:p>
      <w:pPr>
        <w:spacing w:line="256" w:lineRule="auto" w:before="21"/>
        <w:ind w:left="489"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百望金税科技有限公司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百望金税科技有限公司为本公司控股子公司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本公司持有</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的股权。主要从事税控系统软件业务。</w:t>
      </w:r>
    </w:p>
    <w:p>
      <w:pPr>
        <w:spacing w:line="256" w:lineRule="auto" w:before="5"/>
        <w:ind w:left="489"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石基商用信息技术有限公司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石基商用信息技术有限公司为本公司全资子公司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本公司持有</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的股权。主要从事商业流通系统软件</w:t>
      </w:r>
    </w:p>
    <w:p>
      <w:pPr>
        <w:pStyle w:val="BodyText"/>
        <w:spacing w:line="240" w:lineRule="auto" w:before="5"/>
        <w:ind w:right="153"/>
        <w:jc w:val="left"/>
      </w:pPr>
      <w:r>
        <w:rPr/>
        <w:t>业务。</w:t>
      </w:r>
    </w:p>
    <w:p>
      <w:pPr>
        <w:pStyle w:val="Heading7"/>
        <w:spacing w:line="240" w:lineRule="auto" w:before="37"/>
        <w:ind w:left="489" w:right="153"/>
        <w:jc w:val="left"/>
        <w:rPr>
          <w:b w:val="0"/>
          <w:bCs w:val="0"/>
        </w:rPr>
      </w:pPr>
      <w:r>
        <w:rPr/>
        <w:t>（</w:t>
      </w:r>
      <w:r>
        <w:rPr>
          <w:rFonts w:ascii="Times New Roman" w:hAnsi="Times New Roman" w:cs="Times New Roman" w:eastAsia="Times New Roman" w:hint="default"/>
        </w:rPr>
        <w:t>14</w:t>
      </w:r>
      <w:r>
        <w:rPr/>
        <w:t>）北京航信华仪软件技术有限公司</w:t>
      </w:r>
      <w:r>
        <w:rPr>
          <w:b w:val="0"/>
          <w:bCs w:val="0"/>
        </w:rPr>
      </w:r>
    </w:p>
    <w:p>
      <w:pPr>
        <w:pStyle w:val="BodyText"/>
        <w:spacing w:line="256" w:lineRule="auto" w:before="21"/>
        <w:ind w:right="153" w:firstLine="336"/>
        <w:jc w:val="left"/>
      </w:pPr>
      <w:r>
        <w:rPr/>
        <w:t>北京航信华仪软件技术有限公司为本公司全资子公司</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spacing w:val="-5"/>
        </w:rPr>
        <w:t>主要从事酒店系统软件业务。自</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w:t>
      </w:r>
      <w:r>
        <w:rPr>
          <w:spacing w:val="-5"/>
        </w:rPr>
        <w:t>日起</w:t>
      </w:r>
      <w:r>
        <w:rPr>
          <w:spacing w:val="-3"/>
          <w:w w:val="100"/>
        </w:rPr>
        <w:t> </w:t>
      </w:r>
      <w:r>
        <w:rPr/>
        <w:t>纳入合并报表范围。</w:t>
      </w:r>
    </w:p>
    <w:p>
      <w:pPr>
        <w:pStyle w:val="Heading7"/>
        <w:spacing w:line="240" w:lineRule="auto" w:before="22"/>
        <w:ind w:left="489" w:right="153"/>
        <w:jc w:val="left"/>
        <w:rPr>
          <w:b w:val="0"/>
          <w:bCs w:val="0"/>
        </w:rPr>
      </w:pPr>
      <w:r>
        <w:rPr/>
        <w:t>（</w:t>
      </w:r>
      <w:r>
        <w:rPr>
          <w:rFonts w:ascii="宋体" w:hAnsi="宋体" w:cs="宋体" w:eastAsia="宋体" w:hint="default"/>
        </w:rPr>
        <w:t>15</w:t>
      </w:r>
      <w:r>
        <w:rPr/>
        <w:t>）敏付科技有限公司</w:t>
      </w:r>
      <w:r>
        <w:rPr>
          <w:b w:val="0"/>
          <w:bCs w:val="0"/>
        </w:rPr>
      </w:r>
    </w:p>
    <w:p>
      <w:pPr>
        <w:pStyle w:val="Heading6"/>
        <w:spacing w:line="244" w:lineRule="auto" w:before="28"/>
        <w:ind w:right="153" w:firstLine="336"/>
        <w:jc w:val="left"/>
      </w:pPr>
      <w:r>
        <w:rPr>
          <w:spacing w:val="-2"/>
        </w:rPr>
        <w:t>系北海石基公司派生分立增加的敏付科技有限公司，注册资本为</w:t>
      </w:r>
      <w:r>
        <w:rPr>
          <w:rFonts w:ascii="Times New Roman" w:hAnsi="Times New Roman" w:cs="Times New Roman" w:eastAsia="Times New Roman" w:hint="default"/>
          <w:spacing w:val="-2"/>
        </w:rPr>
        <w:t>11000</w:t>
      </w:r>
      <w:r>
        <w:rPr>
          <w:spacing w:val="-2"/>
        </w:rPr>
        <w:t>万元。主要从事支付系统业</w:t>
      </w:r>
      <w:r>
        <w:rPr>
          <w:w w:val="100"/>
        </w:rPr>
        <w:t> </w:t>
      </w:r>
      <w:r>
        <w:rPr/>
        <w:t>务。</w:t>
      </w:r>
    </w:p>
    <w:p>
      <w:pPr>
        <w:spacing w:line="240" w:lineRule="auto" w:before="3"/>
        <w:rPr>
          <w:rFonts w:ascii="宋体" w:hAnsi="宋体" w:cs="宋体" w:eastAsia="宋体" w:hint="default"/>
          <w:sz w:val="23"/>
          <w:szCs w:val="23"/>
        </w:rPr>
      </w:pPr>
    </w:p>
    <w:p>
      <w:pPr>
        <w:pStyle w:val="Heading3"/>
        <w:spacing w:line="240" w:lineRule="auto"/>
        <w:ind w:right="153"/>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left="573" w:right="153"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、公司发展战略</w:t>
      </w:r>
      <w:r>
        <w:rPr>
          <w:rFonts w:ascii="宋体" w:hAnsi="宋体" w:cs="宋体" w:eastAsia="宋体" w:hint="default"/>
          <w:b/>
          <w:bCs/>
          <w:w w:val="100"/>
        </w:rPr>
        <w:t> </w:t>
      </w:r>
      <w:r>
        <w:rPr>
          <w:spacing w:val="-1"/>
        </w:rPr>
        <w:t>公司从创立伊始就专注于为商业客户提供营业管理系统而不涉足工业企业，政府等非商业客户的</w:t>
      </w:r>
      <w:r>
        <w:rPr>
          <w:rFonts w:ascii="Times New Roman" w:hAnsi="Times New Roman" w:cs="Times New Roman" w:eastAsia="Times New Roman" w:hint="default"/>
          <w:spacing w:val="-1"/>
        </w:rPr>
        <w:t>ERP</w:t>
      </w:r>
    </w:p>
    <w:p>
      <w:pPr>
        <w:spacing w:after="0" w:line="290" w:lineRule="auto"/>
        <w:jc w:val="left"/>
        <w:rPr>
          <w:rFonts w:ascii="Times New Roman" w:hAnsi="Times New Roman" w:cs="Times New Roman" w:eastAsia="Times New Roman" w:hint="default"/>
        </w:rPr>
        <w:sectPr>
          <w:pgSz w:w="11910" w:h="16840"/>
          <w:pgMar w:header="877" w:footer="980" w:top="1100" w:bottom="1160" w:left="980" w:right="980"/>
        </w:sectPr>
      </w:pPr>
    </w:p>
    <w:p>
      <w:pPr>
        <w:spacing w:line="240" w:lineRule="auto" w:before="8"/>
        <w:rPr>
          <w:rFonts w:ascii="Times New Roman" w:hAnsi="Times New Roman" w:cs="Times New Roman" w:eastAsia="Times New Roman" w:hint="default"/>
          <w:sz w:val="23"/>
          <w:szCs w:val="23"/>
        </w:rPr>
      </w:pPr>
    </w:p>
    <w:p>
      <w:pPr>
        <w:pStyle w:val="BodyText"/>
        <w:spacing w:line="266" w:lineRule="auto" w:before="36"/>
        <w:ind w:right="100"/>
        <w:jc w:val="left"/>
      </w:pPr>
      <w:r>
        <w:rPr/>
        <w:t>或</w:t>
      </w:r>
      <w:r>
        <w:rPr>
          <w:rFonts w:ascii="Times New Roman" w:hAnsi="Times New Roman" w:cs="Times New Roman" w:eastAsia="Times New Roman" w:hint="default"/>
        </w:rPr>
        <w:t>OA</w:t>
      </w:r>
      <w:r>
        <w:rPr/>
        <w:t>系统。通过技术许可、源码引进、自主开发、收购兼并等多种手段，目前公司拥有覆盖整个消费行</w:t>
      </w:r>
      <w:r>
        <w:rPr>
          <w:spacing w:val="-20"/>
        </w:rPr>
        <w:t> </w:t>
      </w:r>
      <w:r>
        <w:rPr>
          <w:spacing w:val="-20"/>
        </w:rPr>
      </w:r>
      <w:r>
        <w:rPr>
          <w:spacing w:val="-2"/>
        </w:rPr>
        <w:t>业的从高端到低端，从国际到本地，从连锁到单体的全套信息系统解决方案。以酒店和餐饮业高端客户为</w:t>
      </w:r>
      <w:r>
        <w:rPr>
          <w:spacing w:val="-46"/>
        </w:rPr>
        <w:t> </w:t>
      </w:r>
      <w:r>
        <w:rPr>
          <w:spacing w:val="-46"/>
        </w:rPr>
      </w:r>
      <w:r>
        <w:rPr/>
        <w:t>核心的覆盖全国及港、澳、台、中南亚的客户的年度营业额目前已超过</w:t>
      </w:r>
      <w:r>
        <w:rPr>
          <w:rFonts w:ascii="Times New Roman" w:hAnsi="Times New Roman" w:cs="Times New Roman" w:eastAsia="Times New Roman" w:hint="default"/>
        </w:rPr>
        <w:t>1</w:t>
      </w:r>
      <w:r>
        <w:rPr/>
        <w:t>万亿人民币。特别是在高星级酒</w:t>
      </w:r>
      <w:r>
        <w:rPr>
          <w:spacing w:val="-21"/>
        </w:rPr>
        <w:t> </w:t>
      </w:r>
      <w:r>
        <w:rPr>
          <w:spacing w:val="-21"/>
        </w:rPr>
      </w:r>
      <w:r>
        <w:rPr>
          <w:spacing w:val="-2"/>
        </w:rPr>
        <w:t>店业，公司具有一定的领先优势。由于公司软件在酒店行业的较高占有率，使得公司有机会将信息系统向</w:t>
      </w:r>
      <w:r>
        <w:rPr>
          <w:spacing w:val="-43"/>
        </w:rPr>
        <w:t> </w:t>
      </w:r>
      <w:r>
        <w:rPr>
          <w:spacing w:val="-43"/>
        </w:rPr>
      </w:r>
      <w:r>
        <w:rPr>
          <w:spacing w:val="-2"/>
        </w:rPr>
        <w:t>酒店的上下游延伸，建立预定、支付的直连技术通道，使订房渠道、银行或第三方支付公司可以直连酒店</w:t>
      </w:r>
      <w:r>
        <w:rPr>
          <w:spacing w:val="-47"/>
        </w:rPr>
        <w:t> </w:t>
      </w:r>
      <w:r>
        <w:rPr>
          <w:spacing w:val="-47"/>
        </w:rPr>
      </w:r>
      <w:r>
        <w:rPr>
          <w:spacing w:val="-2"/>
        </w:rPr>
        <w:t>信息系统，实现快速、准确、高效的自动交易。目前工农中建交等主要收单银行进入高星级酒店业基本上</w:t>
      </w:r>
      <w:r>
        <w:rPr>
          <w:spacing w:val="-44"/>
        </w:rPr>
        <w:t> </w:t>
      </w:r>
      <w:r>
        <w:rPr>
          <w:spacing w:val="-44"/>
        </w:rPr>
      </w:r>
      <w:r>
        <w:rPr>
          <w:spacing w:val="-2"/>
        </w:rPr>
        <w:t>全部使用了公司的直连清算通道。目前已经有超过</w:t>
      </w:r>
      <w:r>
        <w:rPr>
          <w:rFonts w:ascii="Times New Roman" w:hAnsi="Times New Roman" w:cs="Times New Roman" w:eastAsia="Times New Roman" w:hint="default"/>
          <w:spacing w:val="-2"/>
        </w:rPr>
        <w:t>60</w:t>
      </w:r>
      <w:r>
        <w:rPr>
          <w:spacing w:val="-2"/>
        </w:rPr>
        <w:t>家国内外主流预定渠道通过石基直连预定平台连接上</w:t>
      </w:r>
      <w:r>
        <w:rPr>
          <w:spacing w:val="-44"/>
        </w:rPr>
        <w:t> </w:t>
      </w:r>
      <w:r>
        <w:rPr>
          <w:spacing w:val="-44"/>
        </w:rPr>
      </w:r>
      <w:r>
        <w:rPr/>
        <w:t>万家酒店。公司目前正在餐饮业和零售业复制酒店业的直连模式，移动互联网的发展将推动公司直连模式</w:t>
      </w:r>
      <w:r>
        <w:rPr>
          <w:w w:val="100"/>
        </w:rPr>
        <w:t> </w:t>
      </w:r>
      <w:r>
        <w:rPr>
          <w:spacing w:val="-2"/>
        </w:rPr>
        <w:t>向低端市场扩展。经过多年的准备与预先研究，公司已经快速进入零售业信息系统领域，取得行业市场领</w:t>
      </w:r>
      <w:r>
        <w:rPr>
          <w:spacing w:val="-44"/>
        </w:rPr>
        <w:t> </w:t>
      </w:r>
      <w:r>
        <w:rPr>
          <w:spacing w:val="-44"/>
        </w:rPr>
      </w:r>
      <w:r>
        <w:rPr/>
        <w:t>先地位。公司目前全部客户的年度营业额约为</w:t>
      </w:r>
      <w:r>
        <w:rPr>
          <w:rFonts w:ascii="Times New Roman" w:hAnsi="Times New Roman" w:cs="Times New Roman" w:eastAsia="Times New Roman" w:hint="default"/>
        </w:rPr>
        <w:t>5</w:t>
      </w:r>
      <w:r>
        <w:rPr/>
        <w:t>万亿人民币，公司将通过建立大型数据平台与云服务平台</w:t>
      </w:r>
      <w:r>
        <w:rPr>
          <w:spacing w:val="-23"/>
        </w:rPr>
        <w:t> </w:t>
      </w:r>
      <w:r>
        <w:rPr>
          <w:spacing w:val="-23"/>
        </w:rPr>
      </w:r>
      <w:r>
        <w:rPr>
          <w:spacing w:val="-5"/>
        </w:rPr>
        <w:t>将酒店餐饮零售三大行业以数据为基础进行连接，构建大消费信息服务平台，为经营者和消费者提供数据、 </w:t>
      </w:r>
      <w:r>
        <w:rPr>
          <w:spacing w:val="-5"/>
        </w:rPr>
      </w:r>
      <w:r>
        <w:rPr/>
        <w:t>软件和信息服务。</w:t>
      </w:r>
    </w:p>
    <w:p>
      <w:pPr>
        <w:pStyle w:val="BodyText"/>
        <w:spacing w:line="273" w:lineRule="auto" w:before="55"/>
        <w:ind w:right="206" w:firstLine="420"/>
        <w:jc w:val="both"/>
      </w:pPr>
      <w:r>
        <w:rPr>
          <w:spacing w:val="-2"/>
        </w:rPr>
        <w:t>为此，公司的发展战略多年以来保持不变，即：围绕酒店信息系统核心业务，加大新一代酒店信息管</w:t>
      </w:r>
      <w:r>
        <w:rPr>
          <w:w w:val="100"/>
        </w:rPr>
        <w:t> </w:t>
      </w:r>
      <w:r>
        <w:rPr>
          <w:spacing w:val="-2"/>
        </w:rPr>
        <w:t>理系统研发投入，以确保公司在以云计算为代表的新一代信息系统变迁中继续领导中国酒店信息系统的发</w:t>
      </w:r>
      <w:r>
        <w:rPr>
          <w:spacing w:val="-43"/>
        </w:rPr>
        <w:t> </w:t>
      </w:r>
      <w:r>
        <w:rPr>
          <w:spacing w:val="-43"/>
        </w:rPr>
      </w:r>
      <w:r>
        <w:rPr>
          <w:spacing w:val="-2"/>
        </w:rPr>
        <w:t>展，通过领先的技术和产品超越全球竞争对手成为全球酒店信息系统领导者，以酒店信息管理系统领域强</w:t>
      </w:r>
      <w:r>
        <w:rPr>
          <w:spacing w:val="-44"/>
        </w:rPr>
        <w:t> </w:t>
      </w:r>
      <w:r>
        <w:rPr>
          <w:spacing w:val="-44"/>
        </w:rPr>
      </w:r>
      <w:r>
        <w:rPr>
          <w:spacing w:val="-2"/>
        </w:rPr>
        <w:t>有力的市场地位为基础，积极发展与酒店信息管理系统紧密相关的或有共同管理模式和经营特点的其他业</w:t>
      </w:r>
      <w:r>
        <w:rPr>
          <w:spacing w:val="-43"/>
        </w:rPr>
        <w:t> </w:t>
      </w:r>
      <w:r>
        <w:rPr>
          <w:spacing w:val="-43"/>
        </w:rPr>
      </w:r>
      <w:r>
        <w:rPr/>
        <w:t>务，逐步构建旅游消费信息化服务平台。</w:t>
      </w:r>
    </w:p>
    <w:p>
      <w:pPr>
        <w:spacing w:line="290" w:lineRule="auto" w:before="46"/>
        <w:ind w:left="573" w:right="20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、公司前期披露的经营计划在报告期内的进展情况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年的经营计划为：</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年，公司将继续推进内部控制的建设和完善，继续完善基于云计算的</w:t>
      </w:r>
    </w:p>
    <w:p>
      <w:pPr>
        <w:pStyle w:val="BodyText"/>
        <w:spacing w:line="247" w:lineRule="exact"/>
        <w:ind w:right="100"/>
        <w:jc w:val="left"/>
      </w:pPr>
      <w:r>
        <w:rPr/>
        <w:t>新一代酒店、餐饮信息管理系统，开始建立石基零售数据平台和开发平台，使公司的产品和服务通过统一</w:t>
      </w:r>
    </w:p>
    <w:p>
      <w:pPr>
        <w:pStyle w:val="BodyText"/>
        <w:spacing w:line="273" w:lineRule="auto" w:before="37"/>
        <w:ind w:right="206"/>
        <w:jc w:val="both"/>
      </w:pPr>
      <w:r>
        <w:rPr>
          <w:spacing w:val="-2"/>
        </w:rPr>
        <w:t>的开发平台从高端向低端延伸；顺应软件业向移动互联网转移的大趋势，加强适应市场变化的餐饮信息系</w:t>
      </w:r>
      <w:r>
        <w:rPr>
          <w:spacing w:val="-43"/>
        </w:rPr>
        <w:t> </w:t>
      </w:r>
      <w:r>
        <w:rPr>
          <w:spacing w:val="-43"/>
        </w:rPr>
      </w:r>
      <w:r>
        <w:rPr>
          <w:spacing w:val="-2"/>
        </w:rPr>
        <w:t>统新产品开发，扩大移动终端在餐饮领域的广泛应用；全面启动对旗下零售业公司的整合，实现公司在零</w:t>
      </w:r>
      <w:r>
        <w:rPr>
          <w:spacing w:val="-44"/>
        </w:rPr>
        <w:t> </w:t>
      </w:r>
      <w:r>
        <w:rPr>
          <w:spacing w:val="-44"/>
        </w:rPr>
      </w:r>
      <w:r>
        <w:rPr>
          <w:spacing w:val="-2"/>
        </w:rPr>
        <w:t>售业信息系统的领导地位，畅联业务将在继续推进酒店集团和渠道合作的同时，继续加深与阿里旅行在酒</w:t>
      </w:r>
      <w:r>
        <w:rPr>
          <w:spacing w:val="-44"/>
        </w:rPr>
        <w:t> </w:t>
      </w:r>
      <w:r>
        <w:rPr>
          <w:spacing w:val="-44"/>
        </w:rPr>
      </w:r>
      <w:r>
        <w:rPr>
          <w:spacing w:val="-2"/>
        </w:rPr>
        <w:t>店预订领域的直连合作，实现预订量的快速增长；加强与支付宝和腾讯微信的合作，扩大南京银石在支付</w:t>
      </w:r>
      <w:r>
        <w:rPr>
          <w:spacing w:val="-42"/>
        </w:rPr>
        <w:t> </w:t>
      </w:r>
      <w:r>
        <w:rPr>
          <w:spacing w:val="-42"/>
        </w:rPr>
      </w:r>
      <w:r>
        <w:rPr/>
        <w:t>系统行业的影响力，促进公司从软件供应商向平台服务商的转型。</w:t>
      </w:r>
    </w:p>
    <w:p>
      <w:pPr>
        <w:pStyle w:val="BodyText"/>
        <w:spacing w:line="290" w:lineRule="auto" w:before="49"/>
        <w:ind w:left="573" w:right="208"/>
        <w:jc w:val="left"/>
      </w:pPr>
      <w:r>
        <w:rPr>
          <w:rFonts w:ascii="Times New Roman" w:hAnsi="Times New Roman" w:cs="Times New Roman" w:eastAsia="Times New Roman" w:hint="default"/>
        </w:rPr>
        <w:t>2017</w:t>
      </w:r>
      <w:r>
        <w:rPr/>
        <w:t>年，公司严格执行董事会制定的发展战略和</w:t>
      </w:r>
      <w:r>
        <w:rPr>
          <w:rFonts w:ascii="Times New Roman" w:hAnsi="Times New Roman" w:cs="Times New Roman" w:eastAsia="Times New Roman" w:hint="default"/>
        </w:rPr>
        <w:t>2017</w:t>
      </w:r>
      <w:r>
        <w:rPr/>
        <w:t>年度经营计划，总体经营情况如下：</w:t>
      </w:r>
      <w:r>
        <w:rPr>
          <w:w w:val="100"/>
        </w:rPr>
        <w:t> </w:t>
      </w:r>
      <w:r>
        <w:rPr>
          <w:spacing w:val="-2"/>
        </w:rPr>
        <w:t>报告期内，公司继续完善基于云计算的新一代酒店、餐饮信息管理系统，增强客户体验，扩大协同效</w:t>
      </w:r>
    </w:p>
    <w:p>
      <w:pPr>
        <w:pStyle w:val="BodyText"/>
        <w:spacing w:line="264" w:lineRule="auto"/>
        <w:ind w:right="100"/>
        <w:jc w:val="left"/>
      </w:pPr>
      <w:r>
        <w:rPr>
          <w:spacing w:val="-3"/>
        </w:rPr>
        <w:t>应，以更加先进的商业模式创造公司新的利润增长点，杭州西软云平台架构的</w:t>
      </w:r>
      <w:r>
        <w:rPr>
          <w:rFonts w:ascii="Times New Roman" w:hAnsi="Times New Roman" w:cs="Times New Roman" w:eastAsia="Times New Roman" w:hint="default"/>
          <w:spacing w:val="-3"/>
        </w:rPr>
        <w:t>XMS</w:t>
      </w:r>
      <w:r>
        <w:rPr>
          <w:spacing w:val="-3"/>
        </w:rPr>
        <w:t>系列产品和移动产品销</w:t>
      </w:r>
      <w:r>
        <w:rPr>
          <w:spacing w:val="-30"/>
        </w:rPr>
        <w:t> </w:t>
      </w:r>
      <w:r>
        <w:rPr>
          <w:spacing w:val="-30"/>
        </w:rPr>
      </w:r>
      <w:r>
        <w:rPr>
          <w:spacing w:val="-3"/>
        </w:rPr>
        <w:t>售量大幅增长；云平台</w:t>
      </w:r>
      <w:r>
        <w:rPr>
          <w:rFonts w:ascii="Times New Roman" w:hAnsi="Times New Roman" w:cs="Times New Roman" w:eastAsia="Times New Roman" w:hint="default"/>
          <w:spacing w:val="-3"/>
        </w:rPr>
        <w:t>POS</w:t>
      </w:r>
      <w:r>
        <w:rPr>
          <w:spacing w:val="-3"/>
        </w:rPr>
        <w:t>系统</w:t>
      </w:r>
      <w:r>
        <w:rPr>
          <w:rFonts w:ascii="Times New Roman" w:hAnsi="Times New Roman" w:cs="Times New Roman" w:eastAsia="Times New Roman" w:hint="default"/>
          <w:spacing w:val="-3"/>
        </w:rPr>
        <w:t>“Infrasys </w:t>
      </w:r>
      <w:r>
        <w:rPr>
          <w:rFonts w:ascii="Times New Roman" w:hAnsi="Times New Roman" w:cs="Times New Roman" w:eastAsia="Times New Roman" w:hint="default"/>
        </w:rPr>
        <w:t>Cloud”</w:t>
      </w:r>
      <w:r>
        <w:rPr/>
        <w:t>成功在连锁餐饮企业和国际知名品牌的酒店集团平稳上线，</w:t>
      </w:r>
      <w:r>
        <w:rPr>
          <w:spacing w:val="-89"/>
        </w:rPr>
        <w:t> </w:t>
      </w:r>
      <w:r>
        <w:rPr>
          <w:spacing w:val="-89"/>
        </w:rPr>
      </w:r>
      <w:r>
        <w:rPr>
          <w:spacing w:val="-2"/>
        </w:rPr>
        <w:t>为公司快速全面转向下一代云系统积累了比较丰富的经验和技术；零售信息系统业务着眼全面整合北京富</w:t>
      </w:r>
      <w:r>
        <w:rPr>
          <w:spacing w:val="-42"/>
        </w:rPr>
        <w:t> </w:t>
      </w:r>
      <w:r>
        <w:rPr>
          <w:spacing w:val="-42"/>
        </w:rPr>
      </w:r>
      <w:r>
        <w:rPr>
          <w:spacing w:val="-2"/>
        </w:rPr>
        <w:t>基融通和长益科技，发挥协同效应；公司畅联业务在稳步加强国内外分销渠道合作的同时，积极深化与阿</w:t>
      </w:r>
      <w:r>
        <w:rPr>
          <w:spacing w:val="-43"/>
        </w:rPr>
        <w:t> </w:t>
      </w:r>
      <w:r>
        <w:rPr>
          <w:spacing w:val="-43"/>
        </w:rPr>
      </w:r>
      <w:r>
        <w:rPr>
          <w:spacing w:val="-2"/>
        </w:rPr>
        <w:t>里旅行的合作，直连间夜量继续保持良好提升态势；公司支付业务策划拓展了平台支付方案，公司客户与</w:t>
      </w:r>
      <w:r>
        <w:rPr>
          <w:spacing w:val="-44"/>
        </w:rPr>
        <w:t> </w:t>
      </w:r>
      <w:r>
        <w:rPr>
          <w:spacing w:val="-44"/>
        </w:rPr>
      </w:r>
      <w:r>
        <w:rPr>
          <w:spacing w:val="-3"/>
          <w:w w:val="100"/>
        </w:rPr>
        <w:t>支付宝和微信直连的支付业务</w:t>
      </w:r>
      <w:r>
        <w:rPr>
          <w:rFonts w:ascii="Times New Roman" w:hAnsi="Times New Roman" w:cs="Times New Roman" w:eastAsia="Times New Roman" w:hint="default"/>
          <w:spacing w:val="-3"/>
          <w:w w:val="100"/>
        </w:rPr>
        <w:t>2017</w:t>
      </w:r>
      <w:r>
        <w:rPr>
          <w:spacing w:val="-3"/>
          <w:w w:val="100"/>
        </w:rPr>
        <w:t>年</w:t>
      </w:r>
      <w:r>
        <w:rPr>
          <w:rFonts w:ascii="Times New Roman" w:hAnsi="Times New Roman" w:cs="Times New Roman" w:eastAsia="Times New Roman" w:hint="default"/>
          <w:spacing w:val="-3"/>
          <w:w w:val="100"/>
        </w:rPr>
        <w:t>1-12</w:t>
      </w:r>
      <w:r>
        <w:rPr>
          <w:spacing w:val="-3"/>
          <w:w w:val="100"/>
        </w:rPr>
        <w:t>月交易总金额超过</w:t>
      </w:r>
      <w:r>
        <w:rPr>
          <w:rFonts w:ascii="Times New Roman" w:hAnsi="Times New Roman" w:cs="Times New Roman" w:eastAsia="Times New Roman" w:hint="default"/>
          <w:spacing w:val="-3"/>
          <w:w w:val="100"/>
        </w:rPr>
        <w:t>500</w:t>
      </w:r>
      <w:r>
        <w:rPr>
          <w:spacing w:val="-3"/>
          <w:w w:val="100"/>
        </w:rPr>
        <w:t>亿元人民币，与去年同期交易总金额超过</w:t>
      </w:r>
      <w:r>
        <w:rPr>
          <w:rFonts w:ascii="Times New Roman" w:hAnsi="Times New Roman" w:cs="Times New Roman" w:eastAsia="Times New Roman" w:hint="default"/>
          <w:spacing w:val="-3"/>
          <w:w w:val="100"/>
        </w:rPr>
        <w:t>80</w:t>
      </w:r>
      <w:r>
        <w:rPr>
          <w:rFonts w:ascii="Times New Roman" w:hAnsi="Times New Roman" w:cs="Times New Roman" w:eastAsia="Times New Roman" w:hint="default"/>
          <w:spacing w:val="-51"/>
          <w:w w:val="100"/>
        </w:rPr>
        <w:t> </w:t>
      </w:r>
      <w:r>
        <w:rPr/>
        <w:t>亿元人民币相比流量增长迅速。</w:t>
      </w:r>
    </w:p>
    <w:p>
      <w:pPr>
        <w:pStyle w:val="Heading7"/>
        <w:spacing w:line="240" w:lineRule="auto" w:before="57"/>
        <w:ind w:left="573" w:right="208"/>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271" w:lineRule="auto" w:before="62"/>
        <w:ind w:right="206" w:firstLine="420"/>
        <w:jc w:val="both"/>
      </w:pPr>
      <w:r>
        <w:rPr>
          <w:rFonts w:ascii="Times New Roman" w:hAnsi="Times New Roman" w:cs="Times New Roman" w:eastAsia="Times New Roman" w:hint="default"/>
          <w:spacing w:val="-2"/>
        </w:rPr>
        <w:t>2018</w:t>
      </w:r>
      <w:r>
        <w:rPr>
          <w:spacing w:val="-2"/>
        </w:rPr>
        <w:t>年，公司将继续完善基于云计算的新一代酒店、餐饮信息管理系统，整合高端酒店、餐饮信息系</w:t>
      </w:r>
      <w:r>
        <w:rPr>
          <w:w w:val="100"/>
        </w:rPr>
        <w:t> </w:t>
      </w:r>
      <w:r>
        <w:rPr>
          <w:spacing w:val="-2"/>
        </w:rPr>
        <w:t>统业务，同时使公司的产品和服务通过统一的开发平台从高端向低端延伸；顺应软件业向移动互联网转移</w:t>
      </w:r>
      <w:r>
        <w:rPr>
          <w:spacing w:val="-43"/>
        </w:rPr>
        <w:t> </w:t>
      </w:r>
      <w:r>
        <w:rPr>
          <w:spacing w:val="-43"/>
        </w:rPr>
      </w:r>
      <w:r>
        <w:rPr>
          <w:spacing w:val="-2"/>
        </w:rPr>
        <w:t>的大趋势，加强适应市场变化的餐饮信息系统新产品开发，扩大移动终端在餐饮领域的广泛应用；继续深</w:t>
      </w:r>
      <w:r>
        <w:rPr>
          <w:spacing w:val="-44"/>
        </w:rPr>
        <w:t> </w:t>
      </w:r>
      <w:r>
        <w:rPr>
          <w:spacing w:val="-44"/>
        </w:rPr>
      </w:r>
      <w:r>
        <w:rPr>
          <w:spacing w:val="-2"/>
        </w:rPr>
        <w:t>化对旗下零售业各个子公司的整合，借助阿里巴巴与公司在新零售领域的战略合作，保持公司未来在新一</w:t>
      </w:r>
      <w:r>
        <w:rPr>
          <w:spacing w:val="-43"/>
        </w:rPr>
        <w:t> </w:t>
      </w:r>
      <w:r>
        <w:rPr>
          <w:spacing w:val="-43"/>
        </w:rPr>
      </w:r>
      <w:r>
        <w:rPr>
          <w:spacing w:val="-2"/>
        </w:rPr>
        <w:t>代零售信息系统业务中的领导地位；畅联业务将在继续推进酒店集团和渠道合作的同时，继续加深与阿里</w:t>
      </w:r>
      <w:r>
        <w:rPr>
          <w:spacing w:val="-43"/>
        </w:rPr>
        <w:t> </w:t>
      </w:r>
      <w:r>
        <w:rPr>
          <w:spacing w:val="-43"/>
        </w:rPr>
      </w:r>
      <w:r>
        <w:rPr>
          <w:spacing w:val="-2"/>
        </w:rPr>
        <w:t>旅行在酒店预订领域的直连合作，实现预订量的快速增长；加强与支付宝和腾讯微信的合作，扩大南京银</w:t>
      </w:r>
      <w:r>
        <w:rPr>
          <w:spacing w:val="-43"/>
        </w:rPr>
        <w:t> </w:t>
      </w:r>
      <w:r>
        <w:rPr>
          <w:spacing w:val="-43"/>
        </w:rPr>
      </w:r>
      <w:r>
        <w:rPr/>
        <w:t>石在支付系统行业的影响力，促进公司从软件供应商向平台服务商的转型。</w:t>
      </w:r>
    </w:p>
    <w:p>
      <w:pPr>
        <w:pStyle w:val="BodyText"/>
        <w:spacing w:line="240" w:lineRule="auto" w:before="48"/>
        <w:ind w:left="573" w:right="208"/>
        <w:jc w:val="left"/>
      </w:pPr>
      <w:r>
        <w:rPr/>
        <w:t>为实现上述经营计划，公司将主要采取如下举措：</w:t>
      </w:r>
    </w:p>
    <w:p>
      <w:pPr>
        <w:spacing w:after="0" w:line="240" w:lineRule="auto"/>
        <w:jc w:val="left"/>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7"/>
        <w:spacing w:line="240" w:lineRule="auto" w:before="36"/>
        <w:ind w:left="573" w:right="208"/>
        <w:jc w:val="left"/>
        <w:rPr>
          <w:b w:val="0"/>
          <w:bCs w:val="0"/>
        </w:rPr>
      </w:pPr>
      <w:r>
        <w:rPr/>
        <w:t>（</w:t>
      </w:r>
      <w:r>
        <w:rPr>
          <w:rFonts w:ascii="Times New Roman" w:hAnsi="Times New Roman" w:cs="Times New Roman" w:eastAsia="Times New Roman" w:hint="default"/>
        </w:rPr>
        <w:t>1</w:t>
      </w:r>
      <w:r>
        <w:rPr/>
        <w:t>）酒店信息系统业务</w:t>
      </w:r>
      <w:r>
        <w:rPr>
          <w:b w:val="0"/>
          <w:bCs w:val="0"/>
        </w:rPr>
      </w:r>
    </w:p>
    <w:p>
      <w:pPr>
        <w:pStyle w:val="BodyText"/>
        <w:spacing w:line="268" w:lineRule="auto" w:before="62"/>
        <w:ind w:right="206" w:firstLine="420"/>
        <w:jc w:val="both"/>
      </w:pPr>
      <w:r>
        <w:rPr>
          <w:rFonts w:ascii="Times New Roman" w:hAnsi="Times New Roman" w:cs="Times New Roman" w:eastAsia="Times New Roman" w:hint="default"/>
          <w:spacing w:val="-2"/>
        </w:rPr>
        <w:t>2018</w:t>
      </w:r>
      <w:r>
        <w:rPr>
          <w:spacing w:val="-2"/>
        </w:rPr>
        <w:t>年，公司将以在高端酒店信息系统业务领域的市场竞争优势为基石，坚持国际化战略，通过海外</w:t>
      </w:r>
      <w:r>
        <w:rPr>
          <w:w w:val="100"/>
        </w:rPr>
        <w:t> </w:t>
      </w:r>
      <w:r>
        <w:rPr>
          <w:spacing w:val="-2"/>
        </w:rPr>
        <w:t>投资与研发，开发新的产品与服务帮助高端酒店业实现业务和经营转型；杭州西软在技术研发方面将在现</w:t>
      </w:r>
      <w:r>
        <w:rPr>
          <w:spacing w:val="-43"/>
        </w:rPr>
        <w:t> </w:t>
      </w:r>
      <w:r>
        <w:rPr>
          <w:spacing w:val="-43"/>
        </w:rPr>
      </w:r>
      <w:r>
        <w:rPr/>
        <w:t>有产品的基础上向</w:t>
      </w:r>
      <w:r>
        <w:rPr>
          <w:rFonts w:ascii="Times New Roman" w:hAnsi="Times New Roman" w:cs="Times New Roman" w:eastAsia="Times New Roman" w:hint="default"/>
        </w:rPr>
        <w:t>SAAS</w:t>
      </w:r>
      <w:r>
        <w:rPr/>
        <w:t>化、移动化方向不断完善；广州万迅将坚定千里马产品场景化、服务化的发展方</w:t>
      </w:r>
      <w:r>
        <w:rPr>
          <w:spacing w:val="-40"/>
        </w:rPr>
        <w:t> </w:t>
      </w:r>
      <w:r>
        <w:rPr>
          <w:spacing w:val="-40"/>
        </w:rPr>
      </w:r>
      <w:r>
        <w:rPr>
          <w:spacing w:val="-2"/>
        </w:rPr>
        <w:t>向，同时结合本身产品的综合性、全面性优势，持续推进全线产品的云化，使千里马业务云可覆盖行业的</w:t>
      </w:r>
      <w:r>
        <w:rPr>
          <w:spacing w:val="-47"/>
        </w:rPr>
        <w:t> </w:t>
      </w:r>
      <w:r>
        <w:rPr>
          <w:spacing w:val="-47"/>
        </w:rPr>
      </w:r>
      <w:r>
        <w:rPr>
          <w:spacing w:val="-2"/>
        </w:rPr>
        <w:t>前台、餐饮、供应链、会员等主要经营领域，帮助客户打通与整合数据链；航信华仪将参与与西软主导研</w:t>
      </w:r>
      <w:r>
        <w:rPr>
          <w:spacing w:val="-43"/>
        </w:rPr>
        <w:t> </w:t>
      </w:r>
      <w:r>
        <w:rPr>
          <w:spacing w:val="-43"/>
        </w:rPr>
      </w:r>
      <w:r>
        <w:rPr>
          <w:spacing w:val="-2"/>
        </w:rPr>
        <w:t>发的各系列云产品的推广及实施以丰富现有产品线，广泛与各种其他酒店厂商合作，将目前酒店关心的各</w:t>
      </w:r>
      <w:r>
        <w:rPr>
          <w:spacing w:val="-44"/>
        </w:rPr>
        <w:t> </w:t>
      </w:r>
      <w:r>
        <w:rPr>
          <w:spacing w:val="-44"/>
        </w:rPr>
      </w:r>
      <w:r>
        <w:rPr>
          <w:spacing w:val="-2"/>
        </w:rPr>
        <w:t>种智能化体验融合，如自助入住、人脸识别、智能客房相关设备、人工智能相关应用等，同时，将继续引</w:t>
      </w:r>
      <w:r>
        <w:rPr>
          <w:spacing w:val="-42"/>
        </w:rPr>
        <w:t> </w:t>
      </w:r>
      <w:r>
        <w:rPr>
          <w:spacing w:val="-42"/>
        </w:rPr>
      </w:r>
      <w:r>
        <w:rPr/>
        <w:t>导高端客户向西软系统升级，未来将重点转移到中端市场，实现集团体系内差异化经营。</w:t>
      </w:r>
    </w:p>
    <w:p>
      <w:pPr>
        <w:pStyle w:val="Heading7"/>
        <w:spacing w:line="240" w:lineRule="auto" w:before="50"/>
        <w:ind w:left="573" w:right="208"/>
        <w:jc w:val="left"/>
        <w:rPr>
          <w:b w:val="0"/>
          <w:bCs w:val="0"/>
        </w:rPr>
      </w:pPr>
      <w:r>
        <w:rPr/>
        <w:t>（</w:t>
      </w:r>
      <w:r>
        <w:rPr>
          <w:rFonts w:ascii="Times New Roman" w:hAnsi="Times New Roman" w:cs="Times New Roman" w:eastAsia="Times New Roman" w:hint="default"/>
        </w:rPr>
        <w:t>2</w:t>
      </w:r>
      <w:r>
        <w:rPr/>
        <w:t>）餐饮、零售信息系统业务</w:t>
      </w:r>
      <w:r>
        <w:rPr>
          <w:b w:val="0"/>
          <w:bCs w:val="0"/>
        </w:rPr>
      </w:r>
    </w:p>
    <w:p>
      <w:pPr>
        <w:pStyle w:val="BodyText"/>
        <w:spacing w:line="256" w:lineRule="auto" w:before="62"/>
        <w:ind w:right="201"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Infrasys</w:t>
      </w:r>
      <w:r>
        <w:rPr>
          <w:spacing w:val="-3"/>
        </w:rPr>
        <w:t>将会与集团高端酒店业务整合，将以往只提供餐饮系统的角色转化成酒店业界的全方</w:t>
      </w:r>
      <w:r>
        <w:rPr>
          <w:w w:val="100"/>
        </w:rPr>
        <w:t> </w:t>
      </w:r>
      <w:r>
        <w:rPr>
          <w:spacing w:val="-2"/>
        </w:rPr>
        <w:t>位信息技术及服务供货商，同时随着</w:t>
      </w:r>
      <w:r>
        <w:rPr>
          <w:rFonts w:ascii="Times New Roman" w:hAnsi="Times New Roman" w:cs="Times New Roman" w:eastAsia="Times New Roman" w:hint="default"/>
          <w:spacing w:val="-2"/>
        </w:rPr>
        <w:t>Infrasys</w:t>
      </w:r>
      <w:r>
        <w:rPr>
          <w:rFonts w:ascii="Times New Roman" w:hAnsi="Times New Roman" w:cs="Times New Roman" w:eastAsia="Times New Roman" w:hint="default"/>
        </w:rPr>
        <w:t> </w:t>
      </w:r>
      <w:r>
        <w:rPr>
          <w:rFonts w:ascii="Times New Roman" w:hAnsi="Times New Roman" w:cs="Times New Roman" w:eastAsia="Times New Roman" w:hint="default"/>
          <w:spacing w:val="-2"/>
        </w:rPr>
        <w:t>Cloud</w:t>
      </w:r>
      <w:r>
        <w:rPr>
          <w:spacing w:val="-2"/>
        </w:rPr>
        <w:t>平台已开始被越来越多的国际酒店集团所认同及接受，</w:t>
      </w:r>
      <w:r>
        <w:rPr>
          <w:spacing w:val="-59"/>
        </w:rPr>
        <w:t> </w:t>
      </w:r>
      <w:r>
        <w:rPr>
          <w:spacing w:val="-59"/>
        </w:rPr>
      </w:r>
      <w:r>
        <w:rPr/>
        <w:t>积极向市场推广</w:t>
      </w:r>
      <w:r>
        <w:rPr>
          <w:rFonts w:ascii="Times New Roman" w:hAnsi="Times New Roman" w:cs="Times New Roman" w:eastAsia="Times New Roman" w:hint="default"/>
        </w:rPr>
        <w:t>Infrasys Cloud</w:t>
      </w:r>
      <w:r>
        <w:rPr/>
        <w:t>平台，与传统</w:t>
      </w:r>
      <w:r>
        <w:rPr>
          <w:rFonts w:ascii="Times New Roman" w:hAnsi="Times New Roman" w:cs="Times New Roman" w:eastAsia="Times New Roman" w:hint="default"/>
        </w:rPr>
        <w:t>Gourmate POS</w:t>
      </w:r>
      <w:r>
        <w:rPr/>
        <w:t>系统客户沟通，为他们转移系统到</w:t>
      </w:r>
      <w:r>
        <w:rPr>
          <w:rFonts w:ascii="Times New Roman" w:hAnsi="Times New Roman" w:cs="Times New Roman" w:eastAsia="Times New Roman" w:hint="default"/>
        </w:rPr>
        <w:t>Infrasys</w:t>
      </w:r>
      <w:r>
        <w:rPr>
          <w:rFonts w:ascii="Times New Roman" w:hAnsi="Times New Roman" w:cs="Times New Roman" w:eastAsia="Times New Roman" w:hint="default"/>
          <w:spacing w:val="-22"/>
        </w:rPr>
        <w:t> </w:t>
      </w:r>
      <w:r>
        <w:rPr>
          <w:rFonts w:ascii="Times New Roman" w:hAnsi="Times New Roman" w:cs="Times New Roman" w:eastAsia="Times New Roman" w:hint="default"/>
        </w:rPr>
        <w:t>Cloud</w:t>
      </w:r>
      <w:r>
        <w:rPr>
          <w:rFonts w:ascii="Times New Roman" w:hAnsi="Times New Roman" w:cs="Times New Roman" w:eastAsia="Times New Roman" w:hint="default"/>
          <w:w w:val="100"/>
        </w:rPr>
        <w:t> </w:t>
      </w:r>
      <w:r>
        <w:rPr/>
        <w:t>平台做好适当的准备。</w:t>
      </w:r>
    </w:p>
    <w:p>
      <w:pPr>
        <w:pStyle w:val="BodyText"/>
        <w:spacing w:line="264" w:lineRule="auto" w:before="63"/>
        <w:ind w:right="100" w:firstLine="420"/>
        <w:jc w:val="left"/>
      </w:pPr>
      <w:r>
        <w:rPr>
          <w:rFonts w:ascii="Times New Roman" w:hAnsi="Times New Roman" w:cs="Times New Roman" w:eastAsia="Times New Roman" w:hint="default"/>
          <w:spacing w:val="-5"/>
        </w:rPr>
        <w:t>2018</w:t>
      </w:r>
      <w:r>
        <w:rPr>
          <w:spacing w:val="-5"/>
        </w:rPr>
        <w:t>年，正品贵德将继续发挥在供应链产品上的经验优势，产品全面向移动化、便捷化、娱乐化转变，</w:t>
      </w:r>
      <w:r>
        <w:rPr>
          <w:w w:val="100"/>
        </w:rPr>
        <w:t> </w:t>
      </w:r>
      <w:r>
        <w:rPr>
          <w:spacing w:val="-3"/>
        </w:rPr>
        <w:t>重点是继续强化供应链产品的研发，做出适应适合现在市场竞争的极致产品，在持续进行龙头产品</w:t>
      </w:r>
      <w:r>
        <w:rPr>
          <w:rFonts w:ascii="Times New Roman" w:hAnsi="Times New Roman" w:cs="Times New Roman" w:eastAsia="Times New Roman" w:hint="default"/>
          <w:spacing w:val="-3"/>
        </w:rPr>
        <w:t>G9</w:t>
      </w:r>
      <w:r>
        <w:rPr>
          <w:spacing w:val="-3"/>
        </w:rPr>
        <w:t>研发</w:t>
      </w:r>
      <w:r>
        <w:rPr>
          <w:spacing w:val="-41"/>
        </w:rPr>
        <w:t> </w:t>
      </w:r>
      <w:r>
        <w:rPr/>
        <w:t>的同时，把研发、销售的重点转移到</w:t>
      </w:r>
      <w:r>
        <w:rPr>
          <w:rFonts w:ascii="Times New Roman" w:hAnsi="Times New Roman" w:cs="Times New Roman" w:eastAsia="Times New Roman" w:hint="default"/>
        </w:rPr>
        <w:t>G10</w:t>
      </w:r>
      <w:r>
        <w:rPr>
          <w:rFonts w:ascii="Times New Roman" w:hAnsi="Times New Roman" w:cs="Times New Roman" w:eastAsia="Times New Roman" w:hint="default"/>
          <w:spacing w:val="16"/>
        </w:rPr>
        <w:t> </w:t>
      </w:r>
      <w:r>
        <w:rPr>
          <w:rFonts w:ascii="Times New Roman" w:hAnsi="Times New Roman" w:cs="Times New Roman" w:eastAsia="Times New Roman" w:hint="default"/>
        </w:rPr>
        <w:t>Saas</w:t>
      </w:r>
      <w:r>
        <w:rPr/>
        <w:t>供应链的开发；与国内餐饮供应链的一些优势资源进行资源</w:t>
      </w:r>
      <w:r>
        <w:rPr>
          <w:w w:val="100"/>
        </w:rPr>
        <w:t> </w:t>
      </w:r>
      <w:r>
        <w:rPr>
          <w:spacing w:val="-2"/>
        </w:rPr>
        <w:t>整合，强强合作，与一批业务互不冲突的优势资源共同构筑成为餐饮企业供应链条中上下衔接、互补的科</w:t>
      </w:r>
      <w:r>
        <w:rPr>
          <w:spacing w:val="-43"/>
        </w:rPr>
        <w:t> </w:t>
      </w:r>
      <w:r>
        <w:rPr>
          <w:spacing w:val="-43"/>
        </w:rPr>
      </w:r>
      <w:r>
        <w:rPr>
          <w:spacing w:val="-2"/>
        </w:rPr>
        <w:t>技工具，让正品贵德的供应链产品成为帮助餐饮企业打通上下游资源的重要工具；改变供应链实施以软件</w:t>
      </w:r>
      <w:r>
        <w:rPr>
          <w:spacing w:val="-43"/>
        </w:rPr>
        <w:t> </w:t>
      </w:r>
      <w:r>
        <w:rPr>
          <w:spacing w:val="-43"/>
        </w:rPr>
      </w:r>
      <w:r>
        <w:rPr>
          <w:spacing w:val="-2"/>
        </w:rPr>
        <w:t>实施为主、顾问型弱的状况，将供应链实施转变为顾问型服务，提高绩效、提高供应链落地效果；进一步</w:t>
      </w:r>
      <w:r>
        <w:rPr>
          <w:spacing w:val="-43"/>
        </w:rPr>
        <w:t> </w:t>
      </w:r>
      <w:r>
        <w:rPr>
          <w:spacing w:val="-43"/>
        </w:rPr>
      </w:r>
      <w:r>
        <w:rPr/>
        <w:t>扩大</w:t>
      </w:r>
      <w:r>
        <w:rPr>
          <w:rFonts w:ascii="Times New Roman" w:hAnsi="Times New Roman" w:cs="Times New Roman" w:eastAsia="Times New Roman" w:hint="default"/>
        </w:rPr>
        <w:t>O2O</w:t>
      </w:r>
      <w:r>
        <w:rPr/>
        <w:t>支付业务，同时加强电子发票开票系统的推广和应用。</w:t>
      </w:r>
    </w:p>
    <w:p>
      <w:pPr>
        <w:pStyle w:val="BodyText"/>
        <w:spacing w:line="261" w:lineRule="auto" w:before="36"/>
        <w:ind w:right="206" w:firstLine="420"/>
        <w:jc w:val="both"/>
      </w:pPr>
      <w:r>
        <w:rPr>
          <w:rFonts w:ascii="Times New Roman" w:hAnsi="Times New Roman" w:cs="Times New Roman" w:eastAsia="Times New Roman" w:hint="default"/>
          <w:spacing w:val="-2"/>
        </w:rPr>
        <w:t>2018</w:t>
      </w:r>
      <w:r>
        <w:rPr>
          <w:spacing w:val="-2"/>
        </w:rPr>
        <w:t>年，思迅软件将把传统业务向新零售升级，加快产品及技术转型，加强线上线下一体化业务，推</w:t>
      </w:r>
      <w:r>
        <w:rPr>
          <w:w w:val="100"/>
        </w:rPr>
        <w:t> </w:t>
      </w:r>
      <w:r>
        <w:rPr>
          <w:spacing w:val="-2"/>
        </w:rPr>
        <w:t>动和阿里关于新零售的合作；继续推广和完善支付接入业务，扩大线下消费流量入口；加大面向小微型客</w:t>
      </w:r>
      <w:r>
        <w:rPr>
          <w:spacing w:val="-44"/>
        </w:rPr>
        <w:t> </w:t>
      </w:r>
      <w:r>
        <w:rPr>
          <w:spacing w:val="-44"/>
        </w:rPr>
      </w:r>
      <w:r>
        <w:rPr>
          <w:spacing w:val="-2"/>
        </w:rPr>
        <w:t>户的</w:t>
      </w:r>
      <w:r>
        <w:rPr>
          <w:rFonts w:ascii="Times New Roman" w:hAnsi="Times New Roman" w:cs="Times New Roman" w:eastAsia="Times New Roman" w:hint="default"/>
          <w:spacing w:val="-2"/>
        </w:rPr>
        <w:t>SaaS</w:t>
      </w:r>
      <w:r>
        <w:rPr>
          <w:spacing w:val="-2"/>
        </w:rPr>
        <w:t>零售和餐饮系统研发、市场推广；进一步开拓渠道市场，加大销售和服务支持覆盖面，实现业务</w:t>
      </w:r>
      <w:r>
        <w:rPr>
          <w:spacing w:val="-44"/>
        </w:rPr>
        <w:t> </w:t>
      </w:r>
      <w:r>
        <w:rPr>
          <w:spacing w:val="-44"/>
        </w:rPr>
      </w:r>
      <w:r>
        <w:rPr/>
        <w:t>持续增长。</w:t>
      </w:r>
    </w:p>
    <w:p>
      <w:pPr>
        <w:pStyle w:val="BodyText"/>
        <w:spacing w:line="261" w:lineRule="auto" w:before="59"/>
        <w:ind w:right="206" w:firstLine="420"/>
        <w:jc w:val="both"/>
      </w:pPr>
      <w:r>
        <w:rPr>
          <w:rFonts w:ascii="Times New Roman" w:hAnsi="Times New Roman" w:cs="Times New Roman" w:eastAsia="Times New Roman" w:hint="default"/>
        </w:rPr>
        <w:t>2018</w:t>
      </w:r>
      <w:r>
        <w:rPr/>
        <w:t>年，长益科技将按照石基零售统一要求完成组织及流程变革；在销售工作中重点做好：</w:t>
      </w:r>
      <w:r>
        <w:rPr>
          <w:rFonts w:ascii="Times New Roman" w:hAnsi="Times New Roman" w:cs="Times New Roman" w:eastAsia="Times New Roman" w:hint="default"/>
        </w:rPr>
        <w:t>1</w:t>
      </w:r>
      <w:r>
        <w:rPr/>
        <w:t>）增加</w:t>
      </w:r>
      <w:r>
        <w:rPr>
          <w:w w:val="100"/>
        </w:rPr>
        <w:t> </w:t>
      </w:r>
      <w:r>
        <w:rPr>
          <w:spacing w:val="-2"/>
        </w:rPr>
        <w:t>销售人员，提高客户覆盖密度，</w:t>
      </w:r>
      <w:r>
        <w:rPr>
          <w:rFonts w:ascii="Times New Roman" w:hAnsi="Times New Roman" w:cs="Times New Roman" w:eastAsia="Times New Roman" w:hint="default"/>
          <w:spacing w:val="-2"/>
        </w:rPr>
        <w:t>2</w:t>
      </w:r>
      <w:r>
        <w:rPr>
          <w:spacing w:val="-2"/>
        </w:rPr>
        <w:t>）利用公司整合优势，提高产品销售毛利，增加公司利润，</w:t>
      </w:r>
      <w:r>
        <w:rPr>
          <w:rFonts w:ascii="Times New Roman" w:hAnsi="Times New Roman" w:cs="Times New Roman" w:eastAsia="Times New Roman" w:hint="default"/>
          <w:spacing w:val="-2"/>
        </w:rPr>
        <w:t>3</w:t>
      </w:r>
      <w:r>
        <w:rPr>
          <w:spacing w:val="-2"/>
        </w:rPr>
        <w:t>）优化考核</w:t>
      </w:r>
      <w:r>
        <w:rPr>
          <w:spacing w:val="-47"/>
        </w:rPr>
        <w:t> </w:t>
      </w:r>
      <w:r>
        <w:rPr>
          <w:spacing w:val="-47"/>
        </w:rPr>
      </w:r>
      <w:r>
        <w:rPr/>
        <w:t>体系，使销售人员不止关注当前毛利，还要协助公司战略目标的实现，</w:t>
      </w:r>
      <w:r>
        <w:rPr>
          <w:rFonts w:ascii="Times New Roman" w:hAnsi="Times New Roman" w:cs="Times New Roman" w:eastAsia="Times New Roman" w:hint="default"/>
        </w:rPr>
        <w:t>4</w:t>
      </w:r>
      <w:r>
        <w:rPr/>
        <w:t>）推动客户更新系统，在老客户</w:t>
      </w:r>
      <w:r>
        <w:rPr>
          <w:spacing w:val="-21"/>
        </w:rPr>
        <w:t> </w:t>
      </w:r>
      <w:r>
        <w:rPr>
          <w:spacing w:val="-21"/>
        </w:rPr>
      </w:r>
      <w:r>
        <w:rPr>
          <w:spacing w:val="-2"/>
        </w:rPr>
        <w:t>中增加销售；技术研发方面，除了继续完善原有产品全部由传统</w:t>
      </w:r>
      <w:r>
        <w:rPr>
          <w:rFonts w:ascii="Times New Roman" w:hAnsi="Times New Roman" w:cs="Times New Roman" w:eastAsia="Times New Roman" w:hint="default"/>
          <w:spacing w:val="-2"/>
        </w:rPr>
        <w:t>C/S</w:t>
      </w:r>
      <w:r>
        <w:rPr>
          <w:spacing w:val="-2"/>
        </w:rPr>
        <w:t>平台转移到</w:t>
      </w:r>
      <w:r>
        <w:rPr>
          <w:rFonts w:ascii="Times New Roman" w:hAnsi="Times New Roman" w:cs="Times New Roman" w:eastAsia="Times New Roman" w:hint="default"/>
          <w:spacing w:val="-2"/>
        </w:rPr>
        <w:t>B/S</w:t>
      </w:r>
      <w:r>
        <w:rPr>
          <w:spacing w:val="-2"/>
        </w:rPr>
        <w:t>平台以外，技术开发计</w:t>
      </w:r>
      <w:r>
        <w:rPr>
          <w:spacing w:val="-50"/>
        </w:rPr>
        <w:t> </w:t>
      </w:r>
      <w:r>
        <w:rPr>
          <w:spacing w:val="-50"/>
        </w:rPr>
      </w:r>
      <w:r>
        <w:rPr>
          <w:spacing w:val="-2"/>
        </w:rPr>
        <w:t>划包括：基于大数据平台的客户营销分析系统、厂商电子券营销系统、新一代微信营销平台、家电数码连</w:t>
      </w:r>
      <w:r>
        <w:rPr>
          <w:spacing w:val="-50"/>
        </w:rPr>
        <w:t> </w:t>
      </w:r>
      <w:r>
        <w:rPr>
          <w:spacing w:val="-50"/>
        </w:rPr>
      </w:r>
      <w:r>
        <w:rPr>
          <w:spacing w:val="-2"/>
        </w:rPr>
        <w:t>锁店业务管理系统等；同时，与阿里新零售战略相呼应，开发与阿里的各类接口，配合阿里生态环境的构</w:t>
      </w:r>
      <w:r>
        <w:rPr>
          <w:spacing w:val="-50"/>
        </w:rPr>
        <w:t> </w:t>
      </w:r>
      <w:r>
        <w:rPr>
          <w:spacing w:val="-50"/>
        </w:rPr>
      </w:r>
      <w:r>
        <w:rPr/>
        <w:t>建。</w:t>
      </w:r>
    </w:p>
    <w:p>
      <w:pPr>
        <w:pStyle w:val="BodyText"/>
        <w:spacing w:line="266" w:lineRule="auto" w:before="59"/>
        <w:ind w:right="206" w:firstLine="420"/>
        <w:jc w:val="both"/>
      </w:pPr>
      <w:r>
        <w:rPr>
          <w:rFonts w:ascii="Times New Roman" w:hAnsi="Times New Roman" w:cs="Times New Roman" w:eastAsia="Times New Roman" w:hint="default"/>
          <w:spacing w:val="-2"/>
        </w:rPr>
        <w:t>2018</w:t>
      </w:r>
      <w:r>
        <w:rPr>
          <w:spacing w:val="-2"/>
        </w:rPr>
        <w:t>年，北京富基融通（已更名为石基大商信息）将逐步把原有业务转移至下属子公司富基信息，富</w:t>
      </w:r>
      <w:r>
        <w:rPr>
          <w:w w:val="100"/>
        </w:rPr>
        <w:t> </w:t>
      </w:r>
      <w:r>
        <w:rPr>
          <w:spacing w:val="-2"/>
        </w:rPr>
        <w:t>基信息将持续优化自主品牌的软件业务，在新零售的战略下主要在聚合营销、聚合支付、全渠道业务及新</w:t>
      </w:r>
      <w:r>
        <w:rPr>
          <w:spacing w:val="-44"/>
        </w:rPr>
        <w:t> </w:t>
      </w:r>
      <w:r>
        <w:rPr>
          <w:spacing w:val="-44"/>
        </w:rPr>
      </w:r>
      <w:r>
        <w:rPr>
          <w:spacing w:val="-2"/>
        </w:rPr>
        <w:t>门店相关产品、新一代零售综合解决方案的研发、创建与应用方面加大研发，为中国零售业的新老客户提</w:t>
      </w:r>
      <w:r>
        <w:rPr>
          <w:spacing w:val="-44"/>
        </w:rPr>
        <w:t> </w:t>
      </w:r>
      <w:r>
        <w:rPr>
          <w:spacing w:val="-44"/>
        </w:rPr>
      </w:r>
      <w:r>
        <w:rPr/>
        <w:t>供优秀的产品、解决方案和服务。</w:t>
      </w:r>
    </w:p>
    <w:p>
      <w:pPr>
        <w:pStyle w:val="Heading7"/>
        <w:spacing w:line="240" w:lineRule="auto" w:before="53"/>
        <w:ind w:left="573" w:right="208"/>
        <w:jc w:val="left"/>
        <w:rPr>
          <w:b w:val="0"/>
          <w:bCs w:val="0"/>
        </w:rPr>
      </w:pPr>
      <w:r>
        <w:rPr/>
        <w:t>（</w:t>
      </w:r>
      <w:r>
        <w:rPr>
          <w:rFonts w:ascii="Times New Roman" w:hAnsi="Times New Roman" w:cs="Times New Roman" w:eastAsia="Times New Roman" w:hint="default"/>
        </w:rPr>
        <w:t>3</w:t>
      </w:r>
      <w:r>
        <w:rPr/>
        <w:t>）畅联业务</w:t>
      </w:r>
      <w:r>
        <w:rPr>
          <w:b w:val="0"/>
          <w:bCs w:val="0"/>
        </w:rPr>
      </w:r>
    </w:p>
    <w:p>
      <w:pPr>
        <w:pStyle w:val="BodyText"/>
        <w:spacing w:line="264" w:lineRule="auto" w:before="62"/>
        <w:ind w:right="209" w:firstLine="420"/>
        <w:jc w:val="both"/>
      </w:pPr>
      <w:r>
        <w:rPr>
          <w:rFonts w:ascii="Times New Roman" w:hAnsi="Times New Roman" w:cs="Times New Roman" w:eastAsia="Times New Roman" w:hint="default"/>
          <w:spacing w:val="-2"/>
        </w:rPr>
        <w:t>2018</w:t>
      </w:r>
      <w:r>
        <w:rPr>
          <w:spacing w:val="-2"/>
        </w:rPr>
        <w:t>年，在国际化方面，畅联计划完成与海外</w:t>
      </w:r>
      <w:r>
        <w:rPr>
          <w:rFonts w:ascii="Times New Roman" w:hAnsi="Times New Roman" w:cs="Times New Roman" w:eastAsia="Times New Roman" w:hint="default"/>
          <w:spacing w:val="-2"/>
        </w:rPr>
        <w:t>GDS</w:t>
      </w:r>
      <w:r>
        <w:rPr>
          <w:spacing w:val="-2"/>
        </w:rPr>
        <w:t>的直连，为国内酒店提供</w:t>
      </w:r>
      <w:r>
        <w:rPr>
          <w:rFonts w:ascii="Times New Roman" w:hAnsi="Times New Roman" w:cs="Times New Roman" w:eastAsia="Times New Roman" w:hint="default"/>
          <w:spacing w:val="-2"/>
        </w:rPr>
        <w:t>GDS</w:t>
      </w:r>
      <w:r>
        <w:rPr>
          <w:spacing w:val="-2"/>
        </w:rPr>
        <w:t>代理业务；在多业态</w:t>
      </w:r>
      <w:r>
        <w:rPr>
          <w:w w:val="100"/>
        </w:rPr>
        <w:t> </w:t>
      </w:r>
      <w:r>
        <w:rPr>
          <w:spacing w:val="-2"/>
        </w:rPr>
        <w:t>方面，畅联与石基旗下银科环企的票务分销平台会进行整合，使能够为目的地酒店、主题公园酒店、综合</w:t>
      </w:r>
      <w:r>
        <w:rPr>
          <w:spacing w:val="-47"/>
        </w:rPr>
        <w:t> </w:t>
      </w:r>
      <w:r>
        <w:rPr>
          <w:spacing w:val="-47"/>
        </w:rPr>
      </w:r>
      <w:r>
        <w:rPr/>
        <w:t>体等提供</w:t>
      </w:r>
      <w:r>
        <w:rPr>
          <w:rFonts w:ascii="Times New Roman" w:hAnsi="Times New Roman" w:cs="Times New Roman" w:eastAsia="Times New Roman" w:hint="default"/>
        </w:rPr>
        <w:t>“</w:t>
      </w:r>
      <w:r>
        <w:rPr/>
        <w:t>景</w:t>
      </w:r>
      <w:r>
        <w:rPr>
          <w:rFonts w:ascii="Times New Roman" w:hAnsi="Times New Roman" w:cs="Times New Roman" w:eastAsia="Times New Roman" w:hint="default"/>
        </w:rPr>
        <w:t>+</w:t>
      </w:r>
      <w:r>
        <w:rPr/>
        <w:t>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票</w:t>
      </w:r>
      <w:r>
        <w:rPr>
          <w:rFonts w:ascii="Times New Roman" w:hAnsi="Times New Roman" w:cs="Times New Roman" w:eastAsia="Times New Roman" w:hint="default"/>
        </w:rPr>
        <w:t>+</w:t>
      </w:r>
      <w:r>
        <w:rPr/>
        <w:t>酒</w:t>
      </w:r>
      <w:r>
        <w:rPr>
          <w:rFonts w:ascii="Times New Roman" w:hAnsi="Times New Roman" w:cs="Times New Roman" w:eastAsia="Times New Roman" w:hint="default"/>
        </w:rPr>
        <w:t>”</w:t>
      </w:r>
      <w:r>
        <w:rPr/>
        <w:t>的一体化分销平台。</w:t>
      </w:r>
    </w:p>
    <w:p>
      <w:pPr>
        <w:pStyle w:val="Heading7"/>
        <w:spacing w:line="240" w:lineRule="auto" w:before="39"/>
        <w:ind w:left="573" w:right="208"/>
        <w:jc w:val="left"/>
        <w:rPr>
          <w:b w:val="0"/>
          <w:bCs w:val="0"/>
        </w:rPr>
      </w:pPr>
      <w:r>
        <w:rPr/>
        <w:t>（</w:t>
      </w:r>
      <w:r>
        <w:rPr>
          <w:rFonts w:ascii="Times New Roman" w:hAnsi="Times New Roman" w:cs="Times New Roman" w:eastAsia="Times New Roman" w:hint="default"/>
        </w:rPr>
        <w:t>4</w:t>
      </w:r>
      <w:r>
        <w:rPr/>
        <w:t>）支付业务</w:t>
      </w:r>
      <w:r>
        <w:rPr>
          <w:b w:val="0"/>
          <w:bCs w:val="0"/>
        </w:rPr>
      </w:r>
    </w:p>
    <w:p>
      <w:pPr>
        <w:pStyle w:val="BodyText"/>
        <w:spacing w:line="256" w:lineRule="auto" w:before="59"/>
        <w:ind w:right="208" w:firstLine="422"/>
        <w:jc w:val="both"/>
      </w:pPr>
      <w:r>
        <w:rPr>
          <w:rFonts w:ascii="Times New Roman" w:hAnsi="Times New Roman" w:cs="Times New Roman" w:eastAsia="Times New Roman" w:hint="default"/>
          <w:spacing w:val="-2"/>
        </w:rPr>
        <w:t>2018</w:t>
      </w:r>
      <w:r>
        <w:rPr>
          <w:spacing w:val="-2"/>
        </w:rPr>
        <w:t>年，南京银石将提高服务质量；继续坚持在新型支付方式的推广和投入，同时加大力气探索更具</w:t>
      </w:r>
      <w:r>
        <w:rPr>
          <w:w w:val="100"/>
        </w:rPr>
        <w:t> </w:t>
      </w:r>
      <w:r>
        <w:rPr/>
        <w:t>价值的行业支付整体解决方案。</w:t>
      </w:r>
    </w:p>
    <w:p>
      <w:pPr>
        <w:spacing w:after="0" w:line="256" w:lineRule="auto"/>
        <w:jc w:val="both"/>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7"/>
        <w:spacing w:line="240" w:lineRule="auto" w:before="36"/>
        <w:ind w:left="573" w:right="208"/>
        <w:jc w:val="left"/>
        <w:rPr>
          <w:b w:val="0"/>
          <w:bCs w:val="0"/>
        </w:rPr>
      </w:pPr>
      <w:r>
        <w:rPr/>
        <w:t>（</w:t>
      </w:r>
      <w:r>
        <w:rPr>
          <w:rFonts w:ascii="Times New Roman" w:hAnsi="Times New Roman" w:cs="Times New Roman" w:eastAsia="Times New Roman" w:hint="default"/>
        </w:rPr>
        <w:t>5</w:t>
      </w:r>
      <w:r>
        <w:rPr/>
        <w:t>）中电业务</w:t>
      </w:r>
      <w:r>
        <w:rPr>
          <w:b w:val="0"/>
          <w:bCs w:val="0"/>
        </w:rPr>
      </w:r>
    </w:p>
    <w:p>
      <w:pPr>
        <w:pStyle w:val="BodyText"/>
        <w:spacing w:line="264" w:lineRule="auto" w:before="62"/>
        <w:ind w:right="206" w:firstLine="422"/>
        <w:jc w:val="both"/>
      </w:pPr>
      <w:r>
        <w:rPr>
          <w:rFonts w:ascii="Times New Roman" w:hAnsi="Times New Roman" w:cs="Times New Roman" w:eastAsia="Times New Roman" w:hint="default"/>
          <w:spacing w:val="-3"/>
        </w:rPr>
        <w:t>2018</w:t>
      </w:r>
      <w:r>
        <w:rPr>
          <w:spacing w:val="-3"/>
        </w:rPr>
        <w:t>年，中电器件在继续争取</w:t>
      </w:r>
      <w:r>
        <w:rPr>
          <w:rFonts w:ascii="Times New Roman" w:hAnsi="Times New Roman" w:cs="Times New Roman" w:eastAsia="Times New Roman" w:hint="default"/>
          <w:spacing w:val="-3"/>
        </w:rPr>
        <w:t>EPSON</w:t>
      </w:r>
      <w:r>
        <w:rPr>
          <w:spacing w:val="-3"/>
        </w:rPr>
        <w:t>、施乐、联想新产品代理权，提升利润率的基础上，将结合石基</w:t>
      </w:r>
      <w:r>
        <w:rPr>
          <w:w w:val="100"/>
        </w:rPr>
        <w:t> </w:t>
      </w:r>
      <w:r>
        <w:rPr>
          <w:spacing w:val="-2"/>
        </w:rPr>
        <w:t>信息集团的发展战略，依托集团在零售、餐饮等领域庞大的客户资源，加强与富基、长益、现化等兄弟公</w:t>
      </w:r>
      <w:r>
        <w:rPr>
          <w:spacing w:val="-43"/>
        </w:rPr>
        <w:t> </w:t>
      </w:r>
      <w:r>
        <w:rPr>
          <w:spacing w:val="-43"/>
        </w:rPr>
      </w:r>
      <w:r>
        <w:rPr/>
        <w:t>司的沟通，实现销售提升，向信息化全门类产品服务商迈进。</w:t>
      </w:r>
    </w:p>
    <w:p>
      <w:pPr>
        <w:pStyle w:val="Heading7"/>
        <w:spacing w:line="240" w:lineRule="auto" w:before="54"/>
        <w:ind w:left="573" w:right="208"/>
        <w:jc w:val="left"/>
        <w:rPr>
          <w:b w:val="0"/>
          <w:bCs w:val="0"/>
        </w:rPr>
      </w:pPr>
      <w:r>
        <w:rPr>
          <w:rFonts w:ascii="Times New Roman" w:hAnsi="Times New Roman" w:cs="Times New Roman" w:eastAsia="Times New Roman" w:hint="default"/>
        </w:rPr>
        <w:t>4</w:t>
      </w:r>
      <w:r>
        <w:rPr/>
        <w:t>、资金需求及使用计划</w:t>
      </w:r>
      <w:r>
        <w:rPr>
          <w:b w:val="0"/>
          <w:bCs w:val="0"/>
        </w:rPr>
      </w:r>
    </w:p>
    <w:p>
      <w:pPr>
        <w:pStyle w:val="BodyText"/>
        <w:spacing w:line="256" w:lineRule="auto" w:before="62"/>
        <w:ind w:right="100" w:firstLine="42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日，阿里巴巴集团全资子公司</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38"/>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阿里</w:t>
      </w:r>
      <w:r>
        <w:rPr>
          <w:rFonts w:ascii="Times New Roman" w:hAnsi="Times New Roman" w:cs="Times New Roman" w:eastAsia="Times New Roman" w:hint="default"/>
        </w:rPr>
        <w:t>SJ</w:t>
      </w:r>
      <w:r>
        <w:rPr/>
        <w:t>投</w:t>
      </w:r>
      <w:r>
        <w:rPr>
          <w:w w:val="100"/>
        </w:rPr>
        <w:t> </w:t>
      </w:r>
      <w:r>
        <w:rPr>
          <w:spacing w:val="-4"/>
        </w:rPr>
        <w:t>资</w:t>
      </w:r>
      <w:r>
        <w:rPr>
          <w:rFonts w:ascii="Times New Roman" w:hAnsi="Times New Roman" w:cs="Times New Roman" w:eastAsia="Times New Roman" w:hint="default"/>
          <w:spacing w:val="-4"/>
        </w:rPr>
        <w:t>”</w:t>
      </w:r>
      <w:r>
        <w:rPr>
          <w:spacing w:val="-4"/>
        </w:rPr>
        <w:t>）与公司全资子公司石基（香港）达成《股份购买协议》，石基（香港）将把全资子公司石基零售</w:t>
      </w:r>
      <w:r>
        <w:rPr>
          <w:rFonts w:ascii="Times New Roman" w:hAnsi="Times New Roman" w:cs="Times New Roman" w:eastAsia="Times New Roman" w:hint="default"/>
          <w:spacing w:val="-4"/>
        </w:rPr>
        <w:t>38%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4"/>
        </w:rPr>
        <w:t>的股权以</w:t>
      </w:r>
      <w:r>
        <w:rPr>
          <w:rFonts w:ascii="Times New Roman" w:hAnsi="Times New Roman" w:cs="Times New Roman" w:eastAsia="Times New Roman" w:hint="default"/>
          <w:spacing w:val="-4"/>
        </w:rPr>
        <w:t>4.86</w:t>
      </w:r>
      <w:r>
        <w:rPr>
          <w:spacing w:val="-4"/>
        </w:rPr>
        <w:t>亿美元的价格转让给阿里</w:t>
      </w:r>
      <w:r>
        <w:rPr>
          <w:rFonts w:ascii="Times New Roman" w:hAnsi="Times New Roman" w:cs="Times New Roman" w:eastAsia="Times New Roman" w:hint="default"/>
          <w:spacing w:val="-4"/>
        </w:rPr>
        <w:t>SJ</w:t>
      </w:r>
      <w:r>
        <w:rPr>
          <w:spacing w:val="-4"/>
        </w:rPr>
        <w:t>投资和</w:t>
      </w:r>
      <w:r>
        <w:rPr>
          <w:rFonts w:ascii="Times New Roman" w:hAnsi="Times New Roman" w:cs="Times New Roman" w:eastAsia="Times New Roman" w:hint="default"/>
          <w:spacing w:val="-4"/>
        </w:rPr>
        <w:t>/</w:t>
      </w:r>
      <w:r>
        <w:rPr>
          <w:spacing w:val="-4"/>
        </w:rPr>
        <w:t>或其关联方。截至本报告披露日，本次交易已经交割完毕，</w:t>
      </w:r>
      <w:r>
        <w:rPr>
          <w:spacing w:val="-36"/>
        </w:rPr>
        <w:t> </w:t>
      </w:r>
      <w:r>
        <w:rPr>
          <w:spacing w:val="-36"/>
        </w:rPr>
      </w:r>
      <w:r>
        <w:rPr/>
        <w:t>相应股权转让款已经按协议约定付至指定账户。</w:t>
      </w:r>
    </w:p>
    <w:p>
      <w:pPr>
        <w:pStyle w:val="BodyText"/>
        <w:spacing w:line="259" w:lineRule="auto" w:before="63"/>
        <w:ind w:right="204" w:firstLine="422"/>
        <w:jc w:val="both"/>
      </w:pPr>
      <w:r>
        <w:rPr>
          <w:spacing w:val="-2"/>
        </w:rPr>
        <w:t>此外，公司</w:t>
      </w:r>
      <w:r>
        <w:rPr>
          <w:rFonts w:ascii="Times New Roman" w:hAnsi="Times New Roman" w:cs="Times New Roman" w:eastAsia="Times New Roman" w:hint="default"/>
          <w:spacing w:val="-2"/>
        </w:rPr>
        <w:t>2015</w:t>
      </w:r>
      <w:r>
        <w:rPr>
          <w:spacing w:val="-2"/>
        </w:rPr>
        <w:t>年底获得中国证监会核准向淘宝（中国）软件有限公司非公开发行股票，本次募集资</w:t>
      </w:r>
      <w:r>
        <w:rPr>
          <w:w w:val="100"/>
        </w:rPr>
        <w:t> </w:t>
      </w:r>
      <w:r>
        <w:rPr>
          <w:spacing w:val="-1"/>
        </w:rPr>
        <w:t>金净额约为</w:t>
      </w:r>
      <w:r>
        <w:rPr>
          <w:rFonts w:ascii="Times New Roman" w:hAnsi="Times New Roman" w:cs="Times New Roman" w:eastAsia="Times New Roman" w:hint="default"/>
          <w:spacing w:val="-1"/>
        </w:rPr>
        <w:t>23.7</w:t>
      </w:r>
      <w:r>
        <w:rPr>
          <w:spacing w:val="-1"/>
        </w:rPr>
        <w:t>亿元。鉴于与阿里巴巴在零售、支付领域开展业务合作的原募投项目的目标已经通过公司</w:t>
      </w:r>
      <w:r>
        <w:rPr>
          <w:spacing w:val="-27"/>
        </w:rPr>
        <w:t> </w:t>
      </w:r>
      <w:r>
        <w:rPr>
          <w:spacing w:val="-27"/>
        </w:rPr>
      </w:r>
      <w:r>
        <w:rPr/>
        <w:t>以自有资金收购零售信息系统业务子公司实现，经公司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日召开的第六届董事会</w:t>
      </w:r>
      <w:r>
        <w:rPr>
          <w:rFonts w:ascii="Times New Roman" w:hAnsi="Times New Roman" w:cs="Times New Roman" w:eastAsia="Times New Roman" w:hint="default"/>
        </w:rPr>
        <w:t>2017</w:t>
      </w:r>
      <w:r>
        <w:rPr/>
        <w:t>年第三次</w:t>
      </w:r>
      <w:r>
        <w:rPr>
          <w:spacing w:val="-26"/>
        </w:rPr>
        <w:t> </w:t>
      </w:r>
      <w:r>
        <w:rPr>
          <w:spacing w:val="-26"/>
        </w:rPr>
      </w:r>
      <w:r>
        <w:rPr/>
        <w:t>临时会议以及公司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日召开的</w:t>
      </w:r>
      <w:r>
        <w:rPr>
          <w:rFonts w:ascii="Times New Roman" w:hAnsi="Times New Roman" w:cs="Times New Roman" w:eastAsia="Times New Roman" w:hint="default"/>
        </w:rPr>
        <w:t>2017</w:t>
      </w:r>
      <w:r>
        <w:rPr/>
        <w:t>年第一次临时股东大会审议通过，公司已终止与阿里巴巴在</w:t>
      </w:r>
      <w:r>
        <w:rPr>
          <w:spacing w:val="-29"/>
        </w:rPr>
        <w:t> </w:t>
      </w:r>
      <w:r>
        <w:rPr>
          <w:spacing w:val="-29"/>
        </w:rPr>
      </w:r>
      <w:r>
        <w:rPr>
          <w:spacing w:val="-2"/>
        </w:rPr>
        <w:t>零售、支付领域开展业务合作项目的原募投项目，并拟将剩余募集资金及利息永久补充流动资金。截至本</w:t>
      </w:r>
      <w:r>
        <w:rPr>
          <w:spacing w:val="-44"/>
        </w:rPr>
        <w:t> </w:t>
      </w:r>
      <w:r>
        <w:rPr>
          <w:spacing w:val="-44"/>
        </w:rPr>
      </w:r>
      <w:r>
        <w:rPr>
          <w:spacing w:val="3"/>
        </w:rPr>
        <w:t>报告期末，公司累积使用募集资金</w:t>
      </w:r>
      <w:r>
        <w:rPr>
          <w:rFonts w:ascii="Times New Roman" w:hAnsi="Times New Roman" w:cs="Times New Roman" w:eastAsia="Times New Roman" w:hint="default"/>
          <w:spacing w:val="3"/>
        </w:rPr>
        <w:t>104,467.89</w:t>
      </w:r>
      <w:r>
        <w:rPr>
          <w:spacing w:val="3"/>
        </w:rPr>
        <w:t>万元，累计变更用途的募集资金总额</w:t>
      </w:r>
      <w:r>
        <w:rPr>
          <w:rFonts w:ascii="Times New Roman" w:hAnsi="Times New Roman" w:cs="Times New Roman" w:eastAsia="Times New Roman" w:hint="default"/>
          <w:spacing w:val="3"/>
        </w:rPr>
        <w:t>74,728.26</w:t>
      </w:r>
      <w:r>
        <w:rPr>
          <w:spacing w:val="3"/>
        </w:rPr>
        <w:t>万元，剩余</w:t>
      </w:r>
      <w:r>
        <w:rPr>
          <w:spacing w:val="1"/>
        </w:rPr>
        <w:t> </w:t>
      </w:r>
      <w:r>
        <w:rPr>
          <w:spacing w:val="1"/>
        </w:rPr>
      </w:r>
      <w:r>
        <w:rPr>
          <w:rFonts w:ascii="Times New Roman" w:hAnsi="Times New Roman" w:cs="Times New Roman" w:eastAsia="Times New Roman" w:hint="default"/>
        </w:rPr>
        <w:t>59,691.78</w:t>
      </w:r>
      <w:r>
        <w:rPr/>
        <w:t>万元（不含利息收入）尚未投入使用。</w:t>
      </w:r>
    </w:p>
    <w:p>
      <w:pPr>
        <w:pStyle w:val="BodyText"/>
        <w:spacing w:line="264" w:lineRule="auto" w:before="41"/>
        <w:ind w:right="208" w:firstLine="422"/>
        <w:jc w:val="both"/>
      </w:pPr>
      <w:r>
        <w:rPr>
          <w:rFonts w:ascii="Times New Roman" w:hAnsi="Times New Roman" w:cs="Times New Roman" w:eastAsia="Times New Roman" w:hint="default"/>
          <w:spacing w:val="-2"/>
        </w:rPr>
        <w:t>2018</w:t>
      </w:r>
      <w:r>
        <w:rPr>
          <w:spacing w:val="-2"/>
        </w:rPr>
        <w:t>年，公司将依据剩余募投项目进展情况，同时重点围绕现有酒店、餐饮和商业流通信息管理系统</w:t>
      </w:r>
      <w:r>
        <w:rPr>
          <w:w w:val="100"/>
        </w:rPr>
        <w:t> </w:t>
      </w:r>
      <w:r>
        <w:rPr>
          <w:spacing w:val="-2"/>
        </w:rPr>
        <w:t>的研发，与阿里巴巴开展新零售业务合作的技术研发、项目实施、系统维护和人员投入，以及自身转型的</w:t>
      </w:r>
      <w:r>
        <w:rPr>
          <w:spacing w:val="-47"/>
        </w:rPr>
        <w:t> </w:t>
      </w:r>
      <w:r>
        <w:rPr>
          <w:spacing w:val="-47"/>
        </w:rPr>
      </w:r>
      <w:r>
        <w:rPr/>
        <w:t>需求等多方面，并结合业务规模扩大带来的资金需求，合理筹集、安排和使用资金。</w:t>
      </w:r>
    </w:p>
    <w:p>
      <w:pPr>
        <w:pStyle w:val="Heading7"/>
        <w:spacing w:line="240" w:lineRule="auto" w:before="57"/>
        <w:ind w:left="573" w:right="208"/>
        <w:jc w:val="left"/>
        <w:rPr>
          <w:b w:val="0"/>
          <w:bCs w:val="0"/>
        </w:rPr>
      </w:pPr>
      <w:r>
        <w:rPr>
          <w:rFonts w:ascii="Times New Roman" w:hAnsi="Times New Roman" w:cs="Times New Roman" w:eastAsia="Times New Roman" w:hint="default"/>
        </w:rPr>
        <w:t>5</w:t>
      </w:r>
      <w:r>
        <w:rPr/>
        <w:t>、公司未来发展可能面临的风险因素</w:t>
      </w:r>
      <w:r>
        <w:rPr>
          <w:b w:val="0"/>
          <w:bCs w:val="0"/>
        </w:rPr>
      </w:r>
    </w:p>
    <w:p>
      <w:pPr>
        <w:spacing w:line="290" w:lineRule="auto" w:before="62"/>
        <w:ind w:left="573" w:right="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）技术及产品开发风险</w:t>
      </w:r>
      <w:r>
        <w:rPr>
          <w:rFonts w:ascii="宋体" w:hAnsi="宋体" w:cs="宋体" w:eastAsia="宋体" w:hint="default"/>
          <w:b/>
          <w:bCs/>
          <w:w w:val="100"/>
          <w:sz w:val="21"/>
          <w:szCs w:val="21"/>
        </w:rPr>
        <w:t> </w:t>
      </w:r>
      <w:r>
        <w:rPr>
          <w:rFonts w:ascii="宋体" w:hAnsi="宋体" w:cs="宋体" w:eastAsia="宋体" w:hint="default"/>
          <w:spacing w:val="-2"/>
          <w:sz w:val="21"/>
          <w:szCs w:val="21"/>
        </w:rPr>
        <w:t>技术及产品开发对公司的市场竞争力和未来发展具有重要影响。软件技术是更新换代速度最快的技术</w:t>
      </w:r>
    </w:p>
    <w:p>
      <w:pPr>
        <w:pStyle w:val="BodyText"/>
        <w:spacing w:line="271" w:lineRule="auto"/>
        <w:ind w:right="100"/>
        <w:jc w:val="left"/>
      </w:pPr>
      <w:r>
        <w:rPr/>
        <w:t>之一，与其他</w:t>
      </w:r>
      <w:r>
        <w:rPr>
          <w:rFonts w:ascii="Times New Roman" w:hAnsi="Times New Roman" w:cs="Times New Roman" w:eastAsia="Times New Roman" w:hint="default"/>
        </w:rPr>
        <w:t>IT</w:t>
      </w:r>
      <w:r>
        <w:rPr/>
        <w:t>企业一样，公司必须适应技术进步快、产品更新快、市场需求转型快的行业特点。作为目</w:t>
      </w:r>
      <w:r>
        <w:rPr>
          <w:w w:val="100"/>
        </w:rPr>
        <w:t> </w:t>
      </w:r>
      <w:r>
        <w:rPr>
          <w:spacing w:val="-2"/>
        </w:rPr>
        <w:t>前国内最主要的酒店信息管理系统全面解决方案提供商之一，公司必须能准确预测技术发展趋势，并利用</w:t>
      </w:r>
      <w:r>
        <w:rPr>
          <w:spacing w:val="-43"/>
        </w:rPr>
        <w:t> </w:t>
      </w:r>
      <w:r>
        <w:rPr>
          <w:spacing w:val="-43"/>
        </w:rPr>
      </w:r>
      <w:r>
        <w:rPr>
          <w:spacing w:val="-2"/>
        </w:rPr>
        <w:t>成熟、实用、先进的技术作为自己的开发和应用环境。如果公司不能准确预测软件开发技术发展趋势，或</w:t>
      </w:r>
      <w:r>
        <w:rPr>
          <w:spacing w:val="-44"/>
        </w:rPr>
        <w:t> </w:t>
      </w:r>
      <w:r>
        <w:rPr>
          <w:spacing w:val="-44"/>
        </w:rPr>
      </w:r>
      <w:r>
        <w:rPr>
          <w:spacing w:val="-2"/>
        </w:rPr>
        <w:t>是使用落后、不实用的技术进行产品研发，或公司对产品和市场需求的把握出现偏差、不能及时调整，或</w:t>
      </w:r>
      <w:r>
        <w:rPr>
          <w:spacing w:val="-47"/>
        </w:rPr>
        <w:t> </w:t>
      </w:r>
      <w:r>
        <w:rPr>
          <w:spacing w:val="-47"/>
        </w:rPr>
      </w:r>
      <w:r>
        <w:rPr>
          <w:spacing w:val="-5"/>
        </w:rPr>
        <w:t>新技术、新产品不能迅速推广应用，将可能使公司丧失技术和市场的领先地位，面临技术与产品开发风险。 </w:t>
      </w:r>
      <w:r>
        <w:rPr>
          <w:spacing w:val="-5"/>
        </w:rPr>
      </w:r>
      <w:r>
        <w:rPr>
          <w:spacing w:val="-2"/>
        </w:rPr>
        <w:t>为了应对这一风险，公司一直加大对新技术、新产品的研发投入，不断加强与处于行业领导地位的客户的</w:t>
      </w:r>
      <w:r>
        <w:rPr>
          <w:spacing w:val="-43"/>
        </w:rPr>
        <w:t> </w:t>
      </w:r>
      <w:r>
        <w:rPr>
          <w:spacing w:val="-43"/>
        </w:rPr>
      </w:r>
      <w:r>
        <w:rPr/>
        <w:t>交流与合作。</w:t>
      </w:r>
    </w:p>
    <w:p>
      <w:pPr>
        <w:pStyle w:val="BodyText"/>
        <w:spacing w:line="290" w:lineRule="auto" w:before="50"/>
        <w:ind w:left="573" w:right="20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）市场及政策风险</w:t>
      </w:r>
      <w:r>
        <w:rPr>
          <w:rFonts w:ascii="宋体" w:hAnsi="宋体" w:cs="宋体" w:eastAsia="宋体" w:hint="default"/>
          <w:b/>
          <w:bCs/>
          <w:w w:val="100"/>
        </w:rPr>
        <w:t> </w:t>
      </w:r>
      <w:r>
        <w:rPr>
          <w:spacing w:val="-2"/>
        </w:rPr>
        <w:t>公司是国内领先的旅游业信息管理系统整体解决方案提供商。我国国民经济的迅速增长带动了旅游业</w:t>
      </w:r>
    </w:p>
    <w:p>
      <w:pPr>
        <w:pStyle w:val="BodyText"/>
        <w:spacing w:line="273" w:lineRule="auto"/>
        <w:ind w:right="206"/>
        <w:jc w:val="both"/>
      </w:pPr>
      <w:r>
        <w:rPr>
          <w:spacing w:val="-2"/>
        </w:rPr>
        <w:t>的迅猛发展，作为旅游业核心部分的酒店业也得到了长足的发展。同时我国酒店业的信息化建设从最初的</w:t>
      </w:r>
      <w:r>
        <w:rPr>
          <w:spacing w:val="-43"/>
        </w:rPr>
        <w:t> </w:t>
      </w:r>
      <w:r>
        <w:rPr>
          <w:spacing w:val="-43"/>
        </w:rPr>
      </w:r>
      <w:r>
        <w:rPr>
          <w:spacing w:val="-2"/>
        </w:rPr>
        <w:t>电算化、自动化初级阶段迅速发展到目前的集成化、网络化、协同化阶段，酒店业对信息化产品的需求不</w:t>
      </w:r>
      <w:r>
        <w:rPr>
          <w:spacing w:val="-44"/>
        </w:rPr>
        <w:t> </w:t>
      </w:r>
      <w:r>
        <w:rPr>
          <w:spacing w:val="-44"/>
        </w:rPr>
      </w:r>
      <w:r>
        <w:rPr/>
        <w:t>断发展和深化。</w:t>
      </w:r>
    </w:p>
    <w:p>
      <w:pPr>
        <w:pStyle w:val="BodyText"/>
        <w:spacing w:line="268" w:lineRule="auto" w:before="46"/>
        <w:ind w:right="206" w:firstLine="420"/>
        <w:jc w:val="both"/>
      </w:pPr>
      <w:r>
        <w:rPr>
          <w:rFonts w:ascii="Times New Roman" w:hAnsi="Times New Roman" w:cs="Times New Roman" w:eastAsia="Times New Roman" w:hint="default"/>
          <w:spacing w:val="-2"/>
        </w:rPr>
        <w:t>2008</w:t>
      </w:r>
      <w:r>
        <w:rPr>
          <w:spacing w:val="-2"/>
        </w:rPr>
        <w:t>年以前国内高星级酒店的投资增速较高，公司的收入和净利润保持了较快的增长。</w:t>
      </w:r>
      <w:r>
        <w:rPr>
          <w:rFonts w:ascii="Times New Roman" w:hAnsi="Times New Roman" w:cs="Times New Roman" w:eastAsia="Times New Roman" w:hint="default"/>
          <w:spacing w:val="-2"/>
        </w:rPr>
        <w:t>2009</w:t>
      </w:r>
      <w:r>
        <w:rPr>
          <w:spacing w:val="-2"/>
        </w:rPr>
        <w:t>年金融危</w:t>
      </w:r>
      <w:r>
        <w:rPr>
          <w:w w:val="100"/>
        </w:rPr>
        <w:t> </w:t>
      </w:r>
      <w:r>
        <w:rPr>
          <w:spacing w:val="-2"/>
        </w:rPr>
        <w:t>机导致国内高星级酒店的建设放缓，公司的收入和净利润出现了近十年间唯一的一次负增长。近年来受国</w:t>
      </w:r>
      <w:r>
        <w:rPr>
          <w:spacing w:val="-43"/>
        </w:rPr>
        <w:t> </w:t>
      </w:r>
      <w:r>
        <w:rPr>
          <w:spacing w:val="-43"/>
        </w:rPr>
      </w:r>
      <w:r>
        <w:rPr>
          <w:spacing w:val="-1"/>
        </w:rPr>
        <w:t>家整体经济增速放缓，中央</w:t>
      </w:r>
      <w:r>
        <w:rPr>
          <w:rFonts w:ascii="Times New Roman" w:hAnsi="Times New Roman" w:cs="Times New Roman" w:eastAsia="Times New Roman" w:hint="default"/>
          <w:spacing w:val="-1"/>
        </w:rPr>
        <w:t>“</w:t>
      </w:r>
      <w:r>
        <w:rPr>
          <w:spacing w:val="-1"/>
        </w:rPr>
        <w:t>八项规定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六项禁令</w:t>
      </w:r>
      <w:r>
        <w:rPr>
          <w:rFonts w:ascii="Times New Roman" w:hAnsi="Times New Roman" w:cs="Times New Roman" w:eastAsia="Times New Roman" w:hint="default"/>
          <w:spacing w:val="-1"/>
        </w:rPr>
        <w:t>”</w:t>
      </w:r>
      <w:r>
        <w:rPr>
          <w:spacing w:val="-1"/>
        </w:rPr>
        <w:t>的深入推行对公款消费的影响，中国旅游酒店业扩张</w:t>
      </w:r>
      <w:r>
        <w:rPr>
          <w:spacing w:val="-41"/>
        </w:rPr>
        <w:t> </w:t>
      </w:r>
      <w:r>
        <w:rPr>
          <w:spacing w:val="-41"/>
        </w:rPr>
      </w:r>
      <w:r>
        <w:rPr>
          <w:spacing w:val="-2"/>
        </w:rPr>
        <w:t>速度有所放缓，宏观经济下行导致高端酒店建设不及预期，酒店及餐饮行业处于转型升级期，对公司经营</w:t>
      </w:r>
      <w:r>
        <w:rPr>
          <w:spacing w:val="-44"/>
        </w:rPr>
        <w:t> </w:t>
      </w:r>
      <w:r>
        <w:rPr>
          <w:spacing w:val="-44"/>
        </w:rPr>
      </w:r>
      <w:r>
        <w:rPr>
          <w:spacing w:val="-2"/>
        </w:rPr>
        <w:t>业绩产生了一定影响。同时酒店行业的发展有其自身的客观规律，也存在诸多风险因素。如出现大规模流</w:t>
      </w:r>
      <w:r>
        <w:rPr>
          <w:spacing w:val="-44"/>
        </w:rPr>
        <w:t> </w:t>
      </w:r>
      <w:r>
        <w:rPr>
          <w:spacing w:val="-44"/>
        </w:rPr>
      </w:r>
      <w:r>
        <w:rPr>
          <w:spacing w:val="-2"/>
        </w:rPr>
        <w:t>行性疾病、自然灾害等，造成酒店行业一定时期的持续低迷，都将会对公司的业务经营产生较大的不利影</w:t>
      </w:r>
      <w:r>
        <w:rPr>
          <w:spacing w:val="-44"/>
        </w:rPr>
        <w:t> </w:t>
      </w:r>
      <w:r>
        <w:rPr>
          <w:spacing w:val="-44"/>
        </w:rPr>
      </w:r>
      <w:r>
        <w:rPr>
          <w:spacing w:val="-2"/>
        </w:rPr>
        <w:t>响。为此，公司近年来将软件业务向零售、休闲娱乐业拓展的同时，正在积极打造预订和支付平台，加速</w:t>
      </w:r>
      <w:r>
        <w:rPr>
          <w:spacing w:val="-43"/>
        </w:rPr>
        <w:t> </w:t>
      </w:r>
      <w:r>
        <w:rPr>
          <w:spacing w:val="-43"/>
        </w:rPr>
      </w:r>
      <w:r>
        <w:rPr/>
        <w:t>从单纯的软件供应商向平台运营商的转型。</w:t>
      </w:r>
    </w:p>
    <w:p>
      <w:pPr>
        <w:pStyle w:val="Heading7"/>
        <w:spacing w:line="240" w:lineRule="auto" w:before="52"/>
        <w:ind w:left="575" w:right="208"/>
        <w:jc w:val="left"/>
        <w:rPr>
          <w:b w:val="0"/>
          <w:bCs w:val="0"/>
        </w:rPr>
      </w:pPr>
      <w:r>
        <w:rPr/>
        <w:t>（</w:t>
      </w:r>
      <w:r>
        <w:rPr>
          <w:rFonts w:ascii="Times New Roman" w:hAnsi="Times New Roman" w:cs="Times New Roman" w:eastAsia="Times New Roman" w:hint="default"/>
        </w:rPr>
        <w:t>3</w:t>
      </w:r>
      <w:r>
        <w:rPr/>
        <w:t>）经营管理风险</w:t>
      </w:r>
      <w:r>
        <w:rPr>
          <w:b w:val="0"/>
          <w:bCs w:val="0"/>
        </w:rPr>
      </w:r>
    </w:p>
    <w:p>
      <w:pPr>
        <w:spacing w:after="0" w:line="240" w:lineRule="auto"/>
        <w:jc w:val="left"/>
        <w:sectPr>
          <w:pgSz w:w="11910" w:h="16840"/>
          <w:pgMar w:header="877" w:footer="980" w:top="1100" w:bottom="1160" w:left="980" w:right="920"/>
        </w:sectPr>
      </w:pPr>
    </w:p>
    <w:p>
      <w:pPr>
        <w:spacing w:line="240" w:lineRule="auto" w:before="11"/>
        <w:rPr>
          <w:rFonts w:ascii="宋体" w:hAnsi="宋体" w:cs="宋体" w:eastAsia="宋体" w:hint="default"/>
          <w:b/>
          <w:bCs/>
          <w:sz w:val="20"/>
          <w:szCs w:val="20"/>
        </w:rPr>
      </w:pPr>
    </w:p>
    <w:p>
      <w:pPr>
        <w:pStyle w:val="BodyText"/>
        <w:spacing w:line="268" w:lineRule="auto" w:before="36"/>
        <w:ind w:right="146" w:firstLine="422"/>
        <w:jc w:val="both"/>
      </w:pPr>
      <w:r>
        <w:rPr>
          <w:spacing w:val="-2"/>
        </w:rPr>
        <w:t>随着公司业务的发展，公司资产规模和业务规模将进一步扩大，这对公司的管理水平将提出更高的要</w:t>
      </w:r>
      <w:r>
        <w:rPr>
          <w:w w:val="100"/>
        </w:rPr>
        <w:t> </w:t>
      </w:r>
      <w:r>
        <w:rPr>
          <w:spacing w:val="-2"/>
        </w:rPr>
        <w:t>求。如果公司的管理人员储备、管控体系的调整不能适应公司业务快速发展的要求，将对公司的整体运营</w:t>
      </w:r>
      <w:r>
        <w:rPr>
          <w:spacing w:val="-43"/>
        </w:rPr>
        <w:t> </w:t>
      </w:r>
      <w:r>
        <w:rPr>
          <w:spacing w:val="-43"/>
        </w:rPr>
      </w:r>
      <w:r>
        <w:rPr>
          <w:spacing w:val="-2"/>
        </w:rPr>
        <w:t>造成不利影响，进而影响业务的正常开展。为此，公司在</w:t>
      </w:r>
      <w:r>
        <w:rPr>
          <w:rFonts w:ascii="Times New Roman" w:hAnsi="Times New Roman" w:cs="Times New Roman" w:eastAsia="Times New Roman" w:hint="default"/>
          <w:spacing w:val="-2"/>
        </w:rPr>
        <w:t>2015</w:t>
      </w:r>
      <w:r>
        <w:rPr>
          <w:spacing w:val="-2"/>
        </w:rPr>
        <w:t>年已经引入了国际化管理团队，采取步步为</w:t>
      </w:r>
      <w:r>
        <w:rPr>
          <w:spacing w:val="-42"/>
        </w:rPr>
        <w:t> </w:t>
      </w:r>
      <w:r>
        <w:rPr>
          <w:spacing w:val="-42"/>
        </w:rPr>
      </w:r>
      <w:r>
        <w:rPr/>
        <w:t>营，先香港、亚洲，再德国、欧洲，后美国的策略，加强内部控制体系建设，提升内部控制水平。</w:t>
      </w:r>
    </w:p>
    <w:p>
      <w:pPr>
        <w:pStyle w:val="BodyText"/>
        <w:spacing w:line="273" w:lineRule="auto" w:before="52"/>
        <w:ind w:right="146" w:firstLine="420"/>
        <w:jc w:val="both"/>
      </w:pPr>
      <w:r>
        <w:rPr>
          <w:spacing w:val="-2"/>
        </w:rPr>
        <w:t>其次，由于公司的海外扩张的加速，海外研发的下一代产品将不可避免地与公司现有产品和商业模式</w:t>
      </w:r>
      <w:r>
        <w:rPr>
          <w:w w:val="100"/>
        </w:rPr>
        <w:t> </w:t>
      </w:r>
      <w:r>
        <w:rPr>
          <w:spacing w:val="-2"/>
        </w:rPr>
        <w:t>产生竞争与替代，从而存在使公司现有收入与盈利短期产生较大下降的风险。为此，公司正在加速向平台</w:t>
      </w:r>
      <w:r>
        <w:rPr>
          <w:spacing w:val="-44"/>
        </w:rPr>
        <w:t> </w:t>
      </w:r>
      <w:r>
        <w:rPr>
          <w:spacing w:val="-44"/>
        </w:rPr>
      </w:r>
      <w:r>
        <w:rPr>
          <w:spacing w:val="-2"/>
        </w:rPr>
        <w:t>型业务转型，通过拓展平台业务和创新型业务，扩大业务来源，从而降低由于新一代云平台产品换代造成</w:t>
      </w:r>
      <w:r>
        <w:rPr>
          <w:spacing w:val="-43"/>
        </w:rPr>
        <w:t> </w:t>
      </w:r>
      <w:r>
        <w:rPr>
          <w:spacing w:val="-43"/>
        </w:rPr>
      </w:r>
      <w:r>
        <w:rPr/>
        <w:t>收入和盈利短期下降的风险。</w:t>
      </w:r>
    </w:p>
    <w:p>
      <w:pPr>
        <w:pStyle w:val="BodyText"/>
        <w:spacing w:line="261" w:lineRule="auto" w:before="46"/>
        <w:ind w:right="146" w:firstLine="420"/>
        <w:jc w:val="both"/>
      </w:pPr>
      <w:r>
        <w:rPr/>
        <w:t>此</w:t>
      </w:r>
      <w:r>
        <w:rPr>
          <w:spacing w:val="-78"/>
        </w:rPr>
        <w:t> </w:t>
      </w:r>
      <w:r>
        <w:rPr/>
        <w:t>外</w:t>
      </w:r>
      <w:r>
        <w:rPr>
          <w:spacing w:val="-78"/>
        </w:rPr>
        <w:t> </w:t>
      </w:r>
      <w:r>
        <w:rPr/>
        <w:t>，</w:t>
      </w:r>
      <w:r>
        <w:rPr>
          <w:spacing w:val="-78"/>
        </w:rPr>
        <w:t> </w:t>
      </w:r>
      <w:r>
        <w:rPr/>
        <w:t>公</w:t>
      </w:r>
      <w:r>
        <w:rPr>
          <w:spacing w:val="-78"/>
        </w:rPr>
        <w:t> </w:t>
      </w:r>
      <w:r>
        <w:rPr>
          <w:spacing w:val="4"/>
        </w:rPr>
        <w:t>司与</w:t>
      </w:r>
      <w:r>
        <w:rPr>
          <w:rFonts w:ascii="Times New Roman" w:hAnsi="Times New Roman" w:cs="Times New Roman" w:eastAsia="Times New Roman" w:hint="default"/>
          <w:spacing w:val="4"/>
        </w:rPr>
        <w:t>ORACLE</w:t>
      </w:r>
      <w:r>
        <w:rPr>
          <w:rFonts w:ascii="Times New Roman" w:hAnsi="Times New Roman" w:cs="Times New Roman" w:eastAsia="Times New Roman" w:hint="default"/>
          <w:spacing w:val="-24"/>
        </w:rPr>
        <w:t> </w:t>
      </w:r>
      <w:r>
        <w:rPr>
          <w:spacing w:val="16"/>
        </w:rPr>
        <w:t>公司于</w:t>
      </w:r>
      <w:r>
        <w:rPr>
          <w:spacing w:val="-7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spacing w:val="-78"/>
        </w:rPr>
        <w:t> </w:t>
      </w:r>
      <w:r>
        <w:rPr>
          <w:rFonts w:ascii="Times New Roman" w:hAnsi="Times New Roman" w:cs="Times New Roman" w:eastAsia="Times New Roman" w:hint="default"/>
        </w:rPr>
        <w:t>11</w:t>
      </w:r>
      <w:r>
        <w:rPr>
          <w:rFonts w:ascii="Times New Roman" w:hAnsi="Times New Roman" w:cs="Times New Roman" w:eastAsia="Times New Roman" w:hint="default"/>
          <w:spacing w:val="-28"/>
        </w:rPr>
        <w:t> </w:t>
      </w:r>
      <w:r>
        <w:rPr/>
        <w:t>月</w:t>
      </w:r>
      <w:r>
        <w:rPr>
          <w:spacing w:val="-78"/>
        </w:rPr>
        <w:t> </w:t>
      </w:r>
      <w:r>
        <w:rPr>
          <w:rFonts w:ascii="Times New Roman" w:hAnsi="Times New Roman" w:cs="Times New Roman" w:eastAsia="Times New Roman" w:hint="default"/>
        </w:rPr>
        <w:t>30</w:t>
      </w:r>
      <w:r>
        <w:rPr>
          <w:rFonts w:ascii="Times New Roman" w:hAnsi="Times New Roman" w:cs="Times New Roman" w:eastAsia="Times New Roman" w:hint="default"/>
          <w:spacing w:val="-26"/>
        </w:rPr>
        <w:t> </w:t>
      </w:r>
      <w:r>
        <w:rPr>
          <w:spacing w:val="11"/>
        </w:rPr>
        <w:t>日续</w:t>
      </w:r>
      <w:r>
        <w:rPr>
          <w:spacing w:val="-78"/>
        </w:rPr>
        <w:t> </w:t>
      </w:r>
      <w:r>
        <w:rPr/>
        <w:t>约</w:t>
      </w:r>
      <w:r>
        <w:rPr>
          <w:spacing w:val="-78"/>
        </w:rPr>
        <w:t> </w:t>
      </w:r>
      <w:r>
        <w:rPr/>
        <w:t>生</w:t>
      </w:r>
      <w:r>
        <w:rPr>
          <w:spacing w:val="-78"/>
        </w:rPr>
        <w:t> </w:t>
      </w:r>
      <w:r>
        <w:rPr/>
        <w:t>效</w:t>
      </w:r>
      <w:r>
        <w:rPr>
          <w:spacing w:val="-78"/>
        </w:rPr>
        <w:t> </w:t>
      </w:r>
      <w:r>
        <w:rPr>
          <w:spacing w:val="11"/>
        </w:rPr>
        <w:t>的《</w:t>
      </w:r>
      <w:r>
        <w:rPr>
          <w:spacing w:val="-79"/>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7"/>
        </w:rPr>
        <w:t> </w:t>
      </w:r>
      <w:r>
        <w:rPr>
          <w:rFonts w:ascii="Times New Roman" w:hAnsi="Times New Roman" w:cs="Times New Roman" w:eastAsia="Times New Roman" w:hint="default"/>
        </w:rPr>
        <w:t>Partner</w:t>
      </w:r>
      <w:r>
        <w:rPr>
          <w:rFonts w:ascii="Times New Roman" w:hAnsi="Times New Roman" w:cs="Times New Roman" w:eastAsia="Times New Roman" w:hint="default"/>
          <w:spacing w:val="9"/>
        </w:rPr>
        <w:t> </w:t>
      </w:r>
      <w:r>
        <w:rPr>
          <w:rFonts w:ascii="Times New Roman" w:hAnsi="Times New Roman" w:cs="Times New Roman" w:eastAsia="Times New Roman" w:hint="default"/>
        </w:rPr>
        <w:t>Network</w:t>
      </w:r>
      <w:r>
        <w:rPr>
          <w:rFonts w:ascii="Times New Roman" w:hAnsi="Times New Roman" w:cs="Times New Roman" w:eastAsia="Times New Roman" w:hint="default"/>
          <w:spacing w:val="10"/>
        </w:rPr>
        <w:t> </w:t>
      </w:r>
      <w:r>
        <w:rPr>
          <w:rFonts w:ascii="Times New Roman" w:hAnsi="Times New Roman" w:cs="Times New Roman" w:eastAsia="Times New Roman" w:hint="default"/>
        </w:rPr>
        <w:t>Agreement</w:t>
      </w:r>
      <w:r>
        <w:rPr>
          <w:rFonts w:ascii="Times New Roman" w:hAnsi="Times New Roman" w:cs="Times New Roman" w:eastAsia="Times New Roman" w:hint="default"/>
          <w:w w:val="100"/>
        </w:rPr>
        <w:t> </w:t>
      </w:r>
      <w:r>
        <w:rPr>
          <w:rFonts w:ascii="Times New Roman" w:hAnsi="Times New Roman" w:cs="Times New Roman" w:eastAsia="Times New Roman" w:hint="default"/>
        </w:rPr>
        <w:t>Addendum</w:t>
      </w:r>
      <w:r>
        <w:rPr/>
        <w:t>》和《</w:t>
      </w:r>
      <w:r>
        <w:rPr>
          <w:rFonts w:ascii="Times New Roman" w:hAnsi="Times New Roman" w:cs="Times New Roman" w:eastAsia="Times New Roman" w:hint="default"/>
        </w:rPr>
        <w:t>Oracle</w:t>
      </w:r>
      <w:r>
        <w:rPr>
          <w:rFonts w:ascii="Times New Roman" w:hAnsi="Times New Roman" w:cs="Times New Roman" w:eastAsia="Times New Roman" w:hint="default"/>
          <w:spacing w:val="-10"/>
        </w:rPr>
        <w:t> </w:t>
      </w:r>
      <w:r>
        <w:rPr>
          <w:rFonts w:ascii="Times New Roman" w:hAnsi="Times New Roman" w:cs="Times New Roman" w:eastAsia="Times New Roman" w:hint="default"/>
        </w:rPr>
        <w:t>Partner</w:t>
      </w:r>
      <w:r>
        <w:rPr>
          <w:rFonts w:ascii="Times New Roman" w:hAnsi="Times New Roman" w:cs="Times New Roman" w:eastAsia="Times New Roman" w:hint="default"/>
          <w:spacing w:val="-8"/>
        </w:rPr>
        <w:t> </w:t>
      </w:r>
      <w:r>
        <w:rPr>
          <w:rFonts w:ascii="Times New Roman" w:hAnsi="Times New Roman" w:cs="Times New Roman" w:eastAsia="Times New Roman" w:hint="default"/>
        </w:rPr>
        <w:t>Network</w:t>
      </w:r>
      <w:r>
        <w:rPr>
          <w:rFonts w:ascii="Times New Roman" w:hAnsi="Times New Roman" w:cs="Times New Roman" w:eastAsia="Times New Roman" w:hint="default"/>
          <w:spacing w:val="-9"/>
        </w:rPr>
        <w:t> </w:t>
      </w:r>
      <w:r>
        <w:rPr>
          <w:rFonts w:ascii="Times New Roman" w:hAnsi="Times New Roman" w:cs="Times New Roman" w:eastAsia="Times New Roman" w:hint="default"/>
        </w:rPr>
        <w:t>Full</w:t>
      </w:r>
      <w:r>
        <w:rPr>
          <w:rFonts w:ascii="Times New Roman" w:hAnsi="Times New Roman" w:cs="Times New Roman" w:eastAsia="Times New Roman" w:hint="default"/>
          <w:spacing w:val="-8"/>
        </w:rPr>
        <w:t> </w:t>
      </w:r>
      <w:r>
        <w:rPr>
          <w:rFonts w:ascii="Times New Roman" w:hAnsi="Times New Roman" w:cs="Times New Roman" w:eastAsia="Times New Roman" w:hint="default"/>
        </w:rPr>
        <w:t>Use</w:t>
      </w:r>
      <w:r>
        <w:rPr>
          <w:rFonts w:ascii="Times New Roman" w:hAnsi="Times New Roman" w:cs="Times New Roman" w:eastAsia="Times New Roman" w:hint="default"/>
          <w:spacing w:val="-8"/>
        </w:rPr>
        <w:t> </w:t>
      </w:r>
      <w:r>
        <w:rPr>
          <w:rFonts w:ascii="Times New Roman" w:hAnsi="Times New Roman" w:cs="Times New Roman" w:eastAsia="Times New Roman" w:hint="default"/>
        </w:rPr>
        <w:t>program</w:t>
      </w:r>
      <w:r>
        <w:rPr>
          <w:rFonts w:ascii="Times New Roman" w:hAnsi="Times New Roman" w:cs="Times New Roman" w:eastAsia="Times New Roman" w:hint="default"/>
          <w:spacing w:val="-11"/>
        </w:rPr>
        <w:t> </w:t>
      </w:r>
      <w:r>
        <w:rPr>
          <w:rFonts w:ascii="Times New Roman" w:hAnsi="Times New Roman" w:cs="Times New Roman" w:eastAsia="Times New Roman" w:hint="default"/>
        </w:rPr>
        <w:t>Distribution</w:t>
      </w:r>
      <w:r>
        <w:rPr>
          <w:rFonts w:ascii="Times New Roman" w:hAnsi="Times New Roman" w:cs="Times New Roman" w:eastAsia="Times New Roman" w:hint="default"/>
          <w:spacing w:val="-7"/>
        </w:rPr>
        <w:t> </w:t>
      </w:r>
      <w:r>
        <w:rPr>
          <w:rFonts w:ascii="Times New Roman" w:hAnsi="Times New Roman" w:cs="Times New Roman" w:eastAsia="Times New Roman" w:hint="default"/>
        </w:rPr>
        <w:t>Agreement</w:t>
      </w:r>
      <w:r>
        <w:rPr/>
        <w:t>》及其附件即将到期，基于</w:t>
      </w:r>
      <w:r>
        <w:rPr>
          <w:w w:val="100"/>
        </w:rPr>
        <w:t> </w:t>
      </w:r>
      <w:r>
        <w:rPr>
          <w:spacing w:val="-2"/>
        </w:rPr>
        <w:t>公司多年来在国际酒店信息系统业务方面的丰富经验，公司将坚持与客户共赢，与合作伙伴共舞的经营理</w:t>
      </w:r>
      <w:r>
        <w:rPr>
          <w:spacing w:val="-44"/>
        </w:rPr>
        <w:t> </w:t>
      </w:r>
      <w:r>
        <w:rPr>
          <w:spacing w:val="-44"/>
        </w:rPr>
      </w:r>
      <w:r>
        <w:rPr/>
        <w:t>念，照顾好行业、客户和包括</w:t>
      </w:r>
      <w:r>
        <w:rPr>
          <w:rFonts w:ascii="Times New Roman" w:hAnsi="Times New Roman" w:cs="Times New Roman" w:eastAsia="Times New Roman" w:hint="default"/>
        </w:rPr>
        <w:t>ORACLE</w:t>
      </w:r>
      <w:r>
        <w:rPr/>
        <w:t>在内的合作伙伴的共同利益。</w:t>
      </w:r>
    </w:p>
    <w:p>
      <w:pPr>
        <w:pStyle w:val="BodyText"/>
        <w:spacing w:line="292" w:lineRule="auto" w:before="41"/>
        <w:ind w:left="573" w:right="153"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）海外投资风险</w:t>
      </w:r>
      <w:r>
        <w:rPr>
          <w:rFonts w:ascii="宋体" w:hAnsi="宋体" w:cs="宋体" w:eastAsia="宋体" w:hint="default"/>
          <w:b/>
          <w:bCs/>
          <w:w w:val="100"/>
        </w:rPr>
        <w:t> </w:t>
      </w:r>
      <w:r>
        <w:rPr>
          <w:spacing w:val="-2"/>
        </w:rPr>
        <w:t>随着公司在海外投资的不断加大，公司面临对海外诸多公司管理缺少成熟的管理方式和经验不足的风</w:t>
      </w:r>
    </w:p>
    <w:p>
      <w:pPr>
        <w:pStyle w:val="BodyText"/>
        <w:spacing w:line="261" w:lineRule="auto"/>
        <w:ind w:right="125"/>
        <w:jc w:val="both"/>
      </w:pPr>
      <w:r>
        <w:rPr>
          <w:spacing w:val="-2"/>
        </w:rPr>
        <w:t>险，也面临后续海外资金供给不足的风险。为此，公司除了引入国际化管理团队加强海外公司管控以外，</w:t>
      </w:r>
      <w:r>
        <w:rPr>
          <w:spacing w:val="-21"/>
        </w:rPr>
        <w:t> </w:t>
      </w:r>
      <w:r>
        <w:rPr>
          <w:spacing w:val="-21"/>
        </w:rPr>
      </w:r>
      <w:r>
        <w:rPr>
          <w:spacing w:val="-2"/>
        </w:rPr>
        <w:t>于</w:t>
      </w:r>
      <w:r>
        <w:rPr>
          <w:rFonts w:ascii="Times New Roman" w:hAnsi="Times New Roman" w:cs="Times New Roman" w:eastAsia="Times New Roman" w:hint="default"/>
          <w:spacing w:val="-2"/>
        </w:rPr>
        <w:t>2017</w:t>
      </w:r>
      <w:r>
        <w:rPr>
          <w:spacing w:val="-2"/>
        </w:rPr>
        <w:t>年开始将规模化零售行业信息系统业务的子公司整合进入开曼的全资子公司石基零售，并成功将石</w:t>
      </w:r>
      <w:r>
        <w:rPr>
          <w:spacing w:val="-39"/>
        </w:rPr>
        <w:t> </w:t>
      </w:r>
      <w:r>
        <w:rPr>
          <w:spacing w:val="-39"/>
        </w:rPr>
      </w:r>
      <w:r>
        <w:rPr>
          <w:spacing w:val="-1"/>
        </w:rPr>
        <w:t>基零售</w:t>
      </w:r>
      <w:r>
        <w:rPr>
          <w:rFonts w:ascii="Times New Roman" w:hAnsi="Times New Roman" w:cs="Times New Roman" w:eastAsia="Times New Roman" w:hint="default"/>
          <w:spacing w:val="-1"/>
        </w:rPr>
        <w:t>38%</w:t>
      </w:r>
      <w:r>
        <w:rPr>
          <w:spacing w:val="-1"/>
        </w:rPr>
        <w:t>股权转让给阿里巴巴集团旗下全资子公司阿里</w:t>
      </w:r>
      <w:r>
        <w:rPr>
          <w:rFonts w:ascii="Times New Roman" w:hAnsi="Times New Roman" w:cs="Times New Roman" w:eastAsia="Times New Roman" w:hint="default"/>
          <w:spacing w:val="-1"/>
        </w:rPr>
        <w:t>SJ</w:t>
      </w:r>
      <w:r>
        <w:rPr>
          <w:spacing w:val="-1"/>
        </w:rPr>
        <w:t>投资，此交易的成功实施为公司的国际化战略</w:t>
      </w:r>
      <w:r>
        <w:rPr>
          <w:spacing w:val="-41"/>
        </w:rPr>
        <w:t> </w:t>
      </w:r>
      <w:r>
        <w:rPr>
          <w:spacing w:val="-41"/>
        </w:rPr>
      </w:r>
      <w:r>
        <w:rPr/>
        <w:t>提供了资金保障。</w:t>
      </w:r>
    </w:p>
    <w:p>
      <w:pPr>
        <w:spacing w:line="290" w:lineRule="auto" w:before="56"/>
        <w:ind w:left="573"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）与互联网企业合作进展不确定性的风险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为了加快公司从软件供应商向平台运营商的转型，基于公司多年来积累的旅游消费信息化行业的丰富</w:t>
      </w:r>
    </w:p>
    <w:p>
      <w:pPr>
        <w:pStyle w:val="BodyText"/>
        <w:spacing w:line="266" w:lineRule="auto"/>
        <w:ind w:right="146"/>
        <w:jc w:val="both"/>
      </w:pPr>
      <w:r>
        <w:rPr>
          <w:spacing w:val="-2"/>
        </w:rPr>
        <w:t>客户资源和线下行业优势地位并结合在线电商在线上的客户优势，公司从</w:t>
      </w:r>
      <w:r>
        <w:rPr>
          <w:rFonts w:ascii="Times New Roman" w:hAnsi="Times New Roman" w:cs="Times New Roman" w:eastAsia="Times New Roman" w:hint="default"/>
          <w:spacing w:val="-2"/>
        </w:rPr>
        <w:t>2014</w:t>
      </w:r>
      <w:r>
        <w:rPr>
          <w:spacing w:val="-2"/>
        </w:rPr>
        <w:t>年度开始一直在加强与阿里</w:t>
      </w:r>
      <w:r>
        <w:rPr>
          <w:spacing w:val="-43"/>
        </w:rPr>
        <w:t> </w:t>
      </w:r>
      <w:r>
        <w:rPr>
          <w:spacing w:val="-43"/>
        </w:rPr>
      </w:r>
      <w:r>
        <w:rPr>
          <w:spacing w:val="-2"/>
        </w:rPr>
        <w:t>巴巴、腾讯微信等在线电商的合作，但在合作过程中仍然有可能出现由于市场竞争等多种因素造成合作进</w:t>
      </w:r>
      <w:r>
        <w:rPr>
          <w:spacing w:val="-42"/>
        </w:rPr>
        <w:t> </w:t>
      </w:r>
      <w:r>
        <w:rPr>
          <w:spacing w:val="-42"/>
        </w:rPr>
      </w:r>
      <w:r>
        <w:rPr>
          <w:spacing w:val="-2"/>
        </w:rPr>
        <w:t>展不顺利的风险。为此，公司已成立与在线电商合作的相关专门业务团队，按进度制定了关键绩效考核指</w:t>
      </w:r>
      <w:r>
        <w:rPr>
          <w:spacing w:val="-43"/>
        </w:rPr>
        <w:t> </w:t>
      </w:r>
      <w:r>
        <w:rPr>
          <w:spacing w:val="-43"/>
        </w:rPr>
      </w:r>
      <w:r>
        <w:rPr/>
        <w:t>标，整合公司优势资源，积极投入合作。</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21"/>
        <w:gridCol w:w="955"/>
        <w:gridCol w:w="1318"/>
        <w:gridCol w:w="5675"/>
      </w:tblGrid>
      <w:tr>
        <w:trPr>
          <w:trHeight w:val="401"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日投资者关系活动记录表》</w:t>
            </w:r>
          </w:p>
        </w:tc>
      </w:tr>
      <w:tr>
        <w:trPr>
          <w:trHeight w:val="102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日投资者关系活动记录表》</w:t>
            </w:r>
          </w:p>
        </w:tc>
      </w:tr>
      <w:tr>
        <w:trPr>
          <w:trHeight w:val="67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21"/>
        <w:gridCol w:w="955"/>
        <w:gridCol w:w="1318"/>
        <w:gridCol w:w="5675"/>
      </w:tblGrid>
      <w:tr>
        <w:trPr>
          <w:trHeight w:val="362" w:hRule="exact"/>
        </w:trPr>
        <w:tc>
          <w:tcPr>
            <w:tcW w:w="172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日投资者关系活动记录表》</w:t>
            </w:r>
          </w:p>
        </w:tc>
      </w:tr>
      <w:tr>
        <w:trPr>
          <w:trHeight w:val="102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日投资者关系活动记录表》</w:t>
            </w:r>
          </w:p>
        </w:tc>
      </w:tr>
      <w:tr>
        <w:trPr>
          <w:trHeight w:val="102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6"/>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77"/>
              <w:ind w:left="23"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3485"/>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208"/>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208" w:firstLine="420"/>
        <w:jc w:val="left"/>
      </w:pPr>
      <w:r>
        <w:rPr>
          <w:rFonts w:ascii="Times New Roman" w:hAnsi="Times New Roman" w:cs="Times New Roman" w:eastAsia="Times New Roman" w:hint="default"/>
          <w:spacing w:val="-2"/>
        </w:rPr>
        <w:t>1</w:t>
      </w:r>
      <w:r>
        <w:rPr>
          <w:spacing w:val="-2"/>
        </w:rPr>
        <w:t>、报告期内，公司严格按照深交所《中小企业板信息披露业务备忘录第</w:t>
      </w:r>
      <w:r>
        <w:rPr>
          <w:rFonts w:ascii="Times New Roman" w:hAnsi="Times New Roman" w:cs="Times New Roman" w:eastAsia="Times New Roman" w:hint="default"/>
          <w:spacing w:val="-2"/>
        </w:rPr>
        <w:t>33</w:t>
      </w:r>
      <w:r>
        <w:rPr>
          <w:spacing w:val="-2"/>
        </w:rPr>
        <w:t>号：利润分配和资本公积</w:t>
      </w:r>
      <w:r>
        <w:rPr>
          <w:w w:val="100"/>
        </w:rPr>
        <w:t> </w:t>
      </w:r>
      <w:r>
        <w:rPr/>
        <w:t>转增股本》以及《公司章程》等有关制度的规定和要求，积极做好公司利润分配方案制定与实施工作。</w:t>
      </w:r>
    </w:p>
    <w:p>
      <w:pPr>
        <w:pStyle w:val="BodyText"/>
        <w:spacing w:line="240" w:lineRule="auto" w:before="63"/>
        <w:ind w:left="573" w:right="208"/>
        <w:jc w:val="left"/>
      </w:pP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2016</w:t>
      </w:r>
      <w:r>
        <w:rPr/>
        <w:t>年年度股东大会审议通过，公司以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日总股本</w:t>
      </w:r>
    </w:p>
    <w:p>
      <w:pPr>
        <w:pStyle w:val="BodyText"/>
        <w:spacing w:line="240" w:lineRule="auto" w:before="21"/>
        <w:ind w:right="100"/>
        <w:jc w:val="left"/>
        <w:rPr>
          <w:rFonts w:ascii="Times New Roman" w:hAnsi="Times New Roman" w:cs="Times New Roman" w:eastAsia="Times New Roman" w:hint="default"/>
        </w:rPr>
      </w:pPr>
      <w:r>
        <w:rPr>
          <w:rFonts w:ascii="Times New Roman" w:hAnsi="Times New Roman" w:cs="Times New Roman" w:eastAsia="Times New Roman" w:hint="default"/>
        </w:rPr>
        <w:t>1,066,788,753  </w:t>
      </w:r>
      <w:r>
        <w:rPr>
          <w:spacing w:val="-8"/>
        </w:rPr>
        <w:t>为基数，向全体股东按每 </w:t>
      </w:r>
      <w:r>
        <w:rPr>
          <w:rFonts w:ascii="Times New Roman" w:hAnsi="Times New Roman" w:cs="Times New Roman" w:eastAsia="Times New Roman" w:hint="default"/>
        </w:rPr>
        <w:t>10 </w:t>
      </w:r>
      <w:r>
        <w:rPr/>
        <w:t>股派发现金股利人民币 </w:t>
      </w:r>
      <w:r>
        <w:rPr>
          <w:rFonts w:ascii="Times New Roman" w:hAnsi="Times New Roman" w:cs="Times New Roman" w:eastAsia="Times New Roman" w:hint="default"/>
        </w:rPr>
        <w:t>0.4  </w:t>
      </w:r>
      <w:r>
        <w:rPr>
          <w:spacing w:val="-22"/>
        </w:rPr>
        <w:t>元（含税），共计派发</w:t>
      </w:r>
      <w:r>
        <w:rPr>
          <w:spacing w:val="-31"/>
        </w:rPr>
        <w:t> </w:t>
      </w:r>
      <w:r>
        <w:rPr>
          <w:rFonts w:ascii="Times New Roman" w:hAnsi="Times New Roman" w:cs="Times New Roman" w:eastAsia="Times New Roman" w:hint="default"/>
        </w:rPr>
        <w:t>42,671,550.12</w:t>
      </w:r>
    </w:p>
    <w:p>
      <w:pPr>
        <w:pStyle w:val="BodyText"/>
        <w:spacing w:line="240" w:lineRule="auto" w:before="22"/>
        <w:ind w:right="208"/>
        <w:jc w:val="left"/>
      </w:pPr>
      <w:r>
        <w:rPr/>
        <w:t>元，剩余未分配利润 </w:t>
      </w:r>
      <w:r>
        <w:rPr>
          <w:rFonts w:ascii="Times New Roman" w:hAnsi="Times New Roman" w:cs="Times New Roman" w:eastAsia="Times New Roman" w:hint="default"/>
        </w:rPr>
        <w:t>2,186,561,939.32</w:t>
      </w:r>
      <w:r>
        <w:rPr>
          <w:rFonts w:ascii="Times New Roman" w:hAnsi="Times New Roman" w:cs="Times New Roman" w:eastAsia="Times New Roman" w:hint="default"/>
          <w:spacing w:val="6"/>
        </w:rPr>
        <w:t> </w:t>
      </w:r>
      <w:r>
        <w:rPr/>
        <w:t>元结转至下一年度。该利润分配方案报告期内已经实施完毕。</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208"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56" w:lineRule="auto" w:before="83"/>
        <w:ind w:right="208"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年度利润分配方案：公司拟以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355,596,251</w:t>
      </w:r>
      <w:r>
        <w:rPr/>
        <w:t>为基数，向全体股东按每</w:t>
      </w:r>
      <w:r>
        <w:rPr>
          <w:w w:val="100"/>
        </w:rPr>
        <w:t> </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1.2</w:t>
      </w:r>
      <w:r>
        <w:rPr>
          <w:spacing w:val="-2"/>
        </w:rPr>
        <w:t>元（含税），共计派发</w:t>
      </w:r>
      <w:r>
        <w:rPr>
          <w:rFonts w:ascii="Times New Roman" w:hAnsi="Times New Roman" w:cs="Times New Roman" w:eastAsia="Times New Roman" w:hint="default"/>
          <w:spacing w:val="-2"/>
        </w:rPr>
        <w:t>42,671,550.12</w:t>
      </w:r>
      <w:r>
        <w:rPr>
          <w:spacing w:val="-2"/>
        </w:rPr>
        <w:t>元，同时以资本公积向全体股东每</w:t>
      </w:r>
      <w:r>
        <w:rPr>
          <w:rFonts w:ascii="Times New Roman" w:hAnsi="Times New Roman" w:cs="Times New Roman" w:eastAsia="Times New Roman" w:hint="default"/>
          <w:spacing w:val="-2"/>
        </w:rPr>
        <w:t>10</w:t>
      </w:r>
      <w:r>
        <w:rPr>
          <w:spacing w:val="-2"/>
        </w:rPr>
        <w:t>股转</w:t>
      </w:r>
      <w:r>
        <w:rPr>
          <w:spacing w:val="-32"/>
        </w:rPr>
        <w:t> </w:t>
      </w:r>
      <w:r>
        <w:rPr/>
        <w:t>增</w:t>
      </w:r>
      <w:r>
        <w:rPr>
          <w:rFonts w:ascii="Times New Roman" w:hAnsi="Times New Roman" w:cs="Times New Roman" w:eastAsia="Times New Roman" w:hint="default"/>
        </w:rPr>
        <w:t>20</w:t>
      </w:r>
      <w:r>
        <w:rPr/>
        <w:t>股，剩余未分配利润结转至下一年度。</w:t>
      </w:r>
    </w:p>
    <w:p>
      <w:pPr>
        <w:pStyle w:val="BodyText"/>
        <w:spacing w:line="256" w:lineRule="auto" w:before="43"/>
        <w:ind w:right="208" w:firstLine="42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spacing w:val="-3"/>
        </w:rPr>
        <w:t>年度利润分配方案：公司拟以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1,066,788,753</w:t>
      </w:r>
      <w:r>
        <w:rPr>
          <w:spacing w:val="-3"/>
        </w:rPr>
        <w:t>为基数，向全体股东每</w:t>
      </w:r>
      <w:r>
        <w:rPr>
          <w:rFonts w:ascii="Times New Roman" w:hAnsi="Times New Roman" w:cs="Times New Roman" w:eastAsia="Times New Roman" w:hint="default"/>
          <w:spacing w:val="-3"/>
        </w:rPr>
        <w:t>10</w:t>
      </w:r>
      <w:r>
        <w:rPr>
          <w:rFonts w:ascii="Times New Roman" w:hAnsi="Times New Roman" w:cs="Times New Roman" w:eastAsia="Times New Roman" w:hint="default"/>
          <w:w w:val="100"/>
        </w:rPr>
        <w:t> </w:t>
      </w:r>
      <w:r>
        <w:rPr/>
        <w:t>股派发现金股利人民币</w:t>
      </w:r>
      <w:r>
        <w:rPr>
          <w:rFonts w:ascii="Times New Roman" w:hAnsi="Times New Roman" w:cs="Times New Roman" w:eastAsia="Times New Roman" w:hint="default"/>
        </w:rPr>
        <w:t>0.4</w:t>
      </w:r>
      <w:r>
        <w:rPr/>
        <w:t>元（含税），共计派发</w:t>
      </w:r>
      <w:r>
        <w:rPr>
          <w:rFonts w:ascii="Times New Roman" w:hAnsi="Times New Roman" w:cs="Times New Roman" w:eastAsia="Times New Roman" w:hint="default"/>
        </w:rPr>
        <w:t>42,671,550.12</w:t>
      </w:r>
      <w:r>
        <w:rPr/>
        <w:t>元，剩余未分配利润结转至下一年度。</w:t>
      </w:r>
    </w:p>
    <w:p>
      <w:pPr>
        <w:pStyle w:val="BodyText"/>
        <w:spacing w:line="256" w:lineRule="auto" w:before="46"/>
        <w:ind w:right="208" w:firstLine="42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年度利润分配方案：公司拟以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1,066,788,753</w:t>
      </w:r>
      <w:r>
        <w:rPr>
          <w:spacing w:val="-3"/>
        </w:rPr>
        <w:t>为基数，向全体股东每</w:t>
      </w:r>
      <w:r>
        <w:rPr>
          <w:rFonts w:ascii="Times New Roman" w:hAnsi="Times New Roman" w:cs="Times New Roman" w:eastAsia="Times New Roman" w:hint="default"/>
          <w:spacing w:val="-3"/>
        </w:rPr>
        <w:t>10</w:t>
      </w:r>
      <w:r>
        <w:rPr>
          <w:rFonts w:ascii="Times New Roman" w:hAnsi="Times New Roman" w:cs="Times New Roman" w:eastAsia="Times New Roman" w:hint="default"/>
          <w:w w:val="100"/>
        </w:rPr>
        <w:t> </w:t>
      </w:r>
      <w:r>
        <w:rPr/>
        <w:t>股派发现金股利人民币</w:t>
      </w:r>
      <w:r>
        <w:rPr>
          <w:rFonts w:ascii="Times New Roman" w:hAnsi="Times New Roman" w:cs="Times New Roman" w:eastAsia="Times New Roman" w:hint="default"/>
        </w:rPr>
        <w:t>1.00</w:t>
      </w:r>
      <w:r>
        <w:rPr/>
        <w:t>元（含税），共计派发</w:t>
      </w:r>
      <w:r>
        <w:rPr>
          <w:rFonts w:ascii="Times New Roman" w:hAnsi="Times New Roman" w:cs="Times New Roman" w:eastAsia="Times New Roman" w:hint="default"/>
        </w:rPr>
        <w:t>106,678,875.3</w:t>
      </w:r>
      <w:r>
        <w:rPr/>
        <w:t>元，剩余未分配利润结转至下一年度。本</w:t>
      </w:r>
      <w:r>
        <w:rPr>
          <w:w w:val="100"/>
        </w:rPr>
        <w:t> </w:t>
      </w:r>
      <w:r>
        <w:rPr/>
        <w:t>利润分配方案尚需经公司</w:t>
      </w:r>
      <w:r>
        <w:rPr>
          <w:rFonts w:ascii="Times New Roman" w:hAnsi="Times New Roman" w:cs="Times New Roman" w:eastAsia="Times New Roman" w:hint="default"/>
        </w:rPr>
        <w:t>2017</w:t>
      </w:r>
      <w:r>
        <w:rPr/>
        <w:t>年度股东大会审议通过方可实施。</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0" w:top="1100" w:bottom="1160" w:left="980" w:right="920"/>
        </w:sectPr>
      </w:pPr>
    </w:p>
    <w:p>
      <w:pPr>
        <w:pStyle w:val="BodyText"/>
        <w:spacing w:line="240" w:lineRule="auto" w:before="36"/>
        <w:ind w:right="0"/>
        <w:jc w:val="left"/>
      </w:pPr>
      <w:r>
        <w:rPr>
          <w:spacing w:val="-2"/>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4988" w:space="3933"/>
            <w:col w:w="108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33"/>
        <w:gridCol w:w="1324"/>
        <w:gridCol w:w="2410"/>
        <w:gridCol w:w="2410"/>
        <w:gridCol w:w="1277"/>
        <w:gridCol w:w="1378"/>
      </w:tblGrid>
      <w:tr>
        <w:trPr>
          <w:trHeight w:val="161" w:hRule="exact"/>
        </w:trPr>
        <w:tc>
          <w:tcPr>
            <w:tcW w:w="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left="8"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0" w:right="27" w:hanging="89"/>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9" w:right="27" w:hanging="89"/>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35" w:right="5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2" w:hRule="exact"/>
        </w:trPr>
        <w:tc>
          <w:tcPr>
            <w:tcW w:w="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24"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161" w:hRule="exact"/>
        </w:trPr>
        <w:tc>
          <w:tcPr>
            <w:tcW w:w="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4"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419,028,697.62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42,671,550.12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388,790,331.19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42,671,550.12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360,995,723.54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208"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2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1,066,788,753.00</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1,066,788,75.30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2,469,484,345.23</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经信永中和会计师事务所（特殊普通合伙）审计，公司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年度归属于母公司股东净利润为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419,028,697.62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元，加上年初</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扣除支付</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年度股东现</w:t>
            </w:r>
            <w:r>
              <w:rPr>
                <w:rFonts w:ascii="宋体" w:hAnsi="宋体" w:cs="宋体" w:eastAsia="宋体" w:hint="default"/>
                <w:spacing w:val="-3"/>
                <w:sz w:val="18"/>
                <w:szCs w:val="18"/>
              </w:rPr>
              <w:t>金</w:t>
            </w:r>
            <w:r>
              <w:rPr>
                <w:rFonts w:ascii="宋体" w:hAnsi="宋体" w:cs="宋体" w:eastAsia="宋体" w:hint="default"/>
                <w:sz w:val="18"/>
                <w:szCs w:val="18"/>
              </w:rPr>
              <w:t>红利</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度提取的盈余公积</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元，加之其他调整减少的留存收益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115,067,071.66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年度可供全体股东分配的利润为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2,469,484,345.23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为基数，向全体</w:t>
            </w:r>
            <w:r>
              <w:rPr>
                <w:rFonts w:ascii="宋体" w:hAnsi="宋体" w:cs="宋体" w:eastAsia="宋体" w:hint="default"/>
                <w:spacing w:val="-3"/>
                <w:sz w:val="18"/>
                <w:szCs w:val="18"/>
              </w:rPr>
              <w:t>股</w:t>
            </w:r>
            <w:r>
              <w:rPr>
                <w:rFonts w:ascii="宋体" w:hAnsi="宋体" w:cs="宋体" w:eastAsia="宋体" w:hint="default"/>
                <w:sz w:val="18"/>
                <w:szCs w:val="18"/>
              </w:rPr>
              <w:t>东按每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，共计派发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106,678,875.3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2,362,805,469.93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元结转至下一年度。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pStyle w:val="Heading3"/>
        <w:spacing w:line="240" w:lineRule="auto" w:before="28"/>
        <w:ind w:left="140" w:right="209"/>
        <w:jc w:val="left"/>
        <w:rPr>
          <w:b w:val="0"/>
          <w:bCs w:val="0"/>
        </w:rPr>
      </w:pPr>
      <w:r>
        <w:rPr/>
        <w:pict>
          <v:group style="position:absolute;margin-left:70.559998pt;margin-top:2.195603pt;width:700.9pt;height:.1pt;mso-position-horizontal-relative:page;mso-position-vertical-relative:paragraph;z-index:-1160416" coordorigin="1411,44" coordsize="14018,2">
            <v:shape style="position:absolute;left:1411;top:44;width:14018;height:2" coordorigin="1411,44" coordsize="14018,0" path="m1411,44l15429,44e" filled="false" stroked="true" strokeweight=".72pt" strokecolor="#000000">
              <v:path arrowok="t"/>
            </v:shape>
            <w10:wrap type="none"/>
          </v:group>
        </w:pict>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left="140" w:right="209"/>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spacing w:before="0"/>
        <w:ind w:left="140"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135"/>
        <w:ind w:left="0" w:right="116" w:firstLine="0"/>
        <w:jc w:val="right"/>
        <w:rPr>
          <w:rFonts w:ascii="宋体" w:hAnsi="宋体" w:cs="宋体" w:eastAsia="宋体" w:hint="default"/>
          <w:sz w:val="18"/>
          <w:szCs w:val="18"/>
        </w:rPr>
      </w:pPr>
      <w:r>
        <w:rPr/>
        <w:pict>
          <v:shape style="position:absolute;margin-left:71.760002pt;margin-top:-295.028290pt;width:700.2pt;height:386.4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699"/>
                    <w:gridCol w:w="1135"/>
                    <w:gridCol w:w="4962"/>
                    <w:gridCol w:w="852"/>
                    <w:gridCol w:w="850"/>
                    <w:gridCol w:w="3214"/>
                  </w:tblGrid>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 w:right="47"/>
                          <w:jc w:val="left"/>
                          <w:rPr>
                            <w:rFonts w:ascii="宋体" w:hAnsi="宋体" w:cs="宋体" w:eastAsia="宋体" w:hint="default"/>
                            <w:sz w:val="18"/>
                            <w:szCs w:val="18"/>
                          </w:rPr>
                        </w:pPr>
                        <w:r>
                          <w:rPr>
                            <w:rFonts w:ascii="宋体" w:hAnsi="宋体" w:cs="宋体" w:eastAsia="宋体" w:hint="default"/>
                            <w:sz w:val="18"/>
                            <w:szCs w:val="18"/>
                          </w:rPr>
                          <w:t>公司董事长、控股股 东李仲初先生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如由于中电器件位于北京市海淀区复兴路甲</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号的房产以及北 京市朝阳区新源街</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号楼院的土地和房产权属证明在预期办理 期限内未能办理完毕，或由于与上述房产相关的任何潜在债权 债务关系或任何形式的纠纷在本次交易完成后对中电器件或石 基信息造成任何损失，本人愿意以现金补偿的方式承担补偿责 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日，中电器件位于</w:t>
                        </w:r>
                      </w:p>
                      <w:p>
                        <w:pPr>
                          <w:pStyle w:val="TableParagraph"/>
                          <w:spacing w:line="312" w:lineRule="auto" w:before="63"/>
                          <w:ind w:left="21" w:right="25"/>
                          <w:jc w:val="both"/>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号的房产已不 </w:t>
                        </w:r>
                        <w:r>
                          <w:rPr>
                            <w:rFonts w:ascii="宋体" w:hAnsi="宋体" w:cs="宋体" w:eastAsia="宋体" w:hint="default"/>
                            <w:spacing w:val="-5"/>
                            <w:sz w:val="18"/>
                            <w:szCs w:val="18"/>
                          </w:rPr>
                          <w:t>存在瑕疵或潜在纠纷，其余相关土地及房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产损失事项未有发生，承诺方严格遵守承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诺但无需承担经济补偿责任。</w:t>
                        </w:r>
                      </w:p>
                    </w:tc>
                  </w:tr>
                  <w:tr>
                    <w:trPr>
                      <w:trHeight w:val="710"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3"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69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 w:right="47"/>
                          <w:jc w:val="left"/>
                          <w:rPr>
                            <w:rFonts w:ascii="宋体" w:hAnsi="宋体" w:cs="宋体" w:eastAsia="宋体" w:hint="default"/>
                            <w:sz w:val="18"/>
                            <w:szCs w:val="18"/>
                          </w:rPr>
                        </w:pPr>
                        <w:r>
                          <w:rPr>
                            <w:rFonts w:ascii="宋体" w:hAnsi="宋体" w:cs="宋体" w:eastAsia="宋体" w:hint="default"/>
                            <w:sz w:val="18"/>
                            <w:szCs w:val="18"/>
                          </w:rPr>
                          <w:t>公司董事长、控股股 东李仲初先生</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2"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如未来中国电子器件工业有限公司或其子公司中国电子器件工 业海南有限公司因香港精密模具有限公司（</w:t>
                        </w:r>
                        <w:r>
                          <w:rPr>
                            <w:rFonts w:ascii="Times New Roman" w:hAnsi="Times New Roman" w:cs="Times New Roman" w:eastAsia="Times New Roman" w:hint="default"/>
                            <w:sz w:val="18"/>
                            <w:szCs w:val="18"/>
                          </w:rPr>
                          <w:t>KINGSWELL MOULDS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）投资主体登记与境外公司股东登记不一致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受到行政处罚或其他损失，本人愿意以现金补偿的方式承担补</w:t>
                        </w:r>
                        <w:r>
                          <w:rPr>
                            <w:rFonts w:ascii="宋体" w:hAnsi="宋体" w:cs="宋体" w:eastAsia="宋体" w:hint="default"/>
                            <w:w w:val="99"/>
                            <w:sz w:val="18"/>
                            <w:szCs w:val="18"/>
                          </w:rPr>
                          <w:t> </w:t>
                        </w:r>
                        <w:r>
                          <w:rPr>
                            <w:rFonts w:ascii="宋体" w:hAnsi="宋体" w:cs="宋体" w:eastAsia="宋体" w:hint="default"/>
                            <w:sz w:val="18"/>
                            <w:szCs w:val="18"/>
                          </w:rPr>
                          <w:t>偿责任。</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1" w:right="25"/>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日，损失事项未有 </w:t>
                        </w:r>
                        <w:r>
                          <w:rPr>
                            <w:rFonts w:ascii="宋体" w:hAnsi="宋体" w:cs="宋体" w:eastAsia="宋体" w:hint="default"/>
                            <w:spacing w:val="-5"/>
                            <w:sz w:val="18"/>
                            <w:szCs w:val="18"/>
                          </w:rPr>
                          <w:t>发生，承诺方严格遵守承诺但无需承担经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济补偿责任。</w:t>
                        </w:r>
                      </w:p>
                    </w:tc>
                  </w:tr>
                  <w:tr>
                    <w:trPr>
                      <w:trHeight w:val="941"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699"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14" w:type="dxa"/>
                        <w:vMerge/>
                        <w:tcBorders>
                          <w:left w:val="single" w:sz="4" w:space="0" w:color="000000"/>
                          <w:bottom w:val="single" w:sz="4" w:space="0" w:color="000000"/>
                          <w:right w:val="single" w:sz="4" w:space="0" w:color="000000"/>
                        </w:tcBorders>
                      </w:tcPr>
                      <w:p>
                        <w:pPr/>
                      </w:p>
                    </w:tc>
                  </w:tr>
                  <w:tr>
                    <w:trPr>
                      <w:trHeight w:val="102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公司董事长、控股股 东李仲初先生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如深圳京宝实业有限公司需承担任何形式的负债</w:t>
                        </w:r>
                        <w:r>
                          <w:rPr>
                            <w:rFonts w:ascii="Times New Roman" w:hAnsi="Times New Roman" w:cs="Times New Roman" w:eastAsia="Times New Roman" w:hint="default"/>
                            <w:sz w:val="18"/>
                            <w:szCs w:val="18"/>
                          </w:rPr>
                          <w:t>/</w:t>
                        </w:r>
                        <w:r>
                          <w:rPr>
                            <w:rFonts w:ascii="宋体" w:hAnsi="宋体" w:cs="宋体" w:eastAsia="宋体" w:hint="default"/>
                            <w:sz w:val="18"/>
                            <w:szCs w:val="18"/>
                          </w:rPr>
                          <w:t>或有负债，对 中电器件或石基信息造成损失，本人愿意以现金补偿的方式承 担补偿责任。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5"/>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日，损失事项未有 </w:t>
                        </w:r>
                        <w:r>
                          <w:rPr>
                            <w:rFonts w:ascii="宋体" w:hAnsi="宋体" w:cs="宋体" w:eastAsia="宋体" w:hint="default"/>
                            <w:spacing w:val="-5"/>
                            <w:sz w:val="18"/>
                            <w:szCs w:val="18"/>
                          </w:rPr>
                          <w:t>发生，承诺方严格遵守承诺但无需承担经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济补偿责任。</w:t>
                        </w:r>
                      </w:p>
                    </w:tc>
                  </w:tr>
                  <w:tr>
                    <w:trPr>
                      <w:trHeight w:val="830"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 w:right="47"/>
                          <w:jc w:val="both"/>
                          <w:rPr>
                            <w:rFonts w:ascii="宋体" w:hAnsi="宋体" w:cs="宋体" w:eastAsia="宋体" w:hint="default"/>
                            <w:sz w:val="18"/>
                            <w:szCs w:val="18"/>
                          </w:rPr>
                        </w:pPr>
                        <w:r>
                          <w:rPr>
                            <w:rFonts w:ascii="宋体" w:hAnsi="宋体" w:cs="宋体" w:eastAsia="宋体" w:hint="default"/>
                            <w:sz w:val="18"/>
                            <w:szCs w:val="18"/>
                          </w:rPr>
                          <w:t>发行前股东、公司董 事长、控股股东李仲 初先生</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962"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自本公司股票上市之日起三十六个月内，不转让或者委托他人 管理其持有的发行人股份，也不由发行人回购其持有的股份。 三十六个月后，任职期间每年转让的股份不得超过其所持有本 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，离职后半年内不转让其所持有的本公司 股份，其后一年转让不超过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的所持有本公司股份。</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1" w:right="25"/>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日，股东李仲初信 </w:t>
                        </w:r>
                        <w:r>
                          <w:rPr>
                            <w:rFonts w:ascii="宋体" w:hAnsi="宋体" w:cs="宋体" w:eastAsia="宋体" w:hint="default"/>
                            <w:spacing w:val="-5"/>
                            <w:sz w:val="18"/>
                            <w:szCs w:val="18"/>
                          </w:rPr>
                          <w:t>守承诺，没有转让或委托他人管理其持有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的公司股份，也没有由公司回购该股份</w:t>
                        </w:r>
                      </w:p>
                    </w:tc>
                  </w:tr>
                  <w:tr>
                    <w:trPr>
                      <w:trHeight w:val="821"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699"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14" w:type="dxa"/>
                        <w:vMerge/>
                        <w:tcBorders>
                          <w:left w:val="single" w:sz="4" w:space="0" w:color="000000"/>
                          <w:bottom w:val="single" w:sz="4" w:space="0" w:color="000000"/>
                          <w:right w:val="single" w:sz="4" w:space="0" w:color="000000"/>
                        </w:tcBorders>
                      </w:tcPr>
                      <w:p>
                        <w:pPr/>
                      </w:p>
                    </w:tc>
                  </w:tr>
                  <w:tr>
                    <w:trPr>
                      <w:trHeight w:val="194"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47"/>
                          <w:jc w:val="left"/>
                          <w:rPr>
                            <w:rFonts w:ascii="宋体" w:hAnsi="宋体" w:cs="宋体" w:eastAsia="宋体" w:hint="default"/>
                            <w:sz w:val="18"/>
                            <w:szCs w:val="18"/>
                          </w:rPr>
                        </w:pPr>
                        <w:r>
                          <w:rPr>
                            <w:rFonts w:ascii="宋体" w:hAnsi="宋体" w:cs="宋体" w:eastAsia="宋体" w:hint="default"/>
                            <w:sz w:val="18"/>
                            <w:szCs w:val="18"/>
                          </w:rPr>
                          <w:t>淘宝（中国）软件有 限公司</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962"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淘宝（中国）软件有限公司认购的股票自上市首日起六十个月 内不转让，可上市流通时间为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日（非交易日顺</w:t>
                        </w:r>
                        <w:r>
                          <w:rPr>
                            <w:rFonts w:ascii="宋体" w:hAnsi="宋体" w:cs="宋体" w:eastAsia="宋体" w:hint="default"/>
                            <w:sz w:val="18"/>
                            <w:szCs w:val="18"/>
                          </w:rPr>
                          <w:t> </w:t>
                        </w:r>
                        <w:r>
                          <w:rPr>
                            <w:rFonts w:ascii="宋体" w:hAnsi="宋体" w:cs="宋体" w:eastAsia="宋体" w:hint="default"/>
                            <w:spacing w:val="-31"/>
                            <w:sz w:val="18"/>
                            <w:szCs w:val="18"/>
                          </w:rPr>
                          <w:t>延）。</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214" w:type="dxa"/>
                        <w:vMerge w:val="restart"/>
                        <w:tcBorders>
                          <w:top w:val="single" w:sz="4" w:space="0" w:color="000000"/>
                          <w:left w:val="single" w:sz="4" w:space="0" w:color="000000"/>
                          <w:right w:val="single" w:sz="4" w:space="0" w:color="000000"/>
                        </w:tcBorders>
                      </w:tcPr>
                      <w:p>
                        <w:pPr>
                          <w:pStyle w:val="TableParagraph"/>
                          <w:spacing w:line="309" w:lineRule="auto" w:before="68"/>
                          <w:ind w:left="21" w:right="74"/>
                          <w:jc w:val="left"/>
                          <w:rPr>
                            <w:rFonts w:ascii="宋体" w:hAnsi="宋体" w:cs="宋体" w:eastAsia="宋体" w:hint="default"/>
                            <w:sz w:val="18"/>
                            <w:szCs w:val="18"/>
                          </w:rPr>
                        </w:pPr>
                        <w:r>
                          <w:rPr>
                            <w:rFonts w:ascii="宋体" w:hAnsi="宋体" w:cs="宋体" w:eastAsia="宋体" w:hint="default"/>
                            <w:sz w:val="18"/>
                            <w:szCs w:val="18"/>
                          </w:rPr>
                          <w:t>该承诺正在履行中，截止本报告期末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日，股东淘宝（中国） 软件有限公司不存在违反承诺的任何情</w:t>
                        </w:r>
                      </w:p>
                    </w:tc>
                  </w:tr>
                  <w:tr>
                    <w:trPr>
                      <w:trHeight w:val="830"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14"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20"/>
          <w:footerReference w:type="default" r:id="rId21"/>
          <w:pgSz w:w="16840" w:h="11910" w:orient="landscape"/>
          <w:pgMar w:header="867" w:footer="980" w:top="1060" w:bottom="1160" w:left="1300" w:right="1240"/>
          <w:pgNumType w:start="49"/>
        </w:sectPr>
      </w:pPr>
    </w:p>
    <w:p>
      <w:pPr>
        <w:spacing w:line="240" w:lineRule="auto" w:before="2"/>
        <w:rPr>
          <w:rFonts w:ascii="Times New Roman" w:hAnsi="Times New Roman" w:cs="Times New Roman" w:eastAsia="Times New Roman" w:hint="default"/>
          <w:sz w:val="3"/>
          <w:szCs w:val="3"/>
        </w:rPr>
      </w:pPr>
      <w:r>
        <w:rPr/>
        <w:pict>
          <v:shape style="position:absolute;margin-left:420.743011pt;margin-top:75.260010pt;width:147.3pt;height:15.6pt;mso-position-horizontal-relative:page;mso-position-vertical-relative:page;z-index:-11603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误导性陈述或者重大遗漏，</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277"/>
        <w:gridCol w:w="1699"/>
        <w:gridCol w:w="1135"/>
        <w:gridCol w:w="4962"/>
        <w:gridCol w:w="852"/>
        <w:gridCol w:w="850"/>
        <w:gridCol w:w="3214"/>
      </w:tblGrid>
      <w:tr>
        <w:trPr>
          <w:trHeight w:val="377" w:hRule="exact"/>
        </w:trPr>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962"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32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473"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所有激励对象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6"/>
              <w:jc w:val="left"/>
              <w:rPr>
                <w:rFonts w:ascii="宋体" w:hAnsi="宋体" w:cs="宋体" w:eastAsia="宋体" w:hint="default"/>
                <w:sz w:val="18"/>
                <w:szCs w:val="18"/>
              </w:rPr>
            </w:pPr>
            <w:r>
              <w:rPr>
                <w:rFonts w:ascii="宋体" w:hAnsi="宋体" w:cs="宋体" w:eastAsia="宋体" w:hint="default"/>
                <w:sz w:val="18"/>
                <w:szCs w:val="18"/>
              </w:rPr>
              <w:t>公司因信息披露文件中有虚假记载、 导致不符合授予权益或行使权益安排的，激励对象应当自相关 信息披露文件被确认存在虚假记载、误导性陈述或者重大遗漏 后，将由股权激励计划所获得的全部利益返还公司。</w:t>
            </w:r>
          </w:p>
        </w:tc>
        <w:tc>
          <w:tcPr>
            <w:tcW w:w="852" w:type="dxa"/>
            <w:vMerge w:val="restart"/>
            <w:tcBorders>
              <w:top w:val="single" w:sz="4" w:space="0" w:color="000000"/>
              <w:left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2.15pt;height:15.6pt;mso-position-horizontal-relative:char;mso-position-vertical-relative:line" coordorigin="0,0" coordsize="843,312">
                  <v:group style="position:absolute;left:0;top:0;width:843;height:312" coordorigin="0,0" coordsize="843,312">
                    <v:shape style="position:absolute;left:0;top:0;width:843;height:312" coordorigin="0,0" coordsize="843,312" path="m0,312l842,312,84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2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1" w:right="74"/>
              <w:jc w:val="left"/>
              <w:rPr>
                <w:rFonts w:ascii="宋体" w:hAnsi="宋体" w:cs="宋体" w:eastAsia="宋体" w:hint="default"/>
                <w:sz w:val="18"/>
                <w:szCs w:val="18"/>
              </w:rPr>
            </w:pPr>
            <w:r>
              <w:rPr>
                <w:rFonts w:ascii="宋体" w:hAnsi="宋体" w:cs="宋体" w:eastAsia="宋体" w:hint="default"/>
                <w:sz w:val="18"/>
                <w:szCs w:val="18"/>
              </w:rPr>
              <w:t>该承诺正在履行中，截止本报告期末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日，承诺方严格遵守承 诺。</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699" w:type="dxa"/>
            <w:vMerge/>
            <w:tcBorders>
              <w:left w:val="single" w:sz="10"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496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14" w:type="dxa"/>
            <w:vMerge/>
            <w:tcBorders>
              <w:left w:val="single" w:sz="4" w:space="0" w:color="000000"/>
              <w:right w:val="single" w:sz="4" w:space="0" w:color="000000"/>
            </w:tcBorders>
          </w:tcPr>
          <w:p>
            <w:pPr/>
          </w:p>
        </w:tc>
      </w:tr>
      <w:tr>
        <w:trPr>
          <w:trHeight w:val="473"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14" w:type="dxa"/>
            <w:vMerge/>
            <w:tcBorders>
              <w:left w:val="single" w:sz="4" w:space="0" w:color="000000"/>
              <w:bottom w:val="single" w:sz="4" w:space="0" w:color="000000"/>
              <w:right w:val="single" w:sz="4" w:space="0" w:color="000000"/>
            </w:tcBorders>
          </w:tcPr>
          <w:p>
            <w:pPr/>
          </w:p>
        </w:tc>
      </w:tr>
      <w:tr>
        <w:trPr>
          <w:trHeight w:val="674"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47"/>
              <w:jc w:val="both"/>
              <w:rPr>
                <w:rFonts w:ascii="宋体" w:hAnsi="宋体" w:cs="宋体" w:eastAsia="宋体" w:hint="default"/>
                <w:sz w:val="18"/>
                <w:szCs w:val="18"/>
              </w:rPr>
            </w:pPr>
            <w:r>
              <w:rPr>
                <w:rFonts w:ascii="宋体" w:hAnsi="宋体" w:cs="宋体" w:eastAsia="宋体" w:hint="default"/>
                <w:sz w:val="18"/>
                <w:szCs w:val="18"/>
              </w:rPr>
              <w:t>本公司主要股东以及 作为股东的董事、监 事、高级管理人员</w:t>
            </w:r>
          </w:p>
        </w:tc>
        <w:tc>
          <w:tcPr>
            <w:tcW w:w="1135"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9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6"/>
              <w:jc w:val="left"/>
              <w:rPr>
                <w:rFonts w:ascii="宋体" w:hAnsi="宋体" w:cs="宋体" w:eastAsia="宋体" w:hint="default"/>
                <w:sz w:val="18"/>
                <w:szCs w:val="18"/>
              </w:rPr>
            </w:pPr>
            <w:r>
              <w:rPr>
                <w:rFonts w:ascii="宋体" w:hAnsi="宋体" w:cs="宋体" w:eastAsia="宋体" w:hint="default"/>
                <w:sz w:val="18"/>
                <w:szCs w:val="18"/>
              </w:rPr>
              <w:t>承诺将不会直接或间接从事与本公司相同、相似的业务，也不 在与本公司有相同、相似业务的其他企业任职。</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1" w:right="29"/>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日，承诺方严格遵 守承诺。</w:t>
            </w:r>
          </w:p>
        </w:tc>
      </w:tr>
      <w:tr>
        <w:trPr>
          <w:trHeight w:val="663"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699"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14" w:type="dxa"/>
            <w:vMerge/>
            <w:tcBorders>
              <w:left w:val="single" w:sz="4" w:space="0" w:color="000000"/>
              <w:bottom w:val="single" w:sz="4" w:space="0" w:color="000000"/>
              <w:right w:val="single" w:sz="4" w:space="0" w:color="000000"/>
            </w:tcBorders>
          </w:tcPr>
          <w:p>
            <w:pPr/>
          </w:p>
        </w:tc>
      </w:tr>
      <w:tr>
        <w:trPr>
          <w:trHeight w:val="353"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10" w:space="0" w:color="D2D2D2"/>
              <w:right w:val="single" w:sz="4" w:space="0" w:color="000000"/>
            </w:tcBorders>
          </w:tcPr>
          <w:p>
            <w:pPr>
              <w:pStyle w:val="TableParagraph"/>
              <w:spacing w:line="316" w:lineRule="auto" w:before="49"/>
              <w:ind w:left="14" w:right="47"/>
              <w:jc w:val="both"/>
              <w:rPr>
                <w:rFonts w:ascii="宋体" w:hAnsi="宋体" w:cs="宋体" w:eastAsia="宋体" w:hint="default"/>
                <w:sz w:val="18"/>
                <w:szCs w:val="18"/>
              </w:rPr>
            </w:pPr>
            <w:r>
              <w:rPr>
                <w:rFonts w:ascii="宋体" w:hAnsi="宋体" w:cs="宋体" w:eastAsia="宋体" w:hint="default"/>
                <w:sz w:val="18"/>
                <w:szCs w:val="18"/>
              </w:rPr>
              <w:t>公司控股股东及持有 公司股份的董事、监 事、高级管理人员</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不减持承诺</w:t>
            </w:r>
          </w:p>
        </w:tc>
        <w:tc>
          <w:tcPr>
            <w:tcW w:w="4962"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自承诺之日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个月内（自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日）不通过二级市场减持其所持 的公司股票。</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2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1" w:right="24"/>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日，该项承诺已经</w:t>
            </w:r>
            <w:r>
              <w:rPr>
                <w:rFonts w:ascii="宋体" w:hAnsi="宋体" w:cs="宋体" w:eastAsia="宋体" w:hint="default"/>
                <w:sz w:val="18"/>
                <w:szCs w:val="18"/>
              </w:rPr>
              <w:t> 履行完毕，承诺方严格遵守承诺。</w:t>
            </w:r>
          </w:p>
        </w:tc>
      </w:tr>
      <w:tr>
        <w:trPr>
          <w:trHeight w:val="674"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14" w:type="dxa"/>
            <w:vMerge/>
            <w:tcBorders>
              <w:left w:val="single" w:sz="4" w:space="0" w:color="000000"/>
              <w:bottom w:val="single" w:sz="4" w:space="0" w:color="000000"/>
              <w:right w:val="single" w:sz="4" w:space="0" w:color="000000"/>
            </w:tcBorders>
          </w:tcPr>
          <w:p>
            <w:pPr/>
          </w:p>
        </w:tc>
      </w:tr>
      <w:tr>
        <w:trPr>
          <w:trHeight w:val="401" w:hRule="exact"/>
        </w:trPr>
        <w:tc>
          <w:tcPr>
            <w:tcW w:w="4112" w:type="dxa"/>
            <w:gridSpan w:val="3"/>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8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112" w:type="dxa"/>
            <w:gridSpan w:val="3"/>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pacing w:val="-4"/>
                <w:sz w:val="18"/>
                <w:szCs w:val="18"/>
              </w:rPr>
              <w:t>如承诺超期未履行完毕的，应当详细说明未完成履行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的具体原因及下一步的工作计划</w:t>
            </w:r>
          </w:p>
        </w:tc>
        <w:tc>
          <w:tcPr>
            <w:tcW w:w="98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8"/>
        <w:rPr>
          <w:rFonts w:ascii="Times New Roman" w:hAnsi="Times New Roman" w:cs="Times New Roman" w:eastAsia="Times New Roman" w:hint="default"/>
          <w:sz w:val="23"/>
          <w:szCs w:val="23"/>
        </w:rPr>
      </w:pPr>
    </w:p>
    <w:p>
      <w:pPr>
        <w:pStyle w:val="Heading7"/>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7" w:lineRule="auto"/>
        <w:ind w:right="148"/>
        <w:jc w:val="both"/>
      </w:pPr>
      <w:r>
        <w:rPr>
          <w:spacing w:val="-1"/>
        </w:rPr>
        <w:t>根据财政部颁发的《关于印发修订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[2017]15</w:t>
      </w:r>
      <w:r>
        <w:rPr>
          <w:rFonts w:ascii="Times New Roman" w:hAnsi="Times New Roman" w:cs="Times New Roman" w:eastAsia="Times New Roman" w:hint="default"/>
          <w:w w:val="100"/>
        </w:rPr>
        <w:t> </w:t>
      </w:r>
      <w:r>
        <w:rPr>
          <w:spacing w:val="-8"/>
          <w:w w:val="100"/>
        </w:rPr>
        <w:t>号）、《关于印发</w:t>
      </w:r>
      <w:r>
        <w:rPr>
          <w:rFonts w:ascii="Times New Roman" w:hAnsi="Times New Roman" w:cs="Times New Roman" w:eastAsia="Times New Roman" w:hint="default"/>
          <w:spacing w:val="-8"/>
          <w:w w:val="100"/>
        </w:rPr>
        <w:t>&lt;</w:t>
      </w:r>
      <w:r>
        <w:rPr>
          <w:spacing w:val="-8"/>
          <w:w w:val="100"/>
        </w:rPr>
        <w:t>企业会计准则第</w:t>
      </w:r>
      <w:r>
        <w:rPr>
          <w:rFonts w:ascii="Times New Roman" w:hAnsi="Times New Roman" w:cs="Times New Roman" w:eastAsia="Times New Roman" w:hint="default"/>
          <w:spacing w:val="-8"/>
          <w:w w:val="100"/>
        </w:rPr>
        <w:t>42</w:t>
      </w:r>
      <w:r>
        <w:rPr>
          <w:spacing w:val="-8"/>
          <w:w w:val="100"/>
        </w:rPr>
        <w:t>号</w:t>
      </w:r>
      <w:r>
        <w:rPr>
          <w:rFonts w:ascii="Times New Roman" w:hAnsi="Times New Roman" w:cs="Times New Roman" w:eastAsia="Times New Roman" w:hint="default"/>
          <w:spacing w:val="-8"/>
          <w:w w:val="100"/>
        </w:rPr>
        <w:t>——</w:t>
      </w:r>
      <w:r>
        <w:rPr>
          <w:spacing w:val="-8"/>
          <w:w w:val="100"/>
        </w:rPr>
        <w:t>持有待售的非流动资产、处置组和终止经营</w:t>
      </w:r>
      <w:r>
        <w:rPr>
          <w:rFonts w:ascii="Times New Roman" w:hAnsi="Times New Roman" w:cs="Times New Roman" w:eastAsia="Times New Roman" w:hint="default"/>
          <w:spacing w:val="-8"/>
          <w:w w:val="100"/>
        </w:rPr>
        <w:t>&gt;</w:t>
      </w:r>
      <w:r>
        <w:rPr>
          <w:spacing w:val="-8"/>
          <w:w w:val="100"/>
        </w:rPr>
        <w:t>的通知》（财</w:t>
      </w:r>
      <w:r>
        <w:rPr>
          <w:spacing w:val="-67"/>
          <w:w w:val="100"/>
        </w:rPr>
        <w:t> </w:t>
      </w:r>
      <w:r>
        <w:rPr>
          <w:spacing w:val="-67"/>
          <w:w w:val="100"/>
        </w:rPr>
      </w:r>
      <w:r>
        <w:rPr>
          <w:spacing w:val="-3"/>
        </w:rPr>
        <w:t>会</w:t>
      </w:r>
      <w:r>
        <w:rPr>
          <w:rFonts w:ascii="Times New Roman" w:hAnsi="Times New Roman" w:cs="Times New Roman" w:eastAsia="Times New Roman" w:hint="default"/>
          <w:spacing w:val="-3"/>
        </w:rPr>
        <w:t>[2017]13</w:t>
      </w:r>
      <w:r>
        <w:rPr>
          <w:spacing w:val="-3"/>
        </w:rPr>
        <w:t>号）的有关规定，本公司自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日期开始执行修订的政府补助准则和自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14"/>
        </w:rPr>
        <w:t> </w:t>
      </w:r>
      <w:r>
        <w:rPr>
          <w:spacing w:val="-2"/>
        </w:rPr>
        <w:t>日起执行修订的持有待售的非流动资产、处置组和终止经营准则，前述准则均自开始实施之日起采用</w:t>
      </w:r>
      <w:r>
        <w:rPr>
          <w:spacing w:val="-70"/>
        </w:rPr>
        <w:t> </w:t>
      </w:r>
      <w:r>
        <w:rPr>
          <w:spacing w:val="-70"/>
        </w:rPr>
      </w:r>
      <w:r>
        <w:rPr>
          <w:spacing w:val="-2"/>
        </w:rPr>
        <w:t>未来适用法，不对前期进行追述调整。此外，本财务报表还按照财政部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日颁布的《关于</w:t>
      </w:r>
      <w:r>
        <w:rPr>
          <w:spacing w:val="-61"/>
        </w:rPr>
        <w:t> </w:t>
      </w:r>
      <w:r>
        <w:rPr>
          <w:spacing w:val="-61"/>
        </w:rPr>
      </w:r>
      <w:r>
        <w:rPr/>
        <w:t>修订印发一般企业财务报表格式的通知》（财会</w:t>
      </w:r>
      <w:r>
        <w:rPr>
          <w:rFonts w:ascii="Times New Roman" w:hAnsi="Times New Roman" w:cs="Times New Roman" w:eastAsia="Times New Roman" w:hint="default"/>
        </w:rPr>
        <w:t>[2017]30</w:t>
      </w:r>
      <w:r>
        <w:rPr/>
        <w:t>号</w:t>
      </w:r>
      <w:r>
        <w:rPr>
          <w:rFonts w:ascii="Times New Roman" w:hAnsi="Times New Roman" w:cs="Times New Roman" w:eastAsia="Times New Roman" w:hint="default"/>
        </w:rPr>
        <w:t>,</w:t>
      </w:r>
      <w:r>
        <w:rPr/>
        <w:t>以下简称财会</w:t>
      </w:r>
      <w:r>
        <w:rPr>
          <w:rFonts w:ascii="Times New Roman" w:hAnsi="Times New Roman" w:cs="Times New Roman" w:eastAsia="Times New Roman" w:hint="default"/>
        </w:rPr>
        <w:t>30</w:t>
      </w:r>
      <w:r>
        <w:rPr/>
        <w:t>号文）编制。</w:t>
      </w:r>
    </w:p>
    <w:p>
      <w:pPr>
        <w:pStyle w:val="Heading6"/>
        <w:spacing w:line="552" w:lineRule="exact" w:before="55"/>
        <w:ind w:left="592" w:right="153" w:firstLine="0"/>
        <w:jc w:val="left"/>
      </w:pPr>
      <w:r>
        <w:rPr/>
        <w:t>上述准则的采用对本财务报表无重大影响。</w:t>
      </w:r>
      <w:r>
        <w:rPr>
          <w:w w:val="100"/>
        </w:rPr>
        <w:t> </w:t>
      </w:r>
      <w:r>
        <w:rPr>
          <w:spacing w:val="-2"/>
        </w:rPr>
        <w:t>本集团根据财会</w:t>
      </w:r>
      <w:r>
        <w:rPr>
          <w:rFonts w:ascii="Times New Roman" w:hAnsi="Times New Roman" w:cs="Times New Roman" w:eastAsia="Times New Roman" w:hint="default"/>
          <w:spacing w:val="-2"/>
        </w:rPr>
        <w:t>30</w:t>
      </w:r>
      <w:r>
        <w:rPr>
          <w:spacing w:val="-2"/>
        </w:rPr>
        <w:t>号文，对出售划分为持有待售的非流动资产（金融工具、长期股权投资和投资</w:t>
      </w:r>
    </w:p>
    <w:p>
      <w:pPr>
        <w:pStyle w:val="Heading6"/>
        <w:spacing w:line="233" w:lineRule="exact"/>
        <w:ind w:right="0" w:firstLine="0"/>
        <w:jc w:val="left"/>
      </w:pPr>
      <w:r>
        <w:rPr/>
        <w:t>性房地产除外）或处置组时确认的处置利得或损失，以及处置未划分为持有待售的固定资产、在建工</w:t>
      </w:r>
    </w:p>
    <w:p>
      <w:pPr>
        <w:pStyle w:val="Heading6"/>
        <w:spacing w:line="244" w:lineRule="auto" w:before="24"/>
        <w:ind w:right="153" w:firstLine="0"/>
        <w:jc w:val="left"/>
      </w:pPr>
      <w:r>
        <w:rPr>
          <w:spacing w:val="-2"/>
        </w:rPr>
        <w:t>程及无形资产而产生的处置利得或损失，在</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项目列报。对于上述列报项目的变更，本</w:t>
      </w:r>
      <w:r>
        <w:rPr>
          <w:spacing w:val="-47"/>
        </w:rPr>
        <w:t> </w:t>
      </w:r>
      <w:r>
        <w:rPr>
          <w:spacing w:val="-47"/>
        </w:rPr>
      </w:r>
      <w:r>
        <w:rPr/>
        <w:t>集团采用追溯调整法进行会计处理，并对上年比较数据进行调整。</w:t>
      </w:r>
    </w:p>
    <w:p>
      <w:pPr>
        <w:spacing w:line="240" w:lineRule="auto" w:before="11"/>
        <w:rPr>
          <w:rFonts w:ascii="宋体" w:hAnsi="宋体" w:cs="宋体" w:eastAsia="宋体" w:hint="default"/>
          <w:sz w:val="19"/>
          <w:szCs w:val="19"/>
        </w:rPr>
      </w:pPr>
    </w:p>
    <w:p>
      <w:pPr>
        <w:pStyle w:val="Heading6"/>
        <w:spacing w:line="240" w:lineRule="auto"/>
        <w:ind w:left="592" w:right="153" w:firstLine="0"/>
        <w:jc w:val="left"/>
      </w:pPr>
      <w:r>
        <w:rPr/>
        <w:t>除上述会计政策变更之外，本集团无其他会计政策及会计估计变更事项。</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3"/>
        <w:spacing w:line="240" w:lineRule="auto"/>
        <w:ind w:right="1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59" w:lineRule="auto"/>
        <w:ind w:right="148"/>
        <w:jc w:val="both"/>
      </w:pPr>
      <w:r>
        <w:rPr>
          <w:spacing w:val="-2"/>
        </w:rPr>
        <w:t>本集团合并财务报表范围包括</w:t>
      </w:r>
      <w:r>
        <w:rPr>
          <w:rFonts w:ascii="宋体" w:hAnsi="宋体" w:cs="宋体" w:eastAsia="宋体" w:hint="default"/>
          <w:spacing w:val="-2"/>
        </w:rPr>
        <w:t>69</w:t>
      </w:r>
      <w:r>
        <w:rPr>
          <w:spacing w:val="-2"/>
        </w:rPr>
        <w:t>家子公司，其中二级子公司</w:t>
      </w:r>
      <w:r>
        <w:rPr>
          <w:rFonts w:ascii="宋体" w:hAnsi="宋体" w:cs="宋体" w:eastAsia="宋体" w:hint="default"/>
          <w:spacing w:val="-2"/>
        </w:rPr>
        <w:t>15</w:t>
      </w:r>
      <w:r>
        <w:rPr>
          <w:spacing w:val="-2"/>
        </w:rPr>
        <w:t>家、三级子公司</w:t>
      </w:r>
      <w:r>
        <w:rPr>
          <w:rFonts w:ascii="宋体" w:hAnsi="宋体" w:cs="宋体" w:eastAsia="宋体" w:hint="default"/>
          <w:spacing w:val="-2"/>
        </w:rPr>
        <w:t>25</w:t>
      </w:r>
      <w:r>
        <w:rPr>
          <w:spacing w:val="-2"/>
        </w:rPr>
        <w:t>家、四级子公司</w:t>
      </w:r>
      <w:r>
        <w:rPr>
          <w:w w:val="100"/>
        </w:rPr>
        <w:t> </w:t>
      </w:r>
      <w:r>
        <w:rPr>
          <w:rFonts w:ascii="宋体" w:hAnsi="宋体" w:cs="宋体" w:eastAsia="宋体" w:hint="default"/>
        </w:rPr>
        <w:t>19</w:t>
      </w:r>
      <w:r>
        <w:rPr/>
        <w:t>家、五级子公司</w:t>
      </w:r>
      <w:r>
        <w:rPr>
          <w:rFonts w:ascii="宋体" w:hAnsi="宋体" w:cs="宋体" w:eastAsia="宋体" w:hint="default"/>
        </w:rPr>
        <w:t>10</w:t>
      </w:r>
      <w:r>
        <w:rPr/>
        <w:t>家。与上年相比，本年因非同一控制下企业合并增加</w:t>
      </w:r>
      <w:r>
        <w:rPr>
          <w:rFonts w:ascii="宋体" w:hAnsi="宋体" w:cs="宋体" w:eastAsia="宋体" w:hint="default"/>
        </w:rPr>
        <w:t>Review</w:t>
      </w:r>
      <w:r>
        <w:rPr>
          <w:rFonts w:ascii="宋体" w:hAnsi="宋体" w:cs="宋体" w:eastAsia="宋体" w:hint="default"/>
          <w:spacing w:val="-75"/>
        </w:rPr>
        <w:t> </w:t>
      </w:r>
      <w:r>
        <w:rPr>
          <w:rFonts w:ascii="宋体" w:hAnsi="宋体" w:cs="宋体" w:eastAsia="宋体" w:hint="default"/>
        </w:rPr>
        <w:t>Rank</w:t>
      </w:r>
      <w:r>
        <w:rPr>
          <w:rFonts w:ascii="宋体" w:hAnsi="宋体" w:cs="宋体" w:eastAsia="宋体" w:hint="default"/>
          <w:spacing w:val="-77"/>
        </w:rPr>
        <w:t> </w:t>
      </w:r>
      <w:r>
        <w:rPr>
          <w:rFonts w:ascii="宋体" w:hAnsi="宋体" w:cs="宋体" w:eastAsia="宋体" w:hint="default"/>
        </w:rPr>
        <w:t>S.A.</w:t>
      </w:r>
      <w:r>
        <w:rPr/>
        <w:t>、</w:t>
      </w:r>
      <w:r>
        <w:rPr>
          <w:rFonts w:ascii="宋体" w:hAnsi="宋体" w:cs="宋体" w:eastAsia="宋体" w:hint="default"/>
        </w:rPr>
        <w:t>Galasys</w:t>
      </w:r>
      <w:r>
        <w:rPr>
          <w:rFonts w:ascii="宋体" w:hAnsi="宋体" w:cs="宋体" w:eastAsia="宋体" w:hint="default"/>
          <w:w w:val="100"/>
        </w:rPr>
        <w:t> </w:t>
      </w:r>
      <w:r>
        <w:rPr>
          <w:rFonts w:ascii="宋体" w:hAnsi="宋体" w:cs="宋体" w:eastAsia="宋体" w:hint="default"/>
        </w:rPr>
        <w:t>Plc</w:t>
      </w:r>
      <w:r>
        <w:rPr/>
        <w:t>等</w:t>
      </w:r>
      <w:r>
        <w:rPr>
          <w:rFonts w:ascii="宋体" w:hAnsi="宋体" w:cs="宋体" w:eastAsia="宋体" w:hint="default"/>
        </w:rPr>
        <w:t>11</w:t>
      </w:r>
      <w:r>
        <w:rPr/>
        <w:t>家，因派生分立增加敏付科技有限公司。因处置减少</w:t>
      </w:r>
      <w:r>
        <w:rPr>
          <w:rFonts w:ascii="宋体" w:hAnsi="宋体" w:cs="宋体" w:eastAsia="宋体" w:hint="default"/>
        </w:rPr>
        <w:t>Great Kylin Investment</w:t>
      </w:r>
      <w:r>
        <w:rPr>
          <w:rFonts w:ascii="宋体" w:hAnsi="宋体" w:cs="宋体" w:eastAsia="宋体" w:hint="default"/>
          <w:spacing w:val="-5"/>
        </w:rPr>
        <w:t> </w:t>
      </w:r>
      <w:r>
        <w:rPr>
          <w:rFonts w:ascii="宋体" w:hAnsi="宋体" w:cs="宋体" w:eastAsia="宋体" w:hint="default"/>
        </w:rPr>
        <w:t>Limited</w:t>
      </w:r>
      <w:r>
        <w:rPr/>
        <w:t>。</w:t>
      </w:r>
    </w:p>
    <w:p>
      <w:pPr>
        <w:spacing w:after="0" w:line="259" w:lineRule="auto"/>
        <w:jc w:val="both"/>
        <w:sectPr>
          <w:headerReference w:type="default" r:id="rId22"/>
          <w:footerReference w:type="default" r:id="rId23"/>
          <w:pgSz w:w="11910" w:h="16840"/>
          <w:pgMar w:header="877" w:footer="980" w:top="1100" w:bottom="1160" w:left="980" w:right="980"/>
          <w:pgNumType w:start="51"/>
        </w:sectPr>
      </w:pPr>
    </w:p>
    <w:p>
      <w:pPr>
        <w:spacing w:line="240" w:lineRule="auto" w:before="5"/>
        <w:rPr>
          <w:rFonts w:ascii="宋体" w:hAnsi="宋体" w:cs="宋体" w:eastAsia="宋体" w:hint="default"/>
          <w:sz w:val="20"/>
          <w:szCs w:val="20"/>
        </w:rPr>
      </w:pPr>
    </w:p>
    <w:p>
      <w:pPr>
        <w:pStyle w:val="Heading6"/>
        <w:spacing w:line="240" w:lineRule="auto" w:before="32"/>
        <w:ind w:left="592" w:right="153" w:firstLine="0"/>
        <w:jc w:val="left"/>
      </w:pPr>
      <w:r>
        <w:rPr/>
        <w:t>详见本附注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44"/>
        <w:gridCol w:w="4326"/>
      </w:tblGrid>
      <w:tr>
        <w:trPr>
          <w:trHeight w:val="403"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w:t>
            </w:r>
          </w:p>
        </w:tc>
      </w:tr>
      <w:tr>
        <w:trPr>
          <w:trHeight w:val="403"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张昆、张海啸</w:t>
            </w:r>
          </w:p>
        </w:tc>
      </w:tr>
      <w:tr>
        <w:trPr>
          <w:trHeight w:val="403"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15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15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公司及其控股股东、实际控制人不存在任何不诚信的行为，包括但不限于：不存在未履行的法院生效判决、所负数额较大的</w:t>
      </w:r>
    </w:p>
    <w:p>
      <w:pPr>
        <w:spacing w:after="0" w:line="338"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债务到期未清偿等情况。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left="573" w:right="208"/>
        <w:jc w:val="left"/>
      </w:pPr>
      <w:r>
        <w:rPr/>
        <w:t>（一）股权激励计划已履行审批程序及授予</w:t>
      </w:r>
    </w:p>
    <w:p>
      <w:pPr>
        <w:pStyle w:val="BodyText"/>
        <w:spacing w:line="256" w:lineRule="auto" w:before="78"/>
        <w:ind w:right="211"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日，公司召开第五届董事会</w:t>
      </w:r>
      <w:r>
        <w:rPr>
          <w:rFonts w:ascii="Times New Roman" w:hAnsi="Times New Roman" w:cs="Times New Roman" w:eastAsia="Times New Roman" w:hint="default"/>
        </w:rPr>
        <w:t>2016</w:t>
      </w:r>
      <w:r>
        <w:rPr/>
        <w:t>年第九次临时会议审议通过《关于</w:t>
      </w:r>
      <w:r>
        <w:rPr>
          <w:rFonts w:ascii="Times New Roman" w:hAnsi="Times New Roman" w:cs="Times New Roman" w:eastAsia="Times New Roman" w:hint="default"/>
        </w:rPr>
        <w:t>&lt;</w:t>
      </w:r>
      <w:r>
        <w:rPr/>
        <w:t>北京中长石基信</w:t>
      </w:r>
      <w:r>
        <w:rPr>
          <w:w w:val="100"/>
        </w:rPr>
        <w:t> </w:t>
      </w:r>
      <w:r>
        <w:rPr>
          <w:spacing w:val="-2"/>
        </w:rPr>
        <w:t>息技术股份有限公司</w:t>
      </w:r>
      <w:r>
        <w:rPr>
          <w:rFonts w:ascii="Times New Roman" w:hAnsi="Times New Roman" w:cs="Times New Roman" w:eastAsia="Times New Roman" w:hint="default"/>
          <w:spacing w:val="-2"/>
        </w:rPr>
        <w:t>2016</w:t>
      </w:r>
      <w:r>
        <w:rPr>
          <w:spacing w:val="-2"/>
        </w:rPr>
        <w:t>年股票期权激励计划（草案）</w:t>
      </w:r>
      <w:r>
        <w:rPr>
          <w:rFonts w:ascii="Times New Roman" w:hAnsi="Times New Roman" w:cs="Times New Roman" w:eastAsia="Times New Roman" w:hint="default"/>
          <w:spacing w:val="-2"/>
        </w:rPr>
        <w:t>&gt;</w:t>
      </w:r>
      <w:r>
        <w:rPr>
          <w:spacing w:val="-2"/>
        </w:rPr>
        <w:t>及其摘要的议案》等相关议案，详见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rFonts w:ascii="Times New Roman" w:hAnsi="Times New Roman" w:cs="Times New Roman" w:eastAsia="Times New Roman" w:hint="default"/>
          <w:spacing w:val="2"/>
        </w:rPr>
        <w:t> </w:t>
      </w:r>
      <w:r>
        <w:rPr/>
        <w:t>日刊登于《中国证券报》、《证券时报》以及巨潮资讯网</w:t>
      </w:r>
      <w:hyperlink r:id="rId24">
        <w:r>
          <w:rPr>
            <w:rFonts w:ascii="Times New Roman" w:hAnsi="Times New Roman" w:cs="Times New Roman" w:eastAsia="Times New Roman" w:hint="default"/>
          </w:rPr>
          <w:t>www.cninfo.com.cn</w:t>
        </w:r>
        <w:r>
          <w:rPr/>
          <w:t>的相关公告</w:t>
        </w:r>
      </w:hyperlink>
      <w:r>
        <w:rPr/>
        <w:t>。</w:t>
      </w:r>
    </w:p>
    <w:p>
      <w:pPr>
        <w:pStyle w:val="BodyText"/>
        <w:spacing w:line="240" w:lineRule="auto" w:before="5"/>
        <w:ind w:right="216"/>
        <w:jc w:val="right"/>
      </w:pPr>
      <w:r>
        <w:rPr>
          <w:rFonts w:ascii="Times New Roman" w:hAnsi="Times New Roman" w:cs="Times New Roman" w:eastAsia="Times New Roman" w:hint="default"/>
        </w:rPr>
        <w:t>2</w:t>
      </w:r>
      <w:r>
        <w:rPr/>
        <w:t>、为了公司股权激励计划严格符合《股权激励管理办法》及深交所备忘录等配套制度规定，公司对</w:t>
      </w:r>
    </w:p>
    <w:p>
      <w:pPr>
        <w:pStyle w:val="BodyText"/>
        <w:spacing w:line="256" w:lineRule="auto" w:before="21"/>
        <w:ind w:right="208"/>
        <w:jc w:val="both"/>
      </w:pPr>
      <w:r>
        <w:rPr>
          <w:spacing w:val="-2"/>
        </w:rPr>
        <w:t>《</w:t>
      </w:r>
      <w:r>
        <w:rPr>
          <w:rFonts w:ascii="Times New Roman" w:hAnsi="Times New Roman" w:cs="Times New Roman" w:eastAsia="Times New Roman" w:hint="default"/>
          <w:spacing w:val="-2"/>
        </w:rPr>
        <w:t>2016</w:t>
      </w:r>
      <w:r>
        <w:rPr>
          <w:spacing w:val="-2"/>
        </w:rPr>
        <w:t>年股票期权激励计划（草案）</w:t>
      </w:r>
      <w:r>
        <w:rPr>
          <w:rFonts w:ascii="Times New Roman" w:hAnsi="Times New Roman" w:cs="Times New Roman" w:eastAsia="Times New Roman" w:hint="default"/>
          <w:spacing w:val="-2"/>
        </w:rPr>
        <w:t>&gt;</w:t>
      </w:r>
      <w:r>
        <w:rPr>
          <w:spacing w:val="-2"/>
        </w:rPr>
        <w:t>及其摘要》进行了修订，并于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日召开第五届董事会</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年第十次临时会议审议通过《关于</w:t>
      </w:r>
      <w:r>
        <w:rPr>
          <w:rFonts w:ascii="Times New Roman" w:hAnsi="Times New Roman" w:cs="Times New Roman" w:eastAsia="Times New Roman" w:hint="default"/>
        </w:rPr>
        <w:t>&lt;</w:t>
      </w:r>
      <w:r>
        <w:rPr/>
        <w:t>北京中长石基信息技术股份有限公司</w:t>
      </w:r>
      <w:r>
        <w:rPr>
          <w:rFonts w:ascii="Times New Roman" w:hAnsi="Times New Roman" w:cs="Times New Roman" w:eastAsia="Times New Roman" w:hint="default"/>
        </w:rPr>
        <w:t>2016</w:t>
      </w:r>
      <w:r>
        <w:rPr/>
        <w:t>年股票期权激励计划（草案</w:t>
      </w:r>
      <w:r>
        <w:rPr>
          <w:spacing w:val="-38"/>
        </w:rPr>
        <w:t> </w:t>
      </w:r>
      <w:r>
        <w:rPr>
          <w:spacing w:val="-38"/>
        </w:rPr>
      </w:r>
      <w:r>
        <w:rPr>
          <w:spacing w:val="-3"/>
        </w:rPr>
        <w:t>修订稿）</w:t>
      </w:r>
      <w:r>
        <w:rPr>
          <w:rFonts w:ascii="Times New Roman" w:hAnsi="Times New Roman" w:cs="Times New Roman" w:eastAsia="Times New Roman" w:hint="default"/>
          <w:spacing w:val="-3"/>
        </w:rPr>
        <w:t>&gt;</w:t>
      </w:r>
      <w:r>
        <w:rPr>
          <w:spacing w:val="-3"/>
        </w:rPr>
        <w:t>及其摘要的议案》等相关议案，详见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22</w:t>
      </w:r>
      <w:r>
        <w:rPr>
          <w:spacing w:val="-3"/>
        </w:rPr>
        <w:t>日刊登于《中国证券报》、《证券时报》以及</w:t>
      </w:r>
      <w:r>
        <w:rPr>
          <w:spacing w:val="-5"/>
        </w:rPr>
        <w:t> </w:t>
      </w:r>
      <w:r>
        <w:rPr>
          <w:spacing w:val="-5"/>
        </w:rPr>
      </w:r>
      <w:r>
        <w:rPr/>
        <w:t>巨潮资讯网</w:t>
      </w:r>
      <w:hyperlink r:id="rId24">
        <w:r>
          <w:rPr>
            <w:rFonts w:ascii="Times New Roman" w:hAnsi="Times New Roman" w:cs="Times New Roman" w:eastAsia="Times New Roman" w:hint="default"/>
          </w:rPr>
          <w:t>www.cninfo.com.cn</w:t>
        </w:r>
        <w:r>
          <w:rPr/>
          <w:t>的相关公告。</w:t>
        </w:r>
      </w:hyperlink>
    </w:p>
    <w:p>
      <w:pPr>
        <w:pStyle w:val="BodyText"/>
        <w:spacing w:line="256" w:lineRule="auto" w:before="5"/>
        <w:ind w:right="187"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2016</w:t>
      </w:r>
      <w:r>
        <w:rPr/>
        <w:t>年第三次临时股东大会审议通过上述议案，公司确定</w:t>
      </w:r>
      <w:r>
        <w:rPr>
          <w:rFonts w:ascii="Times New Roman" w:hAnsi="Times New Roman" w:cs="Times New Roman" w:eastAsia="Times New Roman" w:hint="default"/>
        </w:rPr>
        <w:t>2016</w:t>
      </w:r>
      <w:r>
        <w:rPr/>
        <w:t>年股权激</w:t>
      </w:r>
      <w:r>
        <w:rPr>
          <w:w w:val="100"/>
        </w:rPr>
        <w:t> </w:t>
      </w:r>
      <w:r>
        <w:rPr/>
        <w:t>励计划为：公司拟授予激励对象</w:t>
      </w:r>
      <w:r>
        <w:rPr>
          <w:rFonts w:ascii="Times New Roman" w:hAnsi="Times New Roman" w:cs="Times New Roman" w:eastAsia="Times New Roman" w:hint="default"/>
        </w:rPr>
        <w:t>800</w:t>
      </w:r>
      <w:r>
        <w:rPr/>
        <w:t>万份股票期权（首次授予</w:t>
      </w:r>
      <w:r>
        <w:rPr>
          <w:rFonts w:ascii="Times New Roman" w:hAnsi="Times New Roman" w:cs="Times New Roman" w:eastAsia="Times New Roman" w:hint="default"/>
        </w:rPr>
        <w:t>738.5</w:t>
      </w:r>
      <w:r>
        <w:rPr/>
        <w:t>万股，预留</w:t>
      </w:r>
      <w:r>
        <w:rPr>
          <w:rFonts w:ascii="Times New Roman" w:hAnsi="Times New Roman" w:cs="Times New Roman" w:eastAsia="Times New Roman" w:hint="default"/>
        </w:rPr>
        <w:t>61.5</w:t>
      </w:r>
      <w:r>
        <w:rPr/>
        <w:t>万股），首次授予对象</w:t>
      </w:r>
      <w:r>
        <w:rPr>
          <w:spacing w:val="-26"/>
        </w:rPr>
        <w:t> </w:t>
      </w:r>
      <w:r>
        <w:rPr>
          <w:spacing w:val="-26"/>
        </w:rPr>
      </w:r>
      <w:r>
        <w:rPr>
          <w:rFonts w:ascii="Times New Roman" w:hAnsi="Times New Roman" w:cs="Times New Roman" w:eastAsia="Times New Roman" w:hint="default"/>
          <w:spacing w:val="-1"/>
        </w:rPr>
        <w:t>510</w:t>
      </w:r>
      <w:r>
        <w:rPr>
          <w:spacing w:val="-1"/>
        </w:rPr>
        <w:t>人，行权价格为</w:t>
      </w:r>
      <w:r>
        <w:rPr>
          <w:rFonts w:ascii="Times New Roman" w:hAnsi="Times New Roman" w:cs="Times New Roman" w:eastAsia="Times New Roman" w:hint="default"/>
          <w:spacing w:val="-1"/>
        </w:rPr>
        <w:t>25.38</w:t>
      </w:r>
      <w:r>
        <w:rPr>
          <w:spacing w:val="-1"/>
        </w:rPr>
        <w:t>元，自授权日开始经过</w:t>
      </w:r>
      <w:r>
        <w:rPr>
          <w:rFonts w:ascii="Times New Roman" w:hAnsi="Times New Roman" w:cs="Times New Roman" w:eastAsia="Times New Roman" w:hint="default"/>
          <w:spacing w:val="-1"/>
        </w:rPr>
        <w:t>24</w:t>
      </w:r>
      <w:r>
        <w:rPr>
          <w:spacing w:val="-1"/>
        </w:rPr>
        <w:t>个月的等待期，在满足行权条件的前提下，在可行权日</w:t>
      </w:r>
      <w:r>
        <w:rPr>
          <w:spacing w:val="-27"/>
        </w:rPr>
        <w:t> </w:t>
      </w:r>
      <w:r>
        <w:rPr>
          <w:spacing w:val="-27"/>
        </w:rPr>
      </w:r>
      <w:r>
        <w:rPr>
          <w:spacing w:val="-2"/>
        </w:rPr>
        <w:t>按照</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40%</w:t>
      </w:r>
      <w:r>
        <w:rPr>
          <w:spacing w:val="-2"/>
        </w:rPr>
        <w:t>的行权比例分三期行权。详见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日刊登于《中国证券报》、《证券时报》</w:t>
      </w:r>
      <w:r>
        <w:rPr>
          <w:spacing w:val="-12"/>
        </w:rPr>
        <w:t> </w:t>
      </w:r>
      <w:r>
        <w:rPr>
          <w:spacing w:val="-12"/>
        </w:rPr>
      </w:r>
      <w:r>
        <w:rPr/>
        <w:t>以及巨潮资讯网</w:t>
      </w:r>
      <w:hyperlink r:id="rId24">
        <w:r>
          <w:rPr>
            <w:rFonts w:ascii="Times New Roman" w:hAnsi="Times New Roman" w:cs="Times New Roman" w:eastAsia="Times New Roman" w:hint="default"/>
          </w:rPr>
          <w:t>www.cninfo.com.cn</w:t>
        </w:r>
        <w:r>
          <w:rPr/>
          <w:t>的相关公告。</w:t>
        </w:r>
      </w:hyperlink>
    </w:p>
    <w:p>
      <w:pPr>
        <w:pStyle w:val="BodyText"/>
        <w:spacing w:line="256" w:lineRule="auto" w:before="5"/>
        <w:ind w:right="102" w:firstLine="420"/>
        <w:jc w:val="both"/>
      </w:pPr>
      <w:r>
        <w:rPr>
          <w:rFonts w:ascii="Times New Roman" w:hAnsi="Times New Roman" w:cs="Times New Roman" w:eastAsia="Times New Roman" w:hint="default"/>
        </w:rPr>
        <w:t>4</w:t>
      </w:r>
      <w:r>
        <w:rPr/>
        <w:t>、根据股东大会授权及激励对象因离职或个人原因放弃本次授予的股票期权，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w:t>
      </w:r>
      <w:r>
        <w:rPr>
          <w:w w:val="100"/>
        </w:rPr>
        <w:t> </w:t>
      </w:r>
      <w:r>
        <w:rPr>
          <w:spacing w:val="-2"/>
        </w:rPr>
        <w:t>司召开第五届董事会</w:t>
      </w:r>
      <w:r>
        <w:rPr>
          <w:rFonts w:ascii="Times New Roman" w:hAnsi="Times New Roman" w:cs="Times New Roman" w:eastAsia="Times New Roman" w:hint="default"/>
          <w:spacing w:val="-2"/>
        </w:rPr>
        <w:t>2016</w:t>
      </w:r>
      <w:r>
        <w:rPr>
          <w:spacing w:val="-2"/>
        </w:rPr>
        <w:t>年第十四次临时会议审议通过《关于调整</w:t>
      </w:r>
      <w:r>
        <w:rPr>
          <w:rFonts w:ascii="Times New Roman" w:hAnsi="Times New Roman" w:cs="Times New Roman" w:eastAsia="Times New Roman" w:hint="default"/>
          <w:spacing w:val="-2"/>
        </w:rPr>
        <w:t>2016</w:t>
      </w:r>
      <w:r>
        <w:rPr>
          <w:spacing w:val="-2"/>
        </w:rPr>
        <w:t>年股票期权激励计划授予对象及授</w:t>
      </w:r>
      <w:r>
        <w:rPr>
          <w:spacing w:val="-36"/>
        </w:rPr>
        <w:t> </w:t>
      </w:r>
      <w:r>
        <w:rPr>
          <w:spacing w:val="-36"/>
        </w:rPr>
      </w:r>
      <w:r>
        <w:rPr>
          <w:spacing w:val="-2"/>
        </w:rPr>
        <w:t>予数量的议案》及《关于公司</w:t>
      </w:r>
      <w:r>
        <w:rPr>
          <w:rFonts w:ascii="Times New Roman" w:hAnsi="Times New Roman" w:cs="Times New Roman" w:eastAsia="Times New Roman" w:hint="default"/>
          <w:spacing w:val="-2"/>
        </w:rPr>
        <w:t>2016</w:t>
      </w:r>
      <w:r>
        <w:rPr>
          <w:spacing w:val="-2"/>
        </w:rPr>
        <w:t>年股票期权激励计划首次授予事项的议案》，确定以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日作</w:t>
      </w:r>
      <w:r>
        <w:rPr>
          <w:spacing w:val="-32"/>
        </w:rPr>
        <w:t> </w:t>
      </w:r>
      <w:r>
        <w:rPr>
          <w:spacing w:val="-4"/>
        </w:rPr>
        <w:t>为本次股票期权激励计划的授予日，将首次授予激励对象由</w:t>
      </w:r>
      <w:r>
        <w:rPr>
          <w:rFonts w:ascii="Times New Roman" w:hAnsi="Times New Roman" w:cs="Times New Roman" w:eastAsia="Times New Roman" w:hint="default"/>
          <w:spacing w:val="-4"/>
        </w:rPr>
        <w:t>510</w:t>
      </w:r>
      <w:r>
        <w:rPr>
          <w:spacing w:val="-4"/>
        </w:rPr>
        <w:t>名调整为</w:t>
      </w:r>
      <w:r>
        <w:rPr>
          <w:rFonts w:ascii="Times New Roman" w:hAnsi="Times New Roman" w:cs="Times New Roman" w:eastAsia="Times New Roman" w:hint="default"/>
          <w:spacing w:val="-4"/>
        </w:rPr>
        <w:t>506</w:t>
      </w:r>
      <w:r>
        <w:rPr>
          <w:spacing w:val="-4"/>
        </w:rPr>
        <w:t>名，授予的股票期权数量由</w:t>
      </w:r>
      <w:r>
        <w:rPr>
          <w:rFonts w:ascii="Times New Roman" w:hAnsi="Times New Roman" w:cs="Times New Roman" w:eastAsia="Times New Roman" w:hint="default"/>
          <w:spacing w:val="-4"/>
        </w:rPr>
        <w:t>800</w:t>
      </w:r>
      <w:r>
        <w:rPr>
          <w:rFonts w:ascii="Times New Roman" w:hAnsi="Times New Roman" w:cs="Times New Roman" w:eastAsia="Times New Roman" w:hint="default"/>
          <w:spacing w:val="14"/>
        </w:rPr>
        <w:t> </w:t>
      </w:r>
      <w:r>
        <w:rPr>
          <w:spacing w:val="-3"/>
        </w:rPr>
        <w:t>万份（首次授予</w:t>
      </w:r>
      <w:r>
        <w:rPr>
          <w:rFonts w:ascii="Times New Roman" w:hAnsi="Times New Roman" w:cs="Times New Roman" w:eastAsia="Times New Roman" w:hint="default"/>
          <w:spacing w:val="-3"/>
        </w:rPr>
        <w:t>738.5</w:t>
      </w:r>
      <w:r>
        <w:rPr>
          <w:spacing w:val="-3"/>
        </w:rPr>
        <w:t>万份，预留</w:t>
      </w:r>
      <w:r>
        <w:rPr>
          <w:rFonts w:ascii="Times New Roman" w:hAnsi="Times New Roman" w:cs="Times New Roman" w:eastAsia="Times New Roman" w:hint="default"/>
          <w:spacing w:val="-3"/>
        </w:rPr>
        <w:t>61.5</w:t>
      </w:r>
      <w:r>
        <w:rPr>
          <w:spacing w:val="-3"/>
        </w:rPr>
        <w:t>万份）调整为</w:t>
      </w:r>
      <w:r>
        <w:rPr>
          <w:rFonts w:ascii="Times New Roman" w:hAnsi="Times New Roman" w:cs="Times New Roman" w:eastAsia="Times New Roman" w:hint="default"/>
          <w:spacing w:val="-3"/>
        </w:rPr>
        <w:t>797.28</w:t>
      </w:r>
      <w:r>
        <w:rPr>
          <w:spacing w:val="-3"/>
        </w:rPr>
        <w:t>万份（首次授予</w:t>
      </w:r>
      <w:r>
        <w:rPr>
          <w:rFonts w:ascii="Times New Roman" w:hAnsi="Times New Roman" w:cs="Times New Roman" w:eastAsia="Times New Roman" w:hint="default"/>
          <w:spacing w:val="-3"/>
        </w:rPr>
        <w:t>735.78</w:t>
      </w:r>
      <w:r>
        <w:rPr>
          <w:spacing w:val="-3"/>
        </w:rPr>
        <w:t>万份，预留</w:t>
      </w:r>
      <w:r>
        <w:rPr>
          <w:rFonts w:ascii="Times New Roman" w:hAnsi="Times New Roman" w:cs="Times New Roman" w:eastAsia="Times New Roman" w:hint="default"/>
          <w:spacing w:val="-3"/>
        </w:rPr>
        <w:t>61.5</w:t>
      </w:r>
      <w:r>
        <w:rPr>
          <w:spacing w:val="-3"/>
        </w:rPr>
        <w:t>万份）。详</w:t>
      </w:r>
      <w:r>
        <w:rPr>
          <w:spacing w:val="-20"/>
        </w:rPr>
        <w:t> </w:t>
      </w:r>
      <w:r>
        <w:rPr>
          <w:spacing w:val="-20"/>
        </w:rPr>
      </w:r>
      <w:r>
        <w:rPr>
          <w:spacing w:val="-2"/>
        </w:rPr>
        <w:t>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日刊登于《中国证券报》、《证券时报》以及巨潮资讯网</w:t>
      </w:r>
      <w:hyperlink r:id="rId13">
        <w:r>
          <w:rPr>
            <w:rFonts w:ascii="Times New Roman" w:hAnsi="Times New Roman" w:cs="Times New Roman" w:eastAsia="Times New Roman" w:hint="default"/>
            <w:spacing w:val="-2"/>
          </w:rPr>
          <w:t>www.cninfo.com.cn</w:t>
        </w:r>
      </w:hyperlink>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的相关公告。</w:t>
      </w:r>
    </w:p>
    <w:p>
      <w:pPr>
        <w:pStyle w:val="BodyText"/>
        <w:spacing w:line="256" w:lineRule="auto" w:before="5"/>
        <w:ind w:right="105" w:firstLine="420"/>
        <w:jc w:val="both"/>
      </w:pPr>
      <w:r>
        <w:rPr>
          <w:rFonts w:ascii="Times New Roman" w:hAnsi="Times New Roman" w:cs="Times New Roman" w:eastAsia="Times New Roman" w:hint="default"/>
        </w:rPr>
        <w:t>5</w:t>
      </w:r>
      <w:r>
        <w:rPr/>
        <w:t>、根据股东大会授权董事会办理公司股票期权激励计划的相关事宜，且经深圳证券交易所及中国证</w:t>
      </w:r>
      <w:r>
        <w:rPr>
          <w:w w:val="100"/>
        </w:rPr>
        <w:t> </w:t>
      </w:r>
      <w:r>
        <w:rPr/>
        <w:t>券登记结算有限责任公司深圳分公司审核确认，公司于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日完成本次股票期权首次授予的登记</w:t>
      </w:r>
      <w:r>
        <w:rPr>
          <w:spacing w:val="-24"/>
        </w:rPr>
        <w:t> </w:t>
      </w:r>
      <w:r>
        <w:rPr>
          <w:spacing w:val="-24"/>
        </w:rPr>
      </w:r>
      <w:r>
        <w:rPr/>
        <w:t>工作，期权简称：石基</w:t>
      </w:r>
      <w:r>
        <w:rPr>
          <w:rFonts w:ascii="Times New Roman" w:hAnsi="Times New Roman" w:cs="Times New Roman" w:eastAsia="Times New Roman" w:hint="default"/>
        </w:rPr>
        <w:t>JLC2</w:t>
      </w:r>
      <w:r>
        <w:rPr/>
        <w:t>；期权代码：</w:t>
      </w:r>
      <w:r>
        <w:rPr>
          <w:rFonts w:ascii="Times New Roman" w:hAnsi="Times New Roman" w:cs="Times New Roman" w:eastAsia="Times New Roman" w:hint="default"/>
        </w:rPr>
        <w:t>037724</w:t>
      </w:r>
      <w:r>
        <w:rPr/>
        <w:t>。本次授予</w:t>
      </w:r>
      <w:r>
        <w:rPr>
          <w:rFonts w:ascii="Times New Roman" w:hAnsi="Times New Roman" w:cs="Times New Roman" w:eastAsia="Times New Roman" w:hint="default"/>
        </w:rPr>
        <w:t>506</w:t>
      </w:r>
      <w:r>
        <w:rPr/>
        <w:t>名激励对象</w:t>
      </w:r>
      <w:r>
        <w:rPr>
          <w:rFonts w:ascii="Times New Roman" w:hAnsi="Times New Roman" w:cs="Times New Roman" w:eastAsia="Times New Roman" w:hint="default"/>
        </w:rPr>
        <w:t>735.78</w:t>
      </w:r>
      <w:r>
        <w:rPr/>
        <w:t>万股股票期权，授予价</w:t>
      </w:r>
      <w:r>
        <w:rPr>
          <w:spacing w:val="-13"/>
        </w:rPr>
        <w:t> </w:t>
      </w:r>
      <w:r>
        <w:rPr>
          <w:spacing w:val="-13"/>
        </w:rPr>
      </w:r>
      <w:r>
        <w:rPr>
          <w:spacing w:val="-3"/>
        </w:rPr>
        <w:t>格</w:t>
      </w:r>
      <w:r>
        <w:rPr>
          <w:rFonts w:ascii="Times New Roman" w:hAnsi="Times New Roman" w:cs="Times New Roman" w:eastAsia="Times New Roman" w:hint="default"/>
          <w:spacing w:val="-3"/>
        </w:rPr>
        <w:t>25.38</w:t>
      </w:r>
      <w:r>
        <w:rPr>
          <w:spacing w:val="-3"/>
        </w:rPr>
        <w:t>元，期权有效期</w:t>
      </w:r>
      <w:r>
        <w:rPr>
          <w:rFonts w:ascii="Times New Roman" w:hAnsi="Times New Roman" w:cs="Times New Roman" w:eastAsia="Times New Roman" w:hint="default"/>
          <w:spacing w:val="-3"/>
        </w:rPr>
        <w:t>60</w:t>
      </w:r>
      <w:r>
        <w:rPr>
          <w:spacing w:val="-3"/>
        </w:rPr>
        <w:t>个月，等待期</w:t>
      </w:r>
      <w:r>
        <w:rPr>
          <w:rFonts w:ascii="Times New Roman" w:hAnsi="Times New Roman" w:cs="Times New Roman" w:eastAsia="Times New Roman" w:hint="default"/>
          <w:spacing w:val="-3"/>
        </w:rPr>
        <w:t>24</w:t>
      </w:r>
      <w:r>
        <w:rPr>
          <w:spacing w:val="-3"/>
        </w:rPr>
        <w:t>个月，分三期行权。详见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日刊登于《中国证券报》、</w:t>
      </w:r>
    </w:p>
    <w:p>
      <w:pPr>
        <w:pStyle w:val="BodyText"/>
        <w:spacing w:line="256" w:lineRule="auto" w:before="5"/>
        <w:ind w:right="208"/>
        <w:jc w:val="left"/>
      </w:pPr>
      <w:r>
        <w:rPr>
          <w:spacing w:val="-2"/>
        </w:rPr>
        <w:t>《证券时报》以及巨潮资讯网</w:t>
      </w:r>
      <w:hyperlink r:id="rId25">
        <w:r>
          <w:rPr>
            <w:rFonts w:ascii="Times New Roman" w:hAnsi="Times New Roman" w:cs="Times New Roman" w:eastAsia="Times New Roman" w:hint="default"/>
            <w:spacing w:val="-2"/>
          </w:rPr>
          <w:t>www.cninfo.com.cn</w:t>
        </w:r>
        <w:r>
          <w:rPr>
            <w:spacing w:val="-2"/>
          </w:rPr>
          <w:t>的</w:t>
        </w:r>
      </w:hyperlink>
      <w:r>
        <w:rPr>
          <w:spacing w:val="-2"/>
        </w:rPr>
        <w:t>《关于</w:t>
      </w:r>
      <w:r>
        <w:rPr>
          <w:rFonts w:ascii="Times New Roman" w:hAnsi="Times New Roman" w:cs="Times New Roman" w:eastAsia="Times New Roman" w:hint="default"/>
          <w:spacing w:val="-2"/>
        </w:rPr>
        <w:t>2016</w:t>
      </w:r>
      <w:r>
        <w:rPr>
          <w:spacing w:val="-2"/>
        </w:rPr>
        <w:t>年股票期权激励计划首次授予登记完成的公</w:t>
      </w:r>
      <w:r>
        <w:rPr>
          <w:spacing w:val="-51"/>
        </w:rPr>
        <w:t> </w:t>
      </w:r>
      <w:r>
        <w:rPr>
          <w:spacing w:val="-51"/>
        </w:rPr>
      </w:r>
      <w:r>
        <w:rPr/>
        <w:t>告》</w:t>
      </w:r>
      <w:r>
        <w:rPr>
          <w:spacing w:val="-25"/>
        </w:rPr>
        <w:t> </w:t>
      </w:r>
      <w:r>
        <w:rPr/>
        <w:t>（</w:t>
      </w:r>
      <w:r>
        <w:rPr>
          <w:rFonts w:ascii="Times New Roman" w:hAnsi="Times New Roman" w:cs="Times New Roman" w:eastAsia="Times New Roman" w:hint="default"/>
        </w:rPr>
        <w:t>2016-71</w:t>
      </w:r>
      <w:r>
        <w:rPr/>
        <w:t>）。</w:t>
      </w:r>
    </w:p>
    <w:p>
      <w:pPr>
        <w:pStyle w:val="BodyText"/>
        <w:spacing w:line="256" w:lineRule="auto" w:before="5"/>
        <w:ind w:right="206" w:firstLine="42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日，鉴于公司</w:t>
      </w:r>
      <w:r>
        <w:rPr>
          <w:rFonts w:ascii="Times New Roman" w:hAnsi="Times New Roman" w:cs="Times New Roman" w:eastAsia="Times New Roman" w:hint="default"/>
        </w:rPr>
        <w:t>2016</w:t>
      </w:r>
      <w:r>
        <w:rPr/>
        <w:t>年度利润分配方案已实施完毕，根据公司《</w:t>
      </w:r>
      <w:r>
        <w:rPr>
          <w:rFonts w:ascii="Times New Roman" w:hAnsi="Times New Roman" w:cs="Times New Roman" w:eastAsia="Times New Roman" w:hint="default"/>
        </w:rPr>
        <w:t>2016</w:t>
      </w:r>
      <w:r>
        <w:rPr/>
        <w:t>年股票期权激励计</w:t>
      </w:r>
      <w:r>
        <w:rPr>
          <w:w w:val="100"/>
        </w:rPr>
        <w:t> </w:t>
      </w:r>
      <w:r>
        <w:rPr/>
        <w:t>划</w:t>
      </w:r>
      <w:r>
        <w:rPr>
          <w:spacing w:val="65"/>
        </w:rPr>
        <w:t> </w:t>
      </w:r>
      <w:r>
        <w:rPr/>
        <w:t>（草案修订稿）》的相关规定及</w:t>
      </w:r>
      <w:r>
        <w:rPr>
          <w:rFonts w:ascii="Times New Roman" w:hAnsi="Times New Roman" w:cs="Times New Roman" w:eastAsia="Times New Roman" w:hint="default"/>
        </w:rPr>
        <w:t>2016</w:t>
      </w:r>
      <w:r>
        <w:rPr/>
        <w:t>年第三次临时股东大会的授权，公司召开第六届董事会</w:t>
      </w:r>
      <w:r>
        <w:rPr>
          <w:rFonts w:ascii="Times New Roman" w:hAnsi="Times New Roman" w:cs="Times New Roman" w:eastAsia="Times New Roman" w:hint="default"/>
        </w:rPr>
        <w:t>2017</w:t>
      </w:r>
      <w:r>
        <w:rPr/>
        <w:t>年第</w:t>
      </w:r>
      <w:r>
        <w:rPr>
          <w:spacing w:val="-91"/>
        </w:rPr>
        <w:t> </w:t>
      </w:r>
      <w:r>
        <w:rPr>
          <w:spacing w:val="-2"/>
        </w:rPr>
        <w:t>六次临时会议审议通过《关于调整公司</w:t>
      </w:r>
      <w:r>
        <w:rPr>
          <w:rFonts w:ascii="Times New Roman" w:hAnsi="Times New Roman" w:cs="Times New Roman" w:eastAsia="Times New Roman" w:hint="default"/>
          <w:spacing w:val="-2"/>
        </w:rPr>
        <w:t>2016</w:t>
      </w:r>
      <w:r>
        <w:rPr>
          <w:spacing w:val="-2"/>
        </w:rPr>
        <w:t>年股票期权激励计划首次授予期权行权价格的议案》，同意公</w:t>
      </w:r>
      <w:r>
        <w:rPr>
          <w:spacing w:val="-40"/>
        </w:rPr>
        <w:t> </w:t>
      </w:r>
      <w:r>
        <w:rPr>
          <w:spacing w:val="-40"/>
        </w:rPr>
      </w:r>
      <w:r>
        <w:rPr>
          <w:spacing w:val="-1"/>
        </w:rPr>
        <w:t>司董事会对公司</w:t>
      </w:r>
      <w:r>
        <w:rPr>
          <w:rFonts w:ascii="Times New Roman" w:hAnsi="Times New Roman" w:cs="Times New Roman" w:eastAsia="Times New Roman" w:hint="default"/>
          <w:spacing w:val="-1"/>
        </w:rPr>
        <w:t>2016</w:t>
      </w:r>
      <w:r>
        <w:rPr>
          <w:spacing w:val="-1"/>
        </w:rPr>
        <w:t>年股票期权激励计划首次授予期权的行权价格由原行权价格</w:t>
      </w:r>
      <w:r>
        <w:rPr>
          <w:rFonts w:ascii="Times New Roman" w:hAnsi="Times New Roman" w:cs="Times New Roman" w:eastAsia="Times New Roman" w:hint="default"/>
          <w:spacing w:val="-1"/>
        </w:rPr>
        <w:t>25.38</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25.34</w:t>
      </w:r>
      <w:r>
        <w:rPr>
          <w:spacing w:val="-1"/>
        </w:rPr>
        <w:t>元</w:t>
      </w:r>
    </w:p>
    <w:p>
      <w:pPr>
        <w:pStyle w:val="BodyText"/>
        <w:spacing w:line="256" w:lineRule="auto" w:before="5"/>
        <w:ind w:right="160"/>
        <w:jc w:val="right"/>
      </w:pPr>
      <w:r>
        <w:rPr>
          <w:rFonts w:ascii="Times New Roman" w:hAnsi="Times New Roman" w:cs="Times New Roman" w:eastAsia="Times New Roman" w:hint="default"/>
          <w:spacing w:val="-1"/>
        </w:rPr>
        <w:t>/</w:t>
      </w:r>
      <w:r>
        <w:rPr>
          <w:spacing w:val="-1"/>
        </w:rPr>
        <w:t>股（行权价格保留两位小数）。详见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日刊登于《中国证券报》、《证券时报》及巨潮资讯网</w:t>
      </w:r>
      <w:r>
        <w:rPr>
          <w:spacing w:val="-98"/>
        </w:rPr>
        <w:t> </w:t>
      </w:r>
      <w:r>
        <w:rPr>
          <w:spacing w:val="-98"/>
        </w:rPr>
      </w:r>
      <w:hyperlink r:id="rId25">
        <w:r>
          <w:rPr>
            <w:rFonts w:ascii="Times New Roman" w:hAnsi="Times New Roman" w:cs="Times New Roman" w:eastAsia="Times New Roman" w:hint="default"/>
            <w:spacing w:val="-6"/>
            <w:w w:val="100"/>
          </w:rPr>
          <w:t>www.cninfo.com.cn</w:t>
        </w:r>
        <w:r>
          <w:rPr>
            <w:spacing w:val="-6"/>
            <w:w w:val="100"/>
          </w:rPr>
          <w:t>的</w:t>
        </w:r>
      </w:hyperlink>
      <w:r>
        <w:rPr>
          <w:spacing w:val="-6"/>
          <w:w w:val="100"/>
        </w:rPr>
        <w:t>《关于调整公司</w:t>
      </w:r>
      <w:r>
        <w:rPr>
          <w:rFonts w:ascii="Times New Roman" w:hAnsi="Times New Roman" w:cs="Times New Roman" w:eastAsia="Times New Roman" w:hint="default"/>
          <w:spacing w:val="-6"/>
          <w:w w:val="100"/>
        </w:rPr>
        <w:t>2016</w:t>
      </w:r>
      <w:r>
        <w:rPr>
          <w:spacing w:val="-6"/>
          <w:w w:val="100"/>
        </w:rPr>
        <w:t>年股票期权激励计划首次授予期权行权价格的公告》（</w:t>
      </w:r>
      <w:r>
        <w:rPr>
          <w:rFonts w:ascii="Times New Roman" w:hAnsi="Times New Roman" w:cs="Times New Roman" w:eastAsia="Times New Roman" w:hint="default"/>
          <w:spacing w:val="-6"/>
          <w:w w:val="100"/>
        </w:rPr>
        <w:t>2017-36</w:t>
      </w:r>
      <w:r>
        <w:rPr>
          <w:spacing w:val="-6"/>
          <w:w w:val="100"/>
        </w:rPr>
        <w:t>）。</w:t>
      </w:r>
      <w:r>
        <w:rPr>
          <w:spacing w:val="-58"/>
          <w:w w:val="100"/>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日，公司召开第六届董事会</w:t>
      </w:r>
      <w:r>
        <w:rPr>
          <w:rFonts w:ascii="Times New Roman" w:hAnsi="Times New Roman" w:cs="Times New Roman" w:eastAsia="Times New Roman" w:hint="default"/>
        </w:rPr>
        <w:t>2017</w:t>
      </w:r>
      <w:r>
        <w:rPr/>
        <w:t>年第七次临时会议审议通过《关于调整</w:t>
      </w:r>
      <w:r>
        <w:rPr>
          <w:rFonts w:ascii="Times New Roman" w:hAnsi="Times New Roman" w:cs="Times New Roman" w:eastAsia="Times New Roman" w:hint="default"/>
        </w:rPr>
        <w:t>2016</w:t>
      </w:r>
      <w:r>
        <w:rPr/>
        <w:t>年股票期</w:t>
      </w:r>
      <w:r>
        <w:rPr>
          <w:w w:val="100"/>
        </w:rPr>
        <w:t> </w:t>
      </w:r>
      <w:r>
        <w:rPr>
          <w:spacing w:val="-2"/>
        </w:rPr>
        <w:t>权激励计划首次授予对象、授予数量及注销部分期权的议案》及《关于公司</w:t>
      </w:r>
      <w:r>
        <w:rPr>
          <w:rFonts w:ascii="Times New Roman" w:hAnsi="Times New Roman" w:cs="Times New Roman" w:eastAsia="Times New Roman" w:hint="default"/>
          <w:spacing w:val="-2"/>
        </w:rPr>
        <w:t>2016</w:t>
      </w:r>
      <w:r>
        <w:rPr>
          <w:spacing w:val="-2"/>
        </w:rPr>
        <w:t>年股票期权激励计划预留</w:t>
      </w:r>
      <w:r>
        <w:rPr>
          <w:w w:val="100"/>
        </w:rPr>
        <w:t> </w:t>
      </w:r>
      <w:r>
        <w:rPr>
          <w:spacing w:val="-2"/>
        </w:rPr>
        <w:t>股票期权授予相关事项的议案》，将公司股权激励计划首次授予的激励对象人数由</w:t>
      </w:r>
      <w:r>
        <w:rPr>
          <w:rFonts w:ascii="Times New Roman" w:hAnsi="Times New Roman" w:cs="Times New Roman" w:eastAsia="Times New Roman" w:hint="default"/>
          <w:spacing w:val="-2"/>
        </w:rPr>
        <w:t>506</w:t>
      </w:r>
      <w:r>
        <w:rPr>
          <w:spacing w:val="-2"/>
        </w:rPr>
        <w:t>名调整为</w:t>
      </w:r>
      <w:r>
        <w:rPr>
          <w:rFonts w:ascii="Times New Roman" w:hAnsi="Times New Roman" w:cs="Times New Roman" w:eastAsia="Times New Roman" w:hint="default"/>
          <w:spacing w:val="-2"/>
        </w:rPr>
        <w:t>494</w:t>
      </w:r>
      <w:r>
        <w:rPr>
          <w:spacing w:val="-2"/>
        </w:rPr>
        <w:t>名，授</w:t>
      </w:r>
      <w:r>
        <w:rPr>
          <w:w w:val="100"/>
        </w:rPr>
        <w:t> </w:t>
      </w:r>
      <w:r>
        <w:rPr>
          <w:spacing w:val="-2"/>
        </w:rPr>
        <w:t>予的股票期权数量由</w:t>
      </w:r>
      <w:r>
        <w:rPr>
          <w:rFonts w:ascii="Times New Roman" w:hAnsi="Times New Roman" w:cs="Times New Roman" w:eastAsia="Times New Roman" w:hint="default"/>
          <w:spacing w:val="-2"/>
        </w:rPr>
        <w:t>797.28</w:t>
      </w:r>
      <w:r>
        <w:rPr>
          <w:spacing w:val="-2"/>
        </w:rPr>
        <w:t>万股（其中首次授予</w:t>
      </w:r>
      <w:r>
        <w:rPr>
          <w:rFonts w:ascii="Times New Roman" w:hAnsi="Times New Roman" w:cs="Times New Roman" w:eastAsia="Times New Roman" w:hint="default"/>
          <w:spacing w:val="-2"/>
        </w:rPr>
        <w:t>735.78</w:t>
      </w:r>
      <w:r>
        <w:rPr>
          <w:spacing w:val="-2"/>
        </w:rPr>
        <w:t>万股，预留</w:t>
      </w:r>
      <w:r>
        <w:rPr>
          <w:rFonts w:ascii="Times New Roman" w:hAnsi="Times New Roman" w:cs="Times New Roman" w:eastAsia="Times New Roman" w:hint="default"/>
          <w:spacing w:val="-2"/>
        </w:rPr>
        <w:t>61.5</w:t>
      </w:r>
      <w:r>
        <w:rPr>
          <w:spacing w:val="-2"/>
        </w:rPr>
        <w:t>万股）调整为</w:t>
      </w:r>
      <w:r>
        <w:rPr>
          <w:rFonts w:ascii="Times New Roman" w:hAnsi="Times New Roman" w:cs="Times New Roman" w:eastAsia="Times New Roman" w:hint="default"/>
          <w:spacing w:val="-2"/>
        </w:rPr>
        <w:t>786.23</w:t>
      </w:r>
      <w:r>
        <w:rPr>
          <w:spacing w:val="-2"/>
        </w:rPr>
        <w:t>万股（其中首次</w:t>
      </w:r>
      <w:r>
        <w:rPr>
          <w:w w:val="100"/>
        </w:rPr>
        <w:t> </w:t>
      </w:r>
      <w:r>
        <w:rPr>
          <w:spacing w:val="-3"/>
        </w:rPr>
        <w:t>授予</w:t>
      </w:r>
      <w:r>
        <w:rPr>
          <w:rFonts w:ascii="Times New Roman" w:hAnsi="Times New Roman" w:cs="Times New Roman" w:eastAsia="Times New Roman" w:hint="default"/>
          <w:spacing w:val="-3"/>
        </w:rPr>
        <w:t>724.73</w:t>
      </w:r>
      <w:r>
        <w:rPr>
          <w:spacing w:val="-3"/>
        </w:rPr>
        <w:t>万股，预留</w:t>
      </w:r>
      <w:r>
        <w:rPr>
          <w:rFonts w:ascii="Times New Roman" w:hAnsi="Times New Roman" w:cs="Times New Roman" w:eastAsia="Times New Roman" w:hint="default"/>
          <w:spacing w:val="-3"/>
        </w:rPr>
        <w:t>61.5</w:t>
      </w:r>
      <w:r>
        <w:rPr>
          <w:spacing w:val="-3"/>
        </w:rPr>
        <w:t>万股），同时同意向</w:t>
      </w:r>
      <w:r>
        <w:rPr>
          <w:rFonts w:ascii="Times New Roman" w:hAnsi="Times New Roman" w:cs="Times New Roman" w:eastAsia="Times New Roman" w:hint="default"/>
          <w:spacing w:val="-3"/>
        </w:rPr>
        <w:t>32</w:t>
      </w:r>
      <w:r>
        <w:rPr>
          <w:spacing w:val="-3"/>
        </w:rPr>
        <w:t>名股权激励对象授予预留的</w:t>
      </w:r>
      <w:r>
        <w:rPr>
          <w:rFonts w:ascii="Times New Roman" w:hAnsi="Times New Roman" w:cs="Times New Roman" w:eastAsia="Times New Roman" w:hint="default"/>
          <w:spacing w:val="-3"/>
        </w:rPr>
        <w:t>61.5</w:t>
      </w:r>
      <w:r>
        <w:rPr>
          <w:spacing w:val="-3"/>
        </w:rPr>
        <w:t>万股股票期权。详见公司</w:t>
      </w:r>
    </w:p>
    <w:p>
      <w:pPr>
        <w:pStyle w:val="BodyText"/>
        <w:spacing w:line="240" w:lineRule="auto" w:before="5"/>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日刊登于《中国证券报》、《证券时报》及巨潮资讯网</w:t>
      </w:r>
      <w:hyperlink r:id="rId26">
        <w:r>
          <w:rPr>
            <w:rFonts w:ascii="Times New Roman" w:hAnsi="Times New Roman" w:cs="Times New Roman" w:eastAsia="Times New Roman" w:hint="default"/>
          </w:rPr>
          <w:t>www.cninfo.con.cn</w:t>
        </w:r>
        <w:r>
          <w:rPr/>
          <w:t>的相关公告文件。</w:t>
        </w:r>
      </w:hyperlink>
    </w:p>
    <w:p>
      <w:pPr>
        <w:spacing w:after="0" w:line="240" w:lineRule="auto"/>
        <w:jc w:val="both"/>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BodyText"/>
        <w:spacing w:line="256" w:lineRule="auto" w:before="36"/>
        <w:ind w:right="151" w:firstLine="420"/>
        <w:jc w:val="both"/>
      </w:pPr>
      <w:r>
        <w:rPr>
          <w:rFonts w:ascii="Times New Roman" w:hAnsi="Times New Roman" w:cs="Times New Roman" w:eastAsia="Times New Roman" w:hint="default"/>
        </w:rPr>
        <w:t>8</w:t>
      </w:r>
      <w:r>
        <w:rPr/>
        <w:t>、根据中国登记结算有限责任公司深圳分公司的通知，公司股权激励计划预留股票期权授予完成登</w:t>
      </w:r>
      <w:r>
        <w:rPr>
          <w:w w:val="100"/>
        </w:rPr>
        <w:t> </w:t>
      </w:r>
      <w:r>
        <w:rPr/>
        <w:t>记。详见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日刊登于《中国证券报》、《证券时报》及巨潮资讯网</w:t>
      </w:r>
      <w:hyperlink r:id="rId25">
        <w:r>
          <w:rPr>
            <w:rFonts w:ascii="Times New Roman" w:hAnsi="Times New Roman" w:cs="Times New Roman" w:eastAsia="Times New Roman" w:hint="default"/>
          </w:rPr>
          <w:t>www.cninfo.com.cn</w:t>
        </w:r>
        <w:r>
          <w:rPr/>
          <w:t>的《关于</w:t>
        </w:r>
      </w:hyperlink>
      <w:r>
        <w:rPr>
          <w:spacing w:val="-57"/>
        </w:rPr>
        <w:t> </w:t>
      </w:r>
      <w:r>
        <w:rPr>
          <w:spacing w:val="-57"/>
        </w:rPr>
      </w:r>
      <w:r>
        <w:rPr>
          <w:rFonts w:ascii="Times New Roman" w:hAnsi="Times New Roman" w:cs="Times New Roman" w:eastAsia="Times New Roman" w:hint="default"/>
        </w:rPr>
        <w:t>2016</w:t>
      </w:r>
      <w:r>
        <w:rPr/>
        <w:t>年股票期权激励计划预留股票期权授予登记完成的公告》（</w:t>
      </w:r>
      <w:r>
        <w:rPr>
          <w:rFonts w:ascii="Times New Roman" w:hAnsi="Times New Roman" w:cs="Times New Roman" w:eastAsia="Times New Roman" w:hint="default"/>
        </w:rPr>
        <w:t>2017-47</w:t>
      </w:r>
      <w:r>
        <w:rPr/>
        <w:t>）。</w:t>
      </w:r>
    </w:p>
    <w:p>
      <w:pPr>
        <w:spacing w:after="0" w:line="256" w:lineRule="auto"/>
        <w:jc w:val="both"/>
        <w:sectPr>
          <w:pgSz w:w="11910" w:h="16840"/>
          <w:pgMar w:header="877" w:footer="980" w:top="1100" w:bottom="1160" w:left="980" w:right="980"/>
        </w:sectPr>
      </w:pPr>
    </w:p>
    <w:p>
      <w:pPr>
        <w:pStyle w:val="Heading3"/>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160320" coordorigin="1411,44" coordsize="14018,2">
            <v:shape style="position:absolute;left:1411;top:44;width:14018;height:2" coordorigin="1411,44" coordsize="14018,0" path="m1411,44l15429,44e" filled="false" stroked="true" strokeweight=".72pt" strokecolor="#000000">
              <v:path arrowok="t"/>
            </v:shape>
            <w10:wrap type="none"/>
          </v:group>
        </w:pict>
      </w:r>
      <w:r>
        <w:rPr/>
        <w:pict>
          <v:group style="position:absolute;margin-left:123.019997pt;margin-top:352.51001pt;width:46.7pt;height:17.650pt;mso-position-horizontal-relative:page;mso-position-vertical-relative:page;z-index:-1160296" coordorigin="2460,7050" coordsize="934,353">
            <v:shape style="position:absolute;left:2460;top:7050;width:934;height:353" coordorigin="2460,7050" coordsize="934,353" path="m2460,7403l3394,7403,3394,7050,2460,7050,2460,7403xe" filled="true" fillcolor="#ffffff" stroked="false">
              <v:path arrowok="t"/>
              <v:fill type="solid"/>
            </v:shape>
            <w10:wrap type="none"/>
          </v:group>
        </w:pict>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left="140"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992"/>
        <w:gridCol w:w="991"/>
        <w:gridCol w:w="708"/>
        <w:gridCol w:w="850"/>
        <w:gridCol w:w="1335"/>
        <w:gridCol w:w="994"/>
        <w:gridCol w:w="708"/>
        <w:gridCol w:w="850"/>
        <w:gridCol w:w="852"/>
        <w:gridCol w:w="758"/>
        <w:gridCol w:w="708"/>
        <w:gridCol w:w="994"/>
        <w:gridCol w:w="850"/>
        <w:gridCol w:w="2506"/>
      </w:tblGrid>
      <w:tr>
        <w:trPr>
          <w:trHeight w:val="1027"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6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1" w:right="32"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1" w:right="-44"/>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0" w:hanging="92"/>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7"/>
              <w:jc w:val="both"/>
              <w:rPr>
                <w:rFonts w:ascii="宋体" w:hAnsi="宋体" w:cs="宋体" w:eastAsia="宋体" w:hint="default"/>
                <w:sz w:val="18"/>
                <w:szCs w:val="18"/>
              </w:rPr>
            </w:pPr>
            <w:r>
              <w:rPr>
                <w:rFonts w:ascii="宋体" w:hAnsi="宋体" w:cs="宋体" w:eastAsia="宋体" w:hint="default"/>
                <w:sz w:val="18"/>
                <w:szCs w:val="18"/>
              </w:rPr>
              <w:t>青岛海信智 能商用系统 股份有限公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购销商 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1" w:right="46"/>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41"/>
              <w:jc w:val="both"/>
              <w:rPr>
                <w:rFonts w:ascii="宋体" w:hAnsi="宋体" w:cs="宋体" w:eastAsia="宋体" w:hint="default"/>
                <w:sz w:val="18"/>
                <w:szCs w:val="18"/>
              </w:rPr>
            </w:pPr>
            <w:r>
              <w:rPr>
                <w:rFonts w:ascii="宋体" w:hAnsi="宋体" w:cs="宋体" w:eastAsia="宋体" w:hint="default"/>
                <w:sz w:val="18"/>
                <w:szCs w:val="18"/>
              </w:rPr>
              <w:t>以市场价格为基 础，不偏离第三 方价格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扫描设备</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455 </w:t>
            </w:r>
            <w:r>
              <w:rPr>
                <w:rFonts w:ascii="宋体" w:hAnsi="宋体" w:cs="宋体" w:eastAsia="宋体" w:hint="default"/>
                <w:sz w:val="18"/>
                <w:szCs w:val="18"/>
              </w:rPr>
              <w:t>元打印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697 </w:t>
            </w:r>
            <w:r>
              <w:rPr>
                <w:rFonts w:ascii="宋体" w:hAnsi="宋体" w:cs="宋体" w:eastAsia="宋体" w:hint="default"/>
                <w:sz w:val="18"/>
                <w:szCs w:val="18"/>
              </w:rPr>
              <w:t>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682.18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银行汇 款结算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扫描设备</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465 </w:t>
            </w:r>
            <w:r>
              <w:rPr>
                <w:rFonts w:ascii="宋体" w:hAnsi="宋体" w:cs="宋体" w:eastAsia="宋体" w:hint="default"/>
                <w:sz w:val="18"/>
                <w:szCs w:val="18"/>
              </w:rPr>
              <w:t>元打印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 </w:t>
            </w:r>
            <w:r>
              <w:rPr>
                <w:rFonts w:ascii="宋体" w:hAnsi="宋体" w:cs="宋体" w:eastAsia="宋体" w:hint="default"/>
                <w:sz w:val="18"/>
                <w:szCs w:val="18"/>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《关于预计与参股公司日常关 </w:t>
            </w:r>
            <w:r>
              <w:rPr>
                <w:rFonts w:ascii="宋体" w:hAnsi="宋体" w:cs="宋体" w:eastAsia="宋体" w:hint="default"/>
                <w:spacing w:val="-8"/>
                <w:sz w:val="18"/>
                <w:szCs w:val="18"/>
              </w:rPr>
              <w:t>联交易的公告》（</w:t>
            </w:r>
            <w:r>
              <w:rPr>
                <w:rFonts w:ascii="Times New Roman" w:hAnsi="Times New Roman" w:cs="Times New Roman" w:eastAsia="Times New Roman" w:hint="default"/>
                <w:spacing w:val="-8"/>
                <w:sz w:val="18"/>
                <w:szCs w:val="18"/>
              </w:rPr>
              <w:t>2017-50</w:t>
            </w:r>
            <w:r>
              <w:rPr>
                <w:rFonts w:ascii="宋体" w:hAnsi="宋体" w:cs="宋体" w:eastAsia="宋体" w:hint="default"/>
                <w:spacing w:val="-8"/>
                <w:sz w:val="18"/>
                <w:szCs w:val="18"/>
              </w:rPr>
              <w:t>）详见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4"/>
                <w:sz w:val="18"/>
                <w:szCs w:val="18"/>
              </w:rPr>
              <w:t>日的《中国证券</w:t>
            </w:r>
            <w:r>
              <w:rPr>
                <w:rFonts w:ascii="宋体" w:hAnsi="宋体" w:cs="宋体" w:eastAsia="宋体" w:hint="default"/>
                <w:sz w:val="18"/>
                <w:szCs w:val="18"/>
              </w:rPr>
              <w:t> </w:t>
            </w:r>
            <w:r>
              <w:rPr>
                <w:rFonts w:ascii="宋体" w:hAnsi="宋体" w:cs="宋体" w:eastAsia="宋体" w:hint="default"/>
                <w:spacing w:val="-18"/>
                <w:sz w:val="18"/>
                <w:szCs w:val="18"/>
              </w:rPr>
              <w:t>报》、《证券时报》及巨潮资讯网</w:t>
            </w:r>
            <w:r>
              <w:rPr>
                <w:rFonts w:ascii="宋体" w:hAnsi="宋体" w:cs="宋体" w:eastAsia="宋体" w:hint="default"/>
                <w:spacing w:val="-76"/>
                <w:sz w:val="18"/>
                <w:szCs w:val="18"/>
              </w:rPr>
              <w:t> </w:t>
            </w:r>
            <w:r>
              <w:rPr>
                <w:rFonts w:ascii="宋体" w:hAnsi="宋体" w:cs="宋体" w:eastAsia="宋体" w:hint="default"/>
                <w:spacing w:val="-76"/>
                <w:sz w:val="18"/>
                <w:szCs w:val="18"/>
              </w:rPr>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4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青岛海信智 能商用系统 股份有限公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1" w:right="4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以市场价格为基 础，不偏离第三 方价格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收款机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7,136.24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7,136.24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2"/>
              <w:jc w:val="left"/>
              <w:rPr>
                <w:rFonts w:ascii="宋体" w:hAnsi="宋体" w:cs="宋体" w:eastAsia="宋体" w:hint="default"/>
                <w:sz w:val="18"/>
                <w:szCs w:val="18"/>
              </w:rPr>
            </w:pPr>
            <w:r>
              <w:rPr>
                <w:rFonts w:ascii="宋体" w:hAnsi="宋体" w:cs="宋体" w:eastAsia="宋体" w:hint="default"/>
                <w:sz w:val="18"/>
                <w:szCs w:val="18"/>
              </w:rPr>
              <w:t>银行汇 款结算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收款机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49" w:hRule="exact"/>
        </w:trPr>
        <w:tc>
          <w:tcPr>
            <w:tcW w:w="99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1"/>
              <w:jc w:val="left"/>
              <w:rPr>
                <w:rFonts w:ascii="宋体" w:hAnsi="宋体" w:cs="宋体" w:eastAsia="宋体" w:hint="default"/>
                <w:sz w:val="18"/>
                <w:szCs w:val="18"/>
              </w:rPr>
            </w:pPr>
            <w:r>
              <w:rPr>
                <w:rFonts w:ascii="宋体" w:hAnsi="宋体" w:cs="宋体" w:eastAsia="宋体" w:hint="default"/>
                <w:spacing w:val="-15"/>
                <w:sz w:val="18"/>
                <w:szCs w:val="18"/>
              </w:rPr>
              <w:t>淘宝（中国）</w:t>
            </w:r>
            <w:r>
              <w:rPr>
                <w:rFonts w:ascii="宋体" w:hAnsi="宋体" w:cs="宋体" w:eastAsia="宋体" w:hint="default"/>
                <w:spacing w:val="-34"/>
                <w:sz w:val="18"/>
                <w:szCs w:val="18"/>
              </w:rPr>
              <w:t> </w:t>
            </w:r>
            <w:r>
              <w:rPr>
                <w:rFonts w:ascii="宋体" w:hAnsi="宋体" w:cs="宋体" w:eastAsia="宋体" w:hint="default"/>
                <w:sz w:val="18"/>
                <w:szCs w:val="18"/>
              </w:rPr>
              <w:t>软件有限公</w:t>
            </w:r>
            <w:r>
              <w:rPr>
                <w:rFonts w:ascii="宋体" w:hAnsi="宋体" w:cs="宋体" w:eastAsia="宋体" w:hint="default"/>
                <w:sz w:val="18"/>
                <w:szCs w:val="18"/>
              </w:rPr>
              <w:t> 司</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16" w:right="55"/>
              <w:jc w:val="both"/>
              <w:rPr>
                <w:rFonts w:ascii="宋体" w:hAnsi="宋体" w:cs="宋体" w:eastAsia="宋体" w:hint="default"/>
                <w:sz w:val="18"/>
                <w:szCs w:val="18"/>
              </w:rPr>
            </w:pPr>
            <w:r>
              <w:rPr>
                <w:rFonts w:ascii="宋体" w:hAnsi="宋体" w:cs="宋体" w:eastAsia="宋体" w:hint="default"/>
                <w:sz w:val="18"/>
                <w:szCs w:val="18"/>
              </w:rPr>
              <w:t>其他持股在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法人股东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41"/>
              <w:jc w:val="both"/>
              <w:rPr>
                <w:rFonts w:ascii="宋体" w:hAnsi="宋体" w:cs="宋体" w:eastAsia="宋体" w:hint="default"/>
                <w:sz w:val="18"/>
                <w:szCs w:val="18"/>
              </w:rPr>
            </w:pPr>
            <w:r>
              <w:rPr>
                <w:rFonts w:ascii="宋体" w:hAnsi="宋体" w:cs="宋体" w:eastAsia="宋体" w:hint="default"/>
                <w:sz w:val="18"/>
                <w:szCs w:val="18"/>
              </w:rPr>
              <w:t>以市场价格为基 础，不偏离第三 方价格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4" w:right="59"/>
              <w:jc w:val="left"/>
              <w:rPr>
                <w:rFonts w:ascii="宋体" w:hAnsi="宋体" w:cs="宋体" w:eastAsia="宋体" w:hint="default"/>
                <w:sz w:val="18"/>
                <w:szCs w:val="18"/>
              </w:rPr>
            </w:pPr>
            <w:r>
              <w:rPr>
                <w:rFonts w:ascii="宋体" w:hAnsi="宋体" w:cs="宋体" w:eastAsia="宋体" w:hint="default"/>
                <w:sz w:val="18"/>
                <w:szCs w:val="18"/>
              </w:rPr>
              <w:t>按房费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收取的订单 服务费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451.99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银行汇 款结算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《关于公司拟进行关联交易的 </w:t>
            </w:r>
            <w:r>
              <w:rPr>
                <w:rFonts w:ascii="宋体" w:hAnsi="宋体" w:cs="宋体" w:eastAsia="宋体" w:hint="default"/>
                <w:spacing w:val="-13"/>
                <w:sz w:val="18"/>
                <w:szCs w:val="18"/>
              </w:rPr>
              <w:t>公告》（</w:t>
            </w:r>
            <w:r>
              <w:rPr>
                <w:rFonts w:ascii="Times New Roman" w:hAnsi="Times New Roman" w:cs="Times New Roman" w:eastAsia="Times New Roman" w:hint="default"/>
                <w:spacing w:val="-13"/>
                <w:sz w:val="18"/>
                <w:szCs w:val="18"/>
              </w:rPr>
              <w:t>2017-23</w:t>
            </w:r>
            <w:r>
              <w:rPr>
                <w:rFonts w:ascii="宋体" w:hAnsi="宋体" w:cs="宋体" w:eastAsia="宋体" w:hint="default"/>
                <w:spacing w:val="-13"/>
                <w:sz w:val="18"/>
                <w:szCs w:val="18"/>
              </w:rPr>
              <w:t>）详见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09" w:lineRule="auto"/>
              <w:ind w:left="24"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日的《中国证券报》、《证券</w:t>
            </w:r>
            <w:r>
              <w:rPr>
                <w:rFonts w:ascii="宋体" w:hAnsi="宋体" w:cs="宋体" w:eastAsia="宋体" w:hint="default"/>
                <w:sz w:val="18"/>
                <w:szCs w:val="18"/>
              </w:rPr>
              <w:t> 时报》及巨潮资讯网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35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8,270.41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8,270.41</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7427" w:type="dxa"/>
            <w:gridSpan w:val="8"/>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668" w:type="dxa"/>
            <w:gridSpan w:val="6"/>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7427" w:type="dxa"/>
            <w:gridSpan w:val="8"/>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按类别对本期将发生的日常关联交易进行总金额预计的，在报告期内的实际履行情况（如有）</w:t>
            </w:r>
          </w:p>
        </w:tc>
        <w:tc>
          <w:tcPr>
            <w:tcW w:w="6668" w:type="dxa"/>
            <w:gridSpan w:val="6"/>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7427" w:type="dxa"/>
            <w:gridSpan w:val="8"/>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6668" w:type="dxa"/>
            <w:gridSpan w:val="6"/>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6840" w:h="11910" w:orient="landscape"/>
          <w:pgMar w:header="867" w:footer="980" w:top="1060" w:bottom="1160" w:left="1300" w:right="1180"/>
          <w:pgNumType w:start="55"/>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103" w:firstLine="0"/>
        <w:jc w:val="right"/>
        <w:rPr>
          <w:rFonts w:ascii="宋体" w:hAnsi="宋体" w:cs="宋体" w:eastAsia="宋体" w:hint="default"/>
          <w:sz w:val="18"/>
          <w:szCs w:val="18"/>
        </w:rPr>
      </w:pPr>
      <w:r>
        <w:rPr/>
        <w:pict>
          <v:shape style="position:absolute;margin-left:71.760002pt;margin-top:-83.198265pt;width:704.3pt;height:178.9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5"/>
                    <w:gridCol w:w="989"/>
                    <w:gridCol w:w="852"/>
                    <w:gridCol w:w="991"/>
                    <w:gridCol w:w="1217"/>
                    <w:gridCol w:w="991"/>
                    <w:gridCol w:w="991"/>
                    <w:gridCol w:w="852"/>
                    <w:gridCol w:w="992"/>
                    <w:gridCol w:w="991"/>
                    <w:gridCol w:w="994"/>
                    <w:gridCol w:w="3356"/>
                  </w:tblGrid>
                  <w:tr>
                    <w:trPr>
                      <w:trHeight w:val="1025"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98" w:right="41"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9" w:right="65" w:hanging="360"/>
                          <w:jc w:val="left"/>
                          <w:rPr>
                            <w:rFonts w:ascii="宋体" w:hAnsi="宋体" w:cs="宋体" w:eastAsia="宋体" w:hint="default"/>
                            <w:sz w:val="18"/>
                            <w:szCs w:val="18"/>
                          </w:rPr>
                        </w:pPr>
                        <w:r>
                          <w:rPr>
                            <w:rFonts w:ascii="宋体" w:hAnsi="宋体" w:cs="宋体" w:eastAsia="宋体" w:hint="default"/>
                            <w:sz w:val="18"/>
                            <w:szCs w:val="18"/>
                          </w:rPr>
                          <w:t>关联交易定价 原则</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41" w:hanging="92"/>
                          <w:jc w:val="left"/>
                          <w:rPr>
                            <w:rFonts w:ascii="宋体" w:hAnsi="宋体" w:cs="宋体" w:eastAsia="宋体" w:hint="default"/>
                            <w:sz w:val="18"/>
                            <w:szCs w:val="18"/>
                          </w:rPr>
                        </w:pPr>
                        <w:r>
                          <w:rPr>
                            <w:rFonts w:ascii="宋体" w:hAnsi="宋体" w:cs="宋体" w:eastAsia="宋体" w:hint="default"/>
                            <w:sz w:val="18"/>
                            <w:szCs w:val="18"/>
                          </w:rPr>
                          <w:t>转让资产的 账面价值</w:t>
                        </w:r>
                      </w:p>
                      <w:p>
                        <w:pPr>
                          <w:pStyle w:val="TableParagraph"/>
                          <w:spacing w:line="240" w:lineRule="auto" w:before="19"/>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41" w:hanging="92"/>
                          <w:jc w:val="left"/>
                          <w:rPr>
                            <w:rFonts w:ascii="宋体" w:hAnsi="宋体" w:cs="宋体" w:eastAsia="宋体" w:hint="default"/>
                            <w:sz w:val="18"/>
                            <w:szCs w:val="18"/>
                          </w:rPr>
                        </w:pPr>
                        <w:r>
                          <w:rPr>
                            <w:rFonts w:ascii="宋体" w:hAnsi="宋体" w:cs="宋体" w:eastAsia="宋体" w:hint="default"/>
                            <w:sz w:val="18"/>
                            <w:szCs w:val="18"/>
                          </w:rPr>
                          <w:t>转让资产的 评估价值</w:t>
                        </w:r>
                      </w:p>
                      <w:p>
                        <w:pPr>
                          <w:pStyle w:val="TableParagraph"/>
                          <w:spacing w:line="240" w:lineRule="auto" w:before="19"/>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72"/>
                          <w:jc w:val="left"/>
                          <w:rPr>
                            <w:rFonts w:ascii="Times New Roman" w:hAnsi="Times New Roman" w:cs="Times New Roman" w:eastAsia="Times New Roman" w:hint="default"/>
                            <w:sz w:val="18"/>
                            <w:szCs w:val="18"/>
                          </w:rPr>
                        </w:pPr>
                        <w:r>
                          <w:rPr>
                            <w:rFonts w:ascii="Times New Roman"/>
                            <w:sz w:val="18"/>
                          </w:rPr>
                          <w:t>Alibaba Investmen t</w:t>
                        </w:r>
                        <w:r>
                          <w:rPr>
                            <w:rFonts w:ascii="Times New Roman"/>
                            <w:spacing w:val="-5"/>
                            <w:sz w:val="18"/>
                          </w:rPr>
                          <w:t> </w:t>
                        </w:r>
                        <w:r>
                          <w:rPr>
                            <w:rFonts w:ascii="Times New Roman"/>
                            <w:sz w:val="18"/>
                          </w:rPr>
                          <w:t>Limited</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与公司持股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东受同一控 制的企业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股权出售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出售石基</w:t>
                        </w:r>
                      </w:p>
                      <w:p>
                        <w:pPr>
                          <w:pStyle w:val="TableParagraph"/>
                          <w:spacing w:line="319" w:lineRule="auto" w:before="76"/>
                          <w:ind w:left="21" w:right="41"/>
                          <w:jc w:val="both"/>
                          <w:rPr>
                            <w:rFonts w:ascii="宋体" w:hAnsi="宋体" w:cs="宋体" w:eastAsia="宋体" w:hint="default"/>
                            <w:sz w:val="18"/>
                            <w:szCs w:val="18"/>
                          </w:rPr>
                        </w:pPr>
                        <w:r>
                          <w:rPr>
                            <w:rFonts w:ascii="宋体" w:hAnsi="宋体" w:cs="宋体" w:eastAsia="宋体" w:hint="default"/>
                            <w:sz w:val="18"/>
                            <w:szCs w:val="18"/>
                          </w:rPr>
                          <w:t>（香港）持 有的石基零 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股权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104"/>
                          <w:jc w:val="both"/>
                          <w:rPr>
                            <w:rFonts w:ascii="宋体" w:hAnsi="宋体" w:cs="宋体" w:eastAsia="宋体" w:hint="default"/>
                            <w:sz w:val="18"/>
                            <w:szCs w:val="18"/>
                          </w:rPr>
                        </w:pPr>
                        <w:r>
                          <w:rPr>
                            <w:rFonts w:ascii="宋体" w:hAnsi="宋体" w:cs="宋体" w:eastAsia="宋体" w:hint="default"/>
                            <w:sz w:val="18"/>
                            <w:szCs w:val="18"/>
                          </w:rPr>
                          <w:t>参考尽职调查 及估值报告， 由交易双方协 商确定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42,079.26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311,331.68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317,562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7"/>
                          <w:jc w:val="left"/>
                          <w:rPr>
                            <w:rFonts w:ascii="宋体" w:hAnsi="宋体" w:cs="宋体" w:eastAsia="宋体" w:hint="default"/>
                            <w:sz w:val="18"/>
                            <w:szCs w:val="18"/>
                          </w:rPr>
                        </w:pPr>
                        <w:r>
                          <w:rPr>
                            <w:rFonts w:ascii="宋体" w:hAnsi="宋体" w:cs="宋体" w:eastAsia="宋体" w:hint="default"/>
                            <w:spacing w:val="9"/>
                            <w:sz w:val="18"/>
                            <w:szCs w:val="18"/>
                          </w:rPr>
                          <w:t>报告期内未 </w:t>
                        </w:r>
                        <w:r>
                          <w:rPr>
                            <w:rFonts w:ascii="宋体" w:hAnsi="宋体" w:cs="宋体" w:eastAsia="宋体" w:hint="default"/>
                            <w:sz w:val="18"/>
                            <w:szCs w:val="18"/>
                          </w:rPr>
                          <w:t>发生损益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《关于签署控股子公司股权出售框架协议 </w:t>
                        </w:r>
                        <w:r>
                          <w:rPr>
                            <w:rFonts w:ascii="宋体" w:hAnsi="宋体" w:cs="宋体" w:eastAsia="宋体" w:hint="default"/>
                            <w:spacing w:val="-11"/>
                            <w:sz w:val="18"/>
                            <w:szCs w:val="18"/>
                          </w:rPr>
                          <w:t>暨关联交易的公告》（</w:t>
                        </w:r>
                        <w:r>
                          <w:rPr>
                            <w:rFonts w:ascii="Times New Roman" w:hAnsi="Times New Roman" w:cs="Times New Roman" w:eastAsia="Times New Roman" w:hint="default"/>
                            <w:spacing w:val="-11"/>
                            <w:sz w:val="18"/>
                            <w:szCs w:val="18"/>
                          </w:rPr>
                          <w:t>2017-59</w:t>
                        </w:r>
                        <w:r>
                          <w:rPr>
                            <w:rFonts w:ascii="宋体" w:hAnsi="宋体" w:cs="宋体" w:eastAsia="宋体" w:hint="default"/>
                            <w:spacing w:val="-11"/>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00" w:lineRule="auto"/>
                          <w:ind w:left="24"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日的《中国证券报》、《证券时报</w:t>
                        </w:r>
                        <w:r>
                          <w:rPr>
                            <w:rFonts w:ascii="宋体" w:hAnsi="宋体" w:cs="宋体" w:eastAsia="宋体" w:hint="default"/>
                            <w:sz w:val="18"/>
                            <w:szCs w:val="18"/>
                          </w:rPr>
                          <w:t> 及巨潮资讯网</w:t>
                        </w:r>
                        <w:r>
                          <w:rPr>
                            <w:rFonts w:ascii="宋体" w:hAnsi="宋体" w:cs="宋体" w:eastAsia="宋体" w:hint="default"/>
                            <w:spacing w:val="-65"/>
                            <w:sz w:val="18"/>
                            <w:szCs w:val="18"/>
                          </w:rPr>
                          <w:t> </w:t>
                        </w:r>
                        <w:hyperlink r:id="rId13">
                          <w:r>
                            <w:rPr>
                              <w:rFonts w:ascii="Times New Roman" w:hAnsi="Times New Roman" w:cs="Times New Roman" w:eastAsia="Times New Roman" w:hint="default"/>
                              <w:sz w:val="18"/>
                              <w:szCs w:val="18"/>
                            </w:rPr>
                            <w:t>www.cninfo.com.cn</w:t>
                          </w:r>
                        </w:hyperlink>
                      </w:p>
                    </w:tc>
                  </w:tr>
                  <w:tr>
                    <w:trPr>
                      <w:trHeight w:val="401" w:hRule="exact"/>
                    </w:trPr>
                    <w:tc>
                      <w:tcPr>
                        <w:tcW w:w="4904" w:type="dxa"/>
                        <w:gridSpan w:val="5"/>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转让价格与账面价值或评估价值差异较大的原因（如有）</w:t>
                        </w:r>
                      </w:p>
                    </w:tc>
                    <w:tc>
                      <w:tcPr>
                        <w:tcW w:w="9167" w:type="dxa"/>
                        <w:gridSpan w:val="7"/>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04" w:type="dxa"/>
                        <w:gridSpan w:val="5"/>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9167" w:type="dxa"/>
                        <w:gridSpan w:val="7"/>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报告期内该关联交易未对公司经营成果与财务状况产生影响。</w:t>
                        </w:r>
                      </w:p>
                    </w:tc>
                  </w:tr>
                  <w:tr>
                    <w:trPr>
                      <w:trHeight w:val="401" w:hRule="exact"/>
                    </w:trPr>
                    <w:tc>
                      <w:tcPr>
                        <w:tcW w:w="4904" w:type="dxa"/>
                        <w:gridSpan w:val="5"/>
                        <w:tcBorders>
                          <w:top w:val="single" w:sz="4" w:space="0" w:color="000000"/>
                          <w:left w:val="single" w:sz="4" w:space="0" w:color="000000"/>
                          <w:bottom w:val="single" w:sz="4" w:space="0" w:color="000000"/>
                          <w:right w:val="single" w:sz="8"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如相关交易涉及业绩约定的，报告期内的业绩实现情况</w:t>
                        </w:r>
                      </w:p>
                    </w:tc>
                    <w:tc>
                      <w:tcPr>
                        <w:tcW w:w="9167" w:type="dxa"/>
                        <w:gridSpan w:val="7"/>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00" w:right="116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公司报告期不存在非经营性关联债权债务往来。</w:t>
      </w:r>
    </w:p>
    <w:p>
      <w:pPr>
        <w:spacing w:line="240" w:lineRule="auto" w:before="3"/>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3"/>
        <w:spacing w:line="240" w:lineRule="auto"/>
        <w:ind w:right="153"/>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8"/>
        <w:rPr>
          <w:rFonts w:ascii="宋体" w:hAnsi="宋体" w:cs="宋体" w:eastAsia="宋体" w:hint="default"/>
          <w:sz w:val="21"/>
          <w:szCs w:val="21"/>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headerReference w:type="default" r:id="rId29"/>
          <w:footerReference w:type="default" r:id="rId30"/>
          <w:pgSz w:w="11910" w:h="16840"/>
          <w:pgMar w:header="877" w:footer="980" w:top="1100" w:bottom="1160" w:left="980" w:right="980"/>
          <w:pgNumType w:start="57"/>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19"/>
        <w:gridCol w:w="1214"/>
        <w:gridCol w:w="1190"/>
        <w:gridCol w:w="1022"/>
        <w:gridCol w:w="1252"/>
        <w:gridCol w:w="850"/>
        <w:gridCol w:w="852"/>
        <w:gridCol w:w="845"/>
        <w:gridCol w:w="934"/>
      </w:tblGrid>
      <w:tr>
        <w:trPr>
          <w:trHeight w:val="402" w:hRule="exact"/>
        </w:trPr>
        <w:tc>
          <w:tcPr>
            <w:tcW w:w="957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2" w:right="60"/>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 w:right="65"/>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3" w:right="9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石基（香港）有限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43,285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22,200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8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022"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43,285</w:t>
            </w:r>
          </w:p>
        </w:tc>
        <w:tc>
          <w:tcPr>
            <w:tcW w:w="37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22,200</w:t>
            </w:r>
          </w:p>
        </w:tc>
      </w:tr>
      <w:tr>
        <w:trPr>
          <w:trHeight w:val="408" w:hRule="exact"/>
        </w:trPr>
        <w:tc>
          <w:tcPr>
            <w:tcW w:w="3824" w:type="dxa"/>
            <w:gridSpan w:val="3"/>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022" w:type="dxa"/>
            <w:tcBorders>
              <w:top w:val="single" w:sz="4" w:space="0" w:color="000000"/>
              <w:left w:val="single" w:sz="22" w:space="0" w:color="FFFFFF"/>
              <w:bottom w:val="single" w:sz="4" w:space="0" w:color="000000"/>
              <w:right w:val="single" w:sz="13" w:space="0" w:color="D2D2D2"/>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43,285</w:t>
            </w:r>
          </w:p>
        </w:tc>
        <w:tc>
          <w:tcPr>
            <w:tcW w:w="37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w:t>
            </w:r>
          </w:p>
        </w:tc>
      </w:tr>
      <w:tr>
        <w:trPr>
          <w:trHeight w:val="391" w:hRule="exact"/>
        </w:trPr>
        <w:tc>
          <w:tcPr>
            <w:tcW w:w="957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07" w:hRule="exact"/>
        </w:trPr>
        <w:tc>
          <w:tcPr>
            <w:tcW w:w="38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1022"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43,285</w:t>
            </w:r>
          </w:p>
        </w:tc>
        <w:tc>
          <w:tcPr>
            <w:tcW w:w="37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22,200</w:t>
            </w:r>
          </w:p>
        </w:tc>
      </w:tr>
      <w:tr>
        <w:trPr>
          <w:trHeight w:val="402" w:hRule="exact"/>
        </w:trPr>
        <w:tc>
          <w:tcPr>
            <w:tcW w:w="38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1022"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43,285</w:t>
            </w:r>
          </w:p>
        </w:tc>
        <w:tc>
          <w:tcPr>
            <w:tcW w:w="37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22,200</w:t>
            </w:r>
          </w:p>
        </w:tc>
      </w:tr>
      <w:tr>
        <w:trPr>
          <w:trHeight w:val="409"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3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r>
      <w:tr>
        <w:trPr>
          <w:trHeight w:val="396" w:hRule="exact"/>
        </w:trPr>
        <w:tc>
          <w:tcPr>
            <w:tcW w:w="957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7"/>
        <w:spacing w:line="240" w:lineRule="auto" w:before="118"/>
        <w:ind w:right="15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98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3" w:space="6787"/>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2127"/>
        <w:gridCol w:w="1702"/>
        <w:gridCol w:w="1702"/>
        <w:gridCol w:w="1628"/>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
              <w:jc w:val="righ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52" w:right="4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15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53"/>
        <w:jc w:val="left"/>
      </w:pPr>
      <w:r>
        <w:rPr/>
        <w:t>公司已在《社会责任报告》中详细披露了公司积极履行社会责任的工作情况，详见公司于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w:t>
      </w:r>
      <w:r>
        <w:rPr>
          <w:spacing w:val="-24"/>
        </w:rPr>
        <w:t> </w:t>
      </w:r>
      <w:r>
        <w:rPr/>
        <w:t>披露的《</w:t>
      </w:r>
      <w:r>
        <w:rPr>
          <w:rFonts w:ascii="宋体" w:hAnsi="宋体" w:cs="宋体" w:eastAsia="宋体" w:hint="default"/>
        </w:rPr>
        <w:t>2017</w:t>
      </w:r>
      <w:r>
        <w:rPr/>
        <w:t>年度社会责任报告》，报告全文登载于巨潮资讯网（</w:t>
      </w:r>
      <w:hyperlink r:id="rId13">
        <w:r>
          <w:rPr>
            <w:rFonts w:ascii="宋体" w:hAnsi="宋体" w:cs="宋体" w:eastAsia="宋体" w:hint="default"/>
          </w:rPr>
          <w:t>www.cninfo.com.cn</w:t>
        </w:r>
      </w:hyperlink>
      <w:r>
        <w:rPr/>
        <w:t>）。</w:t>
      </w:r>
    </w:p>
    <w:p>
      <w:pPr>
        <w:spacing w:line="240" w:lineRule="auto" w:before="7"/>
        <w:rPr>
          <w:rFonts w:ascii="宋体" w:hAnsi="宋体" w:cs="宋体" w:eastAsia="宋体" w:hint="default"/>
          <w:sz w:val="23"/>
          <w:szCs w:val="23"/>
        </w:rPr>
      </w:pPr>
    </w:p>
    <w:p>
      <w:pPr>
        <w:spacing w:line="520" w:lineRule="auto" w:before="0"/>
        <w:ind w:left="152" w:right="15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57" w:lineRule="auto" w:before="72"/>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240" w:lineRule="auto" w:before="7"/>
        <w:rPr>
          <w:rFonts w:ascii="宋体" w:hAnsi="宋体" w:cs="宋体" w:eastAsia="宋体" w:hint="default"/>
          <w:sz w:val="18"/>
          <w:szCs w:val="18"/>
        </w:rPr>
      </w:pPr>
    </w:p>
    <w:p>
      <w:pPr>
        <w:pStyle w:val="Heading3"/>
        <w:spacing w:line="240" w:lineRule="auto"/>
        <w:ind w:right="15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90" w:lineRule="auto" w:before="80"/>
        <w:ind w:left="575"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）主要零售信息系统板块重组事宜</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日召开第六届董事会</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年第十一次临时会议审议通过《关于主要零售信息系统</w:t>
      </w:r>
    </w:p>
    <w:p>
      <w:pPr>
        <w:pStyle w:val="BodyText"/>
        <w:spacing w:line="247" w:lineRule="exact"/>
        <w:ind w:right="0"/>
        <w:jc w:val="left"/>
      </w:pPr>
      <w:r>
        <w:rPr/>
        <w:t>板块重组方案的议案》，公司拟对规模化零售信息系统板块进行重组整合，拟将长益科技、北京富基、科</w:t>
      </w:r>
    </w:p>
    <w:p>
      <w:pPr>
        <w:pStyle w:val="BodyText"/>
        <w:spacing w:line="261" w:lineRule="auto" w:before="37"/>
        <w:ind w:right="146"/>
        <w:jc w:val="left"/>
      </w:pPr>
      <w:r>
        <w:rPr>
          <w:spacing w:val="-2"/>
        </w:rPr>
        <w:t>传控股、上海时运等由公司直接或间接持有的股权全部转由公司全资子公司石基（香港）有限公司之全资</w:t>
      </w:r>
      <w:r>
        <w:rPr>
          <w:spacing w:val="-42"/>
        </w:rPr>
        <w:t> </w:t>
      </w:r>
      <w:r>
        <w:rPr>
          <w:spacing w:val="-42"/>
        </w:rPr>
      </w:r>
      <w:r>
        <w:rPr/>
        <w:t>子公司</w:t>
      </w:r>
      <w:r>
        <w:rPr>
          <w:rFonts w:ascii="Times New Roman" w:hAnsi="Times New Roman" w:cs="Times New Roman" w:eastAsia="Times New Roman" w:hint="default"/>
        </w:rPr>
        <w:t>Shiji</w:t>
      </w:r>
      <w:r>
        <w:rPr>
          <w:rFonts w:ascii="Times New Roman" w:hAnsi="Times New Roman" w:cs="Times New Roman" w:eastAsia="Times New Roman" w:hint="default"/>
          <w:spacing w:val="9"/>
        </w:rPr>
        <w:t> </w:t>
      </w:r>
      <w:r>
        <w:rPr>
          <w:rFonts w:ascii="Times New Roman" w:hAnsi="Times New Roman" w:cs="Times New Roman" w:eastAsia="Times New Roman" w:hint="default"/>
        </w:rPr>
        <w:t>Retail</w:t>
      </w:r>
      <w:r>
        <w:rPr>
          <w:rFonts w:ascii="Times New Roman" w:hAnsi="Times New Roman" w:cs="Times New Roman" w:eastAsia="Times New Roman" w:hint="default"/>
          <w:spacing w:val="9"/>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4"/>
        </w:rPr>
        <w:t> </w:t>
      </w:r>
      <w:r>
        <w:rPr>
          <w:rFonts w:ascii="Times New Roman" w:hAnsi="Times New Roman" w:cs="Times New Roman" w:eastAsia="Times New Roman" w:hint="default"/>
        </w:rPr>
        <w:t>Co.</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4"/>
        </w:rPr>
        <w:t>Ltd.</w:t>
      </w:r>
      <w:r>
        <w:rPr>
          <w:spacing w:val="-4"/>
        </w:rPr>
        <w:t>（以下简称“石基零售”）直接或间接持有。详见</w:t>
      </w:r>
      <w:r>
        <w:rPr>
          <w:rFonts w:ascii="Times New Roman" w:hAnsi="Times New Roman" w:cs="Times New Roman" w:eastAsia="Times New Roman" w:hint="default"/>
          <w:spacing w:val="-4"/>
        </w:rPr>
        <w:t>2017</w:t>
      </w:r>
      <w:r>
        <w:rPr>
          <w:spacing w:val="-4"/>
        </w:rPr>
        <w:t>年</w:t>
      </w:r>
      <w:r>
        <w:rPr>
          <w:spacing w:val="-98"/>
        </w:rPr>
        <w:t> </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日刊登于《中国证券报》、《证券时报》及巨潮资讯网</w:t>
      </w:r>
      <w:hyperlink r:id="rId25">
        <w:r>
          <w:rPr>
            <w:rFonts w:ascii="Times New Roman" w:hAnsi="Times New Roman" w:cs="Times New Roman" w:eastAsia="Times New Roman" w:hint="default"/>
            <w:spacing w:val="-2"/>
          </w:rPr>
          <w:t>www.cninfo.com.cn</w:t>
        </w:r>
        <w:r>
          <w:rPr>
            <w:spacing w:val="-2"/>
          </w:rPr>
          <w:t>的《</w:t>
        </w:r>
      </w:hyperlink>
      <w:r>
        <w:rPr>
          <w:spacing w:val="-2"/>
        </w:rPr>
        <w:t>第六届董事会</w:t>
      </w:r>
      <w:r>
        <w:rPr>
          <w:rFonts w:ascii="Times New Roman" w:hAnsi="Times New Roman" w:cs="Times New Roman" w:eastAsia="Times New Roman" w:hint="default"/>
          <w:spacing w:val="-2"/>
        </w:rPr>
        <w:t>2017</w:t>
      </w:r>
      <w:r>
        <w:rPr>
          <w:spacing w:val="-2"/>
        </w:rPr>
        <w:t>年</w:t>
      </w:r>
      <w:r>
        <w:rPr>
          <w:spacing w:val="-3"/>
        </w:rPr>
        <w:t> </w:t>
      </w:r>
      <w:r>
        <w:rPr/>
        <w:t>第十一次临时会议决议公告》（</w:t>
      </w:r>
      <w:r>
        <w:rPr>
          <w:rFonts w:ascii="Times New Roman" w:hAnsi="Times New Roman" w:cs="Times New Roman" w:eastAsia="Times New Roman" w:hint="default"/>
        </w:rPr>
        <w:t>2017-58</w:t>
      </w:r>
      <w:r>
        <w:rPr/>
        <w:t>）。截至本报告披露日，以上重组事宜已经全部完成。截至</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日，假设以上重组事宜已经完成的情况下，石基零售的模拟合并营业收入</w:t>
      </w:r>
      <w:r>
        <w:rPr>
          <w:rFonts w:ascii="Times New Roman" w:hAnsi="Times New Roman" w:cs="Times New Roman" w:eastAsia="Times New Roman" w:hint="default"/>
          <w:spacing w:val="-2"/>
        </w:rPr>
        <w:t>4.05</w:t>
      </w:r>
      <w:r>
        <w:rPr>
          <w:spacing w:val="-2"/>
        </w:rPr>
        <w:t>亿，归属于母公司</w:t>
      </w:r>
      <w:r>
        <w:rPr>
          <w:spacing w:val="-11"/>
        </w:rPr>
        <w:t> </w:t>
      </w:r>
      <w:r>
        <w:rPr>
          <w:spacing w:val="-11"/>
        </w:rPr>
      </w:r>
      <w:r>
        <w:rPr/>
        <w:t>股东的净利润</w:t>
      </w:r>
      <w:r>
        <w:rPr>
          <w:rFonts w:ascii="Times New Roman" w:hAnsi="Times New Roman" w:cs="Times New Roman" w:eastAsia="Times New Roman" w:hint="default"/>
        </w:rPr>
        <w:t>1.22</w:t>
      </w:r>
      <w:r>
        <w:rPr/>
        <w:t>亿。</w:t>
      </w:r>
    </w:p>
    <w:p>
      <w:pPr>
        <w:pStyle w:val="Heading7"/>
        <w:spacing w:line="256" w:lineRule="auto" w:before="41"/>
        <w:ind w:right="153" w:firstLine="422"/>
        <w:jc w:val="left"/>
        <w:rPr>
          <w:b w:val="0"/>
          <w:bCs w:val="0"/>
        </w:rPr>
      </w:pPr>
      <w:r>
        <w:rPr/>
        <w:t>（</w:t>
      </w:r>
      <w:r>
        <w:rPr>
          <w:rFonts w:ascii="Times New Roman" w:hAnsi="Times New Roman" w:cs="Times New Roman" w:eastAsia="Times New Roman" w:hint="default"/>
        </w:rPr>
        <w:t>2</w:t>
      </w:r>
      <w:r>
        <w:rPr/>
        <w:t>）公司向</w:t>
      </w:r>
      <w:r>
        <w:rPr>
          <w:rFonts w:ascii="Times New Roman" w:hAnsi="Times New Roman" w:cs="Times New Roman" w:eastAsia="Times New Roman" w:hint="default"/>
        </w:rPr>
        <w:t>ALIBABA SJ INVESTMENT LIMITED</w:t>
      </w:r>
      <w:r>
        <w:rPr/>
        <w:t>出售全资子公司</w:t>
      </w:r>
      <w:r>
        <w:rPr>
          <w:rFonts w:ascii="Times New Roman" w:hAnsi="Times New Roman" w:cs="Times New Roman" w:eastAsia="Times New Roman" w:hint="default"/>
        </w:rPr>
        <w:t>Shiji Retail</w:t>
      </w:r>
      <w:r>
        <w:rPr>
          <w:rFonts w:ascii="Times New Roman" w:hAnsi="Times New Roman" w:cs="Times New Roman" w:eastAsia="Times New Roman" w:hint="default"/>
          <w:spacing w:val="-14"/>
        </w:rPr>
        <w:t> </w:t>
      </w:r>
      <w:r>
        <w:rPr>
          <w:rFonts w:ascii="Times New Roman" w:hAnsi="Times New Roman" w:cs="Times New Roman" w:eastAsia="Times New Roman" w:hint="default"/>
        </w:rPr>
        <w:t>Information</w:t>
      </w:r>
      <w:r>
        <w:rPr>
          <w:rFonts w:ascii="Times New Roman" w:hAnsi="Times New Roman" w:cs="Times New Roman" w:eastAsia="Times New Roman" w:hint="default"/>
          <w:w w:val="100"/>
        </w:rPr>
        <w:t> </w:t>
      </w:r>
      <w:r>
        <w:rPr>
          <w:rFonts w:ascii="Times New Roman" w:hAnsi="Times New Roman" w:cs="Times New Roman" w:eastAsia="Times New Roman" w:hint="default"/>
        </w:rPr>
        <w:t>Technology Co.</w:t>
      </w:r>
      <w:r>
        <w:rPr>
          <w:rFonts w:ascii="Times New Roman" w:hAnsi="Times New Roman" w:cs="Times New Roman" w:eastAsia="Times New Roman" w:hint="default"/>
          <w:spacing w:val="-6"/>
        </w:rPr>
        <w:t> </w:t>
      </w:r>
      <w:r>
        <w:rPr>
          <w:rFonts w:ascii="Times New Roman" w:hAnsi="Times New Roman" w:cs="Times New Roman" w:eastAsia="Times New Roman" w:hint="default"/>
        </w:rPr>
        <w:t>Ltd.38%</w:t>
      </w:r>
      <w:r>
        <w:rPr/>
        <w:t>股权</w:t>
      </w:r>
      <w:r>
        <w:rPr>
          <w:b w:val="0"/>
          <w:bCs w:val="0"/>
        </w:rPr>
      </w:r>
    </w:p>
    <w:p>
      <w:pPr>
        <w:pStyle w:val="BodyText"/>
        <w:spacing w:line="256" w:lineRule="auto" w:before="43"/>
        <w:ind w:right="0" w:firstLine="420"/>
        <w:jc w:val="left"/>
      </w:pPr>
      <w:r>
        <w:rPr>
          <w:spacing w:val="-2"/>
        </w:rPr>
        <w:t>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日召开第六届董事会</w:t>
      </w:r>
      <w:r>
        <w:rPr>
          <w:rFonts w:ascii="Times New Roman" w:hAnsi="Times New Roman" w:cs="Times New Roman" w:eastAsia="Times New Roman" w:hint="default"/>
          <w:spacing w:val="-2"/>
        </w:rPr>
        <w:t>2017</w:t>
      </w:r>
      <w:r>
        <w:rPr>
          <w:spacing w:val="-2"/>
        </w:rPr>
        <w:t>年第十一次临时会议审议通过《关于拟签署控股子公</w:t>
      </w:r>
      <w:r>
        <w:rPr>
          <w:w w:val="100"/>
        </w:rPr>
        <w:t> </w:t>
      </w:r>
      <w:r>
        <w:rPr/>
        <w:t>司股权出售框架协议暨关联交易的议案》，公司全资子公司石基（香港）拟将其全资持有的</w:t>
      </w:r>
      <w:r>
        <w:rPr>
          <w:rFonts w:ascii="Times New Roman" w:hAnsi="Times New Roman" w:cs="Times New Roman" w:eastAsia="Times New Roman" w:hint="default"/>
        </w:rPr>
        <w:t>Shiji</w:t>
      </w:r>
      <w:r>
        <w:rPr>
          <w:rFonts w:ascii="Times New Roman" w:hAnsi="Times New Roman" w:cs="Times New Roman" w:eastAsia="Times New Roman" w:hint="default"/>
          <w:spacing w:val="-2"/>
        </w:rPr>
        <w:t> </w:t>
      </w:r>
      <w:r>
        <w:rPr>
          <w:rFonts w:ascii="Times New Roman" w:hAnsi="Times New Roman" w:cs="Times New Roman" w:eastAsia="Times New Roman" w:hint="default"/>
        </w:rPr>
        <w:t>Retail</w:t>
      </w:r>
      <w:r>
        <w:rPr>
          <w:rFonts w:ascii="Times New Roman" w:hAnsi="Times New Roman" w:cs="Times New Roman" w:eastAsia="Times New Roman" w:hint="default"/>
          <w:w w:val="100"/>
        </w:rPr>
        <w:t> </w:t>
      </w:r>
      <w:r>
        <w:rPr>
          <w:rFonts w:ascii="Times New Roman" w:hAnsi="Times New Roman" w:cs="Times New Roman" w:eastAsia="Times New Roman" w:hint="default"/>
        </w:rPr>
        <w:t>Information Technology Co.</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石基零售</w:t>
      </w:r>
      <w:r>
        <w:rPr>
          <w:rFonts w:ascii="Times New Roman" w:hAnsi="Times New Roman" w:cs="Times New Roman" w:eastAsia="Times New Roman" w:hint="default"/>
        </w:rPr>
        <w:t>”</w:t>
      </w:r>
      <w:r>
        <w:rPr/>
        <w:t>）</w:t>
      </w:r>
      <w:r>
        <w:rPr>
          <w:rFonts w:ascii="Times New Roman" w:hAnsi="Times New Roman" w:cs="Times New Roman" w:eastAsia="Times New Roman" w:hint="default"/>
        </w:rPr>
        <w:t>38%</w:t>
      </w:r>
      <w:r>
        <w:rPr/>
        <w:t>的股权以不超过</w:t>
      </w:r>
      <w:r>
        <w:rPr>
          <w:rFonts w:ascii="Times New Roman" w:hAnsi="Times New Roman" w:cs="Times New Roman" w:eastAsia="Times New Roman" w:hint="default"/>
        </w:rPr>
        <w:t>5</w:t>
      </w:r>
      <w:r>
        <w:rPr/>
        <w:t>亿美元的价格转让给</w:t>
      </w:r>
      <w:r>
        <w:rPr>
          <w:rFonts w:ascii="Times New Roman" w:hAnsi="Times New Roman" w:cs="Times New Roman" w:eastAsia="Times New Roman" w:hint="default"/>
        </w:rPr>
        <w:t>Alibaba</w:t>
      </w:r>
      <w:r>
        <w:rPr>
          <w:rFonts w:ascii="Times New Roman" w:hAnsi="Times New Roman" w:cs="Times New Roman" w:eastAsia="Times New Roman" w:hint="default"/>
          <w:w w:val="100"/>
        </w:rPr>
        <w:t> </w:t>
      </w:r>
      <w:r>
        <w:rPr>
          <w:rFonts w:ascii="Times New Roman" w:hAnsi="Times New Roman" w:cs="Times New Roman" w:eastAsia="Times New Roman" w:hint="default"/>
        </w:rPr>
        <w:t>Investment </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Limited</w:t>
      </w:r>
      <w:r>
        <w:rPr>
          <w:spacing w:val="-3"/>
        </w:rPr>
        <w:t>（以下简称</w:t>
      </w:r>
      <w:r>
        <w:rPr>
          <w:rFonts w:ascii="Times New Roman" w:hAnsi="Times New Roman" w:cs="Times New Roman" w:eastAsia="Times New Roman" w:hint="default"/>
          <w:spacing w:val="-3"/>
        </w:rPr>
        <w:t>“</w:t>
      </w:r>
      <w:r>
        <w:rPr>
          <w:spacing w:val="-3"/>
        </w:rPr>
        <w:t>阿里投资</w:t>
      </w:r>
      <w:r>
        <w:rPr>
          <w:rFonts w:ascii="Times New Roman" w:hAnsi="Times New Roman" w:cs="Times New Roman" w:eastAsia="Times New Roman" w:hint="default"/>
          <w:spacing w:val="-3"/>
        </w:rPr>
        <w:t>”</w:t>
      </w:r>
      <w:r>
        <w:rPr>
          <w:spacing w:val="-3"/>
        </w:rPr>
        <w:t>）或其关联方，详见</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w:t>
      </w:r>
      <w:r>
        <w:rPr>
          <w:spacing w:val="-3"/>
        </w:rPr>
        <w:t>日刊登于《中国证券报》、《证</w:t>
      </w:r>
    </w:p>
    <w:p>
      <w:pPr>
        <w:spacing w:after="0" w:line="256"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BodyText"/>
        <w:spacing w:line="240" w:lineRule="auto" w:before="36"/>
        <w:ind w:right="100"/>
        <w:jc w:val="left"/>
      </w:pPr>
      <w:r>
        <w:rPr/>
        <w:t>券时报》及巨潮资讯网</w:t>
      </w:r>
      <w:hyperlink r:id="rId25">
        <w:r>
          <w:rPr>
            <w:rFonts w:ascii="Times New Roman" w:hAnsi="Times New Roman" w:cs="Times New Roman" w:eastAsia="Times New Roman" w:hint="default"/>
          </w:rPr>
          <w:t>www.cninfo.com.cn</w:t>
        </w:r>
        <w:r>
          <w:rPr/>
          <w:t>的《</w:t>
        </w:r>
      </w:hyperlink>
      <w:r>
        <w:rPr/>
        <w:t>关于签署控股子公司股权出售框架协议暨关联交易的公告》</w:t>
      </w:r>
    </w:p>
    <w:p>
      <w:pPr>
        <w:pStyle w:val="BodyText"/>
        <w:spacing w:line="240" w:lineRule="auto" w:before="21"/>
        <w:ind w:right="208"/>
        <w:jc w:val="left"/>
      </w:pPr>
      <w:r>
        <w:rPr/>
        <w:t>（</w:t>
      </w:r>
      <w:r>
        <w:rPr>
          <w:rFonts w:ascii="Times New Roman" w:hAnsi="Times New Roman" w:cs="Times New Roman" w:eastAsia="Times New Roman" w:hint="default"/>
        </w:rPr>
        <w:t>2017-59</w:t>
      </w:r>
      <w:r>
        <w:rPr/>
        <w:t>）。</w:t>
      </w:r>
    </w:p>
    <w:p>
      <w:pPr>
        <w:pStyle w:val="BodyText"/>
        <w:spacing w:line="256" w:lineRule="auto" w:before="62"/>
        <w:ind w:right="206" w:firstLine="420"/>
        <w:jc w:val="both"/>
      </w:pPr>
      <w:r>
        <w:rPr>
          <w:spacing w:val="-2"/>
        </w:rPr>
        <w:t>按照框架协议的约定，经公司第六届董事会</w:t>
      </w:r>
      <w:r>
        <w:rPr>
          <w:rFonts w:ascii="Times New Roman" w:hAnsi="Times New Roman" w:cs="Times New Roman" w:eastAsia="Times New Roman" w:hint="default"/>
          <w:spacing w:val="-2"/>
        </w:rPr>
        <w:t>2018</w:t>
      </w:r>
      <w:r>
        <w:rPr>
          <w:spacing w:val="-2"/>
        </w:rPr>
        <w:t>年第一次临时会议审议通过，公司、石基（香港）于</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日与阿里投资关联方</w:t>
      </w:r>
      <w:r>
        <w:rPr>
          <w:rFonts w:ascii="Times New Roman" w:hAnsi="Times New Roman" w:cs="Times New Roman" w:eastAsia="Times New Roman" w:hint="default"/>
        </w:rPr>
        <w:t>ALIBABA</w:t>
      </w:r>
      <w:r>
        <w:rPr>
          <w:rFonts w:ascii="Times New Roman" w:hAnsi="Times New Roman" w:cs="Times New Roman" w:eastAsia="Times New Roman" w:hint="default"/>
          <w:spacing w:val="-7"/>
        </w:rPr>
        <w:t> </w:t>
      </w:r>
      <w:r>
        <w:rPr>
          <w:rFonts w:ascii="Times New Roman" w:hAnsi="Times New Roman" w:cs="Times New Roman" w:eastAsia="Times New Roman" w:hint="default"/>
        </w:rPr>
        <w:t>SJ</w:t>
      </w:r>
      <w:r>
        <w:rPr>
          <w:rFonts w:ascii="Times New Roman" w:hAnsi="Times New Roman" w:cs="Times New Roman" w:eastAsia="Times New Roman" w:hint="default"/>
          <w:spacing w:val="-8"/>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5"/>
        </w:rPr>
        <w:t>LIMITED</w:t>
      </w:r>
      <w:r>
        <w:rPr>
          <w:spacing w:val="-5"/>
        </w:rPr>
        <w:t>（以下简称</w:t>
      </w:r>
      <w:r>
        <w:rPr>
          <w:rFonts w:ascii="Times New Roman" w:hAnsi="Times New Roman" w:cs="Times New Roman" w:eastAsia="Times New Roman" w:hint="default"/>
          <w:spacing w:val="-5"/>
        </w:rPr>
        <w:t>“</w:t>
      </w:r>
      <w:r>
        <w:rPr>
          <w:spacing w:val="-5"/>
        </w:rPr>
        <w:t>阿里</w:t>
      </w:r>
      <w:r>
        <w:rPr>
          <w:rFonts w:ascii="Times New Roman" w:hAnsi="Times New Roman" w:cs="Times New Roman" w:eastAsia="Times New Roman" w:hint="default"/>
          <w:spacing w:val="-5"/>
        </w:rPr>
        <w:t>SJ</w:t>
      </w:r>
      <w:r>
        <w:rPr>
          <w:spacing w:val="-5"/>
        </w:rPr>
        <w:t>投资</w:t>
      </w:r>
      <w:r>
        <w:rPr>
          <w:rFonts w:ascii="Times New Roman" w:hAnsi="Times New Roman" w:cs="Times New Roman" w:eastAsia="Times New Roman" w:hint="default"/>
          <w:spacing w:val="-5"/>
        </w:rPr>
        <w:t>”</w:t>
      </w:r>
      <w:r>
        <w:rPr>
          <w:spacing w:val="-5"/>
        </w:rPr>
        <w:t>）签署《股</w:t>
      </w:r>
      <w:r>
        <w:rPr>
          <w:spacing w:val="-103"/>
        </w:rPr>
        <w:t> </w:t>
      </w:r>
      <w:r>
        <w:rPr>
          <w:spacing w:val="-103"/>
        </w:rPr>
      </w:r>
      <w:r>
        <w:rPr>
          <w:spacing w:val="-2"/>
        </w:rPr>
        <w:t>份购买协议》，将按照公司第六届董事会</w:t>
      </w:r>
      <w:r>
        <w:rPr>
          <w:rFonts w:ascii="Times New Roman" w:hAnsi="Times New Roman" w:cs="Times New Roman" w:eastAsia="Times New Roman" w:hint="default"/>
          <w:spacing w:val="-2"/>
        </w:rPr>
        <w:t>2017</w:t>
      </w:r>
      <w:r>
        <w:rPr>
          <w:spacing w:val="-2"/>
        </w:rPr>
        <w:t>年第十一次临时会议审议通过的公司主要零售信息系统板块</w:t>
      </w:r>
      <w:r>
        <w:rPr>
          <w:spacing w:val="-39"/>
        </w:rPr>
        <w:t> </w:t>
      </w:r>
      <w:r>
        <w:rPr>
          <w:spacing w:val="-39"/>
        </w:rPr>
      </w:r>
      <w:r>
        <w:rPr>
          <w:spacing w:val="-2"/>
        </w:rPr>
        <w:t>重组方案重组整合完成的石基零售</w:t>
      </w:r>
      <w:r>
        <w:rPr>
          <w:rFonts w:ascii="Times New Roman" w:hAnsi="Times New Roman" w:cs="Times New Roman" w:eastAsia="Times New Roman" w:hint="default"/>
          <w:spacing w:val="-2"/>
        </w:rPr>
        <w:t>38%</w:t>
      </w:r>
      <w:r>
        <w:rPr>
          <w:spacing w:val="-2"/>
        </w:rPr>
        <w:t>的股权以</w:t>
      </w:r>
      <w:r>
        <w:rPr>
          <w:rFonts w:ascii="Times New Roman" w:hAnsi="Times New Roman" w:cs="Times New Roman" w:eastAsia="Times New Roman" w:hint="default"/>
          <w:spacing w:val="-2"/>
        </w:rPr>
        <w:t>4.86</w:t>
      </w:r>
      <w:r>
        <w:rPr>
          <w:spacing w:val="-2"/>
        </w:rPr>
        <w:t>亿美元的价格转让给阿里</w:t>
      </w:r>
      <w:r>
        <w:rPr>
          <w:rFonts w:ascii="Times New Roman" w:hAnsi="Times New Roman" w:cs="Times New Roman" w:eastAsia="Times New Roman" w:hint="default"/>
          <w:spacing w:val="-2"/>
        </w:rPr>
        <w:t>SJ</w:t>
      </w:r>
      <w:r>
        <w:rPr>
          <w:spacing w:val="-2"/>
        </w:rPr>
        <w:t>投资和</w:t>
      </w:r>
      <w:r>
        <w:rPr>
          <w:rFonts w:ascii="Times New Roman" w:hAnsi="Times New Roman" w:cs="Times New Roman" w:eastAsia="Times New Roman" w:hint="default"/>
          <w:spacing w:val="-2"/>
        </w:rPr>
        <w:t>/</w:t>
      </w:r>
      <w:r>
        <w:rPr>
          <w:spacing w:val="-2"/>
        </w:rPr>
        <w:t>或其关联方。详见</w:t>
      </w:r>
      <w:r>
        <w:rPr>
          <w:spacing w:val="-13"/>
        </w:rPr>
        <w:t> </w:t>
      </w:r>
      <w:r>
        <w:rPr>
          <w:spacing w:val="-13"/>
        </w:rPr>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8</w:t>
      </w:r>
      <w:r>
        <w:rPr>
          <w:spacing w:val="-4"/>
        </w:rPr>
        <w:t>日刊登于《中国证券报》、《证券时报》及巨潮资讯网</w:t>
      </w:r>
      <w:hyperlink r:id="rId25">
        <w:r>
          <w:rPr>
            <w:rFonts w:ascii="Times New Roman" w:hAnsi="Times New Roman" w:cs="Times New Roman" w:eastAsia="Times New Roman" w:hint="default"/>
            <w:spacing w:val="-4"/>
          </w:rPr>
          <w:t>www.cninfo.com.cn</w:t>
        </w:r>
        <w:r>
          <w:rPr>
            <w:spacing w:val="-4"/>
          </w:rPr>
          <w:t>的</w:t>
        </w:r>
      </w:hyperlink>
      <w:r>
        <w:rPr>
          <w:spacing w:val="-4"/>
        </w:rPr>
        <w:t>《关于向</w:t>
      </w:r>
      <w:r>
        <w:rPr>
          <w:rFonts w:ascii="Times New Roman" w:hAnsi="Times New Roman" w:cs="Times New Roman" w:eastAsia="Times New Roman" w:hint="default"/>
          <w:spacing w:val="-4"/>
        </w:rPr>
        <w:t>ALIBABA</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rFonts w:ascii="Times New Roman" w:hAnsi="Times New Roman" w:cs="Times New Roman" w:eastAsia="Times New Roman" w:hint="default"/>
        </w:rPr>
        <w:t>SJ INVESTMENT LIMITED</w:t>
      </w:r>
      <w:r>
        <w:rPr/>
        <w:t>出售全资子公司</w:t>
      </w:r>
      <w:r>
        <w:rPr>
          <w:rFonts w:ascii="Times New Roman" w:hAnsi="Times New Roman" w:cs="Times New Roman" w:eastAsia="Times New Roman" w:hint="default"/>
        </w:rPr>
        <w:t>Shiji Retail Information Technology Co.</w:t>
      </w:r>
      <w:r>
        <w:rPr>
          <w:rFonts w:ascii="Times New Roman" w:hAnsi="Times New Roman" w:cs="Times New Roman" w:eastAsia="Times New Roman" w:hint="default"/>
          <w:spacing w:val="-24"/>
        </w:rPr>
        <w:t> </w:t>
      </w:r>
      <w:r>
        <w:rPr>
          <w:rFonts w:ascii="Times New Roman" w:hAnsi="Times New Roman" w:cs="Times New Roman" w:eastAsia="Times New Roman" w:hint="default"/>
        </w:rPr>
        <w:t>Ltd.38%</w:t>
      </w:r>
      <w:r>
        <w:rPr/>
        <w:t>股权暨关联交易</w:t>
      </w:r>
      <w:r>
        <w:rPr>
          <w:w w:val="100"/>
        </w:rPr>
        <w:t> </w:t>
      </w:r>
      <w:r>
        <w:rPr/>
        <w:t>的公告》（公告编号：</w:t>
      </w:r>
      <w:r>
        <w:rPr>
          <w:rFonts w:ascii="Times New Roman" w:hAnsi="Times New Roman" w:cs="Times New Roman" w:eastAsia="Times New Roman" w:hint="default"/>
        </w:rPr>
        <w:t>2018-04</w:t>
      </w:r>
      <w:r>
        <w:rPr/>
        <w:t>）。</w:t>
      </w:r>
    </w:p>
    <w:p>
      <w:pPr>
        <w:pStyle w:val="Heading7"/>
        <w:spacing w:line="240" w:lineRule="auto" w:before="43"/>
        <w:ind w:left="575" w:right="208"/>
        <w:jc w:val="left"/>
        <w:rPr>
          <w:b w:val="0"/>
          <w:bCs w:val="0"/>
        </w:rPr>
      </w:pPr>
      <w:r>
        <w:rPr/>
        <w:t>（</w:t>
      </w:r>
      <w:r>
        <w:rPr>
          <w:rFonts w:ascii="Times New Roman" w:hAnsi="Times New Roman" w:cs="Times New Roman" w:eastAsia="Times New Roman" w:hint="default"/>
        </w:rPr>
        <w:t>3</w:t>
      </w:r>
      <w:r>
        <w:rPr/>
        <w:t>）公司向全资子公司转让长益科技</w:t>
      </w:r>
      <w:r>
        <w:rPr>
          <w:rFonts w:ascii="Times New Roman" w:hAnsi="Times New Roman" w:cs="Times New Roman" w:eastAsia="Times New Roman" w:hint="default"/>
        </w:rPr>
        <w:t>100%</w:t>
      </w:r>
      <w:r>
        <w:rPr/>
        <w:t>股权</w:t>
      </w:r>
      <w:r>
        <w:rPr>
          <w:b w:val="0"/>
          <w:bCs w:val="0"/>
        </w:rPr>
      </w:r>
    </w:p>
    <w:p>
      <w:pPr>
        <w:pStyle w:val="BodyText"/>
        <w:spacing w:line="256" w:lineRule="auto" w:before="62"/>
        <w:ind w:right="206"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日，为积极推进对规模化零售信息系统板块重组整合进程，公司与石基零售全资子公司</w:t>
      </w:r>
      <w:r>
        <w:rPr>
          <w:w w:val="100"/>
        </w:rPr>
        <w:t> </w:t>
      </w:r>
      <w:r>
        <w:rPr/>
        <w:t>北京富基签署《北京长京益康信息科技有限公司股权转让协议》，将公司持有长益科技</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的股权转让</w:t>
      </w:r>
      <w:r>
        <w:rPr>
          <w:w w:val="100"/>
        </w:rPr>
        <w:t> </w:t>
      </w:r>
      <w:r>
        <w:rPr>
          <w:spacing w:val="-2"/>
        </w:rPr>
        <w:t>给北京富基融通科技有限公司（现已更名为</w:t>
      </w:r>
      <w:r>
        <w:rPr>
          <w:rFonts w:ascii="Times New Roman" w:hAnsi="Times New Roman" w:cs="Times New Roman" w:eastAsia="Times New Roman" w:hint="default"/>
          <w:spacing w:val="-2"/>
        </w:rPr>
        <w:t>“</w:t>
      </w:r>
      <w:r>
        <w:rPr>
          <w:spacing w:val="-2"/>
        </w:rPr>
        <w:t>北京石基大商信息技术有限公司</w:t>
      </w:r>
      <w:r>
        <w:rPr>
          <w:rFonts w:ascii="Times New Roman" w:hAnsi="Times New Roman" w:cs="Times New Roman" w:eastAsia="Times New Roman" w:hint="default"/>
          <w:spacing w:val="-2"/>
        </w:rPr>
        <w:t>”</w:t>
      </w:r>
      <w:r>
        <w:rPr>
          <w:spacing w:val="-2"/>
        </w:rPr>
        <w:t>）。详见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日刊</w:t>
      </w:r>
      <w:r>
        <w:rPr>
          <w:spacing w:val="-18"/>
        </w:rPr>
        <w:t> </w:t>
      </w:r>
      <w:r>
        <w:rPr>
          <w:spacing w:val="-2"/>
        </w:rPr>
        <w:t>登于《中国证券报》、《证券时报》及巨潮资讯网</w:t>
      </w:r>
      <w:hyperlink r:id="rId25">
        <w:r>
          <w:rPr>
            <w:rFonts w:ascii="Times New Roman" w:hAnsi="Times New Roman" w:cs="Times New Roman" w:eastAsia="Times New Roman" w:hint="default"/>
            <w:spacing w:val="-2"/>
          </w:rPr>
          <w:t>www.cninfo.com.cn</w:t>
        </w:r>
        <w:r>
          <w:rPr>
            <w:spacing w:val="-2"/>
          </w:rPr>
          <w:t>的《关</w:t>
        </w:r>
      </w:hyperlink>
      <w:r>
        <w:rPr>
          <w:spacing w:val="-2"/>
        </w:rPr>
        <w:t>于公司与全资子公司签署</w:t>
      </w:r>
      <w:r>
        <w:rPr>
          <w:rFonts w:ascii="Times New Roman" w:hAnsi="Times New Roman" w:cs="Times New Roman" w:eastAsia="Times New Roman" w:hint="default"/>
          <w:spacing w:val="-2"/>
        </w:rPr>
        <w:t>&lt;</w:t>
      </w:r>
      <w:r>
        <w:rPr>
          <w:spacing w:val="-2"/>
        </w:rPr>
        <w:t>北</w:t>
      </w:r>
      <w:r>
        <w:rPr>
          <w:spacing w:val="-4"/>
        </w:rPr>
        <w:t> </w:t>
      </w:r>
      <w:r>
        <w:rPr/>
        <w:t>京长京益康信息科技有限公司股权转让协议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2017-64</w:t>
      </w:r>
      <w:r>
        <w:rPr/>
        <w:t>）。</w:t>
      </w:r>
    </w:p>
    <w:p>
      <w:pPr>
        <w:pStyle w:val="Heading7"/>
        <w:spacing w:line="240" w:lineRule="auto" w:before="46"/>
        <w:ind w:left="575" w:right="208"/>
        <w:jc w:val="left"/>
        <w:rPr>
          <w:b w:val="0"/>
          <w:bCs w:val="0"/>
        </w:rPr>
      </w:pPr>
      <w:r>
        <w:rPr/>
        <w:t>（</w:t>
      </w:r>
      <w:r>
        <w:rPr>
          <w:rFonts w:ascii="Times New Roman" w:hAnsi="Times New Roman" w:cs="Times New Roman" w:eastAsia="Times New Roman" w:hint="default"/>
        </w:rPr>
        <w:t>4</w:t>
      </w:r>
      <w:r>
        <w:rPr/>
        <w:t>）公司及控股子公司与淘宝（中国）软件有限公司签署《战略合作框架协议》</w:t>
      </w:r>
      <w:r>
        <w:rPr>
          <w:b w:val="0"/>
          <w:bCs w:val="0"/>
        </w:rPr>
      </w:r>
    </w:p>
    <w:p>
      <w:pPr>
        <w:pStyle w:val="BodyText"/>
        <w:spacing w:line="261" w:lineRule="auto" w:before="59"/>
        <w:ind w:right="101"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日，北京、公司子公司石基零售及深圳市思迅软件股份有限公司（以下简称</w:t>
      </w:r>
      <w:r>
        <w:rPr>
          <w:rFonts w:ascii="Times New Roman" w:hAnsi="Times New Roman" w:cs="Times New Roman" w:eastAsia="Times New Roman" w:hint="default"/>
        </w:rPr>
        <w:t>“</w:t>
      </w:r>
      <w:r>
        <w:rPr/>
        <w:t>思迅软件</w:t>
      </w:r>
      <w:r>
        <w:rPr>
          <w:rFonts w:ascii="Times New Roman" w:hAnsi="Times New Roman" w:cs="Times New Roman" w:eastAsia="Times New Roman" w:hint="default"/>
        </w:rPr>
        <w:t>”</w:t>
      </w:r>
      <w:r>
        <w:rPr/>
        <w:t>）</w:t>
      </w:r>
      <w:r>
        <w:rPr>
          <w:w w:val="100"/>
        </w:rPr>
        <w:t> </w:t>
      </w:r>
      <w:r>
        <w:rPr/>
        <w:t>与淘宝（中国）软件有限公司（以下简称</w:t>
      </w:r>
      <w:r>
        <w:rPr>
          <w:rFonts w:ascii="Times New Roman" w:hAnsi="Times New Roman" w:cs="Times New Roman" w:eastAsia="Times New Roman" w:hint="default"/>
        </w:rPr>
        <w:t>“</w:t>
      </w:r>
      <w:r>
        <w:rPr/>
        <w:t>淘宝（中国）</w:t>
      </w:r>
      <w:r>
        <w:rPr>
          <w:rFonts w:ascii="Times New Roman" w:hAnsi="Times New Roman" w:cs="Times New Roman" w:eastAsia="Times New Roman" w:hint="default"/>
        </w:rPr>
        <w:t>”</w:t>
      </w:r>
      <w:r>
        <w:rPr/>
        <w:t>）签署《战略合作框架协议》，公司将通过子公</w:t>
      </w:r>
      <w:r>
        <w:rPr>
          <w:w w:val="100"/>
        </w:rPr>
        <w:t> </w:t>
      </w:r>
      <w:r>
        <w:rPr/>
        <w:t>司石基零售及思迅软件与</w:t>
      </w:r>
      <w:r>
        <w:rPr>
          <w:spacing w:val="-13"/>
        </w:rPr>
        <w:t> </w:t>
      </w:r>
      <w:r>
        <w:rPr>
          <w:rFonts w:ascii="Times New Roman" w:hAnsi="Times New Roman" w:cs="Times New Roman" w:eastAsia="Times New Roman" w:hint="default"/>
        </w:rPr>
        <w:t>Alibaba</w:t>
      </w:r>
      <w:r>
        <w:rPr>
          <w:rFonts w:ascii="Times New Roman" w:hAnsi="Times New Roman" w:cs="Times New Roman" w:eastAsia="Times New Roman" w:hint="default"/>
          <w:spacing w:val="-7"/>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7"/>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Limited</w:t>
      </w:r>
      <w:r>
        <w:rPr>
          <w:spacing w:val="-3"/>
        </w:rPr>
        <w:t>（以下简称</w:t>
      </w:r>
      <w:r>
        <w:rPr>
          <w:rFonts w:ascii="Times New Roman" w:hAnsi="Times New Roman" w:cs="Times New Roman" w:eastAsia="Times New Roman" w:hint="default"/>
          <w:spacing w:val="-3"/>
        </w:rPr>
        <w:t>“</w:t>
      </w:r>
      <w:r>
        <w:rPr>
          <w:spacing w:val="-3"/>
        </w:rPr>
        <w:t>阿里巴巴</w:t>
      </w:r>
      <w:r>
        <w:rPr>
          <w:rFonts w:ascii="Times New Roman" w:hAnsi="Times New Roman" w:cs="Times New Roman" w:eastAsia="Times New Roman" w:hint="default"/>
          <w:spacing w:val="-3"/>
        </w:rPr>
        <w:t>”</w:t>
      </w:r>
      <w:r>
        <w:rPr>
          <w:spacing w:val="-3"/>
        </w:rPr>
        <w:t>）就新零售业务进行深度合</w:t>
      </w:r>
      <w:r>
        <w:rPr>
          <w:spacing w:val="-87"/>
        </w:rPr>
        <w:t> </w:t>
      </w:r>
      <w:r>
        <w:rPr>
          <w:spacing w:val="-87"/>
        </w:rPr>
      </w:r>
      <w:r>
        <w:rPr>
          <w:spacing w:val="-3"/>
        </w:rPr>
        <w:t>作。详见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8</w:t>
      </w:r>
      <w:r>
        <w:rPr>
          <w:spacing w:val="-3"/>
        </w:rPr>
        <w:t>日刊登于《中国证券报》、《证券时报》及巨潮资讯网</w:t>
      </w:r>
      <w:hyperlink r:id="rId25">
        <w:r>
          <w:rPr>
            <w:rFonts w:ascii="Times New Roman" w:hAnsi="Times New Roman" w:cs="Times New Roman" w:eastAsia="Times New Roman" w:hint="default"/>
            <w:spacing w:val="-3"/>
          </w:rPr>
          <w:t>www.cninfo.com.cn</w:t>
        </w:r>
        <w:r>
          <w:rPr>
            <w:spacing w:val="-3"/>
          </w:rPr>
          <w:t>的</w:t>
        </w:r>
      </w:hyperlink>
      <w:r>
        <w:rPr>
          <w:spacing w:val="-3"/>
        </w:rPr>
        <w:t>《关于公</w:t>
      </w:r>
      <w:r>
        <w:rPr>
          <w:spacing w:val="5"/>
        </w:rPr>
        <w:t> </w:t>
      </w:r>
      <w:r>
        <w:rPr>
          <w:spacing w:val="5"/>
        </w:rPr>
      </w:r>
      <w:r>
        <w:rPr>
          <w:spacing w:val="-5"/>
        </w:rPr>
        <w:t>司及控股子公司与淘宝（中国）软件有限公司签署《战略合作框架协议》暨关联交易的公告》（公告编号： </w:t>
      </w:r>
      <w:r>
        <w:rPr>
          <w:spacing w:val="-5"/>
        </w:rPr>
      </w:r>
      <w:r>
        <w:rPr>
          <w:rFonts w:ascii="Times New Roman" w:hAnsi="Times New Roman" w:cs="Times New Roman" w:eastAsia="Times New Roman" w:hint="default"/>
        </w:rPr>
        <w:t>2018-05</w:t>
      </w:r>
      <w:r>
        <w:rPr/>
        <w:t>）。</w:t>
      </w:r>
    </w:p>
    <w:p>
      <w:pPr>
        <w:spacing w:line="240" w:lineRule="auto" w:before="0"/>
        <w:rPr>
          <w:rFonts w:ascii="宋体" w:hAnsi="宋体" w:cs="宋体" w:eastAsia="宋体" w:hint="default"/>
          <w:sz w:val="21"/>
          <w:szCs w:val="21"/>
        </w:rPr>
      </w:pPr>
    </w:p>
    <w:p>
      <w:pPr>
        <w:pStyle w:val="Heading3"/>
        <w:spacing w:line="240" w:lineRule="auto"/>
        <w:ind w:right="208"/>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7"/>
        <w:spacing w:line="240" w:lineRule="auto" w:before="83"/>
        <w:ind w:left="575" w:right="208"/>
        <w:jc w:val="left"/>
        <w:rPr>
          <w:b w:val="0"/>
          <w:bCs w:val="0"/>
        </w:rPr>
      </w:pPr>
      <w:r>
        <w:rPr/>
        <w:t>（</w:t>
      </w:r>
      <w:r>
        <w:rPr>
          <w:rFonts w:ascii="Times New Roman" w:hAnsi="Times New Roman" w:cs="Times New Roman" w:eastAsia="Times New Roman" w:hint="default"/>
        </w:rPr>
        <w:t>1</w:t>
      </w:r>
      <w:r>
        <w:rPr/>
        <w:t>）石基（香港）收购 </w:t>
      </w:r>
      <w:r>
        <w:rPr>
          <w:rFonts w:ascii="Times New Roman" w:hAnsi="Times New Roman" w:cs="Times New Roman" w:eastAsia="Times New Roman" w:hint="default"/>
        </w:rPr>
        <w:t>Review Rank S.A.</w:t>
      </w:r>
      <w:r>
        <w:rPr>
          <w:rFonts w:ascii="Times New Roman" w:hAnsi="Times New Roman" w:cs="Times New Roman" w:eastAsia="Times New Roman" w:hint="default"/>
          <w:spacing w:val="-24"/>
        </w:rPr>
        <w:t> </w:t>
      </w:r>
      <w:r>
        <w:rPr>
          <w:rFonts w:ascii="Times New Roman" w:hAnsi="Times New Roman" w:cs="Times New Roman" w:eastAsia="Times New Roman" w:hint="default"/>
        </w:rPr>
        <w:t>79.47%</w:t>
      </w:r>
      <w:r>
        <w:rPr/>
        <w:t>股权</w:t>
      </w:r>
      <w:r>
        <w:rPr>
          <w:b w:val="0"/>
          <w:bCs w:val="0"/>
        </w:rPr>
      </w:r>
    </w:p>
    <w:p>
      <w:pPr>
        <w:pStyle w:val="BodyText"/>
        <w:spacing w:line="256" w:lineRule="auto" w:before="59"/>
        <w:ind w:right="100" w:firstLine="42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13</w:t>
      </w:r>
      <w:r>
        <w:rPr>
          <w:spacing w:val="-4"/>
        </w:rPr>
        <w:t>日，公司召开第六届董事会 </w:t>
      </w:r>
      <w:r>
        <w:rPr>
          <w:rFonts w:ascii="Times New Roman" w:hAnsi="Times New Roman" w:cs="Times New Roman" w:eastAsia="Times New Roman" w:hint="default"/>
        </w:rPr>
        <w:t>2017</w:t>
      </w:r>
      <w:r>
        <w:rPr>
          <w:rFonts w:ascii="Times New Roman" w:hAnsi="Times New Roman" w:cs="Times New Roman" w:eastAsia="Times New Roman" w:hint="default"/>
          <w:spacing w:val="39"/>
        </w:rPr>
        <w:t> </w:t>
      </w:r>
      <w:r>
        <w:rPr>
          <w:spacing w:val="-4"/>
        </w:rPr>
        <w:t>年第二次临时会议审议通过《关于公司全资子公司拟签</w:t>
      </w:r>
      <w:r>
        <w:rPr>
          <w:w w:val="100"/>
        </w:rPr>
        <w:t> </w:t>
      </w:r>
      <w:r>
        <w:rPr/>
        <w:t>署</w:t>
      </w:r>
      <w:r>
        <w:rPr>
          <w:rFonts w:ascii="Times New Roman" w:hAnsi="Times New Roman" w:cs="Times New Roman" w:eastAsia="Times New Roman" w:hint="default"/>
        </w:rPr>
        <w:t>&lt;Review</w:t>
      </w:r>
      <w:r>
        <w:rPr>
          <w:rFonts w:ascii="Times New Roman" w:hAnsi="Times New Roman" w:cs="Times New Roman" w:eastAsia="Times New Roman" w:hint="default"/>
          <w:spacing w:val="-5"/>
        </w:rPr>
        <w:t> </w:t>
      </w:r>
      <w:r>
        <w:rPr>
          <w:rFonts w:ascii="Times New Roman" w:hAnsi="Times New Roman" w:cs="Times New Roman" w:eastAsia="Times New Roman" w:hint="default"/>
        </w:rPr>
        <w:t>Rank</w:t>
      </w:r>
      <w:r>
        <w:rPr>
          <w:rFonts w:ascii="Times New Roman" w:hAnsi="Times New Roman" w:cs="Times New Roman" w:eastAsia="Times New Roman" w:hint="default"/>
          <w:spacing w:val="-3"/>
        </w:rPr>
        <w:t> </w:t>
      </w:r>
      <w:r>
        <w:rPr>
          <w:rFonts w:ascii="Times New Roman" w:hAnsi="Times New Roman" w:cs="Times New Roman" w:eastAsia="Times New Roman" w:hint="default"/>
        </w:rPr>
        <w:t>S.A.</w:t>
      </w:r>
      <w:r>
        <w:rPr>
          <w:rFonts w:ascii="Times New Roman" w:hAnsi="Times New Roman" w:cs="Times New Roman" w:eastAsia="Times New Roman" w:hint="default"/>
          <w:spacing w:val="43"/>
        </w:rPr>
        <w:t> </w:t>
      </w:r>
      <w:r>
        <w:rPr>
          <w:spacing w:val="-7"/>
        </w:rPr>
        <w:t>股权购买协议</w:t>
      </w:r>
      <w:r>
        <w:rPr>
          <w:rFonts w:ascii="Times New Roman" w:hAnsi="Times New Roman" w:cs="Times New Roman" w:eastAsia="Times New Roman" w:hint="default"/>
          <w:spacing w:val="-7"/>
        </w:rPr>
        <w:t>&gt;</w:t>
      </w:r>
      <w:r>
        <w:rPr>
          <w:spacing w:val="-7"/>
        </w:rPr>
        <w:t>及相关事项的议案》，公司之全资子公司石基（香港）与</w:t>
      </w:r>
      <w:r>
        <w:rPr>
          <w:spacing w:val="-8"/>
        </w:rPr>
        <w:t> </w:t>
      </w:r>
      <w:r>
        <w:rPr>
          <w:rFonts w:ascii="Times New Roman" w:hAnsi="Times New Roman" w:cs="Times New Roman" w:eastAsia="Times New Roman" w:hint="default"/>
        </w:rPr>
        <w:t>Review</w:t>
      </w:r>
      <w:r>
        <w:rPr>
          <w:rFonts w:ascii="Times New Roman" w:hAnsi="Times New Roman" w:cs="Times New Roman" w:eastAsia="Times New Roman" w:hint="default"/>
          <w:spacing w:val="-5"/>
        </w:rPr>
        <w:t> </w:t>
      </w:r>
      <w:r>
        <w:rPr>
          <w:rFonts w:ascii="Times New Roman" w:hAnsi="Times New Roman" w:cs="Times New Roman" w:eastAsia="Times New Roman" w:hint="default"/>
        </w:rPr>
        <w:t>Rank</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rFonts w:ascii="Times New Roman" w:hAnsi="Times New Roman" w:cs="Times New Roman" w:eastAsia="Times New Roman" w:hint="default"/>
        </w:rPr>
        <w:t>S.A.</w:t>
      </w:r>
      <w:r>
        <w:rPr/>
        <w:t>公司（以下简称</w:t>
      </w:r>
      <w:r>
        <w:rPr>
          <w:rFonts w:ascii="Times New Roman" w:hAnsi="Times New Roman" w:cs="Times New Roman" w:eastAsia="Times New Roman" w:hint="default"/>
        </w:rPr>
        <w:t>“RR</w:t>
      </w:r>
      <w:r>
        <w:rPr/>
        <w:t>公司</w:t>
      </w:r>
      <w:r>
        <w:rPr>
          <w:rFonts w:ascii="Times New Roman" w:hAnsi="Times New Roman" w:cs="Times New Roman" w:eastAsia="Times New Roman" w:hint="default"/>
        </w:rPr>
        <w:t>”</w:t>
      </w:r>
      <w:r>
        <w:rPr/>
        <w:t>）的</w:t>
      </w:r>
      <w:r>
        <w:rPr>
          <w:rFonts w:ascii="Times New Roman" w:hAnsi="Times New Roman" w:cs="Times New Roman" w:eastAsia="Times New Roman" w:hint="default"/>
        </w:rPr>
        <w:t>27 </w:t>
      </w:r>
      <w:r>
        <w:rPr/>
        <w:t>名股东及标的公司签署《</w:t>
      </w:r>
      <w:r>
        <w:rPr>
          <w:rFonts w:ascii="Times New Roman" w:hAnsi="Times New Roman" w:cs="Times New Roman" w:eastAsia="Times New Roman" w:hint="default"/>
        </w:rPr>
        <w:t>ReviewRank S.A.</w:t>
      </w:r>
      <w:r>
        <w:rPr>
          <w:rFonts w:ascii="Times New Roman" w:hAnsi="Times New Roman" w:cs="Times New Roman" w:eastAsia="Times New Roman" w:hint="default"/>
          <w:spacing w:val="1"/>
        </w:rPr>
        <w:t> </w:t>
      </w:r>
      <w:r>
        <w:rPr>
          <w:spacing w:val="-3"/>
        </w:rPr>
        <w:t>股权购买协议》。截至本</w:t>
      </w:r>
      <w:r>
        <w:rPr>
          <w:spacing w:val="-3"/>
          <w:w w:val="100"/>
        </w:rPr>
        <w:t> </w:t>
      </w:r>
      <w:r>
        <w:rPr/>
        <w:t>报告披露日，上述股权转让已经完成工商变更登记手续，公司持有</w:t>
      </w:r>
      <w:r>
        <w:rPr>
          <w:rFonts w:ascii="Times New Roman" w:hAnsi="Times New Roman" w:cs="Times New Roman" w:eastAsia="Times New Roman" w:hint="default"/>
        </w:rPr>
        <w:t>RR</w:t>
      </w:r>
      <w:r>
        <w:rPr/>
        <w:t>公司</w:t>
      </w:r>
      <w:r>
        <w:rPr>
          <w:rFonts w:ascii="Times New Roman" w:hAnsi="Times New Roman" w:cs="Times New Roman" w:eastAsia="Times New Roman" w:hint="default"/>
        </w:rPr>
        <w:t>100%</w:t>
      </w:r>
      <w:r>
        <w:rPr/>
        <w:t>股权。详见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3"/>
          <w:w w:val="100"/>
        </w:rPr>
        <w:t> </w:t>
      </w:r>
      <w:r>
        <w:rPr>
          <w:spacing w:val="-10"/>
          <w:w w:val="100"/>
        </w:rPr>
        <w:t>日刊登于《中国证券报》、《证券时报》及巨潮资讯网</w:t>
      </w:r>
      <w:hyperlink r:id="rId25">
        <w:r>
          <w:rPr>
            <w:rFonts w:ascii="Times New Roman" w:hAnsi="Times New Roman" w:cs="Times New Roman" w:eastAsia="Times New Roman" w:hint="default"/>
            <w:spacing w:val="-10"/>
            <w:w w:val="100"/>
          </w:rPr>
          <w:t>www.cninfo.com.cn</w:t>
        </w:r>
        <w:r>
          <w:rPr>
            <w:spacing w:val="-10"/>
            <w:w w:val="100"/>
          </w:rPr>
          <w:t>的</w:t>
        </w:r>
      </w:hyperlink>
      <w:r>
        <w:rPr>
          <w:spacing w:val="-10"/>
          <w:w w:val="100"/>
        </w:rPr>
        <w:t>《关于公司全资子公司收购</w:t>
      </w:r>
      <w:r>
        <w:rPr>
          <w:rFonts w:ascii="Times New Roman" w:hAnsi="Times New Roman" w:cs="Times New Roman" w:eastAsia="Times New Roman" w:hint="default"/>
          <w:spacing w:val="-10"/>
          <w:w w:val="100"/>
        </w:rPr>
        <w:t>Review</w:t>
      </w:r>
      <w:r>
        <w:rPr>
          <w:rFonts w:ascii="Times New Roman" w:hAnsi="Times New Roman" w:cs="Times New Roman" w:eastAsia="Times New Roman" w:hint="default"/>
          <w:spacing w:val="-9"/>
          <w:w w:val="100"/>
        </w:rPr>
        <w:t> </w:t>
      </w:r>
      <w:r>
        <w:rPr>
          <w:rFonts w:ascii="Times New Roman" w:hAnsi="Times New Roman" w:cs="Times New Roman" w:eastAsia="Times New Roman" w:hint="default"/>
          <w:spacing w:val="-9"/>
          <w:w w:val="100"/>
        </w:rPr>
      </w:r>
      <w:r>
        <w:rPr>
          <w:rFonts w:ascii="Times New Roman" w:hAnsi="Times New Roman" w:cs="Times New Roman" w:eastAsia="Times New Roman" w:hint="default"/>
        </w:rPr>
        <w:t>Rank</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2"/>
        </w:rPr>
        <w:t>S.A.</w:t>
      </w:r>
      <w:r>
        <w:rPr>
          <w:spacing w:val="-2"/>
        </w:rPr>
        <w:t>股权及相关事项的公告》（公告编号：</w:t>
      </w:r>
      <w:r>
        <w:rPr>
          <w:rFonts w:ascii="Times New Roman" w:hAnsi="Times New Roman" w:cs="Times New Roman" w:eastAsia="Times New Roman" w:hint="default"/>
          <w:spacing w:val="-2"/>
        </w:rPr>
        <w:t>2017-06</w:t>
      </w:r>
      <w:r>
        <w:rPr>
          <w:spacing w:val="-2"/>
        </w:rPr>
        <w:t>）。</w:t>
      </w:r>
    </w:p>
    <w:p>
      <w:pPr>
        <w:pStyle w:val="Heading7"/>
        <w:spacing w:line="240" w:lineRule="auto" w:before="46"/>
        <w:ind w:left="575" w:right="208"/>
        <w:jc w:val="left"/>
        <w:rPr>
          <w:b w:val="0"/>
          <w:bCs w:val="0"/>
        </w:rPr>
      </w:pPr>
      <w:r>
        <w:rPr/>
        <w:t>（</w:t>
      </w:r>
      <w:r>
        <w:rPr>
          <w:rFonts w:ascii="Times New Roman" w:hAnsi="Times New Roman" w:cs="Times New Roman" w:eastAsia="Times New Roman" w:hint="default"/>
        </w:rPr>
        <w:t>2</w:t>
      </w:r>
      <w:r>
        <w:rPr/>
        <w:t>）石基（香港）收购</w:t>
      </w:r>
      <w:r>
        <w:rPr>
          <w:rFonts w:ascii="Times New Roman" w:hAnsi="Times New Roman" w:cs="Times New Roman" w:eastAsia="Times New Roman" w:hint="default"/>
        </w:rPr>
        <w:t>Galasys PLC</w:t>
      </w:r>
      <w:r>
        <w:rPr>
          <w:rFonts w:ascii="Times New Roman" w:hAnsi="Times New Roman" w:cs="Times New Roman" w:eastAsia="Times New Roman" w:hint="default"/>
          <w:spacing w:val="31"/>
        </w:rPr>
        <w:t> </w:t>
      </w:r>
      <w:r>
        <w:rPr/>
        <w:t>公司</w:t>
      </w:r>
      <w:r>
        <w:rPr>
          <w:rFonts w:ascii="Times New Roman" w:hAnsi="Times New Roman" w:cs="Times New Roman" w:eastAsia="Times New Roman" w:hint="default"/>
        </w:rPr>
        <w:t>84.83%</w:t>
      </w:r>
      <w:r>
        <w:rPr/>
        <w:t>股权</w:t>
      </w:r>
      <w:r>
        <w:rPr>
          <w:b w:val="0"/>
          <w:bCs w:val="0"/>
        </w:rPr>
      </w:r>
    </w:p>
    <w:p>
      <w:pPr>
        <w:pStyle w:val="BodyText"/>
        <w:spacing w:line="256" w:lineRule="auto" w:before="62"/>
        <w:ind w:right="208"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日，公司全资子公司石基（香港）购买</w:t>
      </w:r>
      <w:r>
        <w:rPr>
          <w:rFonts w:ascii="Times New Roman" w:hAnsi="Times New Roman" w:cs="Times New Roman" w:eastAsia="Times New Roman" w:hint="default"/>
        </w:rPr>
        <w:t>Galasys PLC</w:t>
      </w:r>
      <w:r>
        <w:rPr>
          <w:rFonts w:ascii="Times New Roman" w:hAnsi="Times New Roman" w:cs="Times New Roman" w:eastAsia="Times New Roman" w:hint="default"/>
          <w:spacing w:val="22"/>
        </w:rPr>
        <w:t> </w:t>
      </w:r>
      <w:r>
        <w:rPr/>
        <w:t>公司（以下简称</w:t>
      </w:r>
      <w:r>
        <w:rPr>
          <w:rFonts w:ascii="Times New Roman" w:hAnsi="Times New Roman" w:cs="Times New Roman" w:eastAsia="Times New Roman" w:hint="default"/>
        </w:rPr>
        <w:t>“</w:t>
      </w:r>
      <w:r>
        <w:rPr/>
        <w:t>银科环企</w:t>
      </w:r>
      <w:r>
        <w:rPr>
          <w:rFonts w:ascii="Times New Roman" w:hAnsi="Times New Roman" w:cs="Times New Roman" w:eastAsia="Times New Roman" w:hint="default"/>
        </w:rPr>
        <w:t>”</w:t>
      </w:r>
      <w:r>
        <w:rPr/>
        <w:t>）</w:t>
      </w:r>
      <w:r>
        <w:rPr>
          <w:rFonts w:ascii="Times New Roman" w:hAnsi="Times New Roman" w:cs="Times New Roman" w:eastAsia="Times New Roman" w:hint="default"/>
        </w:rPr>
        <w:t>20%</w:t>
      </w:r>
      <w:r>
        <w:rPr/>
        <w:t>股</w:t>
      </w:r>
      <w:r>
        <w:rPr>
          <w:w w:val="100"/>
        </w:rPr>
        <w:t> </w:t>
      </w:r>
      <w:r>
        <w:rPr/>
        <w:t>权，该事项已经公司第五届董事会</w:t>
      </w:r>
      <w:r>
        <w:rPr>
          <w:spacing w:val="-25"/>
        </w:rPr>
        <w:t> </w:t>
      </w:r>
      <w:r>
        <w:rPr>
          <w:rFonts w:ascii="Times New Roman" w:hAnsi="Times New Roman" w:cs="Times New Roman" w:eastAsia="Times New Roman" w:hint="default"/>
        </w:rPr>
        <w:t>2015</w:t>
      </w:r>
      <w:r>
        <w:rPr/>
        <w:t>年第三次临时会议审议通过。</w:t>
      </w:r>
    </w:p>
    <w:p>
      <w:pPr>
        <w:pStyle w:val="BodyText"/>
        <w:spacing w:line="256" w:lineRule="auto" w:before="44"/>
        <w:ind w:right="208" w:firstLine="42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日，公司全资子公司石基（香港）与银科环企创始人股东签署了银科环企公众股股份购</w:t>
      </w:r>
      <w:r>
        <w:rPr>
          <w:w w:val="100"/>
        </w:rPr>
        <w:t> </w:t>
      </w:r>
      <w:r>
        <w:rPr/>
        <w:t>买相关协议，再次购买银科环企</w:t>
      </w:r>
      <w:r>
        <w:rPr>
          <w:rFonts w:ascii="Times New Roman" w:hAnsi="Times New Roman" w:cs="Times New Roman" w:eastAsia="Times New Roman" w:hint="default"/>
        </w:rPr>
        <w:t>16.79%</w:t>
      </w:r>
      <w:r>
        <w:rPr/>
        <w:t>股权。该事项已经公司</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年第二次总裁办公会议审议通过。</w:t>
      </w:r>
    </w:p>
    <w:p>
      <w:pPr>
        <w:pStyle w:val="BodyText"/>
        <w:spacing w:line="256" w:lineRule="auto" w:before="46"/>
        <w:ind w:right="289"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日，公司全资子公司石基（香港）与银科环企股东 </w:t>
      </w:r>
      <w:r>
        <w:rPr>
          <w:rFonts w:ascii="Times New Roman" w:hAnsi="Times New Roman" w:cs="Times New Roman" w:eastAsia="Times New Roman" w:hint="default"/>
        </w:rPr>
        <w:t>WGLS Foundtion</w:t>
      </w:r>
      <w:r>
        <w:rPr>
          <w:rFonts w:ascii="Times New Roman" w:hAnsi="Times New Roman" w:cs="Times New Roman" w:eastAsia="Times New Roman" w:hint="default"/>
          <w:spacing w:val="2"/>
        </w:rPr>
        <w:t> </w:t>
      </w:r>
      <w:r>
        <w:rPr/>
        <w:t>签署了《股权购买</w:t>
      </w:r>
      <w:r>
        <w:rPr>
          <w:w w:val="100"/>
        </w:rPr>
        <w:t> </w:t>
      </w:r>
      <w:r>
        <w:rPr/>
        <w:t>协议》，以现金方式购买银科环企</w:t>
      </w:r>
      <w:r>
        <w:rPr>
          <w:rFonts w:ascii="Times New Roman" w:hAnsi="Times New Roman" w:cs="Times New Roman" w:eastAsia="Times New Roman" w:hint="default"/>
        </w:rPr>
        <w:t>2.81%</w:t>
      </w:r>
      <w:r>
        <w:rPr/>
        <w:t>股权。该事项已经公司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年第四次总裁办公会审议通过。</w:t>
      </w:r>
    </w:p>
    <w:p>
      <w:pPr>
        <w:pStyle w:val="BodyText"/>
        <w:spacing w:line="256" w:lineRule="auto" w:before="43"/>
        <w:ind w:right="206"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22</w:t>
      </w:r>
      <w:r>
        <w:rPr>
          <w:spacing w:val="-3"/>
        </w:rPr>
        <w:t>日，公司全资子公司石基（香港）与银科环企现有创始人股东签署《</w:t>
      </w:r>
      <w:r>
        <w:rPr>
          <w:rFonts w:ascii="Times New Roman" w:hAnsi="Times New Roman" w:cs="Times New Roman" w:eastAsia="Times New Roman" w:hint="default"/>
          <w:spacing w:val="-3"/>
        </w:rPr>
        <w:t>Galasys </w:t>
      </w:r>
      <w:r>
        <w:rPr>
          <w:rFonts w:ascii="Times New Roman" w:hAnsi="Times New Roman" w:cs="Times New Roman" w:eastAsia="Times New Roman" w:hint="default"/>
        </w:rPr>
        <w:t>PLC</w:t>
      </w:r>
      <w:r>
        <w:rPr>
          <w:rFonts w:ascii="Times New Roman" w:hAnsi="Times New Roman" w:cs="Times New Roman" w:eastAsia="Times New Roman" w:hint="default"/>
          <w:spacing w:val="44"/>
        </w:rPr>
        <w:t> </w:t>
      </w:r>
      <w:r>
        <w:rPr/>
        <w:t>股权收</w:t>
      </w:r>
      <w:r>
        <w:rPr>
          <w:w w:val="100"/>
        </w:rPr>
        <w:t> </w:t>
      </w:r>
      <w:r>
        <w:rPr>
          <w:spacing w:val="-3"/>
        </w:rPr>
        <w:t>购协议》，公司全资子石基（香港）以现金方式购买银科环企</w:t>
      </w:r>
      <w:r>
        <w:rPr>
          <w:rFonts w:ascii="Times New Roman" w:hAnsi="Times New Roman" w:cs="Times New Roman" w:eastAsia="Times New Roman" w:hint="default"/>
          <w:spacing w:val="-3"/>
        </w:rPr>
        <w:t>45.23%</w:t>
      </w:r>
      <w:r>
        <w:rPr>
          <w:spacing w:val="-3"/>
        </w:rPr>
        <w:t>股权。该事项已经公司第六届董事会</w:t>
      </w:r>
      <w:r>
        <w:rPr>
          <w:spacing w:val="-6"/>
        </w:rPr>
        <w:t> </w:t>
      </w:r>
      <w:r>
        <w:rPr>
          <w:spacing w:val="-6"/>
        </w:rPr>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年第八次临时会议审议通过。</w:t>
      </w:r>
    </w:p>
    <w:p>
      <w:pPr>
        <w:spacing w:after="0" w:line="256" w:lineRule="auto"/>
        <w:jc w:val="both"/>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BodyText"/>
        <w:spacing w:line="292" w:lineRule="auto" w:before="36"/>
        <w:ind w:left="573" w:right="153"/>
        <w:jc w:val="left"/>
      </w:pPr>
      <w:r>
        <w:rPr/>
        <w:t>截止目前，公司全资子公司石基（香港）合计持有银科环企</w:t>
      </w:r>
      <w:r>
        <w:rPr>
          <w:rFonts w:ascii="Times New Roman" w:hAnsi="Times New Roman" w:cs="Times New Roman" w:eastAsia="Times New Roman" w:hint="default"/>
        </w:rPr>
        <w:t>84.83%</w:t>
      </w:r>
      <w:r>
        <w:rPr/>
        <w:t>股权。</w:t>
      </w:r>
      <w:r>
        <w:rPr>
          <w:w w:val="100"/>
        </w:rPr>
        <w:t> </w:t>
      </w:r>
      <w:r>
        <w:rPr>
          <w:spacing w:val="-2"/>
        </w:rPr>
        <w:t>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日刊登于《中国证券报》、《证券时报》及巨潮资讯网</w:t>
      </w:r>
      <w:hyperlink r:id="rId25">
        <w:r>
          <w:rPr>
            <w:rFonts w:ascii="Times New Roman" w:hAnsi="Times New Roman" w:cs="Times New Roman" w:eastAsia="Times New Roman" w:hint="default"/>
            <w:spacing w:val="-2"/>
          </w:rPr>
          <w:t>www.cninfo.com.cn</w:t>
        </w:r>
        <w:r>
          <w:rPr>
            <w:spacing w:val="-2"/>
          </w:rPr>
          <w:t>的《</w:t>
        </w:r>
      </w:hyperlink>
      <w:r>
        <w:rPr>
          <w:spacing w:val="-2"/>
        </w:rPr>
        <w:t>关于</w:t>
      </w:r>
    </w:p>
    <w:p>
      <w:pPr>
        <w:pStyle w:val="BodyText"/>
        <w:spacing w:line="261" w:lineRule="exact"/>
        <w:ind w:right="153"/>
        <w:jc w:val="left"/>
      </w:pPr>
      <w:r>
        <w:rPr>
          <w:spacing w:val="-2"/>
        </w:rPr>
        <w:t>全资子公司对外投资控股</w:t>
      </w:r>
      <w:r>
        <w:rPr>
          <w:rFonts w:ascii="Times New Roman" w:hAnsi="Times New Roman" w:cs="Times New Roman" w:eastAsia="Times New Roman" w:hint="default"/>
          <w:spacing w:val="-2"/>
        </w:rPr>
        <w:t>Galasys</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PLC</w:t>
      </w:r>
      <w:r>
        <w:rPr>
          <w:spacing w:val="-2"/>
        </w:rPr>
        <w:t>公司的公告》（公告编号：</w:t>
      </w:r>
      <w:r>
        <w:rPr>
          <w:rFonts w:ascii="Times New Roman" w:hAnsi="Times New Roman" w:cs="Times New Roman" w:eastAsia="Times New Roman" w:hint="default"/>
          <w:spacing w:val="-2"/>
        </w:rPr>
        <w:t>2017-45</w:t>
      </w:r>
      <w:r>
        <w:rPr>
          <w:spacing w:val="-2"/>
        </w:rPr>
        <w:t>）。</w:t>
      </w:r>
    </w:p>
    <w:p>
      <w:pPr>
        <w:pStyle w:val="Heading7"/>
        <w:spacing w:line="240" w:lineRule="auto" w:before="59"/>
        <w:ind w:left="575" w:right="153"/>
        <w:jc w:val="left"/>
        <w:rPr>
          <w:b w:val="0"/>
          <w:bCs w:val="0"/>
        </w:rPr>
      </w:pPr>
      <w:r>
        <w:rPr/>
        <w:t>（</w:t>
      </w:r>
      <w:r>
        <w:rPr>
          <w:rFonts w:ascii="Times New Roman" w:hAnsi="Times New Roman" w:cs="Times New Roman" w:eastAsia="Times New Roman" w:hint="default"/>
        </w:rPr>
        <w:t>3</w:t>
      </w:r>
      <w:r>
        <w:rPr/>
        <w:t>）石基（香港）出售</w:t>
      </w:r>
      <w:r>
        <w:rPr>
          <w:rFonts w:ascii="Times New Roman" w:hAnsi="Times New Roman" w:cs="Times New Roman" w:eastAsia="Times New Roman" w:hint="default"/>
        </w:rPr>
        <w:t>GREAT KYLIN INVESTMENT</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公司</w:t>
      </w:r>
      <w:r>
        <w:rPr>
          <w:rFonts w:ascii="Times New Roman" w:hAnsi="Times New Roman" w:cs="Times New Roman" w:eastAsia="Times New Roman" w:hint="default"/>
        </w:rPr>
        <w:t>100%</w:t>
      </w:r>
      <w:r>
        <w:rPr/>
        <w:t>股权</w:t>
      </w:r>
      <w:r>
        <w:rPr>
          <w:b w:val="0"/>
          <w:bCs w:val="0"/>
        </w:rPr>
      </w:r>
    </w:p>
    <w:p>
      <w:pPr>
        <w:pStyle w:val="BodyText"/>
        <w:spacing w:line="256" w:lineRule="auto" w:before="62"/>
        <w:ind w:right="153"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日，石基（香港）与张鸿麟签署《</w:t>
      </w:r>
      <w:r>
        <w:rPr>
          <w:rFonts w:ascii="Times New Roman" w:hAnsi="Times New Roman" w:cs="Times New Roman" w:eastAsia="Times New Roman" w:hint="default"/>
        </w:rPr>
        <w:t>GREAT KYLIN INVESTMENT</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股权回购协</w:t>
      </w:r>
      <w:r>
        <w:rPr>
          <w:w w:val="100"/>
        </w:rPr>
        <w:t> </w:t>
      </w:r>
      <w:r>
        <w:rPr>
          <w:spacing w:val="-2"/>
        </w:rPr>
        <w:t>议》，以美元现金方式将</w:t>
      </w:r>
      <w:r>
        <w:rPr>
          <w:rFonts w:ascii="Times New Roman" w:hAnsi="Times New Roman" w:cs="Times New Roman" w:eastAsia="Times New Roman" w:hint="default"/>
          <w:spacing w:val="-2"/>
        </w:rPr>
        <w:t>GK</w:t>
      </w:r>
      <w:r>
        <w:rPr>
          <w:spacing w:val="-2"/>
        </w:rPr>
        <w:t>投资</w:t>
      </w:r>
      <w:r>
        <w:rPr>
          <w:rFonts w:ascii="Times New Roman" w:hAnsi="Times New Roman" w:cs="Times New Roman" w:eastAsia="Times New Roman" w:hint="default"/>
          <w:spacing w:val="-2"/>
        </w:rPr>
        <w:t>100%</w:t>
      </w:r>
      <w:r>
        <w:rPr>
          <w:spacing w:val="-2"/>
        </w:rPr>
        <w:t>股权转让给张鸿麟。本次交易已经公司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日召开的第六</w:t>
      </w:r>
      <w:r>
        <w:rPr>
          <w:spacing w:val="-7"/>
        </w:rPr>
        <w:t> </w:t>
      </w:r>
      <w:r>
        <w:rPr>
          <w:spacing w:val="-7"/>
        </w:rPr>
      </w:r>
      <w:r>
        <w:rPr>
          <w:spacing w:val="-6"/>
        </w:rPr>
        <w:t>届董事会</w:t>
      </w:r>
      <w:r>
        <w:rPr>
          <w:rFonts w:ascii="Times New Roman" w:hAnsi="Times New Roman" w:cs="Times New Roman" w:eastAsia="Times New Roman" w:hint="default"/>
          <w:spacing w:val="-6"/>
        </w:rPr>
        <w:t>2017</w:t>
      </w:r>
      <w:r>
        <w:rPr>
          <w:spacing w:val="-6"/>
        </w:rPr>
        <w:t>年第十二次临时会议审议通过，无需提交公司股东大会审议。详见</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19</w:t>
      </w:r>
      <w:r>
        <w:rPr>
          <w:spacing w:val="-6"/>
        </w:rPr>
        <w:t>日刊登于《中</w:t>
      </w:r>
      <w:r>
        <w:rPr>
          <w:spacing w:val="-28"/>
        </w:rPr>
        <w:t> </w:t>
      </w:r>
      <w:r>
        <w:rPr>
          <w:spacing w:val="-28"/>
        </w:rPr>
      </w:r>
      <w:r>
        <w:rPr/>
        <w:t>国证券报》、《证券时报》及巨潮资讯网</w:t>
      </w:r>
      <w:hyperlink r:id="rId25">
        <w:r>
          <w:rPr>
            <w:rFonts w:ascii="Times New Roman" w:hAnsi="Times New Roman" w:cs="Times New Roman" w:eastAsia="Times New Roman" w:hint="default"/>
          </w:rPr>
          <w:t>www.cninfo.com.cn</w:t>
        </w:r>
        <w:r>
          <w:rPr/>
          <w:t>的《</w:t>
        </w:r>
      </w:hyperlink>
      <w:r>
        <w:rPr/>
        <w:t>关于全资子公司签署</w:t>
      </w:r>
      <w:r>
        <w:rPr>
          <w:rFonts w:ascii="Times New Roman" w:hAnsi="Times New Roman" w:cs="Times New Roman" w:eastAsia="Times New Roman" w:hint="default"/>
        </w:rPr>
        <w:t>&lt;GREAT</w:t>
      </w:r>
      <w:r>
        <w:rPr>
          <w:rFonts w:ascii="Times New Roman" w:hAnsi="Times New Roman" w:cs="Times New Roman" w:eastAsia="Times New Roman" w:hint="default"/>
          <w:spacing w:val="-5"/>
        </w:rPr>
        <w:t> </w:t>
      </w:r>
      <w:r>
        <w:rPr>
          <w:rFonts w:ascii="Times New Roman" w:hAnsi="Times New Roman" w:cs="Times New Roman" w:eastAsia="Times New Roman" w:hint="default"/>
        </w:rPr>
        <w:t>KYLIN</w:t>
      </w:r>
      <w:r>
        <w:rPr>
          <w:rFonts w:ascii="Times New Roman" w:hAnsi="Times New Roman" w:cs="Times New Roman" w:eastAsia="Times New Roman" w:hint="default"/>
          <w:w w:val="100"/>
        </w:rPr>
        <w:t> </w:t>
      </w:r>
      <w:r>
        <w:rPr>
          <w:rFonts w:ascii="Times New Roman" w:hAnsi="Times New Roman" w:cs="Times New Roman" w:eastAsia="Times New Roman" w:hint="default"/>
        </w:rPr>
        <w:t>INVESTMENT LIMITED</w:t>
      </w:r>
      <w:r>
        <w:rPr>
          <w:rFonts w:ascii="Times New Roman" w:hAnsi="Times New Roman" w:cs="Times New Roman" w:eastAsia="Times New Roman" w:hint="default"/>
          <w:spacing w:val="18"/>
        </w:rPr>
        <w:t> </w:t>
      </w:r>
      <w:r>
        <w:rPr/>
        <w:t>股权回购协议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2017-61</w:t>
      </w:r>
      <w:r>
        <w:rPr/>
        <w:t>）。</w:t>
      </w:r>
    </w:p>
    <w:p>
      <w:pPr>
        <w:spacing w:after="0" w:line="256"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3" w:right="153"/>
        <w:jc w:val="left"/>
        <w:rPr>
          <w:b w:val="0"/>
          <w:bCs w:val="0"/>
        </w:rPr>
      </w:pPr>
      <w:bookmarkStart w:name="_TOC_250006"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5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1"/>
        <w:gridCol w:w="1219"/>
        <w:gridCol w:w="823"/>
        <w:gridCol w:w="804"/>
        <w:gridCol w:w="425"/>
        <w:gridCol w:w="994"/>
        <w:gridCol w:w="708"/>
        <w:gridCol w:w="708"/>
        <w:gridCol w:w="1268"/>
        <w:gridCol w:w="792"/>
      </w:tblGrid>
      <w:tr>
        <w:trPr>
          <w:trHeight w:val="206"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3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2042" w:type="dxa"/>
            <w:gridSpan w:val="2"/>
            <w:vMerge/>
            <w:tcBorders>
              <w:left w:val="single" w:sz="4" w:space="0" w:color="000000"/>
              <w:bottom w:val="single" w:sz="4" w:space="0" w:color="000000"/>
              <w:right w:val="single" w:sz="4" w:space="0" w:color="000000"/>
            </w:tcBorders>
            <w:shd w:val="clear" w:color="auto" w:fill="D2D2D2"/>
          </w:tcPr>
          <w:p>
            <w:pPr/>
          </w:p>
        </w:tc>
        <w:tc>
          <w:tcPr>
            <w:tcW w:w="3639" w:type="dxa"/>
            <w:gridSpan w:val="5"/>
            <w:vMerge/>
            <w:tcBorders>
              <w:left w:val="single" w:sz="4" w:space="0" w:color="000000"/>
              <w:bottom w:val="single" w:sz="4" w:space="0" w:color="000000"/>
              <w:right w:val="single" w:sz="4" w:space="0" w:color="000000"/>
            </w:tcBorders>
            <w:shd w:val="clear" w:color="auto" w:fill="D2D2D2"/>
          </w:tcPr>
          <w:p>
            <w:pPr/>
          </w:p>
        </w:tc>
        <w:tc>
          <w:tcPr>
            <w:tcW w:w="206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582,325,710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582,332,710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54.59%</w:t>
            </w: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582,325,710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54.59%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582,332,710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54.59%</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139,428,753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139,428,753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442,896,957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442,903,957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41.52%</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484,463,043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484,456,043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45.41%</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484,463,043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484,456,043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45.41%</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1,066,788,753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1,066,788,753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295" w:lineRule="auto" w:before="115"/>
        <w:ind w:right="15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根据《深交所中小板上市公司规范运作指引》相关规定，上市公司董事、监事和高级管理人员自其申报离</w:t>
      </w:r>
      <w:r>
        <w:rPr>
          <w:spacing w:val="-47"/>
        </w:rPr>
        <w:t> </w:t>
      </w:r>
      <w:r>
        <w:rPr>
          <w:spacing w:val="-47"/>
        </w:rPr>
      </w:r>
      <w:r>
        <w:rPr>
          <w:spacing w:val="-2"/>
        </w:rPr>
        <w:t>任日起六个月内将其持有及新增的本公司股份予以全部锁定，同时上述人员在申报离任六个月后的十二个</w:t>
      </w:r>
    </w:p>
    <w:p>
      <w:pPr>
        <w:pStyle w:val="BodyText"/>
        <w:spacing w:line="256" w:lineRule="auto"/>
        <w:ind w:right="146"/>
        <w:jc w:val="both"/>
      </w:pPr>
      <w:r>
        <w:rPr>
          <w:spacing w:val="-2"/>
        </w:rPr>
        <w:t>月内通过证券交易所挂牌交易出售本公司股票数量占其所持有本公司股票总数的比例不得超过</w:t>
      </w:r>
      <w:r>
        <w:rPr>
          <w:rFonts w:ascii="Times New Roman" w:hAnsi="Times New Roman" w:cs="Times New Roman" w:eastAsia="Times New Roman" w:hint="default"/>
          <w:spacing w:val="-2"/>
        </w:rPr>
        <w:t>50%</w:t>
      </w:r>
      <w:r>
        <w:rPr>
          <w:spacing w:val="-2"/>
        </w:rPr>
        <w:t>。公司</w:t>
      </w:r>
      <w:r>
        <w:rPr>
          <w:spacing w:val="-17"/>
        </w:rPr>
        <w:t> </w:t>
      </w:r>
      <w:r>
        <w:rPr>
          <w:spacing w:val="-17"/>
        </w:rPr>
      </w:r>
      <w:r>
        <w:rPr>
          <w:spacing w:val="-4"/>
        </w:rPr>
        <w:t>前任独立董事刘剑锋及阎丽明受上述董事离职股票锁定的相关限制，截止本报告期末，阎丽明锁定股份</w:t>
      </w:r>
      <w:r>
        <w:rPr>
          <w:rFonts w:ascii="Times New Roman" w:hAnsi="Times New Roman" w:cs="Times New Roman" w:eastAsia="Times New Roman" w:hint="default"/>
          <w:spacing w:val="-4"/>
        </w:rPr>
        <w:t>350</w:t>
      </w:r>
      <w:r>
        <w:rPr>
          <w:rFonts w:ascii="Times New Roman" w:hAnsi="Times New Roman" w:cs="Times New Roman" w:eastAsia="Times New Roman" w:hint="default"/>
          <w:spacing w:val="4"/>
        </w:rPr>
        <w:t> </w:t>
      </w:r>
      <w:r>
        <w:rPr/>
        <w:t>股，刘剑锋锁定股份</w:t>
      </w:r>
      <w:r>
        <w:rPr>
          <w:rFonts w:ascii="Times New Roman" w:hAnsi="Times New Roman" w:cs="Times New Roman" w:eastAsia="Times New Roman" w:hint="default"/>
        </w:rPr>
        <w:t>6650</w:t>
      </w:r>
      <w:r>
        <w:rPr/>
        <w:t>股，合计锁定</w:t>
      </w:r>
      <w:r>
        <w:rPr>
          <w:rFonts w:ascii="Times New Roman" w:hAnsi="Times New Roman" w:cs="Times New Roman" w:eastAsia="Times New Roman" w:hint="default"/>
        </w:rPr>
        <w:t>7000</w:t>
      </w:r>
      <w:r>
        <w:rPr/>
        <w:t>股，故公司有限售条件股份增加</w:t>
      </w:r>
      <w:r>
        <w:rPr>
          <w:rFonts w:ascii="Times New Roman" w:hAnsi="Times New Roman" w:cs="Times New Roman" w:eastAsia="Times New Roman" w:hint="default"/>
        </w:rPr>
        <w:t>7000</w:t>
      </w:r>
      <w:r>
        <w:rPr/>
        <w:t>股。</w:t>
      </w:r>
    </w:p>
    <w:p>
      <w:pPr>
        <w:spacing w:before="66"/>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39"/>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708"/>
        <w:gridCol w:w="850"/>
        <w:gridCol w:w="711"/>
        <w:gridCol w:w="5245"/>
        <w:gridCol w:w="782"/>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股东 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9"/>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本期解 除限售 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9"/>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6" w:right="24" w:hanging="180"/>
              <w:jc w:val="left"/>
              <w:rPr>
                <w:rFonts w:ascii="宋体" w:hAnsi="宋体" w:cs="宋体" w:eastAsia="宋体" w:hint="default"/>
                <w:sz w:val="18"/>
                <w:szCs w:val="18"/>
              </w:rPr>
            </w:pPr>
            <w:r>
              <w:rPr>
                <w:rFonts w:ascii="宋体" w:hAnsi="宋体" w:cs="宋体" w:eastAsia="宋体" w:hint="default"/>
                <w:sz w:val="18"/>
                <w:szCs w:val="18"/>
              </w:rPr>
              <w:t>解除限售 日期</w:t>
            </w:r>
          </w:p>
        </w:tc>
      </w:tr>
      <w:tr>
        <w:trPr>
          <w:trHeight w:val="196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71"/>
              <w:jc w:val="left"/>
              <w:rPr>
                <w:rFonts w:ascii="宋体" w:hAnsi="宋体" w:cs="宋体" w:eastAsia="宋体" w:hint="default"/>
                <w:sz w:val="18"/>
                <w:szCs w:val="18"/>
              </w:rPr>
            </w:pPr>
            <w:r>
              <w:rPr>
                <w:rFonts w:ascii="宋体" w:hAnsi="宋体" w:cs="宋体" w:eastAsia="宋体" w:hint="default"/>
                <w:sz w:val="18"/>
                <w:szCs w:val="18"/>
              </w:rPr>
              <w:t>阎丽 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根据《深交所中小板上市公司规范运作指引》相关规定，上市公司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董事、监事和高级管理人员自其申报离任日起六个月内将其持有及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新增的本公司股份予以全部锁定，同时上述人员在申报离任六个月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后的十二个月内通过证券交易所挂牌交易出售本公司股票数量占 其所持有本公司股票总数的比例不得超过</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。公司前任独立董事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阎丽明受上述董事离职股票锁定的相关限制</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96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刘剑 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根据《深交所中小板上市公司规范运作指引》相关规定，上市公司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董事、监事和高级管理人员自其申报离任日起六个月内将其持有及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新增的本公司股份予以全部锁定，同时上述人员在申报离任六个月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后的十二个月内通过证券交易所挂牌交易出售本公司股票数量占 其所持有本公司股票总数的比例不得超过</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。公司前任独立董事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刘剑锋受上述董事离职股票锁定的相关限制</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7,000</w:t>
            </w:r>
          </w:p>
        </w:tc>
        <w:tc>
          <w:tcPr>
            <w:tcW w:w="71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7,000</w:t>
            </w:r>
          </w:p>
        </w:tc>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5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group style="position:absolute;margin-left:375.910004pt;margin-top:47.421715pt;width:13.8pt;height:7.8pt;mso-position-horizontal-relative:page;mso-position-vertical-relative:paragraph;z-index:-1160224" coordorigin="7518,948" coordsize="276,156">
            <v:shape style="position:absolute;left:7518;top:948;width:276;height:156" coordorigin="7518,948" coordsize="276,156" path="m7518,1104l7794,1104,7794,948,7518,948,7518,1104xe" filled="true" fillcolor="#ffffff" stroked="false">
              <v:path arrowok="t"/>
              <v:fill type="solid"/>
            </v:shape>
            <w10:wrap type="none"/>
          </v:group>
        </w:pict>
      </w:r>
      <w:r>
        <w:rPr/>
        <w:pict>
          <v:group style="position:absolute;margin-left:524.859985pt;margin-top:47.421715pt;width:10.1pt;height:7.8pt;mso-position-horizontal-relative:page;mso-position-vertical-relative:paragraph;z-index:-1160200" coordorigin="10497,948" coordsize="202,156">
            <v:shape style="position:absolute;left:10497;top:948;width:202;height:156" coordorigin="10497,948" coordsize="202,156" path="m10497,1104l10699,1104,10699,948,10497,948,10497,110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590"/>
        <w:gridCol w:w="554"/>
        <w:gridCol w:w="1414"/>
        <w:gridCol w:w="583"/>
        <w:gridCol w:w="131"/>
        <w:gridCol w:w="994"/>
        <w:gridCol w:w="708"/>
        <w:gridCol w:w="130"/>
        <w:gridCol w:w="306"/>
        <w:gridCol w:w="557"/>
        <w:gridCol w:w="1276"/>
        <w:gridCol w:w="566"/>
        <w:gridCol w:w="271"/>
        <w:gridCol w:w="212"/>
      </w:tblGrid>
      <w:tr>
        <w:trPr>
          <w:trHeight w:val="72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59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25,241</w:t>
            </w:r>
          </w:p>
        </w:tc>
        <w:tc>
          <w:tcPr>
            <w:tcW w:w="1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4"/>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583"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26,347</w:t>
            </w:r>
          </w:p>
        </w:tc>
        <w:tc>
          <w:tcPr>
            <w:tcW w:w="1962" w:type="dxa"/>
            <w:gridSpan w:val="4"/>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49"/>
              <w:ind w:left="11" w:right="-47"/>
              <w:jc w:val="left"/>
              <w:rPr>
                <w:rFonts w:ascii="宋体" w:hAnsi="宋体" w:cs="宋体" w:eastAsia="宋体" w:hint="default"/>
                <w:sz w:val="18"/>
                <w:szCs w:val="18"/>
              </w:rPr>
            </w:pPr>
            <w:r>
              <w:rPr>
                <w:rFonts w:ascii="宋体" w:hAnsi="宋体" w:cs="宋体" w:eastAsia="宋体" w:hint="default"/>
                <w:sz w:val="18"/>
                <w:szCs w:val="18"/>
              </w:rPr>
              <w:t>报告期末表决权恢复的 优先股股东总数（如有）</w:t>
            </w:r>
          </w:p>
        </w:tc>
        <w:tc>
          <w:tcPr>
            <w:tcW w:w="306" w:type="dxa"/>
            <w:tcBorders>
              <w:top w:val="single" w:sz="4" w:space="0" w:color="000000"/>
              <w:left w:val="single" w:sz="22" w:space="0" w:color="FFFFFF"/>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0</w:t>
            </w:r>
          </w:p>
        </w:tc>
        <w:tc>
          <w:tcPr>
            <w:tcW w:w="2671" w:type="dxa"/>
            <w:gridSpan w:val="4"/>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12" w:right="114"/>
              <w:jc w:val="left"/>
              <w:rPr>
                <w:rFonts w:ascii="宋体" w:hAnsi="宋体" w:cs="宋体" w:eastAsia="宋体" w:hint="default"/>
                <w:sz w:val="18"/>
                <w:szCs w:val="18"/>
              </w:rPr>
            </w:pPr>
            <w:r>
              <w:rPr>
                <w:rFonts w:ascii="宋体" w:hAnsi="宋体" w:cs="宋体" w:eastAsia="宋体" w:hint="default"/>
                <w:sz w:val="18"/>
                <w:szCs w:val="18"/>
              </w:rPr>
              <w:t>年度报告披露日前上一月末表决 权恢复的优先股股东总数（如有</w:t>
            </w:r>
          </w:p>
        </w:tc>
        <w:tc>
          <w:tcPr>
            <w:tcW w:w="212"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0" w:lineRule="exact"/>
              <w:ind w:left="76"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189" w:lineRule="exact"/>
              <w:ind w:left="-16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1" w:hRule="exact"/>
        </w:trPr>
        <w:tc>
          <w:tcPr>
            <w:tcW w:w="954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211" w:hRule="exact"/>
        </w:trPr>
        <w:tc>
          <w:tcPr>
            <w:tcW w:w="2398" w:type="dxa"/>
            <w:gridSpan w:val="3"/>
            <w:vMerge w:val="restart"/>
            <w:tcBorders>
              <w:top w:val="single" w:sz="4" w:space="0" w:color="000000"/>
              <w:left w:val="single" w:sz="4" w:space="0" w:color="000000"/>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
        </w:tc>
        <w:tc>
          <w:tcPr>
            <w:tcW w:w="71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8"/>
              <w:ind w:left="78" w:right="78"/>
              <w:jc w:val="both"/>
              <w:rPr>
                <w:rFonts w:ascii="宋体" w:hAnsi="宋体" w:cs="宋体" w:eastAsia="宋体" w:hint="default"/>
                <w:sz w:val="18"/>
                <w:szCs w:val="18"/>
              </w:rPr>
            </w:pPr>
            <w:r>
              <w:rPr>
                <w:rFonts w:ascii="宋体" w:hAnsi="宋体" w:cs="宋体" w:eastAsia="宋体" w:hint="default"/>
                <w:sz w:val="18"/>
                <w:szCs w:val="18"/>
              </w:rPr>
              <w:t>报告期 内增减 变动情</w:t>
            </w:r>
          </w:p>
        </w:tc>
        <w:tc>
          <w:tcPr>
            <w:tcW w:w="9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9"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6" w:right="62" w:hanging="272"/>
              <w:jc w:val="left"/>
              <w:rPr>
                <w:rFonts w:ascii="宋体" w:hAnsi="宋体" w:cs="宋体" w:eastAsia="宋体" w:hint="default"/>
                <w:sz w:val="18"/>
                <w:szCs w:val="18"/>
              </w:rPr>
            </w:pPr>
            <w:r>
              <w:rPr>
                <w:rFonts w:ascii="宋体" w:hAnsi="宋体" w:cs="宋体" w:eastAsia="宋体" w:hint="default"/>
                <w:sz w:val="18"/>
                <w:szCs w:val="18"/>
              </w:rPr>
              <w:t>质押或冻结 情况</w:t>
            </w:r>
          </w:p>
        </w:tc>
      </w:tr>
      <w:tr>
        <w:trPr>
          <w:trHeight w:val="156" w:hRule="exact"/>
        </w:trPr>
        <w:tc>
          <w:tcPr>
            <w:tcW w:w="2398" w:type="dxa"/>
            <w:gridSpan w:val="3"/>
            <w:vMerge/>
            <w:tcBorders>
              <w:left w:val="single" w:sz="4" w:space="0" w:color="000000"/>
              <w:bottom w:val="nil" w:sz="6" w:space="0" w:color="auto"/>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7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4"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9" w:right="4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08" w:type="dxa"/>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050" w:type="dxa"/>
            <w:gridSpan w:val="3"/>
            <w:vMerge/>
            <w:tcBorders>
              <w:left w:val="single" w:sz="4" w:space="0" w:color="000000"/>
              <w:right w:val="single" w:sz="4" w:space="0" w:color="000000"/>
            </w:tcBorders>
            <w:shd w:val="clear" w:color="auto" w:fill="D2D2D2"/>
          </w:tcPr>
          <w:p>
            <w:pPr/>
          </w:p>
        </w:tc>
      </w:tr>
      <w:tr>
        <w:trPr>
          <w:trHeight w:val="372" w:hRule="exact"/>
        </w:trPr>
        <w:tc>
          <w:tcPr>
            <w:tcW w:w="239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4"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050" w:type="dxa"/>
            <w:gridSpan w:val="3"/>
            <w:vMerge/>
            <w:tcBorders>
              <w:left w:val="single" w:sz="4" w:space="0" w:color="000000"/>
              <w:bottom w:val="single" w:sz="4" w:space="0" w:color="000000"/>
              <w:right w:val="single" w:sz="4" w:space="0" w:color="000000"/>
            </w:tcBorders>
            <w:shd w:val="clear" w:color="auto" w:fill="D2D2D2"/>
          </w:tcPr>
          <w:p>
            <w:pPr/>
          </w:p>
        </w:tc>
      </w:tr>
      <w:tr>
        <w:trPr>
          <w:trHeight w:val="175" w:hRule="exact"/>
        </w:trPr>
        <w:tc>
          <w:tcPr>
            <w:tcW w:w="2398" w:type="dxa"/>
            <w:gridSpan w:val="3"/>
            <w:vMerge w:val="restart"/>
            <w:tcBorders>
              <w:top w:val="nil" w:sz="6" w:space="0" w:color="auto"/>
              <w:left w:val="single" w:sz="4" w:space="0" w:color="000000"/>
              <w:right w:val="single" w:sz="4" w:space="0" w:color="000000"/>
            </w:tcBorders>
            <w:shd w:val="clear" w:color="auto" w:fill="D2D2D2"/>
          </w:tcPr>
          <w:p>
            <w:pPr/>
          </w:p>
        </w:tc>
        <w:tc>
          <w:tcPr>
            <w:tcW w:w="1414" w:type="dxa"/>
            <w:vMerge w:val="restart"/>
            <w:tcBorders>
              <w:top w:val="nil" w:sz="6" w:space="0" w:color="auto"/>
              <w:left w:val="single" w:sz="4" w:space="0" w:color="000000"/>
              <w:right w:val="single" w:sz="4" w:space="0" w:color="000000"/>
            </w:tcBorders>
            <w:shd w:val="clear" w:color="auto" w:fill="D2D2D2"/>
          </w:tcPr>
          <w:p>
            <w:pPr/>
          </w:p>
        </w:tc>
        <w:tc>
          <w:tcPr>
            <w:tcW w:w="714"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6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3"/>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71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gridSpan w:val="3"/>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84" w:type="dxa"/>
            <w:gridSpan w:val="2"/>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2.7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419"/>
                    <w:gridCol w:w="708"/>
                    <w:gridCol w:w="427"/>
                    <w:gridCol w:w="566"/>
                    <w:gridCol w:w="708"/>
                    <w:gridCol w:w="283"/>
                    <w:gridCol w:w="710"/>
                    <w:gridCol w:w="850"/>
                    <w:gridCol w:w="425"/>
                    <w:gridCol w:w="566"/>
                    <w:gridCol w:w="497"/>
                  </w:tblGrid>
                  <w:tr>
                    <w:trPr>
                      <w:trHeight w:val="36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54.77%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584,236,800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438,177,600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146,059,200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139,428,753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139,428,753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38,700,720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38,700,720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36,600,000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36,600,000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18,010,800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18,010,800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泰康人寿保险有限责任公司－ 投连－创新动力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14,332,751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14,332,751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中国银行股份有限公司－富国 改革动力混合型证券投资基金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-10,229,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828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14,000,000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交通银行股份有限公司－富国 天益价值混合型证券投资基金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10,570,000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-463,924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10,570,000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9,375,625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9,375,625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6,263,496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4,697,622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1,565,874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淘宝（中国）软件有限公司为公司战略投资者，在公司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年度进行的非公开发行股份中</w:t>
                        </w:r>
                      </w:p>
                      <w:p>
                        <w:pPr>
                          <w:pStyle w:val="TableParagraph"/>
                          <w:spacing w:line="307" w:lineRule="auto" w:before="63"/>
                          <w:ind w:left="16" w:right="19"/>
                          <w:jc w:val="left"/>
                          <w:rPr>
                            <w:rFonts w:ascii="宋体" w:hAnsi="宋体" w:cs="宋体" w:eastAsia="宋体" w:hint="default"/>
                            <w:sz w:val="18"/>
                            <w:szCs w:val="18"/>
                          </w:rPr>
                        </w:pPr>
                        <w:r>
                          <w:rPr>
                            <w:rFonts w:ascii="宋体" w:hAnsi="宋体" w:cs="宋体" w:eastAsia="宋体" w:hint="default"/>
                            <w:sz w:val="18"/>
                            <w:szCs w:val="18"/>
                          </w:rPr>
                          <w:t>认购股份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46,476,251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股，该股份于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日上市发行，认购完成后，淘宝（中国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成为公司第二大股东，但该股份均为有限售条件的流通股，淘宝（中国）软件有限公司认 购的该股份自上市首日起六十个月内不转让，可上市流通时间为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日（非交 </w:t>
                        </w:r>
                        <w:r>
                          <w:rPr>
                            <w:rFonts w:ascii="宋体" w:hAnsi="宋体" w:cs="宋体" w:eastAsia="宋体" w:hint="default"/>
                            <w:spacing w:val="-16"/>
                            <w:sz w:val="18"/>
                            <w:szCs w:val="18"/>
                          </w:rPr>
                          <w:t>易日顺延）。</w:t>
                        </w:r>
                      </w:p>
                    </w:tc>
                  </w:tr>
                  <w:tr>
                    <w:trPr>
                      <w:trHeight w:val="1015"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161" w:type="dxa"/>
                        <w:gridSpan w:val="11"/>
                        <w:vMerge/>
                        <w:tcBorders>
                          <w:left w:val="single" w:sz="10" w:space="0" w:color="D2D2D2"/>
                          <w:right w:val="single" w:sz="4" w:space="0" w:color="000000"/>
                        </w:tcBorders>
                      </w:tcPr>
                      <w:p>
                        <w:pPr/>
                      </w:p>
                    </w:tc>
                  </w:tr>
                  <w:tr>
                    <w:trPr>
                      <w:trHeight w:val="317"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1" w:type="dxa"/>
                        <w:gridSpan w:val="11"/>
                        <w:vMerge/>
                        <w:tcBorders>
                          <w:left w:val="single" w:sz="10" w:space="0" w:color="D2D2D2"/>
                          <w:bottom w:val="single" w:sz="4" w:space="0" w:color="000000"/>
                          <w:right w:val="single" w:sz="4" w:space="0" w:color="000000"/>
                        </w:tcBorders>
                      </w:tcPr>
                      <w:p>
                        <w:pPr/>
                      </w:p>
                    </w:tc>
                  </w:tr>
                  <w:tr>
                    <w:trPr>
                      <w:trHeight w:val="317"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1" w:type="dxa"/>
                        <w:gridSpan w:val="11"/>
                        <w:vMerge w:val="restart"/>
                        <w:tcBorders>
                          <w:top w:val="single" w:sz="4" w:space="0" w:color="000000"/>
                          <w:left w:val="single" w:sz="10" w:space="0" w:color="D2D2D2"/>
                          <w:right w:val="single" w:sz="4" w:space="0" w:color="000000"/>
                        </w:tcBorders>
                      </w:tcPr>
                      <w:p>
                        <w:pPr>
                          <w:pStyle w:val="TableParagraph"/>
                          <w:spacing w:line="307"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54.77%</w:t>
                        </w:r>
                        <w:r>
                          <w:rPr>
                            <w:rFonts w:ascii="宋体" w:hAnsi="宋体" w:cs="宋体" w:eastAsia="宋体" w:hint="default"/>
                            <w:sz w:val="18"/>
                            <w:szCs w:val="18"/>
                          </w:rPr>
                          <w:t>的股份，焦 梅荣持有本公司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3.63%</w:t>
                        </w:r>
                        <w:r>
                          <w:rPr>
                            <w:rFonts w:ascii="宋体" w:hAnsi="宋体" w:cs="宋体" w:eastAsia="宋体" w:hint="default"/>
                            <w:spacing w:val="-2"/>
                            <w:sz w:val="18"/>
                            <w:szCs w:val="18"/>
                          </w:rPr>
                          <w:t>的股份。与有限售条件的其他股东之间不存在关联关系，也不属于一</w:t>
                        </w:r>
                        <w:r>
                          <w:rPr>
                            <w:rFonts w:ascii="宋体" w:hAnsi="宋体" w:cs="宋体" w:eastAsia="宋体" w:hint="default"/>
                            <w:sz w:val="18"/>
                            <w:szCs w:val="18"/>
                          </w:rPr>
                          <w:t> 致行动人。未知其他股东相互之间是否存在关联关系，也未知是否属于《上市公司信息披 露管理办法》中规定的一致行动人。</w:t>
                        </w:r>
                      </w:p>
                    </w:tc>
                  </w:tr>
                  <w:tr>
                    <w:trPr>
                      <w:trHeight w:val="706"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11"/>
                        <w:vMerge/>
                        <w:tcBorders>
                          <w:left w:val="single" w:sz="10" w:space="0" w:color="D2D2D2"/>
                          <w:right w:val="single" w:sz="4" w:space="0" w:color="000000"/>
                        </w:tcBorders>
                      </w:tcPr>
                      <w:p>
                        <w:pPr/>
                      </w:p>
                    </w:tc>
                  </w:tr>
                  <w:tr>
                    <w:trPr>
                      <w:trHeight w:val="317"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1" w:type="dxa"/>
                        <w:gridSpan w:val="11"/>
                        <w:vMerge/>
                        <w:tcBorders>
                          <w:left w:val="single" w:sz="10" w:space="0" w:color="D2D2D2"/>
                          <w:bottom w:val="single" w:sz="4" w:space="0" w:color="000000"/>
                          <w:right w:val="single" w:sz="4" w:space="0" w:color="000000"/>
                        </w:tcBorders>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496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43" w:right="51" w:hanging="89"/>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30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496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58" w:type="dxa"/>
                        <w:gridSpan w:val="3"/>
                        <w:vMerge/>
                        <w:tcBorders>
                          <w:left w:val="single" w:sz="4" w:space="0" w:color="000000"/>
                          <w:right w:val="single" w:sz="4" w:space="0" w:color="000000"/>
                        </w:tcBorders>
                        <w:shd w:val="clear" w:color="auto" w:fill="D2D2D2"/>
                      </w:tcPr>
                      <w:p>
                        <w:pPr/>
                      </w:p>
                    </w:tc>
                    <w:tc>
                      <w:tcPr>
                        <w:tcW w:w="3049"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964" w:type="dxa"/>
                        <w:gridSpan w:val="4"/>
                        <w:vMerge/>
                        <w:tcBorders>
                          <w:left w:val="single" w:sz="4" w:space="0" w:color="000000"/>
                          <w:bottom w:val="nil" w:sz="6" w:space="0" w:color="auto"/>
                          <w:right w:val="single" w:sz="4" w:space="0" w:color="000000"/>
                        </w:tcBorders>
                        <w:shd w:val="clear" w:color="auto" w:fill="D2D2D2"/>
                      </w:tcPr>
                      <w:p>
                        <w:pPr/>
                      </w:p>
                    </w:tc>
                    <w:tc>
                      <w:tcPr>
                        <w:tcW w:w="1558" w:type="dxa"/>
                        <w:gridSpan w:val="3"/>
                        <w:vMerge/>
                        <w:tcBorders>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496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gridSpan w:val="3"/>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489" w:type="dxa"/>
                        <w:gridSpan w:val="3"/>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558" w:type="dxa"/>
                        <w:gridSpan w:val="3"/>
                        <w:tcBorders>
                          <w:top w:val="single" w:sz="21" w:space="0" w:color="D2D2D2"/>
                          <w:left w:val="single" w:sz="4" w:space="0" w:color="000000"/>
                          <w:bottom w:val="single" w:sz="4" w:space="0" w:color="000000"/>
                          <w:right w:val="single" w:sz="4" w:space="0" w:color="000000"/>
                        </w:tcBorders>
                      </w:tcPr>
                      <w:p>
                        <w:pPr>
                          <w:pStyle w:val="TableParagraph"/>
                          <w:spacing w:line="240" w:lineRule="auto" w:before="69"/>
                          <w:ind w:left="626" w:right="0"/>
                          <w:jc w:val="left"/>
                          <w:rPr>
                            <w:rFonts w:ascii="Times New Roman" w:hAnsi="Times New Roman" w:cs="Times New Roman" w:eastAsia="Times New Roman" w:hint="default"/>
                            <w:sz w:val="18"/>
                            <w:szCs w:val="18"/>
                          </w:rPr>
                        </w:pPr>
                        <w:r>
                          <w:rPr>
                            <w:rFonts w:ascii="Times New Roman"/>
                            <w:sz w:val="18"/>
                          </w:rPr>
                          <w:t>146,059,200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146,059,200</w:t>
                        </w:r>
                      </w:p>
                    </w:tc>
                  </w:tr>
                  <w:tr>
                    <w:trPr>
                      <w:trHeight w:val="401"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38,700,720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38,700,720</w:t>
                        </w:r>
                      </w:p>
                    </w:tc>
                  </w:tr>
                  <w:tr>
                    <w:trPr>
                      <w:trHeight w:val="403"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36,600,000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36,600,000</w:t>
                        </w:r>
                      </w:p>
                    </w:tc>
                  </w:tr>
                  <w:tr>
                    <w:trPr>
                      <w:trHeight w:val="401"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18,010,800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18,010,800</w:t>
                        </w:r>
                      </w:p>
                    </w:tc>
                  </w:tr>
                  <w:tr>
                    <w:trPr>
                      <w:trHeight w:val="404"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泰康人寿保险有限责任公司－投连－创新动力</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14,332,751</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14,332,751</w:t>
                        </w:r>
                      </w:p>
                    </w:tc>
                  </w:tr>
                  <w:tr>
                    <w:trPr>
                      <w:trHeight w:val="401"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中国银行股份有限公司－富国改革动力混合型证券投资基金</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14,000,000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14,000,000</w:t>
                        </w:r>
                      </w:p>
                    </w:tc>
                  </w:tr>
                  <w:tr>
                    <w:trPr>
                      <w:trHeight w:val="403"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交通银行股份有限公司－富国天益价值混合型证券投资基金</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10,570,000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10,570,000</w:t>
                        </w:r>
                      </w:p>
                    </w:tc>
                  </w:tr>
                  <w:tr>
                    <w:trPr>
                      <w:trHeight w:val="401"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9,375,625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7" w:right="0"/>
                          <w:jc w:val="left"/>
                          <w:rPr>
                            <w:rFonts w:ascii="Times New Roman" w:hAnsi="Times New Roman" w:cs="Times New Roman" w:eastAsia="Times New Roman" w:hint="default"/>
                            <w:sz w:val="18"/>
                            <w:szCs w:val="18"/>
                          </w:rPr>
                        </w:pPr>
                        <w:r>
                          <w:rPr>
                            <w:rFonts w:ascii="Times New Roman"/>
                            <w:sz w:val="18"/>
                          </w:rPr>
                          <w:t>9,375,625</w:t>
                        </w:r>
                      </w:p>
                    </w:tc>
                  </w:tr>
                  <w:tr>
                    <w:trPr>
                      <w:trHeight w:val="403"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5,817,443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7" w:right="0"/>
                          <w:jc w:val="left"/>
                          <w:rPr>
                            <w:rFonts w:ascii="Times New Roman" w:hAnsi="Times New Roman" w:cs="Times New Roman" w:eastAsia="Times New Roman" w:hint="default"/>
                            <w:sz w:val="18"/>
                            <w:szCs w:val="18"/>
                          </w:rPr>
                        </w:pPr>
                        <w:r>
                          <w:rPr>
                            <w:rFonts w:ascii="Times New Roman"/>
                            <w:sz w:val="18"/>
                          </w:rPr>
                          <w:t>5,817,443</w:t>
                        </w:r>
                      </w:p>
                    </w:tc>
                  </w:tr>
                  <w:tr>
                    <w:trPr>
                      <w:trHeight w:val="401"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挪威中央银行－自有资金</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5,050,755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7" w:right="0"/>
                          <w:jc w:val="left"/>
                          <w:rPr>
                            <w:rFonts w:ascii="Times New Roman" w:hAnsi="Times New Roman" w:cs="Times New Roman" w:eastAsia="Times New Roman" w:hint="default"/>
                            <w:sz w:val="18"/>
                            <w:szCs w:val="18"/>
                          </w:rPr>
                        </w:pPr>
                        <w:r>
                          <w:rPr>
                            <w:rFonts w:ascii="Times New Roman"/>
                            <w:sz w:val="18"/>
                          </w:rPr>
                          <w:t>5,050,755</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76"/>
        <w:gridCol w:w="6594"/>
      </w:tblGrid>
      <w:tr>
        <w:trPr>
          <w:trHeight w:val="1337"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名无限售流通股股东之间，以及</w:t>
            </w:r>
          </w:p>
          <w:p>
            <w:pPr>
              <w:pStyle w:val="TableParagraph"/>
              <w:spacing w:line="300" w:lineRule="auto" w:before="63"/>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 股东之间关联关系或一致行动的说明</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54.77%</w:t>
            </w:r>
            <w:r>
              <w:rPr>
                <w:rFonts w:ascii="宋体" w:hAnsi="宋体" w:cs="宋体" w:eastAsia="宋体" w:hint="default"/>
                <w:sz w:val="18"/>
                <w:szCs w:val="18"/>
              </w:rPr>
              <w:t>的股 份，焦梅荣持有本公司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w:t>
            </w:r>
            <w:r>
              <w:rPr>
                <w:rFonts w:ascii="宋体" w:hAnsi="宋体" w:cs="宋体" w:eastAsia="宋体" w:hint="default"/>
                <w:sz w:val="18"/>
                <w:szCs w:val="18"/>
              </w:rPr>
              <w:t>的股份。与有限售条件的其他股东之间不存在关联关 系，也不属于一致行动人。未知其他股东相互之间是否存在关联关系，也未知是否 属于《上市公司信息披露管理办法》中规定的一致行动人。</w:t>
            </w: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537"/>
        <w:gridCol w:w="2127"/>
        <w:gridCol w:w="2907"/>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5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7"/>
        <w:rPr>
          <w:rFonts w:ascii="宋体" w:hAnsi="宋体" w:cs="宋体" w:eastAsia="宋体" w:hint="default"/>
          <w:sz w:val="21"/>
          <w:szCs w:val="21"/>
        </w:rPr>
      </w:pPr>
    </w:p>
    <w:p>
      <w:pPr>
        <w:pStyle w:val="Heading7"/>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4537"/>
        <w:gridCol w:w="2127"/>
        <w:gridCol w:w="2907"/>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5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p>
      <w:pPr>
        <w:spacing w:line="1995" w:lineRule="exact"/>
        <w:ind w:left="1355"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4591288" cy="12668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1" cstate="print"/>
                    <a:stretch>
                      <a:fillRect/>
                    </a:stretch>
                  </pic:blipFill>
                  <pic:spPr>
                    <a:xfrm>
                      <a:off x="0" y="0"/>
                      <a:ext cx="4591288" cy="1266825"/>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8"/>
        <w:rPr>
          <w:rFonts w:ascii="宋体" w:hAnsi="宋体" w:cs="宋体" w:eastAsia="宋体" w:hint="default"/>
          <w:sz w:val="17"/>
          <w:szCs w:val="17"/>
        </w:rPr>
      </w:pPr>
    </w:p>
    <w:p>
      <w:pPr>
        <w:pStyle w:val="Heading4"/>
        <w:spacing w:line="240" w:lineRule="auto" w:before="26"/>
        <w:ind w:right="153"/>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59" w:firstLine="0"/>
        <w:jc w:val="right"/>
        <w:rPr>
          <w:rFonts w:ascii="宋体" w:hAnsi="宋体" w:cs="宋体" w:eastAsia="宋体" w:hint="default"/>
          <w:sz w:val="18"/>
          <w:szCs w:val="18"/>
        </w:rPr>
      </w:pPr>
      <w:r>
        <w:rPr/>
        <w:pict>
          <v:shape style="position:absolute;margin-left:56.400002pt;margin-top:-51.968281pt;width:479.3pt;height:103.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133"/>
                    <w:gridCol w:w="992"/>
                    <w:gridCol w:w="1135"/>
                    <w:gridCol w:w="5459"/>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法人股东 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5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淘宝（中 国）软件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37500 </w:t>
                        </w:r>
                        <w:r>
                          <w:rPr>
                            <w:rFonts w:ascii="宋体" w:hAnsi="宋体" w:cs="宋体" w:eastAsia="宋体" w:hint="default"/>
                            <w:sz w:val="18"/>
                            <w:szCs w:val="18"/>
                          </w:rPr>
                          <w:t>万美元</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研究、开发计算机软、硬件，网络技术产品，多媒体产品；系统集成 </w:t>
                        </w:r>
                        <w:r>
                          <w:rPr>
                            <w:rFonts w:ascii="宋体" w:hAnsi="宋体" w:cs="宋体" w:eastAsia="宋体" w:hint="default"/>
                            <w:spacing w:val="-3"/>
                            <w:sz w:val="18"/>
                            <w:szCs w:val="18"/>
                          </w:rPr>
                          <w:t>的设计、调试及维护；销售自身开发的产品；并提供计算机技术咨询</w:t>
                        </w:r>
                        <w:r>
                          <w:rPr>
                            <w:rFonts w:ascii="宋体" w:hAnsi="宋体" w:cs="宋体" w:eastAsia="宋体" w:hint="default"/>
                            <w:sz w:val="18"/>
                            <w:szCs w:val="18"/>
                          </w:rPr>
                          <w:t> </w:t>
                        </w:r>
                        <w:r>
                          <w:rPr>
                            <w:rFonts w:ascii="宋体" w:hAnsi="宋体" w:cs="宋体" w:eastAsia="宋体" w:hint="default"/>
                            <w:spacing w:val="-6"/>
                            <w:sz w:val="18"/>
                            <w:szCs w:val="18"/>
                          </w:rPr>
                          <w:t>服务，电子商务平台支持；经济信息咨询（含商品中介）（国家禁止和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限制的除外，凡涉及许可证制度的凭证经营）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7"/>
        <w:spacing w:line="240" w:lineRule="auto" w:before="36"/>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53"/>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53"/>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569"/>
        <w:gridCol w:w="567"/>
        <w:gridCol w:w="850"/>
        <w:gridCol w:w="852"/>
        <w:gridCol w:w="992"/>
        <w:gridCol w:w="850"/>
        <w:gridCol w:w="852"/>
        <w:gridCol w:w="709"/>
        <w:gridCol w:w="120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李仲初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董事长兼 总裁</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584,236,800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584,236,800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赖德源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总裁、财 务总监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李殿坤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6,263,496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6,263,496</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邹小杰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刘丹萍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叶金福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2"/>
              <w:jc w:val="left"/>
              <w:rPr>
                <w:rFonts w:ascii="Times New Roman" w:hAnsi="Times New Roman" w:cs="Times New Roman" w:eastAsia="Times New Roman" w:hint="default"/>
                <w:sz w:val="18"/>
                <w:szCs w:val="18"/>
              </w:rPr>
            </w:pPr>
            <w:r>
              <w:rPr>
                <w:rFonts w:ascii="Times New Roman"/>
                <w:sz w:val="18"/>
              </w:rPr>
              <w:t>Kevin Patrick King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关东玉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王敏敏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28,980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1"/>
              <w:jc w:val="righ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副总裁兼 董事会秘 书</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张广杰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4"/>
              <w:jc w:val="right"/>
              <w:rPr>
                <w:rFonts w:ascii="宋体" w:hAnsi="宋体" w:cs="宋体" w:eastAsia="宋体" w:hint="default"/>
                <w:sz w:val="18"/>
                <w:szCs w:val="18"/>
              </w:rPr>
            </w:pPr>
            <w:r>
              <w:rPr>
                <w:rFonts w:ascii="宋体" w:hAnsi="宋体" w:cs="宋体" w:eastAsia="宋体" w:hint="default"/>
                <w:sz w:val="18"/>
                <w:szCs w:val="18"/>
              </w:rPr>
              <w:t>王淑杰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569"/>
        <w:gridCol w:w="567"/>
        <w:gridCol w:w="850"/>
        <w:gridCol w:w="852"/>
        <w:gridCol w:w="992"/>
        <w:gridCol w:w="850"/>
        <w:gridCol w:w="852"/>
        <w:gridCol w:w="709"/>
        <w:gridCol w:w="1207"/>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7"/>
              <w:jc w:val="righ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590,529,276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590,529,276</w:t>
            </w:r>
          </w:p>
        </w:tc>
      </w:tr>
    </w:tbl>
    <w:p>
      <w:pPr>
        <w:spacing w:line="240" w:lineRule="auto" w:before="1"/>
        <w:rPr>
          <w:rFonts w:ascii="宋体" w:hAnsi="宋体" w:cs="宋体" w:eastAsia="宋体" w:hint="default"/>
          <w:b/>
          <w:bCs/>
          <w:sz w:val="18"/>
          <w:szCs w:val="18"/>
        </w:rPr>
      </w:pPr>
    </w:p>
    <w:p>
      <w:pPr>
        <w:pStyle w:val="Heading3"/>
        <w:spacing w:line="240" w:lineRule="auto" w:before="26"/>
        <w:ind w:right="208"/>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76"/>
        <w:gridCol w:w="1138"/>
        <w:gridCol w:w="595"/>
        <w:gridCol w:w="1721"/>
        <w:gridCol w:w="5439"/>
      </w:tblGrid>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姓名</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朱锦梅</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个人原因主动离职，详见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日巨潮资讯网的《关于独立 </w:t>
            </w:r>
            <w:r>
              <w:rPr>
                <w:rFonts w:ascii="宋体" w:hAnsi="宋体" w:cs="宋体" w:eastAsia="宋体" w:hint="default"/>
                <w:spacing w:val="-3"/>
                <w:sz w:val="18"/>
                <w:szCs w:val="18"/>
              </w:rPr>
              <w:t>董事辞职及增选第六届董事会独立董事的公告》（</w:t>
            </w:r>
            <w:r>
              <w:rPr>
                <w:rFonts w:ascii="Times New Roman" w:hAnsi="Times New Roman" w:cs="Times New Roman" w:eastAsia="Times New Roman" w:hint="default"/>
                <w:spacing w:val="-3"/>
                <w:sz w:val="18"/>
                <w:szCs w:val="18"/>
              </w:rPr>
              <w:t>2017-21</w:t>
            </w:r>
            <w:r>
              <w:rPr>
                <w:rFonts w:ascii="宋体" w:hAnsi="宋体" w:cs="宋体" w:eastAsia="宋体" w:hint="default"/>
                <w:spacing w:val="-3"/>
                <w:sz w:val="18"/>
                <w:szCs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480" w:lineRule="atLeast" w:before="9"/>
        <w:ind w:left="573" w:right="208"/>
        <w:jc w:val="left"/>
      </w:pPr>
      <w:r>
        <w:rPr>
          <w:rFonts w:ascii="宋体" w:hAnsi="宋体" w:cs="宋体" w:eastAsia="宋体" w:hint="default"/>
          <w:b/>
          <w:bCs/>
        </w:rPr>
        <w:t>（一）董事</w:t>
      </w:r>
      <w:r>
        <w:rPr>
          <w:rFonts w:ascii="宋体" w:hAnsi="宋体" w:cs="宋体" w:eastAsia="宋体" w:hint="default"/>
          <w:b/>
          <w:bCs/>
          <w:w w:val="100"/>
        </w:rPr>
        <w:t> </w:t>
      </w:r>
      <w:r>
        <w:rPr>
          <w:rFonts w:ascii="宋体" w:hAnsi="宋体" w:cs="宋体" w:eastAsia="宋体" w:hint="default"/>
          <w:b/>
          <w:bCs/>
          <w:spacing w:val="-2"/>
        </w:rPr>
        <w:t>李仲初</w:t>
      </w:r>
      <w:r>
        <w:rPr>
          <w:spacing w:val="-2"/>
        </w:rPr>
        <w:t>：男，出生于</w:t>
      </w:r>
      <w:r>
        <w:rPr>
          <w:rFonts w:ascii="Times New Roman" w:hAnsi="Times New Roman" w:cs="Times New Roman" w:eastAsia="Times New Roman" w:hint="default"/>
          <w:spacing w:val="-2"/>
        </w:rPr>
        <w:t>1963</w:t>
      </w:r>
      <w:r>
        <w:rPr>
          <w:spacing w:val="-2"/>
        </w:rPr>
        <w:t>年，中国公民，工学硕士，工程师，本公司创始人及控股股东，</w:t>
      </w:r>
      <w:r>
        <w:rPr>
          <w:rFonts w:ascii="Times New Roman" w:hAnsi="Times New Roman" w:cs="Times New Roman" w:eastAsia="Times New Roman" w:hint="default"/>
          <w:spacing w:val="-2"/>
        </w:rPr>
        <w:t>1984</w:t>
      </w:r>
      <w:r>
        <w:rPr>
          <w:spacing w:val="-2"/>
        </w:rPr>
        <w:t>年毕业</w:t>
      </w:r>
    </w:p>
    <w:p>
      <w:pPr>
        <w:pStyle w:val="BodyText"/>
        <w:spacing w:line="264" w:lineRule="auto" w:before="21"/>
        <w:ind w:right="206"/>
        <w:jc w:val="both"/>
      </w:pPr>
      <w:r>
        <w:rPr>
          <w:spacing w:val="-2"/>
        </w:rPr>
        <w:t>于武汉大学空间物理系，获得理学学士学位，</w:t>
      </w:r>
      <w:r>
        <w:rPr>
          <w:rFonts w:ascii="Times New Roman" w:hAnsi="Times New Roman" w:cs="Times New Roman" w:eastAsia="Times New Roman" w:hint="default"/>
          <w:spacing w:val="-2"/>
        </w:rPr>
        <w:t>1987</w:t>
      </w:r>
      <w:r>
        <w:rPr>
          <w:spacing w:val="-2"/>
        </w:rPr>
        <w:t>年获得原国家航天部第二研究院光电技术专业工学硕士</w:t>
      </w:r>
      <w:r>
        <w:rPr>
          <w:spacing w:val="-38"/>
        </w:rPr>
        <w:t> </w:t>
      </w:r>
      <w:r>
        <w:rPr>
          <w:spacing w:val="-38"/>
        </w:rPr>
      </w:r>
      <w:r>
        <w:rPr>
          <w:spacing w:val="-2"/>
        </w:rPr>
        <w:t>学位。曾先后任职于国家航天部某研究所、国家某重点实验室。现任本公司第六届董事会董事、董事长兼</w:t>
      </w:r>
      <w:r>
        <w:rPr>
          <w:spacing w:val="-50"/>
        </w:rPr>
        <w:t> </w:t>
      </w:r>
      <w:r>
        <w:rPr>
          <w:spacing w:val="-50"/>
        </w:rPr>
      </w:r>
      <w:r>
        <w:rPr/>
        <w:t>总裁。</w:t>
      </w:r>
    </w:p>
    <w:p>
      <w:pPr>
        <w:pStyle w:val="BodyText"/>
        <w:spacing w:line="256" w:lineRule="auto" w:before="172"/>
        <w:ind w:right="207" w:firstLine="420"/>
        <w:jc w:val="both"/>
      </w:pPr>
      <w:r>
        <w:rPr>
          <w:rFonts w:ascii="宋体" w:hAnsi="宋体" w:cs="宋体" w:eastAsia="宋体" w:hint="default"/>
          <w:b/>
          <w:bCs/>
          <w:spacing w:val="-2"/>
        </w:rPr>
        <w:t>赖德源</w:t>
      </w:r>
      <w:r>
        <w:rPr>
          <w:spacing w:val="-2"/>
        </w:rPr>
        <w:t>：男，出生于</w:t>
      </w:r>
      <w:r>
        <w:rPr>
          <w:rFonts w:ascii="Times New Roman" w:hAnsi="Times New Roman" w:cs="Times New Roman" w:eastAsia="Times New Roman" w:hint="default"/>
          <w:spacing w:val="-2"/>
        </w:rPr>
        <w:t>1963</w:t>
      </w:r>
      <w:r>
        <w:rPr>
          <w:spacing w:val="-2"/>
        </w:rPr>
        <w:t>年，中华人民共和国香港特别行政区居民，本科学历，毕业于香港理工学院</w:t>
      </w:r>
      <w:r>
        <w:rPr>
          <w:w w:val="100"/>
        </w:rPr>
        <w:t> </w:t>
      </w:r>
      <w:r>
        <w:rPr/>
        <w:t>电子工程系。先后就职于香港地下铁路有限公司、香港国辉电脑有限公司，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w:t>
      </w:r>
      <w:r>
        <w:rPr>
          <w:spacing w:val="-26"/>
        </w:rPr>
        <w:t> </w:t>
      </w:r>
      <w:r>
        <w:rPr>
          <w:spacing w:val="-26"/>
        </w:rPr>
      </w:r>
      <w:r>
        <w:rPr>
          <w:spacing w:val="-2"/>
        </w:rPr>
        <w:t>担任富达自动化管理系统（上海）有限公司（该公司为</w:t>
      </w:r>
      <w:r>
        <w:rPr>
          <w:rFonts w:ascii="Times New Roman" w:hAnsi="Times New Roman" w:cs="Times New Roman" w:eastAsia="Times New Roman" w:hint="default"/>
          <w:spacing w:val="-2"/>
        </w:rPr>
        <w:t>MICROS</w:t>
      </w:r>
      <w:r>
        <w:rPr>
          <w:spacing w:val="-2"/>
        </w:rPr>
        <w:t>在中国设立的全资子公司）董事总经理、</w:t>
      </w:r>
      <w:r>
        <w:rPr>
          <w:spacing w:val="-4"/>
        </w:rPr>
        <w:t> </w:t>
      </w:r>
      <w:r>
        <w:rPr>
          <w:spacing w:val="-4"/>
        </w:rPr>
      </w:r>
      <w:r>
        <w:rPr/>
        <w:t>香港</w:t>
      </w:r>
      <w:r>
        <w:rPr>
          <w:rFonts w:ascii="Times New Roman" w:hAnsi="Times New Roman" w:cs="Times New Roman" w:eastAsia="Times New Roman" w:hint="default"/>
        </w:rPr>
        <w:t>MOVIELINK</w:t>
      </w:r>
      <w:r>
        <w:rPr/>
        <w:t>公司总经理。现任本公司第六届董事会董事、副总裁、财务总监。</w:t>
      </w:r>
    </w:p>
    <w:p>
      <w:pPr>
        <w:pStyle w:val="BodyText"/>
        <w:spacing w:line="264" w:lineRule="auto" w:before="161"/>
        <w:ind w:right="182" w:firstLine="420"/>
        <w:jc w:val="both"/>
      </w:pPr>
      <w:r>
        <w:rPr>
          <w:rFonts w:ascii="宋体" w:hAnsi="宋体" w:cs="宋体" w:eastAsia="宋体" w:hint="default"/>
          <w:b/>
          <w:bCs/>
          <w:spacing w:val="-2"/>
        </w:rPr>
        <w:t>李殿坤</w:t>
      </w:r>
      <w:r>
        <w:rPr>
          <w:spacing w:val="-2"/>
        </w:rPr>
        <w:t>：男，出生于</w:t>
      </w:r>
      <w:r>
        <w:rPr>
          <w:rFonts w:ascii="Times New Roman" w:hAnsi="Times New Roman" w:cs="Times New Roman" w:eastAsia="Times New Roman" w:hint="default"/>
          <w:spacing w:val="-2"/>
        </w:rPr>
        <w:t>1969</w:t>
      </w:r>
      <w:r>
        <w:rPr>
          <w:spacing w:val="-2"/>
        </w:rPr>
        <w:t>年，中国公民，研究生学历。</w:t>
      </w:r>
      <w:r>
        <w:rPr>
          <w:rFonts w:ascii="Times New Roman" w:hAnsi="Times New Roman" w:cs="Times New Roman" w:eastAsia="Times New Roman" w:hint="default"/>
          <w:spacing w:val="-2"/>
        </w:rPr>
        <w:t>1991</w:t>
      </w:r>
      <w:r>
        <w:rPr>
          <w:spacing w:val="-2"/>
        </w:rPr>
        <w:t>年毕业于浙江大学材料科学与工程学院，</w:t>
      </w:r>
      <w:r>
        <w:rPr>
          <w:w w:val="100"/>
        </w:rPr>
        <w:t> </w:t>
      </w:r>
      <w:r>
        <w:rPr>
          <w:spacing w:val="-2"/>
        </w:rPr>
        <w:t>获得工学学士学位；</w:t>
      </w:r>
      <w:r>
        <w:rPr>
          <w:rFonts w:ascii="Times New Roman" w:hAnsi="Times New Roman" w:cs="Times New Roman" w:eastAsia="Times New Roman" w:hint="default"/>
          <w:spacing w:val="-2"/>
        </w:rPr>
        <w:t>1994</w:t>
      </w:r>
      <w:r>
        <w:rPr>
          <w:spacing w:val="-2"/>
        </w:rPr>
        <w:t>年毕业于北京大学光华管理学院，获得经济学硕士学位。曾任职于上海万国证券</w:t>
      </w:r>
      <w:r>
        <w:rPr>
          <w:spacing w:val="-39"/>
        </w:rPr>
        <w:t> </w:t>
      </w:r>
      <w:r>
        <w:rPr>
          <w:spacing w:val="-39"/>
        </w:rPr>
      </w:r>
      <w:r>
        <w:rPr>
          <w:spacing w:val="-2"/>
        </w:rPr>
        <w:t>公司投资银行总部项目经理、高级经理，国信证券有限责任公司投资银行总部部门总经理、内核办主任，</w:t>
      </w:r>
      <w:r>
        <w:rPr>
          <w:spacing w:val="-21"/>
        </w:rPr>
        <w:t> </w:t>
      </w:r>
      <w:r>
        <w:rPr>
          <w:spacing w:val="-21"/>
        </w:rPr>
      </w:r>
      <w:r>
        <w:rPr>
          <w:spacing w:val="-2"/>
        </w:rPr>
        <w:t>东莞证券有限责任公司总裁助理。现任北京业勤教育科技有限公司董事长及本公司第六届董事会董事及副</w:t>
      </w:r>
      <w:r>
        <w:rPr>
          <w:spacing w:val="-43"/>
        </w:rPr>
        <w:t> </w:t>
      </w:r>
      <w:r>
        <w:rPr>
          <w:spacing w:val="-43"/>
        </w:rPr>
      </w:r>
      <w:r>
        <w:rPr/>
        <w:t>董事长。</w:t>
      </w:r>
    </w:p>
    <w:p>
      <w:pPr>
        <w:pStyle w:val="BodyText"/>
        <w:spacing w:line="261" w:lineRule="auto" w:before="172"/>
        <w:ind w:right="206" w:firstLine="420"/>
        <w:jc w:val="both"/>
      </w:pPr>
      <w:r>
        <w:rPr>
          <w:rFonts w:ascii="宋体" w:hAnsi="宋体" w:cs="宋体" w:eastAsia="宋体" w:hint="default"/>
          <w:b/>
          <w:bCs/>
          <w:spacing w:val="-4"/>
        </w:rPr>
        <w:t>李少华：</w:t>
      </w:r>
      <w:r>
        <w:rPr>
          <w:spacing w:val="-4"/>
        </w:rPr>
        <w:t>男，出生于</w:t>
      </w:r>
      <w:r>
        <w:rPr>
          <w:rFonts w:ascii="Times New Roman" w:hAnsi="Times New Roman" w:cs="Times New Roman" w:eastAsia="Times New Roman" w:hint="default"/>
          <w:spacing w:val="-4"/>
        </w:rPr>
        <w:t>1973</w:t>
      </w:r>
      <w:r>
        <w:rPr>
          <w:spacing w:val="-4"/>
        </w:rPr>
        <w:t>年，中国公民，</w:t>
      </w:r>
      <w:r>
        <w:rPr>
          <w:rFonts w:ascii="Times New Roman" w:hAnsi="Times New Roman" w:cs="Times New Roman" w:eastAsia="Times New Roman" w:hint="default"/>
          <w:spacing w:val="-4"/>
        </w:rPr>
        <w:t>MBA</w:t>
      </w:r>
      <w:r>
        <w:rPr>
          <w:spacing w:val="-4"/>
        </w:rPr>
        <w:t>硕士，研究生学历，毕业于中山大学。曾就职于中国南</w:t>
      </w:r>
      <w:r>
        <w:rPr>
          <w:w w:val="100"/>
        </w:rPr>
        <w:t> </w:t>
      </w:r>
      <w:r>
        <w:rPr>
          <w:spacing w:val="-2"/>
        </w:rPr>
        <w:t>方航空公司。</w:t>
      </w:r>
      <w:r>
        <w:rPr>
          <w:rFonts w:ascii="Times New Roman" w:hAnsi="Times New Roman" w:cs="Times New Roman" w:eastAsia="Times New Roman" w:hint="default"/>
          <w:spacing w:val="-2"/>
        </w:rPr>
        <w:t>2011</w:t>
      </w:r>
      <w:r>
        <w:rPr>
          <w:spacing w:val="-2"/>
        </w:rPr>
        <w:t>年加入阿里巴巴集团起，李少华先生先后担任支付宝航旅事业部总经理、阿里巴巴集团</w:t>
      </w:r>
      <w:r>
        <w:rPr>
          <w:spacing w:val="-42"/>
        </w:rPr>
        <w:t> </w:t>
      </w:r>
      <w:r>
        <w:rPr>
          <w:spacing w:val="-42"/>
        </w:rPr>
      </w:r>
      <w:r>
        <w:rPr>
          <w:spacing w:val="-2"/>
        </w:rPr>
        <w:t>航旅事业部总经理、阿里巴巴集团航旅事业群（阿里旅行）总裁，现任阿里巴巴集团总裁助理。现任本公</w:t>
      </w:r>
      <w:r>
        <w:rPr>
          <w:spacing w:val="-43"/>
        </w:rPr>
        <w:t> </w:t>
      </w:r>
      <w:r>
        <w:rPr>
          <w:spacing w:val="-43"/>
        </w:rPr>
      </w:r>
      <w:r>
        <w:rPr/>
        <w:t>司第六届董事会董事。</w:t>
      </w:r>
    </w:p>
    <w:p>
      <w:pPr>
        <w:pStyle w:val="BodyText"/>
        <w:spacing w:line="264" w:lineRule="auto" w:before="175"/>
        <w:ind w:right="100" w:firstLine="420"/>
        <w:jc w:val="left"/>
      </w:pPr>
      <w:r>
        <w:rPr>
          <w:rFonts w:ascii="宋体" w:hAnsi="宋体" w:cs="宋体" w:eastAsia="宋体" w:hint="default"/>
          <w:b/>
          <w:bCs/>
          <w:spacing w:val="-5"/>
        </w:rPr>
        <w:t>邹小杰</w:t>
      </w:r>
      <w:r>
        <w:rPr>
          <w:spacing w:val="-5"/>
        </w:rPr>
        <w:t>：男，出生于</w:t>
      </w:r>
      <w:r>
        <w:rPr>
          <w:rFonts w:ascii="Times New Roman" w:hAnsi="Times New Roman" w:cs="Times New Roman" w:eastAsia="Times New Roman" w:hint="default"/>
          <w:spacing w:val="-5"/>
        </w:rPr>
        <w:t>1964</w:t>
      </w:r>
      <w:r>
        <w:rPr>
          <w:spacing w:val="-5"/>
        </w:rPr>
        <w:t>年，中国公民，毕业于北京经济学院（现为首都经济贸易大学）贸易经济系，</w:t>
      </w:r>
      <w:r>
        <w:rPr>
          <w:w w:val="100"/>
        </w:rPr>
        <w:t> </w:t>
      </w:r>
      <w:r>
        <w:rPr>
          <w:spacing w:val="-2"/>
        </w:rPr>
        <w:t>经济学硕士。先后就职于广播电视部无线局、电子工业部第三研究所和中国科学器材进出口总公司从事科</w:t>
      </w:r>
      <w:r>
        <w:rPr>
          <w:spacing w:val="-43"/>
        </w:rPr>
        <w:t> </w:t>
      </w:r>
      <w:r>
        <w:rPr>
          <w:spacing w:val="-43"/>
        </w:rPr>
      </w:r>
      <w:r>
        <w:rPr/>
        <w:t>研、技术贸易和经营管理工作，现任北京广学文化教育开发中心主任，本公司第六届董事会独立董事。</w:t>
      </w:r>
    </w:p>
    <w:p>
      <w:pPr>
        <w:pStyle w:val="BodyText"/>
        <w:spacing w:line="264" w:lineRule="auto" w:before="172"/>
        <w:ind w:right="180" w:firstLine="420"/>
        <w:jc w:val="both"/>
      </w:pPr>
      <w:r>
        <w:rPr>
          <w:rFonts w:ascii="宋体" w:hAnsi="宋体" w:cs="宋体" w:eastAsia="宋体" w:hint="default"/>
          <w:b/>
          <w:bCs/>
          <w:spacing w:val="-2"/>
        </w:rPr>
        <w:t>刘丹萍：</w:t>
      </w:r>
      <w:r>
        <w:rPr>
          <w:spacing w:val="-2"/>
        </w:rPr>
        <w:t>女，出生于</w:t>
      </w:r>
      <w:r>
        <w:rPr>
          <w:rFonts w:ascii="Times New Roman" w:hAnsi="Times New Roman" w:cs="Times New Roman" w:eastAsia="Times New Roman" w:hint="default"/>
          <w:spacing w:val="-2"/>
        </w:rPr>
        <w:t>1957</w:t>
      </w:r>
      <w:r>
        <w:rPr>
          <w:spacing w:val="-2"/>
        </w:rPr>
        <w:t>年，中国公民，毕业于北京经济学院经济系政治经济学专业，获学士学位。</w:t>
      </w:r>
      <w:r>
        <w:rPr>
          <w:w w:val="100"/>
        </w:rPr>
        <w:t> </w:t>
      </w:r>
      <w:r>
        <w:rPr>
          <w:spacing w:val="-2"/>
        </w:rPr>
        <w:t>曾任首都经济贸易大学马克思主义学院经济学教授及硕士生导师（退休），中国人民大学气候变化与低碳</w:t>
      </w:r>
      <w:r>
        <w:rPr>
          <w:spacing w:val="-42"/>
        </w:rPr>
        <w:t> </w:t>
      </w:r>
      <w:r>
        <w:rPr>
          <w:spacing w:val="-42"/>
        </w:rPr>
      </w:r>
      <w:r>
        <w:rPr>
          <w:spacing w:val="-2"/>
        </w:rPr>
        <w:t>经济研究所客座研究员，长期从事经济及金融等专业的研究和教学工作，具有较强的专业知识和经验，曾</w:t>
      </w:r>
    </w:p>
    <w:p>
      <w:pPr>
        <w:spacing w:after="0" w:line="264" w:lineRule="auto"/>
        <w:jc w:val="both"/>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BodyText"/>
        <w:spacing w:line="273" w:lineRule="auto" w:before="36"/>
        <w:ind w:right="125"/>
        <w:jc w:val="both"/>
      </w:pPr>
      <w:r>
        <w:rPr>
          <w:spacing w:val="-2"/>
        </w:rPr>
        <w:t>任多家上市公司独立董事。现任神雾节能股份有限公司独立董事，江苏爱康科技股份有限公司独立董事，</w:t>
      </w:r>
      <w:r>
        <w:rPr>
          <w:spacing w:val="-21"/>
        </w:rPr>
        <w:t> </w:t>
      </w:r>
      <w:r>
        <w:rPr>
          <w:spacing w:val="-21"/>
        </w:rPr>
      </w:r>
      <w:r>
        <w:rPr>
          <w:spacing w:val="-2"/>
        </w:rPr>
        <w:t>江苏扬子地板股份有限公司（未上市）独立董事，江苏国盛股份有限公司（未上市）独立董事，本公司第</w:t>
      </w:r>
      <w:r>
        <w:rPr>
          <w:spacing w:val="-42"/>
        </w:rPr>
        <w:t> </w:t>
      </w:r>
      <w:r>
        <w:rPr>
          <w:spacing w:val="-42"/>
        </w:rPr>
      </w:r>
      <w:r>
        <w:rPr/>
        <w:t>六届董事会独立董事。</w:t>
      </w:r>
    </w:p>
    <w:p>
      <w:pPr>
        <w:pStyle w:val="BodyText"/>
        <w:spacing w:line="264" w:lineRule="auto" w:before="163"/>
        <w:ind w:right="146" w:firstLine="420"/>
        <w:jc w:val="both"/>
      </w:pPr>
      <w:r>
        <w:rPr>
          <w:rFonts w:ascii="宋体" w:hAnsi="宋体" w:cs="宋体" w:eastAsia="宋体" w:hint="default"/>
          <w:b/>
          <w:bCs/>
          <w:spacing w:val="-2"/>
        </w:rPr>
        <w:t>叶金福：</w:t>
      </w:r>
      <w:r>
        <w:rPr>
          <w:spacing w:val="-2"/>
        </w:rPr>
        <w:t>男，出生于</w:t>
      </w:r>
      <w:r>
        <w:rPr>
          <w:rFonts w:ascii="Times New Roman" w:hAnsi="Times New Roman" w:cs="Times New Roman" w:eastAsia="Times New Roman" w:hint="default"/>
          <w:spacing w:val="-2"/>
        </w:rPr>
        <w:t>1975</w:t>
      </w:r>
      <w:r>
        <w:rPr>
          <w:spacing w:val="-2"/>
        </w:rPr>
        <w:t>年，中国公民，毕业于厦门大学，后毕业于中央财经大学，会计硕士，中国</w:t>
      </w:r>
      <w:r>
        <w:rPr>
          <w:w w:val="100"/>
        </w:rPr>
        <w:t> </w:t>
      </w:r>
      <w:r>
        <w:rPr>
          <w:spacing w:val="-2"/>
        </w:rPr>
        <w:t>注册会计师、中国注册资产评估师。曾先后就职于聊城大学、天健光华会计师事务所、天健正信会计师事</w:t>
      </w:r>
      <w:r>
        <w:rPr>
          <w:spacing w:val="-50"/>
        </w:rPr>
        <w:t> </w:t>
      </w:r>
      <w:r>
        <w:rPr>
          <w:spacing w:val="-50"/>
        </w:rPr>
      </w:r>
      <w:r>
        <w:rPr/>
        <w:t>务所，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月至今，在大华会计师事务所任职，合伙人。同时任北京数字政通科技股份有限公司独立</w:t>
      </w:r>
      <w:r>
        <w:rPr>
          <w:spacing w:val="-28"/>
        </w:rPr>
        <w:t> </w:t>
      </w:r>
      <w:r>
        <w:rPr>
          <w:spacing w:val="-28"/>
        </w:rPr>
      </w:r>
      <w:r>
        <w:rPr>
          <w:spacing w:val="-2"/>
        </w:rPr>
        <w:t>董事、利亚德光电股份有限公司独立董事、首创证券有限责任公司（未上市）独立董事、本公司第六届董</w:t>
      </w:r>
      <w:r>
        <w:rPr>
          <w:spacing w:val="-43"/>
        </w:rPr>
        <w:t> </w:t>
      </w:r>
      <w:r>
        <w:rPr>
          <w:spacing w:val="-43"/>
        </w:rPr>
      </w:r>
      <w:r>
        <w:rPr/>
        <w:t>事会独立董事。</w:t>
      </w:r>
    </w:p>
    <w:p>
      <w:pPr>
        <w:pStyle w:val="Heading7"/>
        <w:spacing w:line="240" w:lineRule="auto" w:before="172"/>
        <w:ind w:left="573" w:right="153"/>
        <w:jc w:val="left"/>
        <w:rPr>
          <w:b w:val="0"/>
          <w:bCs w:val="0"/>
        </w:rPr>
      </w:pPr>
      <w:r>
        <w:rPr/>
        <w:t>（二）监事</w:t>
      </w:r>
      <w:r>
        <w:rPr>
          <w:b w:val="0"/>
          <w:bCs w:val="0"/>
        </w:rPr>
      </w:r>
    </w:p>
    <w:p>
      <w:pPr>
        <w:spacing w:line="240" w:lineRule="auto" w:before="10"/>
        <w:rPr>
          <w:rFonts w:ascii="宋体" w:hAnsi="宋体" w:cs="宋体" w:eastAsia="宋体" w:hint="default"/>
          <w:b/>
          <w:bCs/>
          <w:sz w:val="14"/>
          <w:szCs w:val="14"/>
        </w:rPr>
      </w:pPr>
    </w:p>
    <w:p>
      <w:pPr>
        <w:pStyle w:val="BodyText"/>
        <w:spacing w:line="256" w:lineRule="auto"/>
        <w:ind w:right="146" w:firstLine="420"/>
        <w:jc w:val="both"/>
      </w:pPr>
      <w:r>
        <w:rPr>
          <w:rFonts w:ascii="宋体" w:hAnsi="宋体" w:cs="宋体" w:eastAsia="宋体" w:hint="default"/>
          <w:b/>
          <w:bCs/>
        </w:rPr>
        <w:t>郭</w:t>
      </w:r>
      <w:r>
        <w:rPr>
          <w:rFonts w:ascii="宋体" w:hAnsi="宋体" w:cs="宋体" w:eastAsia="宋体" w:hint="default"/>
          <w:b/>
          <w:bCs/>
          <w:spacing w:val="70"/>
        </w:rPr>
        <w:t> </w:t>
      </w:r>
      <w:r>
        <w:rPr>
          <w:rFonts w:ascii="宋体" w:hAnsi="宋体" w:cs="宋体" w:eastAsia="宋体" w:hint="default"/>
          <w:b/>
          <w:bCs/>
        </w:rPr>
        <w:t>明</w:t>
      </w:r>
      <w:r>
        <w:rPr/>
        <w:t>：男，出生于</w:t>
      </w:r>
      <w:r>
        <w:rPr>
          <w:rFonts w:ascii="Times New Roman" w:hAnsi="Times New Roman" w:cs="Times New Roman" w:eastAsia="Times New Roman" w:hint="default"/>
        </w:rPr>
        <w:t>1956</w:t>
      </w:r>
      <w:r>
        <w:rPr/>
        <w:t>年，经济师，大专学历，毕业于长春职工大学。</w:t>
      </w:r>
      <w:r>
        <w:rPr>
          <w:rFonts w:ascii="Times New Roman" w:hAnsi="Times New Roman" w:cs="Times New Roman" w:eastAsia="Times New Roman" w:hint="default"/>
        </w:rPr>
        <w:t>1977</w:t>
      </w:r>
      <w:r>
        <w:rPr/>
        <w:t>年起先后任职于长春市</w:t>
      </w:r>
      <w:r>
        <w:rPr>
          <w:w w:val="100"/>
        </w:rPr>
        <w:t> </w:t>
      </w:r>
      <w:r>
        <w:rPr>
          <w:spacing w:val="-2"/>
        </w:rPr>
        <w:t>电车公司、长春市公共交通总公司、长春市煤气公司东郊煤气厂。自</w:t>
      </w:r>
      <w:r>
        <w:rPr>
          <w:rFonts w:ascii="Times New Roman" w:hAnsi="Times New Roman" w:cs="Times New Roman" w:eastAsia="Times New Roman" w:hint="default"/>
          <w:spacing w:val="-2"/>
        </w:rPr>
        <w:t>1993</w:t>
      </w:r>
      <w:r>
        <w:rPr>
          <w:spacing w:val="-2"/>
        </w:rPr>
        <w:t>年起先后参与长春振兴实业股份</w:t>
      </w:r>
      <w:r>
        <w:rPr>
          <w:spacing w:val="-42"/>
        </w:rPr>
        <w:t> </w:t>
      </w:r>
      <w:r>
        <w:rPr>
          <w:spacing w:val="-42"/>
        </w:rPr>
      </w:r>
      <w:r>
        <w:rPr>
          <w:spacing w:val="-2"/>
        </w:rPr>
        <w:t>有限公司、长春康达医疗器械股份有限公司的股份制改造及上市工作，曾任董事会秘书、总经济师；</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年起任长春燃气股份有限公司董事、证券投资部经理，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月历任本公司董事、副总经</w:t>
      </w:r>
      <w:r>
        <w:rPr>
          <w:spacing w:val="-29"/>
        </w:rPr>
        <w:t> </w:t>
      </w:r>
      <w:r>
        <w:rPr>
          <w:spacing w:val="-29"/>
        </w:rPr>
      </w:r>
      <w:r>
        <w:rPr/>
        <w:t>理、董事会秘书，现任本公司第六届监事会主席。</w:t>
      </w:r>
    </w:p>
    <w:p>
      <w:pPr>
        <w:pStyle w:val="BodyText"/>
        <w:spacing w:line="256" w:lineRule="auto" w:before="63"/>
        <w:ind w:right="146" w:firstLine="420"/>
        <w:jc w:val="both"/>
      </w:pPr>
      <w:r>
        <w:rPr>
          <w:rFonts w:ascii="宋体" w:hAnsi="宋体" w:cs="宋体" w:eastAsia="宋体" w:hint="default"/>
          <w:b/>
          <w:bCs/>
          <w:spacing w:val="-2"/>
        </w:rPr>
        <w:t>张广杰</w:t>
      </w:r>
      <w:r>
        <w:rPr>
          <w:spacing w:val="-2"/>
        </w:rPr>
        <w:t>：男，出生于</w:t>
      </w:r>
      <w:r>
        <w:rPr>
          <w:rFonts w:ascii="Times New Roman" w:hAnsi="Times New Roman" w:cs="Times New Roman" w:eastAsia="Times New Roman" w:hint="default"/>
          <w:spacing w:val="-2"/>
        </w:rPr>
        <w:t>1960</w:t>
      </w:r>
      <w:r>
        <w:rPr>
          <w:spacing w:val="-2"/>
        </w:rPr>
        <w:t>年，毕业于首都师范大学数学系，先后就职于航天工业部第二研究院二零七</w:t>
      </w:r>
      <w:r>
        <w:rPr>
          <w:w w:val="100"/>
        </w:rPr>
        <w:t> </w:t>
      </w:r>
      <w:r>
        <w:rPr>
          <w:spacing w:val="-2"/>
        </w:rPr>
        <w:t>所、北京香格里拉大饭店，任助理工程师、电脑部经理。自</w:t>
      </w:r>
      <w:r>
        <w:rPr>
          <w:rFonts w:ascii="Times New Roman" w:hAnsi="Times New Roman" w:cs="Times New Roman" w:eastAsia="Times New Roman" w:hint="default"/>
          <w:spacing w:val="-2"/>
        </w:rPr>
        <w:t>2001</w:t>
      </w:r>
      <w:r>
        <w:rPr>
          <w:spacing w:val="-2"/>
        </w:rPr>
        <w:t>年起在北京中长石基信息技术股份有限公</w:t>
      </w:r>
      <w:r>
        <w:rPr>
          <w:spacing w:val="-42"/>
        </w:rPr>
        <w:t> </w:t>
      </w:r>
      <w:r>
        <w:rPr>
          <w:spacing w:val="-42"/>
        </w:rPr>
      </w:r>
      <w:r>
        <w:rPr/>
        <w:t>司就职，现任本公司第六届监事会监事。</w:t>
      </w:r>
    </w:p>
    <w:p>
      <w:pPr>
        <w:pStyle w:val="BodyText"/>
        <w:spacing w:line="261" w:lineRule="auto" w:before="61"/>
        <w:ind w:right="125" w:firstLine="420"/>
        <w:jc w:val="both"/>
      </w:pPr>
      <w:r>
        <w:rPr>
          <w:rFonts w:ascii="宋体" w:hAnsi="宋体" w:cs="宋体" w:eastAsia="宋体" w:hint="default"/>
          <w:b/>
          <w:bCs/>
          <w:spacing w:val="-2"/>
        </w:rPr>
        <w:t>王淑杰</w:t>
      </w:r>
      <w:r>
        <w:rPr>
          <w:spacing w:val="-2"/>
        </w:rPr>
        <w:t>：女，出生于</w:t>
      </w:r>
      <w:r>
        <w:rPr>
          <w:rFonts w:ascii="Times New Roman" w:hAnsi="Times New Roman" w:cs="Times New Roman" w:eastAsia="Times New Roman" w:hint="default"/>
          <w:spacing w:val="-2"/>
        </w:rPr>
        <w:t>1968</w:t>
      </w:r>
      <w:r>
        <w:rPr>
          <w:spacing w:val="-2"/>
        </w:rPr>
        <w:t>年，硕士学位，</w:t>
      </w:r>
      <w:r>
        <w:rPr>
          <w:rFonts w:ascii="Times New Roman" w:hAnsi="Times New Roman" w:cs="Times New Roman" w:eastAsia="Times New Roman" w:hint="default"/>
          <w:spacing w:val="-2"/>
        </w:rPr>
        <w:t>1991</w:t>
      </w:r>
      <w:r>
        <w:rPr>
          <w:spacing w:val="-2"/>
        </w:rPr>
        <w:t>年毕业于北京航空航天大学机械制造专业，获学学士学</w:t>
      </w:r>
      <w:r>
        <w:rPr>
          <w:w w:val="100"/>
        </w:rPr>
        <w:t> </w:t>
      </w:r>
      <w:r>
        <w:rPr>
          <w:spacing w:val="-2"/>
        </w:rPr>
        <w:t>位。</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1994</w:t>
      </w:r>
      <w:r>
        <w:rPr>
          <w:spacing w:val="-2"/>
        </w:rPr>
        <w:t>年在中国航天工业总公司第二研究院从事机械设计工作，</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年工作于北京商</w:t>
      </w:r>
      <w:r>
        <w:rPr>
          <w:spacing w:val="-34"/>
        </w:rPr>
        <w:t> </w:t>
      </w:r>
      <w:r>
        <w:rPr>
          <w:spacing w:val="-34"/>
        </w:rPr>
      </w:r>
      <w:r>
        <w:rPr>
          <w:spacing w:val="-2"/>
        </w:rPr>
        <w:t>品交易所，</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年在首都经济贸易大学经济系研究生班学习并毕业，自</w:t>
      </w:r>
      <w:r>
        <w:rPr>
          <w:rFonts w:ascii="Times New Roman" w:hAnsi="Times New Roman" w:cs="Times New Roman" w:eastAsia="Times New Roman" w:hint="default"/>
          <w:spacing w:val="-2"/>
        </w:rPr>
        <w:t>1998</w:t>
      </w:r>
      <w:r>
        <w:rPr>
          <w:spacing w:val="-2"/>
        </w:rPr>
        <w:t>年起就职于本公司，</w:t>
      </w:r>
      <w:r>
        <w:rPr>
          <w:spacing w:val="-10"/>
        </w:rPr>
        <w:t> </w:t>
      </w:r>
      <w:r>
        <w:rPr>
          <w:spacing w:val="-10"/>
        </w:rPr>
      </w:r>
      <w:r>
        <w:rPr>
          <w:spacing w:val="-2"/>
        </w:rPr>
        <w:t>从事客户服务工作，历任本公司第三届、第四届、第五届监事会职工监事，现任本公司第六届监事会职工</w:t>
      </w:r>
      <w:r>
        <w:rPr>
          <w:spacing w:val="-47"/>
        </w:rPr>
        <w:t> </w:t>
      </w:r>
      <w:r>
        <w:rPr>
          <w:spacing w:val="-47"/>
        </w:rPr>
      </w:r>
      <w:r>
        <w:rPr/>
        <w:t>监事。</w:t>
      </w:r>
    </w:p>
    <w:p>
      <w:pPr>
        <w:pStyle w:val="Heading7"/>
        <w:spacing w:line="240" w:lineRule="auto" w:before="176"/>
        <w:ind w:left="573" w:right="153"/>
        <w:jc w:val="left"/>
        <w:rPr>
          <w:b w:val="0"/>
          <w:bCs w:val="0"/>
        </w:rPr>
      </w:pPr>
      <w:r>
        <w:rPr/>
        <w:t>（三）高级管理人员</w:t>
      </w:r>
      <w:r>
        <w:rPr>
          <w:b w:val="0"/>
          <w:bCs w:val="0"/>
        </w:rPr>
      </w:r>
    </w:p>
    <w:p>
      <w:pPr>
        <w:spacing w:line="240" w:lineRule="auto" w:before="8"/>
        <w:rPr>
          <w:rFonts w:ascii="宋体" w:hAnsi="宋体" w:cs="宋体" w:eastAsia="宋体" w:hint="default"/>
          <w:b/>
          <w:bCs/>
          <w:sz w:val="14"/>
          <w:szCs w:val="14"/>
        </w:rPr>
      </w:pPr>
    </w:p>
    <w:p>
      <w:pPr>
        <w:pStyle w:val="BodyText"/>
        <w:spacing w:line="256" w:lineRule="auto"/>
        <w:ind w:right="148" w:firstLine="420"/>
        <w:jc w:val="both"/>
      </w:pPr>
      <w:r>
        <w:rPr>
          <w:rFonts w:ascii="Times New Roman" w:hAnsi="Times New Roman" w:cs="Times New Roman" w:eastAsia="Times New Roman" w:hint="default"/>
          <w:b/>
          <w:bCs/>
        </w:rPr>
        <w:t>Kevin Patrick King:</w:t>
      </w:r>
      <w:r>
        <w:rPr>
          <w:rFonts w:ascii="Times New Roman" w:hAnsi="Times New Roman" w:cs="Times New Roman" w:eastAsia="Times New Roman" w:hint="default"/>
          <w:b/>
          <w:bCs/>
          <w:spacing w:val="17"/>
        </w:rPr>
        <w:t> </w:t>
      </w:r>
      <w:r>
        <w:rPr/>
        <w:t>中文名：金凯文，男，出生于</w:t>
      </w:r>
      <w:r>
        <w:rPr>
          <w:rFonts w:ascii="Times New Roman" w:hAnsi="Times New Roman" w:cs="Times New Roman" w:eastAsia="Times New Roman" w:hint="default"/>
        </w:rPr>
        <w:t>1962</w:t>
      </w:r>
      <w:r>
        <w:rPr/>
        <w:t>年，国籍：澳大利亚，曾任职于</w:t>
      </w:r>
      <w:r>
        <w:rPr>
          <w:rFonts w:ascii="Times New Roman" w:hAnsi="Times New Roman" w:cs="Times New Roman" w:eastAsia="Times New Roman" w:hint="default"/>
        </w:rPr>
        <w:t>MICROS</w:t>
      </w:r>
      <w:r>
        <w:rPr/>
        <w:t>公司</w:t>
      </w:r>
      <w:r>
        <w:rPr>
          <w:w w:val="100"/>
        </w:rPr>
        <w:t> </w:t>
      </w:r>
      <w:r>
        <w:rPr/>
        <w:t>亚太区副总裁以及日本公司董事总经理并担任其中国公司和日本公司的法定代表人，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日至今</w:t>
      </w:r>
      <w:r>
        <w:rPr>
          <w:spacing w:val="-25"/>
        </w:rPr>
        <w:t> </w:t>
      </w:r>
      <w:r>
        <w:rPr/>
        <w:t>担任公司首席运营官。</w:t>
      </w:r>
    </w:p>
    <w:p>
      <w:pPr>
        <w:pStyle w:val="BodyText"/>
        <w:spacing w:line="256" w:lineRule="auto" w:before="63"/>
        <w:ind w:right="127" w:firstLine="420"/>
        <w:jc w:val="both"/>
      </w:pPr>
      <w:r>
        <w:rPr>
          <w:rFonts w:ascii="宋体" w:hAnsi="宋体" w:cs="宋体" w:eastAsia="宋体" w:hint="default"/>
          <w:b/>
          <w:bCs/>
        </w:rPr>
        <w:t>关东玉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0"/>
        </w:rPr>
        <w:t> </w:t>
      </w:r>
      <w:r>
        <w:rPr>
          <w:spacing w:val="-3"/>
        </w:rPr>
        <w:t>男，出生于</w:t>
      </w:r>
      <w:r>
        <w:rPr>
          <w:rFonts w:ascii="Times New Roman" w:hAnsi="Times New Roman" w:cs="Times New Roman" w:eastAsia="Times New Roman" w:hint="default"/>
          <w:spacing w:val="-3"/>
        </w:rPr>
        <w:t>1963</w:t>
      </w:r>
      <w:r>
        <w:rPr>
          <w:spacing w:val="-3"/>
        </w:rPr>
        <w:t>年，中国公民，学士学位，毕业于国防科技大学电子技术系。</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-1988</w:t>
      </w:r>
      <w:r>
        <w:rPr>
          <w:spacing w:val="-3"/>
        </w:rPr>
        <w:t>年</w:t>
      </w:r>
      <w:r>
        <w:rPr>
          <w:w w:val="100"/>
        </w:rPr>
        <w:t> </w:t>
      </w:r>
      <w:r>
        <w:rPr>
          <w:spacing w:val="-2"/>
        </w:rPr>
        <w:t>任职于空军科研部某研究所，</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1997</w:t>
      </w:r>
      <w:r>
        <w:rPr>
          <w:spacing w:val="-2"/>
        </w:rPr>
        <w:t>年期间先后任北京丽都假日酒店电脑部工程师、香港锦标公司</w:t>
      </w:r>
      <w:r>
        <w:rPr>
          <w:spacing w:val="-35"/>
        </w:rPr>
        <w:t> </w:t>
      </w:r>
      <w:r>
        <w:rPr>
          <w:spacing w:val="-35"/>
        </w:rPr>
      </w:r>
      <w:r>
        <w:rPr>
          <w:spacing w:val="-2"/>
        </w:rPr>
        <w:t>工程师及中国区经理、香港鑫宇公司中国区经理。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2008</w:t>
      </w:r>
      <w:r>
        <w:rPr>
          <w:spacing w:val="-2"/>
        </w:rPr>
        <w:t>年任香港现化电脑系统有限公司中国区副</w:t>
      </w:r>
      <w:r>
        <w:rPr>
          <w:spacing w:val="-39"/>
        </w:rPr>
        <w:t> </w:t>
      </w:r>
      <w:r>
        <w:rPr>
          <w:spacing w:val="-39"/>
        </w:rPr>
      </w:r>
      <w:r>
        <w:rPr>
          <w:spacing w:val="-2"/>
        </w:rPr>
        <w:t>总经理、香港现化电脑系统有限公司北京代表处首席代表，</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月任现化电脑系统（北京）</w:t>
      </w:r>
      <w:r>
        <w:rPr>
          <w:spacing w:val="-15"/>
        </w:rPr>
        <w:t> </w:t>
      </w:r>
      <w:r>
        <w:rPr>
          <w:spacing w:val="-15"/>
        </w:rPr>
      </w:r>
      <w:r>
        <w:rPr/>
        <w:t>有限公司副总裁，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月至今担任公司副总裁。</w:t>
      </w:r>
    </w:p>
    <w:p>
      <w:pPr>
        <w:pStyle w:val="BodyText"/>
        <w:spacing w:line="256" w:lineRule="auto" w:before="46"/>
        <w:ind w:right="146" w:firstLine="420"/>
        <w:jc w:val="both"/>
      </w:pPr>
      <w:r>
        <w:rPr>
          <w:rFonts w:ascii="宋体" w:hAnsi="宋体" w:cs="宋体" w:eastAsia="宋体" w:hint="default"/>
          <w:b/>
          <w:bCs/>
        </w:rPr>
        <w:t>王敏敏</w:t>
      </w:r>
      <w:r>
        <w:rPr>
          <w:rFonts w:ascii="Times New Roman" w:hAnsi="Times New Roman" w:cs="Times New Roman" w:eastAsia="Times New Roman" w:hint="default"/>
          <w:b/>
          <w:bCs/>
        </w:rPr>
        <w:t>: </w:t>
      </w:r>
      <w:r>
        <w:rPr>
          <w:spacing w:val="-10"/>
        </w:rPr>
        <w:t>女，出生于</w:t>
      </w:r>
      <w:r>
        <w:rPr>
          <w:rFonts w:ascii="Times New Roman" w:hAnsi="Times New Roman" w:cs="Times New Roman" w:eastAsia="Times New Roman" w:hint="default"/>
          <w:spacing w:val="-10"/>
        </w:rPr>
        <w:t>1962</w:t>
      </w:r>
      <w:r>
        <w:rPr>
          <w:spacing w:val="-10"/>
        </w:rPr>
        <w:t>年，中国公民，学士学位，</w:t>
      </w:r>
      <w:r>
        <w:rPr>
          <w:rFonts w:ascii="Times New Roman" w:hAnsi="Times New Roman" w:cs="Times New Roman" w:eastAsia="Times New Roman" w:hint="default"/>
          <w:spacing w:val="-10"/>
        </w:rPr>
        <w:t>1983</w:t>
      </w:r>
      <w:r>
        <w:rPr>
          <w:spacing w:val="-10"/>
        </w:rPr>
        <w:t>年毕业于东北大学计算机科学系。</w:t>
      </w:r>
      <w:r>
        <w:rPr>
          <w:rFonts w:ascii="Times New Roman" w:hAnsi="Times New Roman" w:cs="Times New Roman" w:eastAsia="Times New Roman" w:hint="default"/>
          <w:spacing w:val="-10"/>
        </w:rPr>
        <w:t>1983</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-1997</w:t>
      </w:r>
      <w:r>
        <w:rPr>
          <w:rFonts w:ascii="Times New Roman" w:hAnsi="Times New Roman" w:cs="Times New Roman" w:eastAsia="Times New Roman" w:hint="default"/>
          <w:w w:val="100"/>
        </w:rPr>
        <w:t> </w:t>
      </w:r>
      <w:r>
        <w:rPr>
          <w:spacing w:val="-2"/>
        </w:rPr>
        <w:t>年任职于浙江省计算技术研究所，</w:t>
      </w:r>
      <w:r>
        <w:rPr>
          <w:rFonts w:ascii="Times New Roman" w:hAnsi="Times New Roman" w:cs="Times New Roman" w:eastAsia="Times New Roman" w:hint="default"/>
          <w:spacing w:val="-2"/>
        </w:rPr>
        <w:t>1998</w:t>
      </w:r>
      <w:r>
        <w:rPr>
          <w:spacing w:val="-2"/>
        </w:rPr>
        <w:t>年至今先后任杭州西软科技有限公司常务副总经理、总经理。</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w:t>
      </w:r>
      <w:r>
        <w:rPr>
          <w:rFonts w:ascii="Times New Roman" w:hAnsi="Times New Roman" w:cs="Times New Roman" w:eastAsia="Times New Roman" w:hint="default"/>
        </w:rPr>
        <w:t>1</w:t>
      </w:r>
      <w:r>
        <w:rPr/>
        <w:t>月至今担任本公司副总裁。</w:t>
      </w:r>
    </w:p>
    <w:p>
      <w:pPr>
        <w:pStyle w:val="BodyText"/>
        <w:spacing w:line="256" w:lineRule="auto" w:before="44"/>
        <w:ind w:right="149" w:firstLine="420"/>
        <w:jc w:val="both"/>
      </w:pPr>
      <w:r>
        <w:rPr>
          <w:rFonts w:ascii="宋体" w:hAnsi="宋体" w:cs="宋体" w:eastAsia="宋体" w:hint="default"/>
          <w:b/>
          <w:bCs/>
        </w:rPr>
        <w:t>罗 芳</w:t>
      </w:r>
      <w:r>
        <w:rPr>
          <w:rFonts w:ascii="Times New Roman" w:hAnsi="Times New Roman" w:cs="Times New Roman" w:eastAsia="Times New Roman" w:hint="default"/>
          <w:b/>
          <w:bCs/>
        </w:rPr>
        <w:t>: </w:t>
      </w:r>
      <w:r>
        <w:rPr/>
        <w:t>女，出生于 </w:t>
      </w:r>
      <w:r>
        <w:rPr>
          <w:rFonts w:ascii="Times New Roman" w:hAnsi="Times New Roman" w:cs="Times New Roman" w:eastAsia="Times New Roman" w:hint="default"/>
        </w:rPr>
        <w:t>1978</w:t>
      </w:r>
      <w:r>
        <w:rPr>
          <w:rFonts w:ascii="Times New Roman" w:hAnsi="Times New Roman" w:cs="Times New Roman" w:eastAsia="Times New Roman" w:hint="default"/>
          <w:spacing w:val="52"/>
        </w:rPr>
        <w:t> </w:t>
      </w:r>
      <w:r>
        <w:rPr/>
        <w:t>年，中国公民，理学、经济学双学士，副研究员。毕业于北京大学技术物</w:t>
      </w:r>
      <w:r>
        <w:rPr>
          <w:w w:val="100"/>
        </w:rPr>
        <w:t> </w:t>
      </w:r>
      <w:r>
        <w:rPr>
          <w:spacing w:val="-2"/>
        </w:rPr>
        <w:t>理系应用化学专业、北京大学中国经济研究中心经济学专业。</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月就职于中国核科技信</w:t>
      </w:r>
      <w:r>
        <w:rPr>
          <w:spacing w:val="-36"/>
        </w:rPr>
        <w:t> </w:t>
      </w:r>
      <w:r>
        <w:rPr>
          <w:spacing w:val="-36"/>
        </w:rPr>
      </w:r>
      <w:r>
        <w:rPr/>
        <w:t>息与经济研究院，从事核科技情报研究工作。具有深圳证券交易所颁发的董事会秘书资格证书。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月至今担任本公司副总裁、董事会秘书。</w:t>
      </w:r>
    </w:p>
    <w:p>
      <w:pPr>
        <w:spacing w:before="84"/>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19"/>
        <w:gridCol w:w="991"/>
        <w:gridCol w:w="1136"/>
        <w:gridCol w:w="1274"/>
        <w:gridCol w:w="1702"/>
        <w:gridCol w:w="1562"/>
        <w:gridCol w:w="1486"/>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李殿坤是北京业勤投资有限公司的控股股东、实际控制人，担任业勤投资总经理职务。</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878"/>
        <w:gridCol w:w="1702"/>
        <w:gridCol w:w="1699"/>
        <w:gridCol w:w="679"/>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55" w:right="34"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7" w:right="6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浙江飞猪网络技术有限公司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浙江阿里旅行投资有限公司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上海阿斯兰商旅服务有限公司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杭州淘美航空服务有限公司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浙江未来酒店网络技术有限公司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北京业勤教育科技有限公司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北京广学文化教育开发中心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神雾节能股份有限公司（原金城造纸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江苏扬子地板股份有限公司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江苏国盛股份有限公司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利亚德光电股份有限公司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首创证券有限责任公司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68" w:lineRule="auto" w:before="94"/>
        <w:ind w:right="153" w:firstLine="420"/>
        <w:jc w:val="left"/>
      </w:pPr>
      <w:r>
        <w:rPr>
          <w:rFonts w:ascii="Times New Roman" w:hAnsi="Times New Roman" w:cs="Times New Roman" w:eastAsia="Times New Roman" w:hint="default"/>
        </w:rPr>
        <w:t>1</w:t>
      </w:r>
      <w:r>
        <w:rPr/>
        <w:t>、董事、监事、高级管理人员报酬的决策程序：公司设立董事会薪酬委员会，负责公司董事、监事</w:t>
      </w:r>
      <w:r>
        <w:rPr>
          <w:w w:val="100"/>
        </w:rPr>
        <w:t> </w:t>
      </w:r>
      <w:r>
        <w:rPr>
          <w:spacing w:val="-2"/>
        </w:rPr>
        <w:t>和高级管理人员的薪酬考核工作。根据公司《董事会薪酬委员会工作细则》的规定，薪酬委员会提出公司</w:t>
      </w:r>
      <w:r>
        <w:rPr>
          <w:spacing w:val="-47"/>
        </w:rPr>
        <w:t> </w:t>
      </w:r>
      <w:r>
        <w:rPr>
          <w:spacing w:val="-47"/>
        </w:rPr>
      </w:r>
      <w:r>
        <w:rPr>
          <w:spacing w:val="-2"/>
        </w:rPr>
        <w:t>董事的薪酬政策、计划和方案报经董事会同意后，提交股东大会审议通过后方可实施；公司经理人员的薪</w:t>
      </w:r>
      <w:r>
        <w:rPr>
          <w:spacing w:val="-44"/>
        </w:rPr>
        <w:t> </w:t>
      </w:r>
      <w:r>
        <w:rPr>
          <w:spacing w:val="-44"/>
        </w:rPr>
      </w:r>
      <w:r>
        <w:rPr/>
        <w:t>酬分配方案报经董事会批准。</w:t>
      </w:r>
    </w:p>
    <w:p>
      <w:pPr>
        <w:pStyle w:val="BodyText"/>
        <w:spacing w:line="256" w:lineRule="auto" w:before="52"/>
        <w:ind w:right="153" w:firstLine="420"/>
        <w:jc w:val="left"/>
      </w:pPr>
      <w:r>
        <w:rPr>
          <w:rFonts w:ascii="Times New Roman" w:hAnsi="Times New Roman" w:cs="Times New Roman" w:eastAsia="Times New Roman" w:hint="default"/>
          <w:spacing w:val="-2"/>
        </w:rPr>
        <w:t>2</w:t>
      </w:r>
      <w:r>
        <w:rPr>
          <w:spacing w:val="-2"/>
        </w:rPr>
        <w:t>、高级管理人员报酬确定依据：公司高级管理人员的报酬根据公司《高级管人员薪酬考核制度》的</w:t>
      </w:r>
      <w:r>
        <w:rPr>
          <w:w w:val="100"/>
        </w:rPr>
        <w:t> </w:t>
      </w:r>
      <w:r>
        <w:rPr/>
        <w:t>规定执行。</w:t>
      </w:r>
    </w:p>
    <w:p>
      <w:pPr>
        <w:pStyle w:val="BodyText"/>
        <w:spacing w:line="256" w:lineRule="auto" w:before="63"/>
        <w:ind w:right="153" w:firstLine="420"/>
        <w:jc w:val="left"/>
      </w:pPr>
      <w:r>
        <w:rPr>
          <w:rFonts w:ascii="Times New Roman" w:hAnsi="Times New Roman" w:cs="Times New Roman" w:eastAsia="Times New Roman" w:hint="default"/>
          <w:spacing w:val="-2"/>
        </w:rPr>
        <w:t>3</w:t>
      </w:r>
      <w:r>
        <w:rPr>
          <w:spacing w:val="-2"/>
        </w:rPr>
        <w:t>、董事、监事、高级管理人员报酬实际支付情况：</w:t>
      </w:r>
      <w:r>
        <w:rPr>
          <w:rFonts w:ascii="Times New Roman" w:hAnsi="Times New Roman" w:cs="Times New Roman" w:eastAsia="Times New Roman" w:hint="default"/>
          <w:spacing w:val="-2"/>
        </w:rPr>
        <w:t>2017</w:t>
      </w:r>
      <w:r>
        <w:rPr>
          <w:spacing w:val="-2"/>
        </w:rPr>
        <w:t>年度公司实际支付董事、监事、高级管理人</w:t>
      </w:r>
      <w:r>
        <w:rPr>
          <w:w w:val="100"/>
        </w:rPr>
        <w:t> </w:t>
      </w:r>
      <w:r>
        <w:rPr/>
        <w:t>员的薪酬合计为</w:t>
      </w:r>
      <w:r>
        <w:rPr>
          <w:rFonts w:ascii="Times New Roman" w:hAnsi="Times New Roman" w:cs="Times New Roman" w:eastAsia="Times New Roman" w:hint="default"/>
        </w:rPr>
        <w:t>744.09</w:t>
      </w:r>
      <w:r>
        <w:rPr/>
        <w:t>万元。</w:t>
      </w:r>
    </w:p>
    <w:p>
      <w:pPr>
        <w:spacing w:after="0" w:line="256"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2269"/>
        <w:gridCol w:w="850"/>
        <w:gridCol w:w="852"/>
        <w:gridCol w:w="1166"/>
        <w:gridCol w:w="1366"/>
        <w:gridCol w:w="1369"/>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Kevin Patrick</w:t>
            </w:r>
            <w:r>
              <w:rPr>
                <w:rFonts w:ascii="Times New Roman"/>
                <w:spacing w:val="-4"/>
                <w:sz w:val="18"/>
              </w:rPr>
              <w:t> </w:t>
            </w:r>
            <w:r>
              <w:rPr>
                <w:rFonts w:ascii="Times New Roman"/>
                <w:sz w:val="18"/>
              </w:rPr>
              <w:t>King</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副总裁兼董事会秘书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744.09</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26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38"/>
        <w:gridCol w:w="902"/>
        <w:gridCol w:w="872"/>
        <w:gridCol w:w="869"/>
        <w:gridCol w:w="869"/>
        <w:gridCol w:w="872"/>
        <w:gridCol w:w="869"/>
        <w:gridCol w:w="871"/>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职务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4"/>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6"/>
              <w:jc w:val="left"/>
              <w:rPr>
                <w:rFonts w:ascii="Times New Roman" w:hAnsi="Times New Roman" w:cs="Times New Roman" w:eastAsia="Times New Roman" w:hint="default"/>
                <w:sz w:val="18"/>
                <w:szCs w:val="18"/>
              </w:rPr>
            </w:pPr>
            <w:r>
              <w:rPr>
                <w:rFonts w:ascii="Times New Roman"/>
                <w:sz w:val="18"/>
              </w:rPr>
              <w:t>Kevin Patrick King</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9"/>
              <w:jc w:val="left"/>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务总监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副总裁</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副总裁</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9"/>
              <w:jc w:val="left"/>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w:t>
            </w:r>
            <w:r>
              <w:rPr>
                <w:rFonts w:ascii="宋体" w:hAnsi="宋体" w:cs="宋体" w:eastAsia="宋体" w:hint="default"/>
                <w:sz w:val="18"/>
                <w:szCs w:val="18"/>
              </w:rPr>
              <w:t>董 秘</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3"/>
        <w:gridCol w:w="838"/>
        <w:gridCol w:w="902"/>
        <w:gridCol w:w="872"/>
        <w:gridCol w:w="870"/>
        <w:gridCol w:w="868"/>
        <w:gridCol w:w="872"/>
        <w:gridCol w:w="869"/>
        <w:gridCol w:w="871"/>
        <w:gridCol w:w="859"/>
        <w:gridCol w:w="882"/>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年第三次临时股东大会审议通过《公司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年股票期权激励计</w:t>
            </w:r>
          </w:p>
          <w:p>
            <w:pPr>
              <w:pStyle w:val="TableParagraph"/>
              <w:spacing w:line="300" w:lineRule="auto" w:before="60"/>
              <w:ind w:left="23" w:right="84"/>
              <w:jc w:val="left"/>
              <w:rPr>
                <w:rFonts w:ascii="宋体" w:hAnsi="宋体" w:cs="宋体" w:eastAsia="宋体" w:hint="default"/>
                <w:sz w:val="18"/>
                <w:szCs w:val="18"/>
              </w:rPr>
            </w:pPr>
            <w:r>
              <w:rPr>
                <w:rFonts w:ascii="宋体" w:hAnsi="宋体" w:cs="宋体" w:eastAsia="宋体" w:hint="default"/>
                <w:spacing w:val="-11"/>
                <w:sz w:val="18"/>
                <w:szCs w:val="18"/>
              </w:rPr>
              <w:t>划（草案修订稿）》，本次股权激励确定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日为首次授予日，等待期为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个月，故报</w:t>
            </w:r>
            <w:r>
              <w:rPr>
                <w:rFonts w:ascii="宋体" w:hAnsi="宋体" w:cs="宋体" w:eastAsia="宋体" w:hint="default"/>
                <w:sz w:val="18"/>
                <w:szCs w:val="18"/>
              </w:rPr>
              <w:t> 告期内，公司包含董事及高级管理人员在内的全部股权激励对象的可行权股份均属于限售权证。</w:t>
            </w:r>
          </w:p>
        </w:tc>
      </w:tr>
    </w:tbl>
    <w:p>
      <w:pPr>
        <w:spacing w:line="240" w:lineRule="auto" w:before="1"/>
        <w:rPr>
          <w:rFonts w:ascii="宋体" w:hAnsi="宋体" w:cs="宋体" w:eastAsia="宋体" w:hint="default"/>
          <w:sz w:val="18"/>
          <w:szCs w:val="18"/>
        </w:rPr>
      </w:pPr>
    </w:p>
    <w:p>
      <w:pPr>
        <w:pStyle w:val="Heading3"/>
        <w:spacing w:line="240" w:lineRule="auto" w:before="26"/>
        <w:ind w:right="208"/>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798"/>
        <w:gridCol w:w="3761"/>
      </w:tblGrid>
      <w:tr>
        <w:trPr>
          <w:trHeight w:val="403"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3,463</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3,828</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3,828</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6"/>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1,758</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w:t>
            </w:r>
          </w:p>
        </w:tc>
      </w:tr>
      <w:tr>
        <w:trPr>
          <w:trHeight w:val="404"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945</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其他部门</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3,828</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3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2,117</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1,330</w:t>
            </w:r>
          </w:p>
        </w:tc>
      </w:tr>
      <w:tr>
        <w:trPr>
          <w:trHeight w:val="403" w:hRule="exact"/>
        </w:trPr>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w:t>
            </w:r>
          </w:p>
        </w:tc>
      </w:tr>
      <w:tr>
        <w:trPr>
          <w:trHeight w:val="401" w:hRule="exact"/>
        </w:trPr>
        <w:tc>
          <w:tcPr>
            <w:tcW w:w="5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3,828</w:t>
            </w:r>
          </w:p>
        </w:tc>
      </w:tr>
    </w:tbl>
    <w:p>
      <w:pPr>
        <w:spacing w:line="240" w:lineRule="auto" w:before="3"/>
        <w:rPr>
          <w:rFonts w:ascii="宋体" w:hAnsi="宋体" w:cs="宋体" w:eastAsia="宋体" w:hint="default"/>
          <w:b/>
          <w:bCs/>
          <w:sz w:val="19"/>
          <w:szCs w:val="19"/>
        </w:rPr>
      </w:pPr>
    </w:p>
    <w:p>
      <w:pPr>
        <w:pStyle w:val="Heading7"/>
        <w:spacing w:line="240" w:lineRule="auto" w:before="36"/>
        <w:ind w:right="208"/>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00"/>
        <w:jc w:val="left"/>
      </w:pPr>
      <w:r>
        <w:rPr>
          <w:spacing w:val="-4"/>
        </w:rPr>
        <w:t>公司充分贯彻</w:t>
      </w:r>
      <w:r>
        <w:rPr>
          <w:rFonts w:ascii="Times New Roman" w:hAnsi="Times New Roman" w:cs="Times New Roman" w:eastAsia="Times New Roman" w:hint="default"/>
          <w:spacing w:val="-4"/>
        </w:rPr>
        <w:t>“</w:t>
      </w:r>
      <w:r>
        <w:rPr>
          <w:spacing w:val="-4"/>
        </w:rPr>
        <w:t>帮助员工成功</w:t>
      </w:r>
      <w:r>
        <w:rPr>
          <w:rFonts w:ascii="Times New Roman" w:hAnsi="Times New Roman" w:cs="Times New Roman" w:eastAsia="Times New Roman" w:hint="default"/>
          <w:spacing w:val="-4"/>
        </w:rPr>
        <w:t>”</w:t>
      </w:r>
      <w:r>
        <w:rPr>
          <w:spacing w:val="-4"/>
        </w:rPr>
        <w:t>的理念，秉承个人价值与薪酬体系紧密结合的原则，根据员工岗位职责、</w:t>
      </w:r>
    </w:p>
    <w:p>
      <w:pPr>
        <w:spacing w:after="0" w:line="240" w:lineRule="auto"/>
        <w:jc w:val="left"/>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BodyText"/>
        <w:spacing w:line="273" w:lineRule="auto" w:before="36"/>
        <w:ind w:right="153"/>
        <w:jc w:val="left"/>
      </w:pPr>
      <w:r>
        <w:rPr>
          <w:spacing w:val="-2"/>
        </w:rPr>
        <w:t>工作表现、市场状况、政府有关规定等因素综合确定员工薪酬，使员工实现自身最大的潜在价值，持续提</w:t>
      </w:r>
      <w:r>
        <w:rPr>
          <w:spacing w:val="-47"/>
        </w:rPr>
        <w:t> </w:t>
      </w:r>
      <w:r>
        <w:rPr>
          <w:spacing w:val="-47"/>
        </w:rPr>
      </w:r>
      <w:r>
        <w:rPr/>
        <w:t>高自身的专业技术和管理水平，不断开拓更大的发展空间。</w:t>
      </w:r>
    </w:p>
    <w:p>
      <w:pPr>
        <w:spacing w:line="240" w:lineRule="auto" w:before="7"/>
        <w:rPr>
          <w:rFonts w:ascii="宋体" w:hAnsi="宋体" w:cs="宋体" w:eastAsia="宋体" w:hint="default"/>
          <w:sz w:val="23"/>
          <w:szCs w:val="23"/>
        </w:rPr>
      </w:pPr>
    </w:p>
    <w:p>
      <w:pPr>
        <w:pStyle w:val="Heading7"/>
        <w:spacing w:line="240" w:lineRule="auto"/>
        <w:ind w:right="15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24" w:firstLine="420"/>
        <w:jc w:val="both"/>
      </w:pPr>
      <w:r>
        <w:rPr>
          <w:spacing w:val="-2"/>
        </w:rPr>
        <w:t>公司高度重视员工培训，旨在为企业发展提供合理的人才梯队及软性保障。为了鼓励员工持续进步，</w:t>
      </w:r>
      <w:r>
        <w:rPr>
          <w:w w:val="100"/>
        </w:rPr>
        <w:t> </w:t>
      </w:r>
      <w:r>
        <w:rPr>
          <w:spacing w:val="-2"/>
        </w:rPr>
        <w:t>提升员工职业技能、岗位胜任能力及综合素质，公司将培训划分为内部培训、外部培训两大类。内部培训</w:t>
      </w:r>
      <w:r>
        <w:rPr>
          <w:spacing w:val="-47"/>
        </w:rPr>
        <w:t> </w:t>
      </w:r>
      <w:r>
        <w:rPr>
          <w:spacing w:val="-47"/>
        </w:rPr>
      </w:r>
      <w:r>
        <w:rPr>
          <w:spacing w:val="-2"/>
        </w:rPr>
        <w:t>包括入职培训、技术业务培训及部门间培训等；外部培训包括国家有关部门组织的各种培训，企业经理人</w:t>
      </w:r>
      <w:r>
        <w:rPr>
          <w:spacing w:val="-45"/>
        </w:rPr>
        <w:t> </w:t>
      </w:r>
      <w:r>
        <w:rPr>
          <w:spacing w:val="-45"/>
        </w:rPr>
      </w:r>
      <w:r>
        <w:rPr/>
        <w:t>培训等。</w:t>
      </w:r>
    </w:p>
    <w:p>
      <w:pPr>
        <w:spacing w:line="240" w:lineRule="auto" w:before="7"/>
        <w:rPr>
          <w:rFonts w:ascii="宋体" w:hAnsi="宋体" w:cs="宋体" w:eastAsia="宋体" w:hint="default"/>
          <w:sz w:val="23"/>
          <w:szCs w:val="23"/>
        </w:rPr>
      </w:pPr>
    </w:p>
    <w:p>
      <w:pPr>
        <w:pStyle w:val="Heading7"/>
        <w:spacing w:line="240" w:lineRule="auto"/>
        <w:ind w:right="15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85"/>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206" w:firstLine="420"/>
        <w:jc w:val="both"/>
      </w:pPr>
      <w:r>
        <w:rPr>
          <w:spacing w:val="-2"/>
        </w:rPr>
        <w:t>报告期内，根据严格按照《公司法》、《证券法》、《深圳证券交易所股票上市规则》、《深圳证券</w:t>
      </w:r>
      <w:r>
        <w:rPr>
          <w:w w:val="100"/>
        </w:rPr>
        <w:t> </w:t>
      </w:r>
      <w:r>
        <w:rPr>
          <w:spacing w:val="-2"/>
        </w:rPr>
        <w:t>交易所中小企业板上市公司规范运作指引》等多部法律法规及部门规章，公司不断的进行内部治理的改进</w:t>
      </w:r>
      <w:r>
        <w:rPr>
          <w:spacing w:val="-44"/>
        </w:rPr>
        <w:t> </w:t>
      </w:r>
      <w:r>
        <w:rPr>
          <w:spacing w:val="-44"/>
        </w:rPr>
      </w:r>
      <w:r>
        <w:rPr>
          <w:spacing w:val="-2"/>
        </w:rPr>
        <w:t>与提升，通过不断完善公司法人治理结构，建立健全内部管理和控制制度，达到规范公司运作，提高公司</w:t>
      </w:r>
      <w:r>
        <w:rPr>
          <w:spacing w:val="-50"/>
        </w:rPr>
        <w:t> </w:t>
      </w:r>
      <w:r>
        <w:rPr>
          <w:spacing w:val="-50"/>
        </w:rPr>
      </w:r>
      <w:r>
        <w:rPr>
          <w:spacing w:val="-2"/>
        </w:rPr>
        <w:t>治理水平的最终目标。目前公司结合自身经营特点，已建立较为完整的涵盖经营管理、财务管理、信息披</w:t>
      </w:r>
      <w:r>
        <w:rPr>
          <w:spacing w:val="-47"/>
        </w:rPr>
        <w:t> </w:t>
      </w:r>
      <w:r>
        <w:rPr>
          <w:spacing w:val="-47"/>
        </w:rPr>
      </w:r>
      <w:r>
        <w:rPr>
          <w:spacing w:val="-2"/>
        </w:rPr>
        <w:t>露等内容的内部控制制度，同时形成了股东会，董事会、监事会、经理层之间权责分明、各司其职、有效</w:t>
      </w:r>
      <w:r>
        <w:rPr>
          <w:spacing w:val="-42"/>
        </w:rPr>
        <w:t> </w:t>
      </w:r>
      <w:r>
        <w:rPr>
          <w:spacing w:val="-42"/>
        </w:rPr>
      </w:r>
      <w:r>
        <w:rPr>
          <w:spacing w:val="-2"/>
        </w:rPr>
        <w:t>制衡、科学决策、协调运作的公司治理结构，尤其对公司报告期内发生的重大事项进行严格审议，提高重</w:t>
      </w:r>
      <w:r>
        <w:rPr>
          <w:spacing w:val="-47"/>
        </w:rPr>
        <w:t> </w:t>
      </w:r>
      <w:r>
        <w:rPr>
          <w:spacing w:val="-47"/>
        </w:rPr>
      </w:r>
      <w:r>
        <w:rPr/>
        <w:t>大事项决策的规范运作水平。</w:t>
      </w:r>
    </w:p>
    <w:p>
      <w:pPr>
        <w:pStyle w:val="BodyText"/>
        <w:spacing w:line="264" w:lineRule="auto" w:before="8"/>
        <w:ind w:left="513" w:right="208" w:firstLine="60"/>
        <w:jc w:val="left"/>
      </w:pPr>
      <w:r>
        <w:rPr>
          <w:spacing w:val="-2"/>
        </w:rPr>
        <w:t>截至报告期末，本公司治理实际情况符合中国证监会发布的有关上市公司治理的规范性文件的要求。</w:t>
      </w:r>
      <w:r>
        <w:rPr>
          <w:spacing w:val="-87"/>
        </w:rPr>
        <w:t> </w:t>
      </w:r>
      <w:r>
        <w:rPr>
          <w:spacing w:val="-87"/>
        </w:rPr>
      </w: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100"/>
        </w:rPr>
        <w:t> </w:t>
      </w:r>
      <w:r>
        <w:rPr>
          <w:spacing w:val="-2"/>
        </w:rPr>
        <w:t>本公司严格按照《公司法》、《上市公司股东大会规则》、《公司章程》和《股东大会议事规则》等</w:t>
      </w:r>
    </w:p>
    <w:p>
      <w:pPr>
        <w:pStyle w:val="BodyText"/>
        <w:spacing w:line="268" w:lineRule="auto" w:before="16"/>
        <w:ind w:right="100"/>
        <w:jc w:val="left"/>
      </w:pPr>
      <w:r>
        <w:rPr>
          <w:spacing w:val="-4"/>
        </w:rPr>
        <w:t>法律、法规及制度的要求，召集、召开股东大会，</w:t>
      </w:r>
      <w:r>
        <w:rPr>
          <w:rFonts w:ascii="Times New Roman" w:hAnsi="Times New Roman" w:cs="Times New Roman" w:eastAsia="Times New Roman" w:hint="default"/>
          <w:spacing w:val="-4"/>
        </w:rPr>
        <w:t>2017</w:t>
      </w:r>
      <w:r>
        <w:rPr>
          <w:spacing w:val="-4"/>
        </w:rPr>
        <w:t>年度公司谨慎审议包括年度报告、关联交易、购买、</w:t>
      </w:r>
      <w:r>
        <w:rPr>
          <w:spacing w:val="-49"/>
        </w:rPr>
        <w:t> </w:t>
      </w:r>
      <w:r>
        <w:rPr>
          <w:spacing w:val="-49"/>
        </w:rPr>
      </w:r>
      <w:r>
        <w:rPr>
          <w:spacing w:val="-2"/>
        </w:rPr>
        <w:t>出售资产或股权等重大事项；通过严格执行修订后的《深圳证券交易所上市公司股东大会网络投票实施细</w:t>
      </w:r>
      <w:r>
        <w:rPr>
          <w:spacing w:val="-44"/>
        </w:rPr>
        <w:t> </w:t>
      </w:r>
      <w:r>
        <w:rPr>
          <w:spacing w:val="-44"/>
        </w:rPr>
      </w:r>
      <w:r>
        <w:rPr>
          <w:spacing w:val="-2"/>
        </w:rPr>
        <w:t>则》，完善公司股东大会网络投票机制，对影响中小投资者利益的重大事项实行表决单独计票，对涉及选</w:t>
      </w:r>
      <w:r>
        <w:rPr>
          <w:spacing w:val="-47"/>
        </w:rPr>
        <w:t> </w:t>
      </w:r>
      <w:r>
        <w:rPr>
          <w:spacing w:val="-47"/>
        </w:rPr>
      </w:r>
      <w:r>
        <w:rPr>
          <w:spacing w:val="-2"/>
        </w:rPr>
        <w:t>举董事、监事、高级管理人员的议案实施累积投票制，充分保障中小投资者股东权益；同时公司在股东大</w:t>
      </w:r>
      <w:r>
        <w:rPr>
          <w:spacing w:val="-47"/>
        </w:rPr>
        <w:t> </w:t>
      </w:r>
      <w:r>
        <w:rPr>
          <w:spacing w:val="-47"/>
        </w:rPr>
      </w:r>
      <w:r>
        <w:rPr/>
        <w:t>会召开期间，安排股东与管理层交流时间，能够确保所有股东享有平等地位，充分行使自己的权利。</w:t>
      </w:r>
    </w:p>
    <w:p>
      <w:pPr>
        <w:spacing w:line="256" w:lineRule="auto" w:before="12"/>
        <w:ind w:left="513"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、关于控股股东与上市公司的关系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公司控股股东及实际控制人均为李仲初先生。控股股东及实际控制人均依法行使出资人权利并承担相</w:t>
      </w:r>
    </w:p>
    <w:p>
      <w:pPr>
        <w:pStyle w:val="BodyText"/>
        <w:spacing w:line="273" w:lineRule="auto" w:before="22"/>
        <w:ind w:left="513" w:right="208" w:hanging="361"/>
        <w:jc w:val="left"/>
      </w:pPr>
      <w:r>
        <w:rPr/>
        <w:t>应义务，没有超越股东大会授权范围行使职权，直接或间接干预本公司的决策和生产经营活动。</w:t>
      </w:r>
      <w:r>
        <w:rPr>
          <w:w w:val="100"/>
        </w:rPr>
        <w:t> </w:t>
      </w:r>
      <w:r>
        <w:rPr>
          <w:spacing w:val="-2"/>
        </w:rPr>
        <w:t>公司拥有独立的业务和经营自主能力，在业务、人员、资产、机构、财务上独立于控股股东，公司董</w:t>
      </w:r>
    </w:p>
    <w:p>
      <w:pPr>
        <w:pStyle w:val="BodyText"/>
        <w:spacing w:line="240" w:lineRule="auto" w:before="8"/>
        <w:ind w:right="0"/>
        <w:jc w:val="both"/>
      </w:pPr>
      <w:r>
        <w:rPr/>
        <w:t>事会、监事会和内部机构独立运作。</w:t>
      </w:r>
    </w:p>
    <w:p>
      <w:pPr>
        <w:pStyle w:val="BodyText"/>
        <w:spacing w:line="256" w:lineRule="auto" w:before="37"/>
        <w:ind w:left="489" w:right="208" w:firstLine="24"/>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100"/>
        </w:rPr>
        <w:t> </w:t>
      </w:r>
      <w:r>
        <w:rPr>
          <w:spacing w:val="-2"/>
        </w:rPr>
        <w:t>公司董事会严格按照《公司法》和《公司章程》和《董事会议事规则》等法律法规开展工作，董事选</w:t>
      </w:r>
    </w:p>
    <w:p>
      <w:pPr>
        <w:pStyle w:val="BodyText"/>
        <w:spacing w:line="264" w:lineRule="auto" w:before="22"/>
        <w:ind w:right="206"/>
        <w:jc w:val="both"/>
      </w:pPr>
      <w:r>
        <w:rPr>
          <w:spacing w:val="-2"/>
        </w:rPr>
        <w:t>聘程序符合相关法律法规的要求，公司目前董事会成员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人，董事会的人数及人员构成</w:t>
      </w:r>
      <w:r>
        <w:rPr>
          <w:spacing w:val="-40"/>
        </w:rPr>
        <w:t> </w:t>
      </w:r>
      <w:r>
        <w:rPr>
          <w:spacing w:val="-40"/>
        </w:rPr>
      </w:r>
      <w:r>
        <w:rPr>
          <w:spacing w:val="-2"/>
        </w:rPr>
        <w:t>符合要求。全体董事认真出席公司董事会、股东大会会议并审议相关议案，积极参加有关培训，熟悉有关</w:t>
      </w:r>
      <w:r>
        <w:rPr>
          <w:spacing w:val="-50"/>
        </w:rPr>
        <w:t> </w:t>
      </w:r>
      <w:r>
        <w:rPr>
          <w:spacing w:val="-50"/>
        </w:rPr>
      </w:r>
      <w:r>
        <w:rPr/>
        <w:t>法律、法规，并按照相关规定依法履行董事职责。</w:t>
      </w:r>
    </w:p>
    <w:p>
      <w:pPr>
        <w:pStyle w:val="BodyText"/>
        <w:spacing w:line="273" w:lineRule="auto" w:before="16"/>
        <w:ind w:right="266" w:firstLine="336"/>
        <w:jc w:val="both"/>
      </w:pPr>
      <w:r>
        <w:rPr>
          <w:spacing w:val="-2"/>
        </w:rPr>
        <w:t>报告期内，公司第五届董事会成员切实履行忠实义务和勤勉义务，将上市公司相关制度规范转化为参</w:t>
      </w:r>
      <w:r>
        <w:rPr>
          <w:w w:val="100"/>
        </w:rPr>
        <w:t> </w:t>
      </w:r>
      <w:r>
        <w:rPr/>
        <w:t>与公司重大决策，日常经营管理的行为准则，严格执行公司董事行为规范。</w:t>
      </w:r>
    </w:p>
    <w:p>
      <w:pPr>
        <w:pStyle w:val="BodyText"/>
        <w:spacing w:line="273" w:lineRule="auto" w:before="7"/>
        <w:ind w:right="206" w:firstLine="336"/>
        <w:jc w:val="both"/>
      </w:pPr>
      <w:r>
        <w:rPr>
          <w:spacing w:val="-2"/>
        </w:rPr>
        <w:t>公司独立董事按照《公司章程》等法律、法规独立履行职责，对公司重大投资等事项发表自己的独立</w:t>
      </w:r>
      <w:r>
        <w:rPr>
          <w:w w:val="100"/>
        </w:rPr>
        <w:t> </w:t>
      </w:r>
      <w:r>
        <w:rPr>
          <w:spacing w:val="-2"/>
        </w:rPr>
        <w:t>意见，保证了公司的规范运作。董事会下设提名、薪酬与审计三个专业委员会，各专业委员会根据相应的</w:t>
      </w:r>
      <w:r>
        <w:rPr>
          <w:spacing w:val="-47"/>
        </w:rPr>
        <w:t> </w:t>
      </w:r>
      <w:r>
        <w:rPr>
          <w:spacing w:val="-47"/>
        </w:rPr>
      </w:r>
      <w:r>
        <w:rPr>
          <w:spacing w:val="-2"/>
        </w:rPr>
        <w:t>工作细则通过召开会议、实地考察、面谈等方式履行职责，对公司重大投融资行为等事项提出意见并作出</w:t>
      </w:r>
      <w:r>
        <w:rPr>
          <w:spacing w:val="-43"/>
        </w:rPr>
        <w:t> </w:t>
      </w:r>
      <w:r>
        <w:rPr>
          <w:spacing w:val="-43"/>
        </w:rPr>
      </w:r>
      <w:r>
        <w:rPr/>
        <w:t>相关决议。</w:t>
      </w:r>
    </w:p>
    <w:p>
      <w:pPr>
        <w:pStyle w:val="BodyText"/>
        <w:spacing w:line="256" w:lineRule="auto" w:before="8"/>
        <w:ind w:left="489" w:right="208"/>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100"/>
        </w:rPr>
        <w:t> </w:t>
      </w:r>
      <w:r>
        <w:rPr>
          <w:spacing w:val="-2"/>
        </w:rPr>
        <w:t>本公司监事会严格按照《公司法》、《公司章程》和《监事会议事规则》的有关规定开展工作，监事</w:t>
      </w:r>
    </w:p>
    <w:p>
      <w:pPr>
        <w:pStyle w:val="BodyText"/>
        <w:spacing w:line="273" w:lineRule="auto" w:before="22"/>
        <w:ind w:right="206"/>
        <w:jc w:val="both"/>
      </w:pPr>
      <w:r>
        <w:rPr>
          <w:spacing w:val="-2"/>
        </w:rPr>
        <w:t>的推荐、选举和产生程序符合相关法律、法规的要求，监事会的人数及构成符合要求。报告期内，公司监</w:t>
      </w:r>
      <w:r>
        <w:rPr>
          <w:spacing w:val="-43"/>
        </w:rPr>
        <w:t> </w:t>
      </w:r>
      <w:r>
        <w:rPr>
          <w:spacing w:val="-43"/>
        </w:rPr>
      </w:r>
      <w:r>
        <w:rPr>
          <w:spacing w:val="-2"/>
        </w:rPr>
        <w:t>事会认真履行职责，对公司重大事项、财务状况以及董事、总裁和其他高级管理人员行使职权的合规性进</w:t>
      </w:r>
      <w:r>
        <w:rPr>
          <w:spacing w:val="-42"/>
        </w:rPr>
        <w:t> </w:t>
      </w:r>
      <w:r>
        <w:rPr>
          <w:spacing w:val="-42"/>
        </w:rPr>
      </w:r>
      <w:r>
        <w:rPr/>
        <w:t>行监督，维护公司及股东的合法权益。</w:t>
      </w:r>
    </w:p>
    <w:p>
      <w:pPr>
        <w:spacing w:line="256" w:lineRule="auto" w:before="7"/>
        <w:ind w:left="489"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报告期内，公司严格按照《信息披露管理办法》、《重大信息及敏感信息内部管理制度》、《上市公</w:t>
      </w:r>
    </w:p>
    <w:p>
      <w:pPr>
        <w:spacing w:after="0" w:line="256" w:lineRule="auto"/>
        <w:jc w:val="left"/>
        <w:rPr>
          <w:rFonts w:ascii="宋体" w:hAnsi="宋体" w:cs="宋体" w:eastAsia="宋体" w:hint="default"/>
          <w:sz w:val="21"/>
          <w:szCs w:val="21"/>
        </w:rPr>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BodyText"/>
        <w:spacing w:line="273" w:lineRule="auto" w:before="36"/>
        <w:ind w:right="146"/>
        <w:jc w:val="both"/>
      </w:pPr>
      <w:r>
        <w:rPr>
          <w:spacing w:val="-2"/>
        </w:rPr>
        <w:t>司重大资产重组管理办法》、《内幕信息知情人登记管理制度》履行信息披露义务，及时报送公司重大事</w:t>
      </w:r>
      <w:r>
        <w:rPr>
          <w:spacing w:val="-43"/>
        </w:rPr>
        <w:t> </w:t>
      </w:r>
      <w:r>
        <w:rPr>
          <w:spacing w:val="-43"/>
        </w:rPr>
      </w:r>
      <w:r>
        <w:rPr>
          <w:spacing w:val="-2"/>
        </w:rPr>
        <w:t>项及定期报告的内幕信息知情人，指定《证券时报》、《中国证券报》及巨潮资讯网作为本公司信息披露</w:t>
      </w:r>
      <w:r>
        <w:rPr>
          <w:spacing w:val="-42"/>
        </w:rPr>
        <w:t> </w:t>
      </w:r>
      <w:r>
        <w:rPr>
          <w:spacing w:val="-42"/>
        </w:rPr>
      </w:r>
      <w:r>
        <w:rPr>
          <w:spacing w:val="-2"/>
        </w:rPr>
        <w:t>的报纸和网站，真实、准确、完整、及时的披露有关信息，确保所有投资者公平获取公司信息。本公司指</w:t>
      </w:r>
      <w:r>
        <w:rPr>
          <w:spacing w:val="-42"/>
        </w:rPr>
        <w:t> </w:t>
      </w:r>
      <w:r>
        <w:rPr>
          <w:spacing w:val="-42"/>
        </w:rPr>
      </w:r>
      <w:r>
        <w:rPr/>
        <w:t>定董事会秘书负责信息披露工作，证券事务代表协助董事会秘书开展工作。</w:t>
      </w:r>
    </w:p>
    <w:p>
      <w:pPr>
        <w:pStyle w:val="BodyText"/>
        <w:spacing w:line="256" w:lineRule="auto" w:before="7"/>
        <w:ind w:left="489" w:right="153"/>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spacing w:val="-103"/>
        </w:rPr>
        <w:t> </w:t>
      </w:r>
      <w:r>
        <w:rPr>
          <w:spacing w:val="-2"/>
        </w:rPr>
        <w:t>本公司能够充分尊重和维护相关利益者的合法权益，实现社会、股东、员工、客户等各方利益的协调</w:t>
      </w:r>
    </w:p>
    <w:p>
      <w:pPr>
        <w:pStyle w:val="BodyText"/>
        <w:spacing w:line="240" w:lineRule="auto" w:before="22"/>
        <w:ind w:right="0"/>
        <w:jc w:val="both"/>
      </w:pPr>
      <w:r>
        <w:rPr/>
        <w:t>平衡，共同推动公司持续、健康的发展。</w:t>
      </w:r>
    </w:p>
    <w:p>
      <w:pPr>
        <w:spacing w:line="240" w:lineRule="auto" w:before="0"/>
        <w:rPr>
          <w:rFonts w:ascii="宋体" w:hAnsi="宋体" w:cs="宋体" w:eastAsia="宋体" w:hint="default"/>
          <w:sz w:val="20"/>
          <w:szCs w:val="20"/>
        </w:rPr>
      </w:pPr>
    </w:p>
    <w:p>
      <w:pPr>
        <w:spacing w:before="1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53" w:firstLine="420"/>
        <w:jc w:val="left"/>
      </w:pPr>
      <w:r>
        <w:rPr>
          <w:spacing w:val="-2"/>
        </w:rPr>
        <w:t>公司与控股股东在业务、人员、资产、机构、财务等方面完全分开，具有独立完整的业务及自主经营</w:t>
      </w:r>
      <w:r>
        <w:rPr>
          <w:w w:val="100"/>
        </w:rPr>
        <w:t> </w:t>
      </w:r>
      <w:r>
        <w:rPr/>
        <w:t>能力。</w:t>
      </w:r>
    </w:p>
    <w:p>
      <w:pPr>
        <w:pStyle w:val="BodyText"/>
        <w:spacing w:line="307" w:lineRule="auto" w:before="46"/>
        <w:ind w:left="573" w:right="153"/>
        <w:jc w:val="left"/>
      </w:pPr>
      <w:r>
        <w:rPr/>
        <w:t>（一）业务独立</w:t>
      </w:r>
      <w:r>
        <w:rPr>
          <w:spacing w:val="-103"/>
        </w:rPr>
        <w:t> </w:t>
      </w:r>
      <w:r>
        <w:rPr>
          <w:spacing w:val="-103"/>
        </w:rPr>
      </w:r>
      <w:r>
        <w:rPr>
          <w:spacing w:val="-2"/>
        </w:rPr>
        <w:t>本公司主要从事酒店行业信息管理系统软件的开发销售、系统集成、技术支持与服务业务，具有独立</w:t>
      </w:r>
    </w:p>
    <w:p>
      <w:pPr>
        <w:pStyle w:val="BodyText"/>
        <w:spacing w:line="253" w:lineRule="exact"/>
        <w:ind w:right="0"/>
        <w:jc w:val="both"/>
      </w:pPr>
      <w:r>
        <w:rPr/>
        <w:t>完整的业务体系，包括完整的开发、销售及售后服务体系，是目前国内最主要的酒店信息管理系统全面解</w:t>
      </w:r>
    </w:p>
    <w:p>
      <w:pPr>
        <w:pStyle w:val="BodyText"/>
        <w:spacing w:line="273" w:lineRule="auto" w:before="37"/>
        <w:ind w:right="151"/>
        <w:jc w:val="both"/>
      </w:pPr>
      <w:r>
        <w:rPr>
          <w:spacing w:val="-2"/>
        </w:rPr>
        <w:t>决方案提供商之一。公司业务独立于控股股东，拥有独立完整的经营系统，独立开展业务，不依赖于股东</w:t>
      </w:r>
      <w:r>
        <w:rPr>
          <w:spacing w:val="-50"/>
        </w:rPr>
        <w:t> </w:t>
      </w:r>
      <w:r>
        <w:rPr>
          <w:spacing w:val="-50"/>
        </w:rPr>
      </w:r>
      <w:r>
        <w:rPr/>
        <w:t>或其他任何关联方。</w:t>
      </w:r>
    </w:p>
    <w:p>
      <w:pPr>
        <w:pStyle w:val="BodyText"/>
        <w:spacing w:line="307" w:lineRule="auto" w:before="48"/>
        <w:ind w:left="501" w:right="153" w:firstLine="72"/>
        <w:jc w:val="left"/>
      </w:pPr>
      <w:r>
        <w:rPr/>
        <w:t>（二）人员独立</w:t>
      </w:r>
      <w:r>
        <w:rPr>
          <w:w w:val="100"/>
        </w:rPr>
        <w:t> </w:t>
      </w:r>
      <w:r>
        <w:rPr/>
        <w:t>本公司人员、劳动、人事及工资管理完全独立。本公司拥有独立、完整的人力资源管理体系，设有人</w:t>
      </w:r>
    </w:p>
    <w:p>
      <w:pPr>
        <w:pStyle w:val="BodyText"/>
        <w:spacing w:line="253" w:lineRule="exact"/>
        <w:ind w:right="0"/>
        <w:jc w:val="both"/>
      </w:pPr>
      <w:r>
        <w:rPr/>
        <w:t>力资源部，根据《中华人民共和国劳动法》、《公司法》及国家有关政策的规定，制定了独立的劳动人事</w:t>
      </w:r>
    </w:p>
    <w:p>
      <w:pPr>
        <w:pStyle w:val="BodyText"/>
        <w:spacing w:line="273" w:lineRule="auto" w:before="37"/>
        <w:ind w:right="125"/>
        <w:jc w:val="both"/>
      </w:pPr>
      <w:r>
        <w:rPr>
          <w:spacing w:val="-2"/>
        </w:rPr>
        <w:t>管理制度，并实行全员劳动合同制，由本公司与员工独立签订劳动合同，做到人员管理制度化和规范化；</w:t>
      </w:r>
      <w:r>
        <w:rPr>
          <w:spacing w:val="-21"/>
        </w:rPr>
        <w:t> </w:t>
      </w:r>
      <w:r>
        <w:rPr>
          <w:spacing w:val="-21"/>
        </w:rPr>
      </w:r>
      <w:r>
        <w:rPr/>
        <w:t>本公司在员工的社会保障、工薪报酬等方面实行独立管理。</w:t>
      </w:r>
    </w:p>
    <w:p>
      <w:pPr>
        <w:pStyle w:val="BodyText"/>
        <w:spacing w:line="307" w:lineRule="auto" w:before="48"/>
        <w:ind w:left="501" w:right="153"/>
        <w:jc w:val="left"/>
      </w:pPr>
      <w:r>
        <w:rPr/>
        <w:t>（三）资产独立</w:t>
      </w:r>
      <w:r>
        <w:rPr>
          <w:spacing w:val="-103"/>
        </w:rPr>
        <w:t> </w:t>
      </w:r>
      <w:r>
        <w:rPr>
          <w:spacing w:val="-103"/>
        </w:rPr>
      </w:r>
      <w:r>
        <w:rPr/>
        <w:t>本公司以整体变更的方式设立，设立时各发起人投入本公司的资产已经武汉众环会计师事务所有限责</w:t>
      </w:r>
    </w:p>
    <w:p>
      <w:pPr>
        <w:pStyle w:val="BodyText"/>
        <w:spacing w:line="269" w:lineRule="exact"/>
        <w:ind w:right="0"/>
        <w:jc w:val="both"/>
      </w:pPr>
      <w:r>
        <w:rPr/>
        <w:t>任公司出具的武众会内（</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049</w:t>
      </w:r>
      <w:r>
        <w:rPr/>
        <w:t>号《验资报告》验证。本公司和控股股东产权关系明晰，资产完整并</w:t>
      </w:r>
    </w:p>
    <w:p>
      <w:pPr>
        <w:pStyle w:val="BodyText"/>
        <w:spacing w:line="273" w:lineRule="auto" w:before="21"/>
        <w:ind w:right="125"/>
        <w:jc w:val="both"/>
      </w:pPr>
      <w:r>
        <w:rPr>
          <w:spacing w:val="-2"/>
        </w:rPr>
        <w:t>由本公司实际控制和使用，本公司拥有独立的经营系统和配套设施以及专有技术、计算机著作权等资产，</w:t>
      </w:r>
      <w:r>
        <w:rPr>
          <w:spacing w:val="-21"/>
        </w:rPr>
        <w:t> </w:t>
      </w:r>
      <w:r>
        <w:rPr>
          <w:spacing w:val="-21"/>
        </w:rPr>
      </w:r>
      <w:r>
        <w:rPr>
          <w:spacing w:val="-2"/>
        </w:rPr>
        <w:t>拥有独立的经营场所，对全部资产拥有完全的控制支配权。本公司资产独立于控股股东和其他发起人，不</w:t>
      </w:r>
      <w:r>
        <w:rPr>
          <w:spacing w:val="-43"/>
        </w:rPr>
        <w:t> </w:t>
      </w:r>
      <w:r>
        <w:rPr>
          <w:spacing w:val="-43"/>
        </w:rPr>
      </w:r>
      <w:r>
        <w:rPr/>
        <w:t>存在其资产、资金被控股股东占用而损害公司利益的情况。</w:t>
      </w:r>
    </w:p>
    <w:p>
      <w:pPr>
        <w:pStyle w:val="BodyText"/>
        <w:spacing w:line="307" w:lineRule="auto" w:before="46"/>
        <w:ind w:left="501" w:right="153"/>
        <w:jc w:val="left"/>
      </w:pPr>
      <w:r>
        <w:rPr/>
        <w:t>（四）机构独立</w:t>
      </w:r>
      <w:r>
        <w:rPr>
          <w:spacing w:val="-103"/>
        </w:rPr>
        <w:t> </w:t>
      </w:r>
      <w:r>
        <w:rPr>
          <w:spacing w:val="-103"/>
        </w:rPr>
      </w:r>
      <w:r>
        <w:rPr/>
        <w:t>本公司根据《公司法》、《证券法》及《公司章程》的规定，建立健全了股东大会、董事会、监事会</w:t>
      </w:r>
    </w:p>
    <w:p>
      <w:pPr>
        <w:pStyle w:val="BodyText"/>
        <w:spacing w:line="253" w:lineRule="exact"/>
        <w:ind w:right="0"/>
        <w:jc w:val="both"/>
      </w:pPr>
      <w:r>
        <w:rPr/>
        <w:t>及管理层的运作体系，并制定了相应的议事规则和工作细则。本公司设立了健全的组织机构体系，拥有独</w:t>
      </w:r>
    </w:p>
    <w:p>
      <w:pPr>
        <w:pStyle w:val="BodyText"/>
        <w:spacing w:line="273" w:lineRule="auto" w:before="37"/>
        <w:ind w:right="146"/>
        <w:jc w:val="both"/>
      </w:pPr>
      <w:r>
        <w:rPr>
          <w:spacing w:val="-2"/>
        </w:rPr>
        <w:t>立于控股股东的经营场所和经营机构，不存在与控股股东混合经营、合署办公的情形。本公司各业务部门</w:t>
      </w:r>
      <w:r>
        <w:rPr>
          <w:spacing w:val="-44"/>
        </w:rPr>
        <w:t> </w:t>
      </w:r>
      <w:r>
        <w:rPr>
          <w:spacing w:val="-44"/>
        </w:rPr>
      </w:r>
      <w:r>
        <w:rPr/>
        <w:t>及办事机构的设置方案不存在受控股股东及其他任何单位或个人干预的情形。</w:t>
      </w:r>
    </w:p>
    <w:p>
      <w:pPr>
        <w:pStyle w:val="BodyText"/>
        <w:spacing w:line="307" w:lineRule="auto" w:before="46"/>
        <w:ind w:left="501" w:right="153"/>
        <w:jc w:val="left"/>
      </w:pPr>
      <w:r>
        <w:rPr/>
        <w:t>（五）财务独立</w:t>
      </w:r>
      <w:r>
        <w:rPr>
          <w:spacing w:val="-103"/>
        </w:rPr>
        <w:t> </w:t>
      </w:r>
      <w:r>
        <w:rPr>
          <w:spacing w:val="-103"/>
        </w:rPr>
      </w:r>
      <w:r>
        <w:rPr/>
        <w:t>本公司设有独立的财务部门，建立了独立的会计核算体系和财务管理制度，配备专职财务人员，并实</w:t>
      </w:r>
    </w:p>
    <w:p>
      <w:pPr>
        <w:pStyle w:val="BodyText"/>
        <w:spacing w:line="253" w:lineRule="exact"/>
        <w:ind w:right="0"/>
        <w:jc w:val="both"/>
      </w:pPr>
      <w:r>
        <w:rPr/>
        <w:t>施严格的内部审计制度，不存在本公司股东或其他关联方干预本公司资金使用的情况；本公司拥有独立的</w:t>
      </w:r>
    </w:p>
    <w:p>
      <w:pPr>
        <w:pStyle w:val="BodyText"/>
        <w:spacing w:line="273" w:lineRule="auto" w:before="37"/>
        <w:ind w:right="146"/>
        <w:jc w:val="both"/>
      </w:pPr>
      <w:r>
        <w:rPr>
          <w:spacing w:val="-2"/>
        </w:rPr>
        <w:t>银行账户，独立进行纳税申报并履行纳税义务，本公司股东及其他关联方没有非正常占用本公司资金、资</w:t>
      </w:r>
      <w:r>
        <w:rPr>
          <w:spacing w:val="-44"/>
        </w:rPr>
        <w:t> </w:t>
      </w:r>
      <w:r>
        <w:rPr>
          <w:spacing w:val="-44"/>
        </w:rPr>
      </w:r>
      <w:r>
        <w:rPr/>
        <w:t>产和其他资源。</w:t>
      </w:r>
    </w:p>
    <w:p>
      <w:pPr>
        <w:spacing w:after="0" w:line="273" w:lineRule="auto"/>
        <w:jc w:val="both"/>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316"/>
        <w:gridCol w:w="917"/>
        <w:gridCol w:w="1135"/>
        <w:gridCol w:w="1133"/>
        <w:gridCol w:w="3572"/>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pacing w:val="-13"/>
                <w:sz w:val="18"/>
                <w:szCs w:val="18"/>
              </w:rPr>
              <w:t>详见《中国证券报》、《证券时报》及巨潮资讯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r>
              <w:rPr>
                <w:rFonts w:ascii="宋体" w:hAnsi="宋体" w:cs="宋体" w:eastAsia="宋体" w:hint="default"/>
                <w:spacing w:val="-48"/>
                <w:sz w:val="18"/>
                <w:szCs w:val="18"/>
              </w:rPr>
              <w:t> </w:t>
            </w:r>
            <w:hyperlink r:id="rId32">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的《关于公司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次临时股东大会决议公告》（</w:t>
            </w:r>
            <w:r>
              <w:rPr>
                <w:rFonts w:ascii="Times New Roman" w:hAnsi="Times New Roman" w:cs="Times New Roman" w:eastAsia="Times New Roman" w:hint="default"/>
                <w:spacing w:val="-5"/>
                <w:sz w:val="18"/>
                <w:szCs w:val="18"/>
              </w:rPr>
              <w:t>2017-11</w:t>
            </w:r>
            <w:r>
              <w:rPr>
                <w:rFonts w:ascii="宋体" w:hAnsi="宋体" w:cs="宋体" w:eastAsia="宋体" w:hint="default"/>
                <w:spacing w:val="-5"/>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pacing w:val="-13"/>
                <w:sz w:val="18"/>
                <w:szCs w:val="18"/>
              </w:rPr>
              <w:t>详见《中国证券报》、《证券时报》及巨潮资讯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r>
              <w:rPr>
                <w:rFonts w:ascii="宋体" w:hAnsi="宋体" w:cs="宋体" w:eastAsia="宋体" w:hint="default"/>
                <w:spacing w:val="-48"/>
                <w:sz w:val="18"/>
                <w:szCs w:val="18"/>
              </w:rPr>
              <w:t> </w:t>
            </w:r>
            <w:hyperlink r:id="rId32">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的《关于公司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w:t>
            </w:r>
            <w:r>
              <w:rPr>
                <w:rFonts w:ascii="宋体" w:hAnsi="宋体" w:cs="宋体" w:eastAsia="宋体" w:hint="default"/>
                <w:spacing w:val="-6"/>
                <w:sz w:val="18"/>
                <w:szCs w:val="18"/>
              </w:rPr>
              <w:t>东大会决议公告》（</w:t>
            </w:r>
            <w:r>
              <w:rPr>
                <w:rFonts w:ascii="Times New Roman" w:hAnsi="Times New Roman" w:cs="Times New Roman" w:eastAsia="Times New Roman" w:hint="default"/>
                <w:spacing w:val="-6"/>
                <w:sz w:val="18"/>
                <w:szCs w:val="18"/>
              </w:rPr>
              <w:t>2017-31</w:t>
            </w:r>
            <w:r>
              <w:rPr>
                <w:rFonts w:ascii="宋体" w:hAnsi="宋体" w:cs="宋体" w:eastAsia="宋体" w:hint="default"/>
                <w:spacing w:val="-6"/>
                <w:sz w:val="18"/>
                <w:szCs w:val="18"/>
              </w:rPr>
              <w:t>）</w:t>
            </w:r>
          </w:p>
        </w:tc>
      </w:tr>
    </w:tbl>
    <w:p>
      <w:pPr>
        <w:spacing w:line="240" w:lineRule="auto" w:before="3"/>
        <w:rPr>
          <w:rFonts w:ascii="宋体" w:hAnsi="宋体" w:cs="宋体" w:eastAsia="宋体" w:hint="default"/>
          <w:b/>
          <w:bCs/>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006"/>
        <w:gridCol w:w="1561"/>
        <w:gridCol w:w="92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6" w:right="96"/>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21"/>
        <w:ind w:right="125" w:firstLine="331"/>
        <w:jc w:val="both"/>
      </w:pPr>
      <w:r>
        <w:rPr/>
        <w:t>报告期内，公司独立董事勤勉尽责，切实履行了独立董事的职责，认真审阅董事会审议的各项议案，</w:t>
      </w:r>
      <w:r>
        <w:rPr>
          <w:w w:val="100"/>
        </w:rPr>
        <w:t> </w:t>
      </w:r>
      <w:r>
        <w:rPr>
          <w:spacing w:val="-2"/>
        </w:rPr>
        <w:t>对公司重大事项均发表了独立意见。独立董事利用参加董事会、股东大会及其他时间深入了解公司经营情</w:t>
      </w:r>
      <w:r>
        <w:rPr>
          <w:spacing w:val="-43"/>
        </w:rPr>
        <w:t> </w:t>
      </w:r>
      <w:r>
        <w:rPr>
          <w:spacing w:val="-43"/>
        </w:rPr>
      </w:r>
      <w:r>
        <w:rPr>
          <w:spacing w:val="-2"/>
        </w:rPr>
        <w:t>况，并与董事、监事、管理层进行沟通，对公司治理、财务管理、风险控制等方面提出了合理化的建议，</w:t>
      </w:r>
      <w:r>
        <w:rPr>
          <w:spacing w:val="-21"/>
        </w:rPr>
        <w:t> </w:t>
      </w:r>
      <w:r>
        <w:rPr>
          <w:spacing w:val="-21"/>
        </w:rPr>
      </w:r>
      <w:r>
        <w:rPr>
          <w:spacing w:val="-2"/>
        </w:rPr>
        <w:t>公司均予以采纳。报告期内公司独立董事对有关事项均发表了独立认同意见及独立董事事前认可意见，具</w:t>
      </w:r>
      <w:r>
        <w:rPr>
          <w:spacing w:val="-44"/>
        </w:rPr>
        <w:t> </w:t>
      </w:r>
      <w:r>
        <w:rPr>
          <w:spacing w:val="-44"/>
        </w:rPr>
      </w:r>
      <w:r>
        <w:rPr/>
        <w:t>体情况如下：</w:t>
      </w:r>
    </w:p>
    <w:p>
      <w:pPr>
        <w:spacing w:line="240" w:lineRule="auto" w:before="4"/>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720"/>
        <w:gridCol w:w="1123"/>
        <w:gridCol w:w="5528"/>
        <w:gridCol w:w="2269"/>
      </w:tblGrid>
      <w:tr>
        <w:trPr>
          <w:trHeight w:val="413" w:hRule="exact"/>
        </w:trPr>
        <w:tc>
          <w:tcPr>
            <w:tcW w:w="7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4"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1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披露日期</w:t>
            </w:r>
            <w:r>
              <w:rPr>
                <w:rFonts w:ascii="宋体" w:hAnsi="宋体" w:cs="宋体" w:eastAsia="宋体" w:hint="default"/>
                <w:sz w:val="22"/>
                <w:szCs w:val="22"/>
              </w:rPr>
            </w:r>
          </w:p>
        </w:tc>
        <w:tc>
          <w:tcPr>
            <w:tcW w:w="55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b/>
                <w:bCs/>
                <w:sz w:val="22"/>
                <w:szCs w:val="22"/>
              </w:rPr>
              <w:t>公告</w:t>
            </w:r>
            <w:r>
              <w:rPr>
                <w:rFonts w:ascii="宋体" w:hAnsi="宋体" w:cs="宋体" w:eastAsia="宋体" w:hint="default"/>
                <w:sz w:val="22"/>
                <w:szCs w:val="22"/>
              </w:rPr>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465" w:right="0"/>
              <w:jc w:val="left"/>
              <w:rPr>
                <w:rFonts w:ascii="宋体" w:hAnsi="宋体" w:cs="宋体" w:eastAsia="宋体" w:hint="default"/>
                <w:sz w:val="22"/>
                <w:szCs w:val="22"/>
              </w:rPr>
            </w:pPr>
            <w:r>
              <w:rPr>
                <w:rFonts w:ascii="宋体" w:hAnsi="宋体" w:cs="宋体" w:eastAsia="宋体" w:hint="default"/>
                <w:b/>
                <w:bCs/>
                <w:sz w:val="22"/>
                <w:szCs w:val="22"/>
              </w:rPr>
              <w:t>出具意见董事</w:t>
            </w:r>
            <w:r>
              <w:rPr>
                <w:rFonts w:ascii="宋体" w:hAnsi="宋体" w:cs="宋体" w:eastAsia="宋体" w:hint="default"/>
                <w:sz w:val="22"/>
                <w:szCs w:val="22"/>
              </w:rPr>
            </w:r>
          </w:p>
        </w:tc>
      </w:tr>
      <w:tr>
        <w:trPr>
          <w:trHeight w:val="740"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0"/>
                <w:szCs w:val="20"/>
              </w:rPr>
            </w:pPr>
            <w:r>
              <w:rPr>
                <w:rFonts w:ascii="Times New Roman"/>
                <w:sz w:val="20"/>
              </w:rPr>
              <w:t>2017-1-10</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5"/>
              <w:ind w:left="4" w:right="3"/>
              <w:jc w:val="left"/>
              <w:rPr>
                <w:rFonts w:ascii="宋体" w:hAnsi="宋体" w:cs="宋体" w:eastAsia="宋体" w:hint="default"/>
                <w:sz w:val="20"/>
                <w:szCs w:val="20"/>
              </w:rPr>
            </w:pPr>
            <w:r>
              <w:rPr>
                <w:rFonts w:ascii="宋体" w:hAnsi="宋体" w:cs="宋体" w:eastAsia="宋体" w:hint="default"/>
                <w:spacing w:val="-3"/>
                <w:w w:val="95"/>
                <w:sz w:val="20"/>
                <w:szCs w:val="20"/>
              </w:rPr>
              <w:t>独立董事关于为全资子公司石基（香港）有限公司提供内保外贷</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邹小杰、刘丹萍、朱锦梅</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sz w:val="20"/>
              </w:rPr>
              <w:t>2017-1-25</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45"/>
              <w:ind w:left="4" w:right="111"/>
              <w:jc w:val="left"/>
              <w:rPr>
                <w:rFonts w:ascii="宋体" w:hAnsi="宋体" w:cs="宋体" w:eastAsia="宋体" w:hint="default"/>
                <w:sz w:val="20"/>
                <w:szCs w:val="20"/>
              </w:rPr>
            </w:pPr>
            <w:r>
              <w:rPr>
                <w:rFonts w:ascii="宋体" w:hAnsi="宋体" w:cs="宋体" w:eastAsia="宋体" w:hint="default"/>
                <w:sz w:val="20"/>
                <w:szCs w:val="20"/>
              </w:rPr>
              <w:t>独立董事关于公司部分募集资金投资项目终止并拟将部分剩余</w:t>
            </w:r>
            <w:r>
              <w:rPr>
                <w:rFonts w:ascii="宋体" w:hAnsi="宋体" w:cs="宋体" w:eastAsia="宋体" w:hint="default"/>
                <w:w w:val="99"/>
                <w:sz w:val="20"/>
                <w:szCs w:val="20"/>
              </w:rPr>
              <w:t> </w:t>
            </w:r>
            <w:r>
              <w:rPr>
                <w:rFonts w:ascii="宋体" w:hAnsi="宋体" w:cs="宋体" w:eastAsia="宋体" w:hint="default"/>
                <w:sz w:val="20"/>
                <w:szCs w:val="20"/>
              </w:rPr>
              <w:t>募集资金永久补充流动资金的议案的独立意见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邹小杰、刘丹萍、朱锦梅</w:t>
            </w:r>
          </w:p>
        </w:tc>
      </w:tr>
      <w:tr>
        <w:trPr>
          <w:trHeight w:val="427"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2017-3-4</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独立董事关于变更部分募集资金专户开户行的独立意见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邹小杰、刘丹萍、朱锦梅</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2017-4-8</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45"/>
              <w:ind w:left="4" w:right="110"/>
              <w:jc w:val="left"/>
              <w:rPr>
                <w:rFonts w:ascii="宋体" w:hAnsi="宋体" w:cs="宋体" w:eastAsia="宋体" w:hint="default"/>
                <w:sz w:val="20"/>
                <w:szCs w:val="20"/>
              </w:rPr>
            </w:pPr>
            <w:r>
              <w:rPr>
                <w:rFonts w:ascii="宋体" w:hAnsi="宋体" w:cs="宋体" w:eastAsia="宋体" w:hint="default"/>
                <w:sz w:val="20"/>
                <w:szCs w:val="20"/>
              </w:rPr>
              <w:t>独立董事对第六届董事会第二次会议相关议案的事前认可意见</w:t>
            </w:r>
            <w:r>
              <w:rPr>
                <w:rFonts w:ascii="宋体" w:hAnsi="宋体" w:cs="宋体" w:eastAsia="宋体" w:hint="default"/>
                <w:w w:val="99"/>
                <w:sz w:val="20"/>
                <w:szCs w:val="20"/>
              </w:rPr>
              <w:t> </w:t>
            </w:r>
            <w:r>
              <w:rPr>
                <w:rFonts w:ascii="宋体" w:hAnsi="宋体" w:cs="宋体" w:eastAsia="宋体" w:hint="default"/>
                <w:sz w:val="20"/>
                <w:szCs w:val="20"/>
              </w:rPr>
              <w:t>及独立意见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邹小杰、刘丹萍、朱锦梅</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sz w:val="20"/>
              </w:rPr>
              <w:t>2017-4-27</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45"/>
              <w:ind w:left="4" w:right="111"/>
              <w:jc w:val="left"/>
              <w:rPr>
                <w:rFonts w:ascii="宋体" w:hAnsi="宋体" w:cs="宋体" w:eastAsia="宋体" w:hint="default"/>
                <w:sz w:val="20"/>
                <w:szCs w:val="20"/>
              </w:rPr>
            </w:pPr>
            <w:r>
              <w:rPr>
                <w:rFonts w:ascii="宋体" w:hAnsi="宋体" w:cs="宋体" w:eastAsia="宋体" w:hint="default"/>
                <w:sz w:val="20"/>
                <w:szCs w:val="20"/>
              </w:rPr>
              <w:t>独立董事关于公司使用部分闲置募集资金购买银行保本理财产</w:t>
            </w:r>
            <w:r>
              <w:rPr>
                <w:rFonts w:ascii="宋体" w:hAnsi="宋体" w:cs="宋体" w:eastAsia="宋体" w:hint="default"/>
                <w:w w:val="99"/>
                <w:sz w:val="20"/>
                <w:szCs w:val="20"/>
              </w:rPr>
              <w:t> </w:t>
            </w:r>
            <w:r>
              <w:rPr>
                <w:rFonts w:ascii="宋体" w:hAnsi="宋体" w:cs="宋体" w:eastAsia="宋体" w:hint="default"/>
                <w:sz w:val="20"/>
                <w:szCs w:val="20"/>
              </w:rPr>
              <w:t>品的独立意见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邹小杰、刘丹萍、朱锦梅</w:t>
            </w:r>
          </w:p>
        </w:tc>
      </w:tr>
      <w:tr>
        <w:trPr>
          <w:trHeight w:val="740"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sz w:val="20"/>
              </w:rPr>
              <w:t>2017-7-11</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2"/>
              <w:ind w:left="4" w:right="109"/>
              <w:jc w:val="left"/>
              <w:rPr>
                <w:rFonts w:ascii="宋体" w:hAnsi="宋体" w:cs="宋体" w:eastAsia="宋体" w:hint="default"/>
                <w:sz w:val="20"/>
                <w:szCs w:val="20"/>
              </w:rPr>
            </w:pPr>
            <w:r>
              <w:rPr>
                <w:rFonts w:ascii="宋体" w:hAnsi="宋体" w:cs="宋体" w:eastAsia="宋体" w:hint="default"/>
                <w:sz w:val="20"/>
                <w:szCs w:val="20"/>
              </w:rPr>
              <w:t>独立董事关于调整公司</w:t>
            </w:r>
            <w:r>
              <w:rPr>
                <w:rFonts w:ascii="Times New Roman" w:hAnsi="Times New Roman" w:cs="Times New Roman" w:eastAsia="Times New Roman" w:hint="default"/>
                <w:sz w:val="20"/>
                <w:szCs w:val="20"/>
              </w:rPr>
              <w:t>2016</w:t>
            </w:r>
            <w:r>
              <w:rPr>
                <w:rFonts w:ascii="宋体" w:hAnsi="宋体" w:cs="宋体" w:eastAsia="宋体" w:hint="default"/>
                <w:sz w:val="20"/>
                <w:szCs w:val="20"/>
              </w:rPr>
              <w:t>年股票期权激励计划首次授予期权</w:t>
            </w:r>
            <w:r>
              <w:rPr>
                <w:rFonts w:ascii="宋体" w:hAnsi="宋体" w:cs="宋体" w:eastAsia="宋体" w:hint="default"/>
                <w:w w:val="99"/>
                <w:sz w:val="20"/>
                <w:szCs w:val="20"/>
              </w:rPr>
              <w:t> </w:t>
            </w:r>
            <w:r>
              <w:rPr>
                <w:rFonts w:ascii="宋体" w:hAnsi="宋体" w:cs="宋体" w:eastAsia="宋体" w:hint="default"/>
                <w:sz w:val="20"/>
                <w:szCs w:val="20"/>
              </w:rPr>
              <w:t>行权价格的独立意见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邹小杰、刘丹萍、叶金福</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sz w:val="20"/>
              </w:rPr>
              <w:t>2017-8-10</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2"/>
              <w:ind w:left="4" w:right="109"/>
              <w:jc w:val="left"/>
              <w:rPr>
                <w:rFonts w:ascii="宋体" w:hAnsi="宋体" w:cs="宋体" w:eastAsia="宋体" w:hint="default"/>
                <w:sz w:val="20"/>
                <w:szCs w:val="20"/>
              </w:rPr>
            </w:pPr>
            <w:r>
              <w:rPr>
                <w:rFonts w:ascii="宋体" w:hAnsi="宋体" w:cs="宋体" w:eastAsia="宋体" w:hint="default"/>
                <w:sz w:val="20"/>
                <w:szCs w:val="20"/>
              </w:rPr>
              <w:t>独立董事关于公司</w:t>
            </w:r>
            <w:r>
              <w:rPr>
                <w:rFonts w:ascii="Times New Roman" w:hAnsi="Times New Roman" w:cs="Times New Roman" w:eastAsia="Times New Roman" w:hint="default"/>
                <w:sz w:val="20"/>
                <w:szCs w:val="20"/>
              </w:rPr>
              <w:t>2016</w:t>
            </w:r>
            <w:r>
              <w:rPr>
                <w:rFonts w:ascii="宋体" w:hAnsi="宋体" w:cs="宋体" w:eastAsia="宋体" w:hint="default"/>
                <w:sz w:val="20"/>
                <w:szCs w:val="20"/>
              </w:rPr>
              <w:t>年股票期权激励计划首次授予调整事项</w:t>
            </w:r>
            <w:r>
              <w:rPr>
                <w:rFonts w:ascii="宋体" w:hAnsi="宋体" w:cs="宋体" w:eastAsia="宋体" w:hint="default"/>
                <w:w w:val="99"/>
                <w:sz w:val="20"/>
                <w:szCs w:val="20"/>
              </w:rPr>
              <w:t> </w:t>
            </w:r>
            <w:r>
              <w:rPr>
                <w:rFonts w:ascii="宋体" w:hAnsi="宋体" w:cs="宋体" w:eastAsia="宋体" w:hint="default"/>
                <w:sz w:val="20"/>
                <w:szCs w:val="20"/>
              </w:rPr>
              <w:t>及预留股票期权授予相关事项的独立意见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邹小杰、刘丹萍、叶金福</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sz w:val="20"/>
              </w:rPr>
              <w:t>2017-8-24</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2"/>
              <w:ind w:left="4" w:right="2"/>
              <w:jc w:val="left"/>
              <w:rPr>
                <w:rFonts w:ascii="宋体" w:hAnsi="宋体" w:cs="宋体" w:eastAsia="宋体" w:hint="default"/>
                <w:sz w:val="20"/>
                <w:szCs w:val="20"/>
              </w:rPr>
            </w:pPr>
            <w:r>
              <w:rPr>
                <w:rFonts w:ascii="宋体" w:hAnsi="宋体" w:cs="宋体" w:eastAsia="宋体" w:hint="default"/>
                <w:spacing w:val="-3"/>
                <w:w w:val="99"/>
                <w:sz w:val="20"/>
                <w:szCs w:val="20"/>
              </w:rPr>
              <w:t>独立董事关于对外担保、关联方资金占用情况出具的专项说明和</w:t>
            </w:r>
            <w:r>
              <w:rPr>
                <w:rFonts w:ascii="宋体" w:hAnsi="宋体" w:cs="宋体" w:eastAsia="宋体" w:hint="default"/>
                <w:spacing w:val="-91"/>
                <w:w w:val="99"/>
                <w:sz w:val="20"/>
                <w:szCs w:val="20"/>
              </w:rPr>
              <w:t> </w:t>
            </w:r>
            <w:r>
              <w:rPr>
                <w:rFonts w:ascii="宋体" w:hAnsi="宋体" w:cs="宋体" w:eastAsia="宋体" w:hint="default"/>
                <w:spacing w:val="-91"/>
                <w:w w:val="99"/>
                <w:sz w:val="20"/>
                <w:szCs w:val="20"/>
              </w:rPr>
            </w:r>
            <w:r>
              <w:rPr>
                <w:rFonts w:ascii="宋体" w:hAnsi="宋体" w:cs="宋体" w:eastAsia="宋体" w:hint="default"/>
                <w:sz w:val="20"/>
                <w:szCs w:val="20"/>
              </w:rPr>
              <w:t>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邹小杰、刘丹萍、叶金福</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sz w:val="20"/>
              </w:rPr>
              <w:t>2017-9-30</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2"/>
              <w:ind w:left="4" w:right="111"/>
              <w:jc w:val="left"/>
              <w:rPr>
                <w:rFonts w:ascii="宋体" w:hAnsi="宋体" w:cs="宋体" w:eastAsia="宋体" w:hint="default"/>
                <w:sz w:val="20"/>
                <w:szCs w:val="20"/>
              </w:rPr>
            </w:pPr>
            <w:r>
              <w:rPr>
                <w:rFonts w:ascii="宋体" w:hAnsi="宋体" w:cs="宋体" w:eastAsia="宋体" w:hint="default"/>
                <w:sz w:val="20"/>
                <w:szCs w:val="20"/>
              </w:rPr>
              <w:t>独立董事关于预计与参股公司日常关联交易的事前认可意见及</w:t>
            </w:r>
            <w:r>
              <w:rPr>
                <w:rFonts w:ascii="宋体" w:hAnsi="宋体" w:cs="宋体" w:eastAsia="宋体" w:hint="default"/>
                <w:w w:val="99"/>
                <w:sz w:val="20"/>
                <w:szCs w:val="20"/>
              </w:rPr>
              <w:t> </w:t>
            </w:r>
            <w:r>
              <w:rPr>
                <w:rFonts w:ascii="宋体" w:hAnsi="宋体" w:cs="宋体" w:eastAsia="宋体" w:hint="default"/>
                <w:sz w:val="20"/>
                <w:szCs w:val="20"/>
              </w:rPr>
              <w:t>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邹小杰、刘丹萍、叶金福</w:t>
            </w:r>
          </w:p>
        </w:tc>
      </w:tr>
      <w:tr>
        <w:trPr>
          <w:trHeight w:val="739"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5" w:right="0"/>
              <w:jc w:val="center"/>
              <w:rPr>
                <w:rFonts w:ascii="Times New Roman" w:hAnsi="Times New Roman" w:cs="Times New Roman" w:eastAsia="Times New Roman" w:hint="default"/>
                <w:sz w:val="20"/>
                <w:szCs w:val="20"/>
              </w:rPr>
            </w:pPr>
            <w:r>
              <w:rPr>
                <w:rFonts w:ascii="Times New Roman"/>
                <w:sz w:val="20"/>
              </w:rPr>
              <w:t>10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 w:right="0"/>
              <w:jc w:val="center"/>
              <w:rPr>
                <w:rFonts w:ascii="Times New Roman" w:hAnsi="Times New Roman" w:cs="Times New Roman" w:eastAsia="Times New Roman" w:hint="default"/>
                <w:sz w:val="20"/>
                <w:szCs w:val="20"/>
              </w:rPr>
            </w:pPr>
            <w:r>
              <w:rPr>
                <w:rFonts w:ascii="Times New Roman"/>
                <w:sz w:val="20"/>
              </w:rPr>
              <w:t>2017-11-2</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2"/>
              <w:ind w:left="4" w:right="111"/>
              <w:jc w:val="left"/>
              <w:rPr>
                <w:rFonts w:ascii="宋体" w:hAnsi="宋体" w:cs="宋体" w:eastAsia="宋体" w:hint="default"/>
                <w:sz w:val="20"/>
                <w:szCs w:val="20"/>
              </w:rPr>
            </w:pPr>
            <w:r>
              <w:rPr>
                <w:rFonts w:ascii="宋体" w:hAnsi="宋体" w:cs="宋体" w:eastAsia="宋体" w:hint="default"/>
                <w:sz w:val="20"/>
                <w:szCs w:val="20"/>
              </w:rPr>
              <w:t>独立董事关于拟签署控股子公司股权出售框架协议暨关联交易</w:t>
            </w:r>
            <w:r>
              <w:rPr>
                <w:rFonts w:ascii="宋体" w:hAnsi="宋体" w:cs="宋体" w:eastAsia="宋体" w:hint="default"/>
                <w:w w:val="99"/>
                <w:sz w:val="20"/>
                <w:szCs w:val="20"/>
              </w:rPr>
              <w:t> </w:t>
            </w:r>
            <w:r>
              <w:rPr>
                <w:rFonts w:ascii="宋体" w:hAnsi="宋体" w:cs="宋体" w:eastAsia="宋体" w:hint="default"/>
                <w:sz w:val="20"/>
                <w:szCs w:val="20"/>
              </w:rPr>
              <w:t>的事前认可意见及独立意见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邹小杰、刘丹萍、叶金福</w:t>
            </w:r>
          </w:p>
        </w:tc>
      </w:tr>
      <w:tr>
        <w:trPr>
          <w:trHeight w:val="427"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5" w:right="0"/>
              <w:jc w:val="center"/>
              <w:rPr>
                <w:rFonts w:ascii="Times New Roman" w:hAnsi="Times New Roman" w:cs="Times New Roman" w:eastAsia="Times New Roman" w:hint="default"/>
                <w:sz w:val="20"/>
                <w:szCs w:val="20"/>
              </w:rPr>
            </w:pPr>
            <w:r>
              <w:rPr>
                <w:rFonts w:ascii="Times New Roman"/>
                <w:sz w:val="20"/>
              </w:rPr>
              <w:t>11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Times New Roman" w:hAnsi="Times New Roman" w:cs="Times New Roman" w:eastAsia="Times New Roman" w:hint="default"/>
                <w:sz w:val="20"/>
                <w:szCs w:val="20"/>
              </w:rPr>
            </w:pPr>
            <w:r>
              <w:rPr>
                <w:rFonts w:ascii="Times New Roman"/>
                <w:sz w:val="20"/>
              </w:rPr>
              <w:t>2017-12-30</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独立董事关于公司会计政策变更的独立意见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邹小杰、刘丹萍、叶金福</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153"/>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spacing w:line="307" w:lineRule="auto" w:before="0"/>
        <w:ind w:left="573" w:right="153" w:hanging="60"/>
        <w:jc w:val="left"/>
        <w:rPr>
          <w:rFonts w:ascii="宋体" w:hAnsi="宋体" w:cs="宋体" w:eastAsia="宋体" w:hint="default"/>
          <w:sz w:val="21"/>
          <w:szCs w:val="21"/>
        </w:rPr>
      </w:pPr>
      <w:r>
        <w:rPr>
          <w:rFonts w:ascii="宋体" w:hAnsi="宋体" w:cs="宋体" w:eastAsia="宋体" w:hint="default"/>
          <w:b/>
          <w:bCs/>
          <w:sz w:val="21"/>
          <w:szCs w:val="21"/>
        </w:rPr>
        <w:t>（一）董事会审计委员会履职情况汇总报告</w:t>
      </w:r>
      <w:r>
        <w:rPr>
          <w:rFonts w:ascii="宋体" w:hAnsi="宋体" w:cs="宋体" w:eastAsia="宋体" w:hint="default"/>
          <w:b/>
          <w:bCs/>
          <w:w w:val="100"/>
          <w:sz w:val="21"/>
          <w:szCs w:val="21"/>
        </w:rPr>
        <w:t> </w:t>
      </w:r>
      <w:r>
        <w:rPr>
          <w:rFonts w:ascii="宋体" w:hAnsi="宋体" w:cs="宋体" w:eastAsia="宋体" w:hint="default"/>
          <w:sz w:val="21"/>
          <w:szCs w:val="21"/>
        </w:rPr>
        <w:t>公司董事会审计委员会由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名董事组成，其中两名为公司独立董事，主席由具有专业会计背景的独立</w:t>
      </w:r>
    </w:p>
    <w:p>
      <w:pPr>
        <w:pStyle w:val="BodyText"/>
        <w:spacing w:line="231" w:lineRule="exact"/>
        <w:ind w:right="0"/>
        <w:jc w:val="left"/>
      </w:pPr>
      <w:r>
        <w:rPr/>
        <w:t>董事担任。根据中国证监会、深圳证券交易所及公司《董事会审计委员会工作细则》，公司董事会审计委</w:t>
      </w:r>
    </w:p>
    <w:p>
      <w:pPr>
        <w:spacing w:after="0" w:line="231" w:lineRule="exact"/>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BodyText"/>
        <w:spacing w:line="302" w:lineRule="auto" w:before="36"/>
        <w:ind w:left="573" w:right="153" w:hanging="421"/>
        <w:jc w:val="left"/>
      </w:pPr>
      <w:r>
        <w:rPr/>
        <w:t>员会本着勤勉尽责的原则，</w:t>
      </w:r>
      <w:r>
        <w:rPr>
          <w:rFonts w:ascii="Times New Roman" w:hAnsi="Times New Roman" w:cs="Times New Roman" w:eastAsia="Times New Roman" w:hint="default"/>
        </w:rPr>
        <w:t>2017</w:t>
      </w:r>
      <w:r>
        <w:rPr/>
        <w:t>年年度报告期间及报告期内，履行了以下工作职责：</w:t>
      </w:r>
      <w:r>
        <w:rPr>
          <w:w w:val="100"/>
        </w:rPr>
        <w:t> </w:t>
      </w:r>
      <w:r>
        <w:rPr/>
        <w:t>一、审计委员会审议公司定期报告</w:t>
      </w:r>
      <w:r>
        <w:rPr>
          <w:w w:val="100"/>
        </w:rPr>
        <w:t> </w:t>
      </w:r>
      <w:r>
        <w:rPr/>
        <w:t>报告期内，董事会审计委员会在公司内审部的协助下，定期检查公司财务状况。</w:t>
      </w:r>
      <w:r>
        <w:rPr>
          <w:w w:val="10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日，审计委员会召开</w:t>
      </w:r>
      <w:r>
        <w:rPr>
          <w:rFonts w:ascii="Times New Roman" w:hAnsi="Times New Roman" w:cs="Times New Roman" w:eastAsia="Times New Roman" w:hint="default"/>
        </w:rPr>
        <w:t>2017</w:t>
      </w:r>
      <w:r>
        <w:rPr/>
        <w:t>年第三次会议审核了公司</w:t>
      </w:r>
      <w:r>
        <w:rPr>
          <w:rFonts w:ascii="Times New Roman" w:hAnsi="Times New Roman" w:cs="Times New Roman" w:eastAsia="Times New Roman" w:hint="default"/>
        </w:rPr>
        <w:t>2017</w:t>
      </w:r>
      <w:r>
        <w:rPr/>
        <w:t>年第一季度报告，并出具了审核</w:t>
      </w:r>
    </w:p>
    <w:p>
      <w:pPr>
        <w:pStyle w:val="BodyText"/>
        <w:spacing w:line="236" w:lineRule="exact"/>
        <w:ind w:right="153"/>
        <w:jc w:val="left"/>
      </w:pPr>
      <w:r>
        <w:rPr/>
        <w:t>意见。</w:t>
      </w:r>
    </w:p>
    <w:p>
      <w:pPr>
        <w:pStyle w:val="BodyText"/>
        <w:spacing w:line="256" w:lineRule="auto" w:before="78"/>
        <w:ind w:right="150"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日，审计委员会召开</w:t>
      </w:r>
      <w:r>
        <w:rPr>
          <w:rFonts w:ascii="Times New Roman" w:hAnsi="Times New Roman" w:cs="Times New Roman" w:eastAsia="Times New Roman" w:hint="default"/>
        </w:rPr>
        <w:t>2017</w:t>
      </w:r>
      <w:r>
        <w:rPr/>
        <w:t>年第四次会议审核了公司</w:t>
      </w:r>
      <w:r>
        <w:rPr>
          <w:rFonts w:ascii="Times New Roman" w:hAnsi="Times New Roman" w:cs="Times New Roman" w:eastAsia="Times New Roman" w:hint="default"/>
        </w:rPr>
        <w:t>2017</w:t>
      </w:r>
      <w:r>
        <w:rPr/>
        <w:t>年半年度报告，并出具了审核意</w:t>
      </w:r>
      <w:r>
        <w:rPr>
          <w:w w:val="100"/>
        </w:rPr>
        <w:t> </w:t>
      </w:r>
      <w:r>
        <w:rPr/>
        <w:t>见。</w:t>
      </w:r>
    </w:p>
    <w:p>
      <w:pPr>
        <w:pStyle w:val="BodyText"/>
        <w:spacing w:line="256" w:lineRule="auto" w:before="61"/>
        <w:ind w:right="146"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日，审计委员会召开</w:t>
      </w:r>
      <w:r>
        <w:rPr>
          <w:rFonts w:ascii="Times New Roman" w:hAnsi="Times New Roman" w:cs="Times New Roman" w:eastAsia="Times New Roman" w:hint="default"/>
          <w:spacing w:val="-2"/>
        </w:rPr>
        <w:t>2017</w:t>
      </w:r>
      <w:r>
        <w:rPr>
          <w:spacing w:val="-2"/>
        </w:rPr>
        <w:t>年第五次会议审核了公司</w:t>
      </w:r>
      <w:r>
        <w:rPr>
          <w:rFonts w:ascii="Times New Roman" w:hAnsi="Times New Roman" w:cs="Times New Roman" w:eastAsia="Times New Roman" w:hint="default"/>
          <w:spacing w:val="-2"/>
        </w:rPr>
        <w:t>2017</w:t>
      </w:r>
      <w:r>
        <w:rPr>
          <w:spacing w:val="-2"/>
        </w:rPr>
        <w:t>年第三季度报告，并出具了审核</w:t>
      </w:r>
      <w:r>
        <w:rPr>
          <w:w w:val="100"/>
        </w:rPr>
        <w:t> </w:t>
      </w:r>
      <w:r>
        <w:rPr/>
        <w:t>意见。</w:t>
      </w:r>
    </w:p>
    <w:p>
      <w:pPr>
        <w:pStyle w:val="BodyText"/>
        <w:spacing w:line="240" w:lineRule="auto" w:before="63"/>
        <w:ind w:left="573" w:right="153"/>
        <w:jc w:val="left"/>
      </w:pPr>
      <w:r>
        <w:rPr/>
        <w:t>二、审计委员会进行</w:t>
      </w:r>
      <w:r>
        <w:rPr>
          <w:rFonts w:ascii="Times New Roman" w:hAnsi="Times New Roman" w:cs="Times New Roman" w:eastAsia="Times New Roman" w:hint="default"/>
        </w:rPr>
        <w:t>2017</w:t>
      </w:r>
      <w:r>
        <w:rPr/>
        <w:t>年度报告沟通工作及审阅</w:t>
      </w:r>
      <w:r>
        <w:rPr>
          <w:rFonts w:ascii="Times New Roman" w:hAnsi="Times New Roman" w:cs="Times New Roman" w:eastAsia="Times New Roman" w:hint="default"/>
        </w:rPr>
        <w:t>2017</w:t>
      </w:r>
      <w:r>
        <w:rPr/>
        <w:t>年度报告</w:t>
      </w:r>
    </w:p>
    <w:p>
      <w:pPr>
        <w:pStyle w:val="BodyText"/>
        <w:spacing w:line="240" w:lineRule="auto" w:before="62"/>
        <w:ind w:left="573" w:right="153"/>
        <w:jc w:val="left"/>
      </w:pPr>
      <w:r>
        <w:rPr>
          <w:rFonts w:ascii="Times New Roman" w:hAnsi="Times New Roman" w:cs="Times New Roman" w:eastAsia="Times New Roman" w:hint="default"/>
        </w:rPr>
        <w:t>1</w:t>
      </w:r>
      <w:r>
        <w:rPr/>
        <w:t>、与年审注册会计师沟通</w:t>
      </w:r>
      <w:r>
        <w:rPr>
          <w:rFonts w:ascii="Times New Roman" w:hAnsi="Times New Roman" w:cs="Times New Roman" w:eastAsia="Times New Roman" w:hint="default"/>
        </w:rPr>
        <w:t>2017</w:t>
      </w:r>
      <w:r>
        <w:rPr/>
        <w:t>年度审计工作计划</w:t>
      </w:r>
    </w:p>
    <w:p>
      <w:pPr>
        <w:pStyle w:val="BodyText"/>
        <w:spacing w:line="268" w:lineRule="auto" w:before="59"/>
        <w:ind w:right="14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日，公司董事会审计委员会以通讯方式召开了</w:t>
      </w:r>
      <w:r>
        <w:rPr>
          <w:rFonts w:ascii="Times New Roman" w:hAnsi="Times New Roman" w:cs="Times New Roman" w:eastAsia="Times New Roman" w:hint="default"/>
          <w:spacing w:val="-2"/>
        </w:rPr>
        <w:t>2017</w:t>
      </w:r>
      <w:r>
        <w:rPr>
          <w:spacing w:val="-2"/>
        </w:rPr>
        <w:t>年年报第一次工作会议，会计师向审计</w:t>
      </w:r>
      <w:r>
        <w:rPr>
          <w:w w:val="100"/>
        </w:rPr>
        <w:t> </w:t>
      </w:r>
      <w:r>
        <w:rPr>
          <w:spacing w:val="-2"/>
        </w:rPr>
        <w:t>委员会汇报了审计计划、人员安排和预审情况，审计委员会委员就预审中的问题、审计过程中需要注意的</w:t>
      </w:r>
      <w:r>
        <w:rPr>
          <w:spacing w:val="-44"/>
        </w:rPr>
        <w:t> </w:t>
      </w:r>
      <w:r>
        <w:rPr>
          <w:spacing w:val="-44"/>
        </w:rPr>
      </w:r>
      <w:r>
        <w:rPr>
          <w:spacing w:val="-2"/>
        </w:rPr>
        <w:t>问题等事项与会计师进行了沟通，并要求会计师注意审计计划的合理安排以及审计过程中的细节，按照计</w:t>
      </w:r>
      <w:r>
        <w:rPr>
          <w:spacing w:val="-44"/>
        </w:rPr>
        <w:t> </w:t>
      </w:r>
      <w:r>
        <w:rPr>
          <w:spacing w:val="-44"/>
        </w:rPr>
      </w:r>
      <w:r>
        <w:rPr/>
        <w:t>划的进度完成年报审计工作。</w:t>
      </w:r>
    </w:p>
    <w:p>
      <w:pPr>
        <w:pStyle w:val="BodyText"/>
        <w:spacing w:line="240" w:lineRule="auto" w:before="52"/>
        <w:ind w:left="573" w:right="153"/>
        <w:jc w:val="left"/>
      </w:pPr>
      <w:r>
        <w:rPr>
          <w:rFonts w:ascii="Times New Roman" w:hAnsi="Times New Roman" w:cs="Times New Roman" w:eastAsia="Times New Roman" w:hint="default"/>
        </w:rPr>
        <w:t>2</w:t>
      </w:r>
      <w:r>
        <w:rPr/>
        <w:t>、审计进场前审阅公司编制的财务会计报表</w:t>
      </w:r>
    </w:p>
    <w:p>
      <w:pPr>
        <w:pStyle w:val="BodyText"/>
        <w:spacing w:line="256" w:lineRule="auto" w:before="62"/>
        <w:ind w:right="148"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月，董事会审计委员会认真审阅了公司管理层提交的未经审计的</w:t>
      </w:r>
      <w:r>
        <w:rPr>
          <w:rFonts w:ascii="Times New Roman" w:hAnsi="Times New Roman" w:cs="Times New Roman" w:eastAsia="Times New Roman" w:hint="default"/>
        </w:rPr>
        <w:t>2017</w:t>
      </w:r>
      <w:r>
        <w:rPr/>
        <w:t>年度财务报表，经与公</w:t>
      </w:r>
      <w:r>
        <w:rPr>
          <w:w w:val="100"/>
        </w:rPr>
        <w:t> </w:t>
      </w:r>
      <w:r>
        <w:rPr/>
        <w:t>司管理层就有关资料进行询问交流后，发表意见如下：</w:t>
      </w:r>
    </w:p>
    <w:p>
      <w:pPr>
        <w:pStyle w:val="BodyText"/>
        <w:spacing w:line="264" w:lineRule="auto" w:before="61"/>
        <w:ind w:right="124" w:firstLine="420"/>
        <w:jc w:val="both"/>
      </w:pPr>
      <w:r>
        <w:rPr>
          <w:spacing w:val="-2"/>
        </w:rPr>
        <w:t>公司财务报表依照公司新企业会计准则、会计政策、企业会计制度以及财政部发布的有关规定要求，</w:t>
      </w:r>
      <w:r>
        <w:rPr>
          <w:w w:val="100"/>
        </w:rPr>
        <w:t> </w:t>
      </w:r>
      <w:r>
        <w:rPr>
          <w:spacing w:val="-2"/>
        </w:rPr>
        <w:t>未发现重大错报和漏报情况，所包含的信息能从重大方面反映出公司</w:t>
      </w:r>
      <w:r>
        <w:rPr>
          <w:rFonts w:ascii="Times New Roman" w:hAnsi="Times New Roman" w:cs="Times New Roman" w:eastAsia="Times New Roman" w:hint="default"/>
          <w:spacing w:val="-2"/>
        </w:rPr>
        <w:t>2017</w:t>
      </w:r>
      <w:r>
        <w:rPr>
          <w:spacing w:val="-2"/>
        </w:rPr>
        <w:t>年度财务状况和经营成果，同意</w:t>
      </w:r>
      <w:r>
        <w:rPr>
          <w:spacing w:val="-40"/>
        </w:rPr>
        <w:t> </w:t>
      </w:r>
      <w:r>
        <w:rPr>
          <w:spacing w:val="-40"/>
        </w:rPr>
      </w:r>
      <w:r>
        <w:rPr/>
        <w:t>以此财务报表为基础，展开</w:t>
      </w:r>
      <w:r>
        <w:rPr>
          <w:rFonts w:ascii="Times New Roman" w:hAnsi="Times New Roman" w:cs="Times New Roman" w:eastAsia="Times New Roman" w:hint="default"/>
        </w:rPr>
        <w:t>2017</w:t>
      </w:r>
      <w:r>
        <w:rPr/>
        <w:t>年年度报告审计工作。</w:t>
      </w:r>
    </w:p>
    <w:p>
      <w:pPr>
        <w:pStyle w:val="BodyText"/>
        <w:spacing w:line="290" w:lineRule="auto" w:before="39"/>
        <w:ind w:left="573" w:right="153"/>
        <w:jc w:val="left"/>
      </w:pPr>
      <w:r>
        <w:rPr>
          <w:rFonts w:ascii="Times New Roman" w:hAnsi="Times New Roman" w:cs="Times New Roman" w:eastAsia="Times New Roman" w:hint="default"/>
        </w:rPr>
        <w:t>3</w:t>
      </w:r>
      <w:r>
        <w:rPr/>
        <w:t>、审计期间保持与会计师事务所的沟通并审阅经初步审计后的财务报表</w:t>
      </w:r>
      <w:r>
        <w:rPr>
          <w:w w:val="100"/>
        </w:rPr>
        <w:t> </w:t>
      </w:r>
      <w:r>
        <w:rPr/>
        <w:t>公司年审注册会计师进场后，董事会审计委员会与年审注册会计师于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日召开了</w:t>
      </w:r>
      <w:r>
        <w:rPr>
          <w:rFonts w:ascii="Times New Roman" w:hAnsi="Times New Roman" w:cs="Times New Roman" w:eastAsia="Times New Roman" w:hint="default"/>
        </w:rPr>
        <w:t>2017</w:t>
      </w:r>
      <w:r>
        <w:rPr/>
        <w:t>年年</w:t>
      </w:r>
    </w:p>
    <w:p>
      <w:pPr>
        <w:pStyle w:val="BodyText"/>
        <w:spacing w:line="247" w:lineRule="exact"/>
        <w:ind w:right="0"/>
        <w:jc w:val="left"/>
      </w:pPr>
      <w:r>
        <w:rPr/>
        <w:t>报第二次工作会议，注册会计师向审计委员会汇报了审计中的调整事项，审计委员会就审计过程中发现的</w:t>
      </w:r>
    </w:p>
    <w:p>
      <w:pPr>
        <w:pStyle w:val="BodyText"/>
        <w:spacing w:line="307" w:lineRule="auto" w:before="37"/>
        <w:ind w:left="573" w:right="153" w:hanging="421"/>
        <w:jc w:val="left"/>
      </w:pPr>
      <w:r>
        <w:rPr/>
        <w:t>问题、审计调整事项以及审计进度进行了沟通和交流，发表如下审核意见：</w:t>
      </w:r>
      <w:r>
        <w:rPr>
          <w:w w:val="100"/>
        </w:rPr>
        <w:t> </w:t>
      </w:r>
      <w:r>
        <w:rPr>
          <w:spacing w:val="-2"/>
        </w:rPr>
        <w:t>保持原有的审议意见，并认为公司已严格按照新企业会计准则处理了资产负债日期后事项，公司财务</w:t>
      </w:r>
    </w:p>
    <w:p>
      <w:pPr>
        <w:pStyle w:val="BodyText"/>
        <w:spacing w:line="253" w:lineRule="exact"/>
        <w:ind w:right="0"/>
        <w:jc w:val="left"/>
      </w:pPr>
      <w:r>
        <w:rPr/>
        <w:t>报表已经按照新企业会计准则及公司有关财务制度的规定编制，同意年审注册会计师对公司财务会计报表</w:t>
      </w:r>
    </w:p>
    <w:p>
      <w:pPr>
        <w:pStyle w:val="BodyText"/>
        <w:spacing w:line="256" w:lineRule="auto" w:before="37"/>
        <w:ind w:right="153"/>
        <w:jc w:val="left"/>
      </w:pPr>
      <w:r>
        <w:rPr>
          <w:spacing w:val="-2"/>
        </w:rPr>
        <w:t>出具的初步审计报告，并以该审计报告为基础制作公司</w:t>
      </w:r>
      <w:r>
        <w:rPr>
          <w:rFonts w:ascii="Times New Roman" w:hAnsi="Times New Roman" w:cs="Times New Roman" w:eastAsia="Times New Roman" w:hint="default"/>
          <w:spacing w:val="-2"/>
        </w:rPr>
        <w:t>2017</w:t>
      </w:r>
      <w:r>
        <w:rPr>
          <w:spacing w:val="-2"/>
        </w:rPr>
        <w:t>年年度报告和摘要，同时请审计项目组按照审</w:t>
      </w:r>
      <w:r>
        <w:rPr>
          <w:spacing w:val="-41"/>
        </w:rPr>
        <w:t> </w:t>
      </w:r>
      <w:r>
        <w:rPr>
          <w:spacing w:val="-41"/>
        </w:rPr>
      </w:r>
      <w:r>
        <w:rPr/>
        <w:t>计计划尽快完成审计工作，以保证公司</w:t>
      </w:r>
      <w:r>
        <w:rPr>
          <w:rFonts w:ascii="Times New Roman" w:hAnsi="Times New Roman" w:cs="Times New Roman" w:eastAsia="Times New Roman" w:hint="default"/>
        </w:rPr>
        <w:t>2017</w:t>
      </w:r>
      <w:r>
        <w:rPr/>
        <w:t>年年度报告如期披露。</w:t>
      </w:r>
    </w:p>
    <w:p>
      <w:pPr>
        <w:pStyle w:val="BodyText"/>
        <w:spacing w:line="240" w:lineRule="auto" w:before="46"/>
        <w:ind w:left="573" w:right="153"/>
        <w:jc w:val="left"/>
      </w:pPr>
      <w:r>
        <w:rPr>
          <w:rFonts w:ascii="Times New Roman" w:hAnsi="Times New Roman" w:cs="Times New Roman" w:eastAsia="Times New Roman" w:hint="default"/>
        </w:rPr>
        <w:t>4</w:t>
      </w:r>
      <w:r>
        <w:rPr/>
        <w:t>、审阅公司</w:t>
      </w:r>
      <w:r>
        <w:rPr>
          <w:rFonts w:ascii="Times New Roman" w:hAnsi="Times New Roman" w:cs="Times New Roman" w:eastAsia="Times New Roman" w:hint="default"/>
        </w:rPr>
        <w:t>2017</w:t>
      </w:r>
      <w:r>
        <w:rPr/>
        <w:t>年度审计报告</w:t>
      </w:r>
    </w:p>
    <w:p>
      <w:pPr>
        <w:pStyle w:val="BodyText"/>
        <w:spacing w:line="256" w:lineRule="auto" w:before="62"/>
        <w:ind w:right="147"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w:t>
      </w:r>
      <w:r>
        <w:rPr>
          <w:spacing w:val="-1"/>
        </w:rPr>
        <w:t>董事会审计委员会召开了年报工作第三次工作会议，认真审阅了经信永中和会计师事</w:t>
      </w:r>
      <w:r>
        <w:rPr>
          <w:w w:val="100"/>
        </w:rPr>
        <w:t> </w:t>
      </w:r>
      <w:r>
        <w:rPr/>
        <w:t>务所出具的</w:t>
      </w:r>
      <w:r>
        <w:rPr>
          <w:rFonts w:ascii="Times New Roman" w:hAnsi="Times New Roman" w:cs="Times New Roman" w:eastAsia="Times New Roman" w:hint="default"/>
        </w:rPr>
        <w:t>2017</w:t>
      </w:r>
      <w:r>
        <w:rPr/>
        <w:t>年年度审计报告，同时审议通过了以下决议：</w:t>
      </w:r>
    </w:p>
    <w:p>
      <w:pPr>
        <w:pStyle w:val="BodyText"/>
        <w:spacing w:line="256" w:lineRule="auto" w:before="43"/>
        <w:ind w:right="146" w:firstLine="420"/>
        <w:jc w:val="both"/>
      </w:pPr>
      <w:r>
        <w:rPr/>
        <w:t>（</w:t>
      </w:r>
      <w:r>
        <w:rPr>
          <w:rFonts w:ascii="Times New Roman" w:hAnsi="Times New Roman" w:cs="Times New Roman" w:eastAsia="Times New Roman" w:hint="default"/>
        </w:rPr>
        <w:t>1</w:t>
      </w:r>
      <w:r>
        <w:rPr/>
        <w:t>）信永中和会计师事务所（特殊普通合伙）出具的</w:t>
      </w:r>
      <w:r>
        <w:rPr>
          <w:rFonts w:ascii="Times New Roman" w:hAnsi="Times New Roman" w:cs="Times New Roman" w:eastAsia="Times New Roman" w:hint="default"/>
        </w:rPr>
        <w:t>2017</w:t>
      </w:r>
      <w:r>
        <w:rPr/>
        <w:t>年年度审计报告严格按照新企业会计准则</w:t>
      </w:r>
      <w:r>
        <w:rPr>
          <w:w w:val="100"/>
        </w:rPr>
        <w:t> </w:t>
      </w:r>
      <w:r>
        <w:rPr>
          <w:spacing w:val="-2"/>
        </w:rPr>
        <w:t>及公司有关财务制度的规定编制，公允地反映了公司</w:t>
      </w:r>
      <w:r>
        <w:rPr>
          <w:rFonts w:ascii="Times New Roman" w:hAnsi="Times New Roman" w:cs="Times New Roman" w:eastAsia="Times New Roman" w:hint="default"/>
          <w:spacing w:val="-2"/>
        </w:rPr>
        <w:t>2017</w:t>
      </w:r>
      <w:r>
        <w:rPr>
          <w:spacing w:val="-2"/>
        </w:rPr>
        <w:t>年度的财务状况和经营成果，同意以该审计报告</w:t>
      </w:r>
      <w:r>
        <w:rPr>
          <w:spacing w:val="-39"/>
        </w:rPr>
        <w:t> </w:t>
      </w:r>
      <w:r>
        <w:rPr>
          <w:spacing w:val="-39"/>
        </w:rPr>
      </w:r>
      <w:r>
        <w:rPr/>
        <w:t>为基础制作公司</w:t>
      </w:r>
      <w:r>
        <w:rPr>
          <w:rFonts w:ascii="Times New Roman" w:hAnsi="Times New Roman" w:cs="Times New Roman" w:eastAsia="Times New Roman" w:hint="default"/>
        </w:rPr>
        <w:t>2017</w:t>
      </w:r>
      <w:r>
        <w:rPr/>
        <w:t>年年度报告和摘要；</w:t>
      </w:r>
    </w:p>
    <w:p>
      <w:pPr>
        <w:pStyle w:val="BodyText"/>
        <w:spacing w:line="240" w:lineRule="auto" w:before="46"/>
        <w:ind w:left="573" w:right="153"/>
        <w:jc w:val="left"/>
      </w:pPr>
      <w:r>
        <w:rPr/>
        <w:t>（</w:t>
      </w:r>
      <w:r>
        <w:rPr>
          <w:rFonts w:ascii="Times New Roman" w:hAnsi="Times New Roman" w:cs="Times New Roman" w:eastAsia="Times New Roman" w:hint="default"/>
        </w:rPr>
        <w:t>2</w:t>
      </w:r>
      <w:r>
        <w:rPr/>
        <w:t>）审议通过了《关于会计师事务所从事本年度审计工作的总结》。</w:t>
      </w:r>
    </w:p>
    <w:p>
      <w:pPr>
        <w:pStyle w:val="BodyText"/>
        <w:spacing w:line="297" w:lineRule="auto" w:before="62"/>
        <w:ind w:left="573" w:right="153"/>
        <w:jc w:val="left"/>
      </w:pPr>
      <w:r>
        <w:rPr>
          <w:rFonts w:ascii="宋体" w:hAnsi="宋体" w:cs="宋体" w:eastAsia="宋体" w:hint="default"/>
          <w:b/>
          <w:bCs/>
        </w:rPr>
        <w:t>（二）董事会薪酬委员会履职情况汇总报告</w:t>
      </w:r>
      <w:r>
        <w:rPr>
          <w:rFonts w:ascii="宋体" w:hAnsi="宋体" w:cs="宋体" w:eastAsia="宋体" w:hint="default"/>
          <w:b/>
          <w:bCs/>
          <w:w w:val="100"/>
        </w:rPr>
        <w:t> </w:t>
      </w:r>
      <w:r>
        <w:rPr/>
        <w:t>董事会薪酬委员会成员由</w:t>
      </w:r>
      <w:r>
        <w:rPr>
          <w:rFonts w:ascii="Times New Roman" w:hAnsi="Times New Roman" w:cs="Times New Roman" w:eastAsia="Times New Roman" w:hint="default"/>
        </w:rPr>
        <w:t>3</w:t>
      </w:r>
      <w:r>
        <w:rPr/>
        <w:t>名董事组成，其中两名为公司独立董事，主席由独立董事担任。</w:t>
      </w:r>
      <w:r>
        <w:rPr>
          <w:w w:val="100"/>
        </w:rPr>
        <w:t> </w:t>
      </w:r>
      <w:r>
        <w:rPr>
          <w:spacing w:val="-2"/>
        </w:rPr>
        <w:t>根据中国证监会、深圳证券交易所有关规定及公司《董事会薪酬委员会工作细则》，公司董事会薪酬</w:t>
      </w:r>
    </w:p>
    <w:p>
      <w:pPr>
        <w:pStyle w:val="BodyText"/>
        <w:spacing w:line="277" w:lineRule="exact"/>
        <w:ind w:right="153"/>
        <w:jc w:val="left"/>
      </w:pPr>
      <w:r>
        <w:rPr/>
        <w:t>委员会本着勤勉尽责的原则，</w:t>
      </w:r>
      <w:r>
        <w:rPr>
          <w:rFonts w:ascii="Times New Roman" w:hAnsi="Times New Roman" w:cs="Times New Roman" w:eastAsia="Times New Roman" w:hint="default"/>
        </w:rPr>
        <w:t>2017</w:t>
      </w:r>
      <w:r>
        <w:rPr/>
        <w:t>年度履行了以下工作职责：</w:t>
      </w:r>
    </w:p>
    <w:p>
      <w:pPr>
        <w:pStyle w:val="BodyText"/>
        <w:spacing w:line="240" w:lineRule="auto" w:before="62"/>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w:t>
      </w:r>
      <w:r>
        <w:rPr/>
        <w:t>董事会薪酬委员会召开</w:t>
      </w:r>
      <w:r>
        <w:rPr>
          <w:rFonts w:ascii="Times New Roman" w:hAnsi="Times New Roman" w:cs="Times New Roman" w:eastAsia="Times New Roman" w:hint="default"/>
        </w:rPr>
        <w:t>2017</w:t>
      </w:r>
      <w:r>
        <w:rPr/>
        <w:t>年第一次会议，审议《关于公司高级管理人员</w:t>
      </w:r>
      <w:r>
        <w:rPr>
          <w:rFonts w:ascii="Times New Roman" w:hAnsi="Times New Roman" w:cs="Times New Roman" w:eastAsia="Times New Roman" w:hint="default"/>
        </w:rPr>
        <w:t>2016</w:t>
      </w:r>
      <w:r>
        <w:rPr/>
        <w:t>年度</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BodyText"/>
        <w:spacing w:line="261" w:lineRule="auto" w:before="36"/>
        <w:ind w:right="185"/>
        <w:jc w:val="both"/>
      </w:pPr>
      <w:r>
        <w:rPr>
          <w:spacing w:val="-2"/>
        </w:rPr>
        <w:t>薪酬的议案》，听取了公司管理层就</w:t>
      </w:r>
      <w:r>
        <w:rPr>
          <w:rFonts w:ascii="Times New Roman" w:hAnsi="Times New Roman" w:cs="Times New Roman" w:eastAsia="Times New Roman" w:hint="default"/>
          <w:spacing w:val="-2"/>
        </w:rPr>
        <w:t>2016</w:t>
      </w:r>
      <w:r>
        <w:rPr>
          <w:spacing w:val="-2"/>
        </w:rPr>
        <w:t>年主要业务经营情况和经营目标完成情况的汇报，并依据公司董</w:t>
      </w:r>
      <w:r>
        <w:rPr>
          <w:spacing w:val="-40"/>
        </w:rPr>
        <w:t> </w:t>
      </w:r>
      <w:r>
        <w:rPr>
          <w:spacing w:val="-40"/>
        </w:rPr>
      </w:r>
      <w:r>
        <w:rPr>
          <w:spacing w:val="-2"/>
        </w:rPr>
        <w:t>事、监事及高管人员的岗位职责，对公司高管人员</w:t>
      </w:r>
      <w:r>
        <w:rPr>
          <w:rFonts w:ascii="Times New Roman" w:hAnsi="Times New Roman" w:cs="Times New Roman" w:eastAsia="Times New Roman" w:hint="default"/>
          <w:spacing w:val="-2"/>
        </w:rPr>
        <w:t>2016</w:t>
      </w:r>
      <w:r>
        <w:rPr>
          <w:spacing w:val="-2"/>
        </w:rPr>
        <w:t>年度薪酬进行了审核，并出具如下审核意见：报告</w:t>
      </w:r>
      <w:r>
        <w:rPr>
          <w:spacing w:val="-47"/>
        </w:rPr>
        <w:t> </w:t>
      </w:r>
      <w:r>
        <w:rPr>
          <w:spacing w:val="-47"/>
        </w:rPr>
      </w:r>
      <w:r>
        <w:rPr>
          <w:spacing w:val="-2"/>
        </w:rPr>
        <w:t>期内，公司管理层基本完成了董事会制定的经营业绩目标，石基信息高管人员薪酬收入执行了股东大会、</w:t>
      </w:r>
      <w:r>
        <w:rPr>
          <w:spacing w:val="-21"/>
        </w:rPr>
        <w:t> </w:t>
      </w:r>
      <w:r>
        <w:rPr>
          <w:spacing w:val="-21"/>
        </w:rPr>
      </w:r>
      <w:r>
        <w:rPr/>
        <w:t>董事会批准的有关规定，公司</w:t>
      </w:r>
      <w:r>
        <w:rPr>
          <w:rFonts w:ascii="Times New Roman" w:hAnsi="Times New Roman" w:cs="Times New Roman" w:eastAsia="Times New Roman" w:hint="default"/>
        </w:rPr>
        <w:t>2016</w:t>
      </w:r>
      <w:r>
        <w:rPr/>
        <w:t>年年度报告中披露的有关高管人员薪酬收入情况真实、客观。</w:t>
      </w:r>
    </w:p>
    <w:p>
      <w:pPr>
        <w:pStyle w:val="BodyText"/>
        <w:spacing w:line="256" w:lineRule="auto" w:before="41"/>
        <w:ind w:right="208"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7</w:t>
      </w:r>
      <w:r>
        <w:rPr>
          <w:spacing w:val="-1"/>
        </w:rPr>
        <w:t>日</w:t>
      </w:r>
      <w:r>
        <w:rPr>
          <w:rFonts w:ascii="Times New Roman" w:hAnsi="Times New Roman" w:cs="Times New Roman" w:eastAsia="Times New Roman" w:hint="default"/>
          <w:spacing w:val="-1"/>
        </w:rPr>
        <w:t>,</w:t>
      </w:r>
      <w:r>
        <w:rPr>
          <w:spacing w:val="-1"/>
        </w:rPr>
        <w:t>董事会薪酬委员会召开</w:t>
      </w:r>
      <w:r>
        <w:rPr>
          <w:rFonts w:ascii="Times New Roman" w:hAnsi="Times New Roman" w:cs="Times New Roman" w:eastAsia="Times New Roman" w:hint="default"/>
          <w:spacing w:val="-1"/>
        </w:rPr>
        <w:t>2017</w:t>
      </w:r>
      <w:r>
        <w:rPr>
          <w:spacing w:val="-1"/>
        </w:rPr>
        <w:t>年第二次会议，审议《关于调整公司</w:t>
      </w:r>
      <w:r>
        <w:rPr>
          <w:rFonts w:ascii="Times New Roman" w:hAnsi="Times New Roman" w:cs="Times New Roman" w:eastAsia="Times New Roman" w:hint="default"/>
          <w:spacing w:val="-1"/>
        </w:rPr>
        <w:t>2016</w:t>
      </w:r>
      <w:r>
        <w:rPr>
          <w:spacing w:val="-1"/>
        </w:rPr>
        <w:t>年股票期权激</w:t>
      </w:r>
      <w:r>
        <w:rPr>
          <w:w w:val="100"/>
        </w:rPr>
        <w:t> </w:t>
      </w:r>
      <w:r>
        <w:rPr>
          <w:spacing w:val="2"/>
        </w:rPr>
        <w:t>励计划行权价格的议案》，同意公司董事会对公司</w:t>
      </w:r>
      <w:r>
        <w:rPr>
          <w:rFonts w:ascii="Times New Roman" w:hAnsi="Times New Roman" w:cs="Times New Roman" w:eastAsia="Times New Roman" w:hint="default"/>
          <w:spacing w:val="2"/>
        </w:rPr>
        <w:t>2016</w:t>
      </w:r>
      <w:r>
        <w:rPr>
          <w:spacing w:val="2"/>
        </w:rPr>
        <w:t>年股票期权激励计划首次授予期权的行权价格由</w:t>
      </w:r>
      <w:r>
        <w:rPr>
          <w:spacing w:val="-26"/>
        </w:rPr>
        <w:t> </w:t>
      </w:r>
      <w:r>
        <w:rPr>
          <w:spacing w:val="-26"/>
        </w:rPr>
      </w:r>
      <w:r>
        <w:rPr>
          <w:rFonts w:ascii="Times New Roman" w:hAnsi="Times New Roman" w:cs="Times New Roman" w:eastAsia="Times New Roman" w:hint="default"/>
        </w:rPr>
        <w:t>25.38</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25.34</w:t>
      </w:r>
      <w:r>
        <w:rPr/>
        <w:t>元</w:t>
      </w:r>
      <w:r>
        <w:rPr>
          <w:rFonts w:ascii="Times New Roman" w:hAnsi="Times New Roman" w:cs="Times New Roman" w:eastAsia="Times New Roman" w:hint="default"/>
        </w:rPr>
        <w:t>/</w:t>
      </w:r>
      <w:r>
        <w:rPr/>
        <w:t>股。</w:t>
      </w:r>
    </w:p>
    <w:p>
      <w:pPr>
        <w:pStyle w:val="BodyText"/>
        <w:spacing w:line="256" w:lineRule="auto" w:before="43"/>
        <w:ind w:right="206"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w:t>
      </w:r>
      <w:r>
        <w:rPr>
          <w:rFonts w:ascii="Times New Roman" w:hAnsi="Times New Roman" w:cs="Times New Roman" w:eastAsia="Times New Roman" w:hint="default"/>
          <w:spacing w:val="-1"/>
        </w:rPr>
        <w:t>,</w:t>
      </w:r>
      <w:r>
        <w:rPr>
          <w:spacing w:val="-1"/>
        </w:rPr>
        <w:t>董事会薪酬委员会召开</w:t>
      </w:r>
      <w:r>
        <w:rPr>
          <w:rFonts w:ascii="Times New Roman" w:hAnsi="Times New Roman" w:cs="Times New Roman" w:eastAsia="Times New Roman" w:hint="default"/>
          <w:spacing w:val="-1"/>
        </w:rPr>
        <w:t>2017</w:t>
      </w:r>
      <w:r>
        <w:rPr>
          <w:spacing w:val="-1"/>
        </w:rPr>
        <w:t>年第三次会议，审议《关于调整</w:t>
      </w:r>
      <w:r>
        <w:rPr>
          <w:rFonts w:ascii="Times New Roman" w:hAnsi="Times New Roman" w:cs="Times New Roman" w:eastAsia="Times New Roman" w:hint="default"/>
          <w:spacing w:val="-1"/>
        </w:rPr>
        <w:t>2016</w:t>
      </w:r>
      <w:r>
        <w:rPr>
          <w:spacing w:val="-1"/>
        </w:rPr>
        <w:t>年股票期权激励计</w:t>
      </w:r>
      <w:r>
        <w:rPr>
          <w:w w:val="100"/>
        </w:rPr>
        <w:t> </w:t>
      </w:r>
      <w:r>
        <w:rPr>
          <w:spacing w:val="-2"/>
        </w:rPr>
        <w:t>划首次授予对象、授予数量及注销部分期权的议案》及《关于</w:t>
      </w:r>
      <w:r>
        <w:rPr>
          <w:rFonts w:ascii="Times New Roman" w:hAnsi="Times New Roman" w:cs="Times New Roman" w:eastAsia="Times New Roman" w:hint="default"/>
          <w:spacing w:val="-2"/>
        </w:rPr>
        <w:t>2016</w:t>
      </w:r>
      <w:r>
        <w:rPr>
          <w:spacing w:val="-2"/>
        </w:rPr>
        <w:t>年股票期权激励计划预留股票期权授予</w:t>
      </w:r>
      <w:r>
        <w:rPr>
          <w:spacing w:val="-41"/>
        </w:rPr>
        <w:t> </w:t>
      </w:r>
      <w:r>
        <w:rPr>
          <w:spacing w:val="-41"/>
        </w:rPr>
      </w:r>
      <w:r>
        <w:rPr>
          <w:spacing w:val="-2"/>
        </w:rPr>
        <w:t>相关事项的议案》，同意对公司</w:t>
      </w:r>
      <w:r>
        <w:rPr>
          <w:rFonts w:ascii="Times New Roman" w:hAnsi="Times New Roman" w:cs="Times New Roman" w:eastAsia="Times New Roman" w:hint="default"/>
          <w:spacing w:val="-2"/>
        </w:rPr>
        <w:t>2016</w:t>
      </w:r>
      <w:r>
        <w:rPr>
          <w:spacing w:val="-2"/>
        </w:rPr>
        <w:t>年股权激励计划首次授予对象及授予股份数量进行相应调整，同意以</w:t>
      </w:r>
      <w:r>
        <w:rPr>
          <w:spacing w:val="-39"/>
        </w:rPr>
        <w:t> </w:t>
      </w:r>
      <w:r>
        <w:rPr>
          <w:spacing w:val="-39"/>
        </w:rPr>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日作为</w:t>
      </w:r>
      <w:r>
        <w:rPr>
          <w:rFonts w:ascii="Times New Roman" w:hAnsi="Times New Roman" w:cs="Times New Roman" w:eastAsia="Times New Roman" w:hint="default"/>
          <w:spacing w:val="-1"/>
        </w:rPr>
        <w:t>2016</w:t>
      </w:r>
      <w:r>
        <w:rPr>
          <w:spacing w:val="-1"/>
        </w:rPr>
        <w:t>年股票期权激励计划预留股票期权的授予日，向</w:t>
      </w:r>
      <w:r>
        <w:rPr>
          <w:rFonts w:ascii="Times New Roman" w:hAnsi="Times New Roman" w:cs="Times New Roman" w:eastAsia="Times New Roman" w:hint="default"/>
          <w:spacing w:val="-1"/>
        </w:rPr>
        <w:t>32</w:t>
      </w:r>
      <w:r>
        <w:rPr>
          <w:spacing w:val="-1"/>
        </w:rPr>
        <w:t>名股权激励对象授予预留的</w:t>
      </w:r>
      <w:r>
        <w:rPr>
          <w:rFonts w:ascii="Times New Roman" w:hAnsi="Times New Roman" w:cs="Times New Roman" w:eastAsia="Times New Roman" w:hint="default"/>
          <w:spacing w:val="-1"/>
        </w:rPr>
        <w:t>61.5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万股股票期权。</w:t>
      </w:r>
    </w:p>
    <w:p>
      <w:pPr>
        <w:spacing w:line="309" w:lineRule="auto" w:before="63"/>
        <w:ind w:left="573" w:right="100" w:firstLine="0"/>
        <w:jc w:val="left"/>
        <w:rPr>
          <w:rFonts w:ascii="宋体" w:hAnsi="宋体" w:cs="宋体" w:eastAsia="宋体" w:hint="default"/>
          <w:sz w:val="21"/>
          <w:szCs w:val="21"/>
        </w:rPr>
      </w:pPr>
      <w:r>
        <w:rPr>
          <w:rFonts w:ascii="宋体" w:hAnsi="宋体" w:cs="宋体" w:eastAsia="宋体" w:hint="default"/>
          <w:b/>
          <w:bCs/>
          <w:sz w:val="21"/>
          <w:szCs w:val="21"/>
        </w:rPr>
        <w:t>（三）董事会提名委员会履职情况汇总报告</w:t>
      </w:r>
      <w:r>
        <w:rPr>
          <w:rFonts w:ascii="宋体" w:hAnsi="宋体" w:cs="宋体" w:eastAsia="宋体" w:hint="default"/>
          <w:b/>
          <w:bCs/>
          <w:w w:val="100"/>
          <w:sz w:val="21"/>
          <w:szCs w:val="21"/>
        </w:rPr>
        <w:t> </w:t>
      </w:r>
      <w:r>
        <w:rPr>
          <w:rFonts w:ascii="宋体" w:hAnsi="宋体" w:cs="宋体" w:eastAsia="宋体" w:hint="default"/>
          <w:spacing w:val="-2"/>
          <w:sz w:val="21"/>
          <w:szCs w:val="21"/>
        </w:rPr>
        <w:t>董事会提名委员会成员由</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名董事组成，其中两名为公司独立董事，主席由独立董事担任。报告期内，</w:t>
      </w:r>
    </w:p>
    <w:p>
      <w:pPr>
        <w:pStyle w:val="BodyText"/>
        <w:spacing w:line="245" w:lineRule="exact"/>
        <w:ind w:right="0"/>
        <w:jc w:val="both"/>
      </w:pPr>
      <w:r>
        <w:rPr/>
        <w:t>提名委员会根据《公司法》、《公司章程》和《董事会提名委员会工作细则》，积极履行职责，</w:t>
      </w:r>
      <w:r>
        <w:rPr>
          <w:rFonts w:ascii="Times New Roman" w:hAnsi="Times New Roman" w:cs="Times New Roman" w:eastAsia="Times New Roman" w:hint="default"/>
        </w:rPr>
        <w:t>2017</w:t>
      </w:r>
      <w:r>
        <w:rPr/>
        <w:t>年度</w:t>
      </w:r>
    </w:p>
    <w:p>
      <w:pPr>
        <w:pStyle w:val="BodyText"/>
        <w:spacing w:line="240" w:lineRule="auto" w:before="21"/>
        <w:ind w:right="0"/>
        <w:jc w:val="both"/>
      </w:pPr>
      <w:r>
        <w:rPr/>
        <w:t>履行了以下工作职责：</w:t>
      </w:r>
    </w:p>
    <w:p>
      <w:pPr>
        <w:pStyle w:val="BodyText"/>
        <w:spacing w:line="266" w:lineRule="auto" w:before="75"/>
        <w:ind w:right="206"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日，董事会提名委员会召开了提名委员会</w:t>
      </w:r>
      <w:r>
        <w:rPr>
          <w:rFonts w:ascii="Times New Roman" w:hAnsi="Times New Roman" w:cs="Times New Roman" w:eastAsia="Times New Roman" w:hint="default"/>
        </w:rPr>
        <w:t>2017</w:t>
      </w:r>
      <w:r>
        <w:rPr/>
        <w:t>年第一次会议，审议了《关于独立董事</w:t>
      </w:r>
      <w:r>
        <w:rPr>
          <w:w w:val="100"/>
        </w:rPr>
        <w:t> </w:t>
      </w:r>
      <w:r>
        <w:rPr>
          <w:spacing w:val="-2"/>
        </w:rPr>
        <w:t>辞职及增选第六届董事会一名独立董事议案》。鉴于公司第六届董事会独立董事朱锦梅女士申请辞去独立</w:t>
      </w:r>
      <w:r>
        <w:rPr>
          <w:spacing w:val="-43"/>
        </w:rPr>
        <w:t> </w:t>
      </w:r>
      <w:r>
        <w:rPr>
          <w:spacing w:val="-43"/>
        </w:rPr>
      </w:r>
      <w:r>
        <w:rPr>
          <w:spacing w:val="-2"/>
        </w:rPr>
        <w:t>董事一职，拟提名叶金福先生为第六届董事会独立董事候选人，经审议，叶金福先生符合公司独立董事任</w:t>
      </w:r>
      <w:r>
        <w:rPr>
          <w:spacing w:val="-43"/>
        </w:rPr>
        <w:t> </w:t>
      </w:r>
      <w:r>
        <w:rPr>
          <w:spacing w:val="-43"/>
        </w:rPr>
      </w:r>
      <w:r>
        <w:rPr/>
        <w:t>职资格。</w:t>
      </w:r>
    </w:p>
    <w:p>
      <w:pPr>
        <w:pStyle w:val="BodyText"/>
        <w:spacing w:line="264" w:lineRule="auto" w:before="55"/>
        <w:ind w:right="10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日，董事会提名委员会召开了提名委员会</w:t>
      </w:r>
      <w:r>
        <w:rPr>
          <w:rFonts w:ascii="Times New Roman" w:hAnsi="Times New Roman" w:cs="Times New Roman" w:eastAsia="Times New Roman" w:hint="default"/>
        </w:rPr>
        <w:t>2017</w:t>
      </w:r>
      <w:r>
        <w:rPr/>
        <w:t>年第二次会议，审议了《关于补选第</w:t>
      </w:r>
      <w:r>
        <w:rPr>
          <w:w w:val="100"/>
        </w:rPr>
        <w:t> </w:t>
      </w:r>
      <w:r>
        <w:rPr>
          <w:spacing w:val="-5"/>
        </w:rPr>
        <w:t>六届董事会专业委员会委员的议案》。公司独立董事朱锦梅女士因个人原因，提出辞去公司独立董事职务，</w:t>
      </w:r>
      <w:r>
        <w:rPr>
          <w:spacing w:val="-4"/>
        </w:rPr>
        <w:t> </w:t>
      </w:r>
      <w:r>
        <w:rPr>
          <w:spacing w:val="-4"/>
        </w:rPr>
      </w:r>
      <w:r>
        <w:rPr>
          <w:spacing w:val="-2"/>
        </w:rPr>
        <w:t>并相应辞去董事会审计委员会主任委员、提名委员会委员的职务。公司董事会提名叶金福先生为公司第六</w:t>
      </w:r>
      <w:r>
        <w:rPr>
          <w:spacing w:val="-42"/>
        </w:rPr>
        <w:t> </w:t>
      </w:r>
      <w:r>
        <w:rPr>
          <w:spacing w:val="-42"/>
        </w:rPr>
      </w:r>
      <w:r>
        <w:rPr/>
        <w:t>届董事会独立董事候选人任期自</w:t>
      </w:r>
      <w:r>
        <w:rPr>
          <w:rFonts w:ascii="Times New Roman" w:hAnsi="Times New Roman" w:cs="Times New Roman" w:eastAsia="Times New Roman" w:hint="default"/>
        </w:rPr>
        <w:t>2016</w:t>
      </w:r>
      <w:r>
        <w:rPr/>
        <w:t>年度股东大会审议通过之日起至公司第六届董事会任期届满之日止。</w:t>
      </w:r>
      <w:r>
        <w:rPr>
          <w:w w:val="100"/>
        </w:rPr>
        <w:t> </w:t>
      </w:r>
      <w:r>
        <w:rPr>
          <w:spacing w:val="-2"/>
        </w:rPr>
        <w:t>该事项已经过公司</w:t>
      </w:r>
      <w:r>
        <w:rPr>
          <w:rFonts w:ascii="Times New Roman" w:hAnsi="Times New Roman" w:cs="Times New Roman" w:eastAsia="Times New Roman" w:hint="default"/>
          <w:spacing w:val="-2"/>
        </w:rPr>
        <w:t>2016</w:t>
      </w:r>
      <w:r>
        <w:rPr>
          <w:spacing w:val="-2"/>
        </w:rPr>
        <w:t>年度股东大会审议通过。经董事会提名委员会审议，选举叶金福先生为公司第六届</w:t>
      </w:r>
      <w:r>
        <w:rPr>
          <w:spacing w:val="-40"/>
        </w:rPr>
        <w:t> </w:t>
      </w:r>
      <w:r>
        <w:rPr>
          <w:spacing w:val="-40"/>
        </w:rPr>
      </w:r>
      <w:r>
        <w:rPr>
          <w:spacing w:val="-2"/>
        </w:rPr>
        <w:t>董事会审计委员会主任委员、提名委员会委员，任期自董事会审议通过之日起至公司第六届董事会任期届</w:t>
      </w:r>
      <w:r>
        <w:rPr>
          <w:spacing w:val="-43"/>
        </w:rPr>
        <w:t> </w:t>
      </w:r>
      <w:r>
        <w:rPr>
          <w:spacing w:val="-43"/>
        </w:rPr>
      </w:r>
      <w:r>
        <w:rPr/>
        <w:t>满之日止。</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66" w:lineRule="auto"/>
        <w:ind w:right="206"/>
        <w:jc w:val="both"/>
      </w:pPr>
      <w:r>
        <w:rPr>
          <w:spacing w:val="-2"/>
        </w:rPr>
        <w:t>公司重视对高级管理人员的绩效考评工作，不断完善高级管理人员的考评和激励机制。根据公司《高级管</w:t>
      </w:r>
      <w:r>
        <w:rPr>
          <w:spacing w:val="-44"/>
        </w:rPr>
        <w:t> </w:t>
      </w:r>
      <w:r>
        <w:rPr>
          <w:spacing w:val="-44"/>
        </w:rPr>
      </w:r>
      <w:r>
        <w:rPr>
          <w:spacing w:val="-2"/>
        </w:rPr>
        <w:t>理人员绩效考核管理制度》的规定，公司对高级管理人员实行年薪制，高级管理人员的年薪与公司经营业</w:t>
      </w:r>
      <w:r>
        <w:rPr>
          <w:spacing w:val="-44"/>
        </w:rPr>
        <w:t> </w:t>
      </w:r>
      <w:r>
        <w:rPr>
          <w:spacing w:val="-44"/>
        </w:rPr>
      </w:r>
      <w:r>
        <w:rPr>
          <w:spacing w:val="-2"/>
        </w:rPr>
        <w:t>绩以及个人工作绩效挂钩，由公司董事会薪酬委员会对高级管理人员进行考评。考评结果作为高管人员年</w:t>
      </w:r>
      <w:r>
        <w:rPr>
          <w:spacing w:val="-44"/>
        </w:rPr>
        <w:t> </w:t>
      </w:r>
      <w:r>
        <w:rPr>
          <w:spacing w:val="-44"/>
        </w:rPr>
      </w:r>
      <w:r>
        <w:rPr>
          <w:spacing w:val="-2"/>
        </w:rPr>
        <w:t>薪核定的主要依据，由董事会最终审议通过。报告期内，公司高级管理人员为公司</w:t>
      </w:r>
      <w:r>
        <w:rPr>
          <w:rFonts w:ascii="Times New Roman" w:hAnsi="Times New Roman" w:cs="Times New Roman" w:eastAsia="Times New Roman" w:hint="default"/>
          <w:spacing w:val="-2"/>
        </w:rPr>
        <w:t>2017</w:t>
      </w:r>
      <w:r>
        <w:rPr>
          <w:spacing w:val="-2"/>
        </w:rPr>
        <w:t>年度股票期权激励</w:t>
      </w:r>
      <w:r>
        <w:rPr>
          <w:spacing w:val="-39"/>
        </w:rPr>
        <w:t> </w:t>
      </w:r>
      <w:r>
        <w:rPr>
          <w:spacing w:val="-39"/>
        </w:rPr>
      </w:r>
      <w:r>
        <w:rPr>
          <w:spacing w:val="-4"/>
        </w:rPr>
        <w:t>计划的激励对象，详见本报告第五节重要事项</w:t>
      </w:r>
      <w:r>
        <w:rPr>
          <w:rFonts w:ascii="Times New Roman" w:hAnsi="Times New Roman" w:cs="Times New Roman" w:eastAsia="Times New Roman" w:hint="default"/>
          <w:spacing w:val="-4"/>
        </w:rPr>
        <w:t>/</w:t>
      </w:r>
      <w:r>
        <w:rPr>
          <w:spacing w:val="-4"/>
        </w:rPr>
        <w:t>十五、公司股权激励计划、员工持股计划、或其他员工激励</w:t>
      </w:r>
      <w:r>
        <w:rPr>
          <w:spacing w:val="-10"/>
        </w:rPr>
        <w:t> </w:t>
      </w:r>
      <w:r>
        <w:rPr>
          <w:spacing w:val="-10"/>
        </w:rPr>
      </w:r>
      <w:r>
        <w:rPr/>
        <w:t>措施的实施情况。</w:t>
      </w:r>
    </w:p>
    <w:p>
      <w:pPr>
        <w:spacing w:after="0" w:line="266" w:lineRule="auto"/>
        <w:jc w:val="both"/>
        <w:sectPr>
          <w:pgSz w:w="11910" w:h="16840"/>
          <w:pgMar w:header="877" w:footer="980" w:top="1100" w:bottom="1160" w:left="980" w:right="92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44"/>
        <w:ind w:left="0" w:right="158" w:firstLine="0"/>
        <w:jc w:val="right"/>
        <w:rPr>
          <w:rFonts w:ascii="宋体" w:hAnsi="宋体" w:cs="宋体" w:eastAsia="宋体" w:hint="default"/>
          <w:sz w:val="18"/>
          <w:szCs w:val="18"/>
        </w:rPr>
      </w:pPr>
      <w:r>
        <w:rPr/>
        <w:pict>
          <v:shape style="position:absolute;margin-left:56.400002pt;margin-top:-297.418274pt;width:479.3pt;height:444.5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2332"/>
                    <w:gridCol w:w="1919"/>
                    <w:gridCol w:w="4467"/>
                  </w:tblGrid>
                  <w:tr>
                    <w:trPr>
                      <w:trHeight w:val="401"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宋体" w:hAnsi="宋体" w:cs="宋体" w:eastAsia="宋体" w:hint="default"/>
                            <w:spacing w:val="-51"/>
                            <w:sz w:val="18"/>
                            <w:szCs w:val="18"/>
                          </w:rPr>
                          <w:t> </w:t>
                        </w:r>
                        <w:hyperlink r:id="rId32">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年度公司内部控制自我评价报告》</w:t>
                        </w:r>
                      </w:p>
                    </w:tc>
                  </w:tr>
                  <w:tr>
                    <w:trPr>
                      <w:trHeight w:val="71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2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1" w:type="dxa"/>
                        <w:gridSpan w:val="2"/>
                        <w:vMerge w:val="restart"/>
                        <w:tcBorders>
                          <w:top w:val="single" w:sz="4" w:space="0" w:color="000000"/>
                          <w:left w:val="single" w:sz="10" w:space="0" w:color="D2D2D2"/>
                          <w:right w:val="single" w:sz="4" w:space="0" w:color="000000"/>
                        </w:tcBorders>
                      </w:tcPr>
                      <w:p>
                        <w:pPr>
                          <w:pStyle w:val="TableParagraph"/>
                          <w:spacing w:line="312" w:lineRule="auto" w:before="49"/>
                          <w:ind w:left="16"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）重大缺陷：董事、监事或高级管理人员舞弊；公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司以前年度存在重大会计差错，更正已披露的财务报 告；公司当期财务报告存在重大错报而内部控制未能 发现该错报；公司审计委员会和内部审计机构对内部 控制的监督无效；其他可能影响报表使用者正确判断 </w:t>
                        </w:r>
                        <w:r>
                          <w:rPr>
                            <w:rFonts w:ascii="宋体" w:hAnsi="宋体" w:cs="宋体" w:eastAsia="宋体" w:hint="default"/>
                            <w:spacing w:val="-4"/>
                            <w:sz w:val="18"/>
                            <w:szCs w:val="18"/>
                          </w:rPr>
                          <w:t>的缺陷；（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）重要缺陷：违规泄露财务报告、并购、</w:t>
                        </w:r>
                        <w:r>
                          <w:rPr>
                            <w:rFonts w:ascii="宋体" w:hAnsi="宋体" w:cs="宋体" w:eastAsia="宋体" w:hint="default"/>
                            <w:spacing w:val="-85"/>
                            <w:sz w:val="18"/>
                            <w:szCs w:val="18"/>
                          </w:rPr>
                          <w:t> </w:t>
                        </w:r>
                        <w:r>
                          <w:rPr>
                            <w:rFonts w:ascii="宋体" w:hAnsi="宋体" w:cs="宋体" w:eastAsia="宋体" w:hint="default"/>
                            <w:sz w:val="18"/>
                            <w:szCs w:val="18"/>
                          </w:rPr>
                          <w:t>投资等重大信息，导致公司股价严重波动或给公司形 </w:t>
                        </w:r>
                        <w:r>
                          <w:rPr>
                            <w:rFonts w:ascii="宋体" w:hAnsi="宋体" w:cs="宋体" w:eastAsia="宋体" w:hint="default"/>
                            <w:spacing w:val="-4"/>
                            <w:sz w:val="18"/>
                            <w:szCs w:val="18"/>
                          </w:rPr>
                          <w:t>象造成严重负面影响；（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）一般缺陷：不构成重大缺</w:t>
                        </w:r>
                        <w:r>
                          <w:rPr>
                            <w:rFonts w:ascii="宋体" w:hAnsi="宋体" w:cs="宋体" w:eastAsia="宋体" w:hint="default"/>
                            <w:spacing w:val="-85"/>
                            <w:sz w:val="18"/>
                            <w:szCs w:val="18"/>
                          </w:rPr>
                          <w:t> </w:t>
                        </w:r>
                        <w:r>
                          <w:rPr>
                            <w:rFonts w:ascii="宋体" w:hAnsi="宋体" w:cs="宋体" w:eastAsia="宋体" w:hint="default"/>
                            <w:sz w:val="18"/>
                            <w:szCs w:val="18"/>
                          </w:rPr>
                          <w:t>陷和重要缺陷的财务报告内部控制缺陷。</w:t>
                        </w:r>
                      </w:p>
                    </w:tc>
                    <w:tc>
                      <w:tcPr>
                        <w:tcW w:w="44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）重大缺陷：董事会及其专业委员会、监事会和经理 层未按照权限和职责履行；公司重要业务缺乏控制或内 部控制系统整体失效；其他可能导致企业严重偏离控制 </w:t>
                        </w:r>
                        <w:r>
                          <w:rPr>
                            <w:rFonts w:ascii="宋体" w:hAnsi="宋体" w:cs="宋体" w:eastAsia="宋体" w:hint="default"/>
                            <w:spacing w:val="-4"/>
                            <w:sz w:val="18"/>
                            <w:szCs w:val="18"/>
                          </w:rPr>
                          <w:t>目标的缺陷；（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）重要缺陷：内部控制设计未覆盖重要</w:t>
                        </w:r>
                        <w:r>
                          <w:rPr>
                            <w:rFonts w:ascii="宋体" w:hAnsi="宋体" w:cs="宋体" w:eastAsia="宋体" w:hint="default"/>
                            <w:spacing w:val="-81"/>
                            <w:sz w:val="18"/>
                            <w:szCs w:val="18"/>
                          </w:rPr>
                          <w:t> </w:t>
                        </w:r>
                        <w:r>
                          <w:rPr>
                            <w:rFonts w:ascii="宋体" w:hAnsi="宋体" w:cs="宋体" w:eastAsia="宋体" w:hint="default"/>
                            <w:sz w:val="18"/>
                            <w:szCs w:val="18"/>
                          </w:rPr>
                          <w:t>业务和关键风险领域，不能实现控制目标；信息披露内 </w:t>
                        </w:r>
                        <w:r>
                          <w:rPr>
                            <w:rFonts w:ascii="宋体" w:hAnsi="宋体" w:cs="宋体" w:eastAsia="宋体" w:hint="default"/>
                            <w:spacing w:val="-4"/>
                            <w:sz w:val="18"/>
                            <w:szCs w:val="18"/>
                          </w:rPr>
                          <w:t>容不真实，受到外部监管机构处罚；（</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）一般缺陷：不</w:t>
                        </w:r>
                        <w:r>
                          <w:rPr>
                            <w:rFonts w:ascii="宋体" w:hAnsi="宋体" w:cs="宋体" w:eastAsia="宋体" w:hint="default"/>
                            <w:spacing w:val="-81"/>
                            <w:sz w:val="18"/>
                            <w:szCs w:val="18"/>
                          </w:rPr>
                          <w:t> </w:t>
                        </w:r>
                        <w:r>
                          <w:rPr>
                            <w:rFonts w:ascii="宋体" w:hAnsi="宋体" w:cs="宋体" w:eastAsia="宋体" w:hint="default"/>
                            <w:sz w:val="18"/>
                            <w:szCs w:val="18"/>
                          </w:rPr>
                          <w:t>构成重大缺陷和重要缺陷的非财务报告内部控制缺陷。</w:t>
                        </w:r>
                      </w:p>
                    </w:tc>
                  </w:tr>
                  <w:tr>
                    <w:trPr>
                      <w:trHeight w:val="391"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2"/>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4251" w:type="dxa"/>
                        <w:gridSpan w:val="2"/>
                        <w:vMerge/>
                        <w:tcBorders>
                          <w:left w:val="single" w:sz="10" w:space="0" w:color="D2D2D2"/>
                          <w:right w:val="single" w:sz="4" w:space="0" w:color="000000"/>
                        </w:tcBorders>
                      </w:tcPr>
                      <w:p>
                        <w:pPr/>
                      </w:p>
                    </w:tc>
                    <w:tc>
                      <w:tcPr>
                        <w:tcW w:w="4467" w:type="dxa"/>
                        <w:vMerge/>
                        <w:tcBorders>
                          <w:left w:val="single" w:sz="4" w:space="0" w:color="000000"/>
                          <w:right w:val="single" w:sz="4" w:space="0" w:color="000000"/>
                        </w:tcBorders>
                      </w:tcPr>
                      <w:p>
                        <w:pPr/>
                      </w:p>
                    </w:tc>
                  </w:tr>
                  <w:tr>
                    <w:trPr>
                      <w:trHeight w:val="1253" w:hRule="exact"/>
                    </w:trPr>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1" w:type="dxa"/>
                        <w:gridSpan w:val="2"/>
                        <w:vMerge/>
                        <w:tcBorders>
                          <w:left w:val="single" w:sz="10" w:space="0" w:color="D2D2D2"/>
                          <w:bottom w:val="single" w:sz="4" w:space="0" w:color="000000"/>
                          <w:right w:val="single" w:sz="4" w:space="0" w:color="000000"/>
                        </w:tcBorders>
                      </w:tcPr>
                      <w:p>
                        <w:pPr/>
                      </w:p>
                    </w:tc>
                    <w:tc>
                      <w:tcPr>
                        <w:tcW w:w="4467" w:type="dxa"/>
                        <w:vMerge/>
                        <w:tcBorders>
                          <w:left w:val="single" w:sz="4" w:space="0" w:color="000000"/>
                          <w:bottom w:val="single" w:sz="4" w:space="0" w:color="000000"/>
                          <w:right w:val="single" w:sz="4" w:space="0" w:color="000000"/>
                        </w:tcBorders>
                      </w:tcPr>
                      <w:p>
                        <w:pPr/>
                      </w:p>
                    </w:tc>
                  </w:tr>
                  <w:tr>
                    <w:trPr>
                      <w:trHeight w:val="473" w:hRule="exact"/>
                    </w:trPr>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1"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合并财务报表资产总额的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）重要缺陷：合并财务报表资产总额的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w:t>
                        </w:r>
                        <w:r>
                          <w:rPr>
                            <w:rFonts w:ascii="宋体" w:hAnsi="宋体" w:cs="宋体" w:eastAsia="宋体" w:hint="default"/>
                            <w:spacing w:val="-85"/>
                            <w:w w:val="100"/>
                            <w:sz w:val="18"/>
                            <w:szCs w:val="18"/>
                          </w:rPr>
                          <w:t> </w:t>
                        </w:r>
                        <w:r>
                          <w:rPr>
                            <w:rFonts w:ascii="宋体" w:hAnsi="宋体" w:cs="宋体" w:eastAsia="宋体" w:hint="default"/>
                            <w:spacing w:val="-1"/>
                            <w:sz w:val="18"/>
                            <w:szCs w:val="18"/>
                          </w:rPr>
                          <w:t>报金额</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合并财务报表资产总额的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9"/>
                            <w:sz w:val="18"/>
                            <w:szCs w:val="18"/>
                          </w:rPr>
                          <w:t>0.5%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w:t>
                        </w:r>
                        <w:r>
                          <w:rPr>
                            <w:rFonts w:ascii="宋体" w:hAnsi="宋体" w:cs="宋体" w:eastAsia="宋体" w:hint="default"/>
                            <w:spacing w:val="-75"/>
                            <w:sz w:val="18"/>
                            <w:szCs w:val="18"/>
                          </w:rPr>
                          <w:t> </w:t>
                        </w:r>
                        <w:r>
                          <w:rPr>
                            <w:rFonts w:ascii="宋体" w:hAnsi="宋体" w:cs="宋体" w:eastAsia="宋体" w:hint="default"/>
                            <w:sz w:val="18"/>
                            <w:szCs w:val="18"/>
                          </w:rPr>
                          <w:t>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4467"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）重大缺陷：错报金额</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合并财务报表资产总额的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3" w:right="21"/>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）重要缺陷：合并财务报表资产总额的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 </w:t>
                        </w:r>
                        <w:r>
                          <w:rPr>
                            <w:rFonts w:ascii="宋体" w:hAnsi="宋体" w:cs="宋体" w:eastAsia="宋体" w:hint="default"/>
                            <w:sz w:val="18"/>
                            <w:szCs w:val="18"/>
                          </w:rPr>
                          <w:t>合并财务报表资产总额的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）一般缺陷：错报金</w:t>
                        </w:r>
                        <w:r>
                          <w:rPr>
                            <w:rFonts w:ascii="宋体" w:hAnsi="宋体" w:cs="宋体" w:eastAsia="宋体" w:hint="default"/>
                            <w:sz w:val="18"/>
                            <w:szCs w:val="18"/>
                          </w:rPr>
                          <w:t> 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4"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2"/>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4251" w:type="dxa"/>
                        <w:gridSpan w:val="2"/>
                        <w:vMerge/>
                        <w:tcBorders>
                          <w:left w:val="single" w:sz="10" w:space="0" w:color="D2D2D2"/>
                          <w:right w:val="single" w:sz="4" w:space="0" w:color="000000"/>
                        </w:tcBorders>
                      </w:tcPr>
                      <w:p>
                        <w:pPr/>
                      </w:p>
                    </w:tc>
                    <w:tc>
                      <w:tcPr>
                        <w:tcW w:w="4467" w:type="dxa"/>
                        <w:vMerge/>
                        <w:tcBorders>
                          <w:left w:val="single" w:sz="4" w:space="0" w:color="000000"/>
                          <w:right w:val="single" w:sz="4" w:space="0" w:color="000000"/>
                        </w:tcBorders>
                      </w:tcPr>
                      <w:p>
                        <w:pPr/>
                      </w:p>
                    </w:tc>
                  </w:tr>
                  <w:tr>
                    <w:trPr>
                      <w:trHeight w:val="473" w:hRule="exact"/>
                    </w:trPr>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1" w:type="dxa"/>
                        <w:gridSpan w:val="2"/>
                        <w:vMerge/>
                        <w:tcBorders>
                          <w:left w:val="single" w:sz="10" w:space="0" w:color="D2D2D2"/>
                          <w:bottom w:val="single" w:sz="4" w:space="0" w:color="000000"/>
                          <w:right w:val="single" w:sz="4" w:space="0" w:color="000000"/>
                        </w:tcBorders>
                      </w:tcPr>
                      <w:p>
                        <w:pPr/>
                      </w:p>
                    </w:tc>
                    <w:tc>
                      <w:tcPr>
                        <w:tcW w:w="4467" w:type="dxa"/>
                        <w:vMerge/>
                        <w:tcBorders>
                          <w:left w:val="single" w:sz="4" w:space="0" w:color="000000"/>
                          <w:bottom w:val="single" w:sz="4" w:space="0" w:color="000000"/>
                          <w:right w:val="single" w:sz="4" w:space="0" w:color="000000"/>
                        </w:tcBorders>
                      </w:tcPr>
                      <w:p>
                        <w:pPr/>
                      </w:p>
                    </w:tc>
                  </w:tr>
                  <w:tr>
                    <w:trPr>
                      <w:trHeight w:val="401"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44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44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44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44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15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信永中和会计师事务所认为，石基信息按照《企业内部控制基本规范》及相关规定于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 保持了与财务报表相关的有效的内部控制。</w:t>
            </w:r>
          </w:p>
        </w:tc>
      </w:tr>
    </w:tbl>
    <w:p>
      <w:pPr>
        <w:spacing w:after="0" w:line="297"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日刊登于巨潮资讯网</w:t>
            </w:r>
            <w:r>
              <w:rPr>
                <w:rFonts w:ascii="宋体" w:hAnsi="宋体" w:cs="宋体" w:eastAsia="宋体" w:hint="default"/>
                <w:spacing w:val="-48"/>
                <w:sz w:val="18"/>
                <w:szCs w:val="18"/>
              </w:rPr>
              <w:t> </w:t>
            </w:r>
            <w:hyperlink r:id="rId32">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的《公司内部控制鉴证报告》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153"/>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90"/>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20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00"/>
        <w:gridCol w:w="5469"/>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XYZH/2018BJA40392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张昆、张海啸</w:t>
            </w:r>
          </w:p>
        </w:tc>
      </w:tr>
    </w:tbl>
    <w:p>
      <w:pPr>
        <w:spacing w:before="49"/>
        <w:ind w:left="3429" w:right="348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0" w:top="1100" w:bottom="1160" w:left="980" w:right="920"/>
        </w:sectPr>
      </w:pPr>
    </w:p>
    <w:p>
      <w:pPr>
        <w:pStyle w:val="Heading2"/>
        <w:spacing w:line="240" w:lineRule="auto" w:before="160"/>
        <w:ind w:left="0" w:right="0"/>
        <w:jc w:val="right"/>
        <w:rPr>
          <w:b w:val="0"/>
          <w:bCs w:val="0"/>
        </w:rPr>
      </w:pPr>
      <w:r>
        <w:rPr/>
        <w:pict>
          <v:shape style="position:absolute;margin-left:212.5pt;margin-top:-44.568443pt;width:113.9pt;height:68.850pt;mso-position-horizontal-relative:page;mso-position-vertical-relative:paragraph;z-index:1648" type="#_x0000_t75" stroked="false">
            <v:imagedata r:id="rId33" o:title=""/>
          </v:shape>
        </w:pict>
      </w:r>
      <w:r>
        <w:rPr/>
        <w:t>审计报告</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27"/>
          <w:szCs w:val="27"/>
        </w:rPr>
      </w:pPr>
    </w:p>
    <w:p>
      <w:pPr>
        <w:pStyle w:val="Heading6"/>
        <w:spacing w:line="240" w:lineRule="auto"/>
        <w:ind w:left="1026" w:right="0" w:firstLine="0"/>
        <w:jc w:val="left"/>
        <w:rPr>
          <w:rFonts w:ascii="Times New Roman" w:hAnsi="Times New Roman" w:cs="Times New Roman" w:eastAsia="Times New Roman" w:hint="default"/>
        </w:rPr>
      </w:pPr>
      <w:r>
        <w:rPr>
          <w:rFonts w:ascii="Times New Roman"/>
        </w:rPr>
        <w:t>XYZH/2018BJA40392</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20"/>
          <w:cols w:num="2" w:equalWidth="0">
            <w:col w:w="6675" w:space="40"/>
            <w:col w:w="3295"/>
          </w:cols>
        </w:sectPr>
      </w:pPr>
    </w:p>
    <w:p>
      <w:pPr>
        <w:spacing w:line="240" w:lineRule="auto" w:before="2"/>
        <w:rPr>
          <w:rFonts w:ascii="Times New Roman" w:hAnsi="Times New Roman" w:cs="Times New Roman" w:eastAsia="Times New Roman" w:hint="default"/>
          <w:sz w:val="25"/>
          <w:szCs w:val="25"/>
        </w:rPr>
      </w:pPr>
    </w:p>
    <w:p>
      <w:pPr>
        <w:pStyle w:val="Heading5"/>
        <w:tabs>
          <w:tab w:pos="1413" w:val="left" w:leader="none"/>
        </w:tabs>
        <w:spacing w:line="564" w:lineRule="auto"/>
        <w:ind w:right="5214"/>
        <w:jc w:val="left"/>
        <w:rPr>
          <w:b w:val="0"/>
          <w:bCs w:val="0"/>
        </w:rPr>
      </w:pPr>
      <w:r>
        <w:rPr/>
        <w:t>北京中长石基信息技术股份有限公司全体股东：</w:t>
      </w:r>
      <w:r>
        <w:rPr>
          <w:w w:val="99"/>
        </w:rPr>
        <w:t> </w:t>
      </w:r>
      <w:r>
        <w:rPr>
          <w:w w:val="95"/>
        </w:rPr>
        <w:t>一、</w:t>
        <w:tab/>
      </w:r>
      <w:r>
        <w:rPr/>
        <w:t>审计意见</w:t>
      </w:r>
      <w:r>
        <w:rPr>
          <w:b w:val="0"/>
          <w:bCs w:val="0"/>
        </w:rPr>
      </w:r>
    </w:p>
    <w:p>
      <w:pPr>
        <w:pStyle w:val="Heading6"/>
        <w:spacing w:line="240" w:lineRule="auto" w:before="87"/>
        <w:ind w:left="592" w:right="100" w:firstLine="0"/>
        <w:jc w:val="left"/>
        <w:rPr>
          <w:rFonts w:ascii="宋体" w:hAnsi="宋体" w:cs="宋体" w:eastAsia="宋体" w:hint="default"/>
        </w:rPr>
      </w:pPr>
      <w:r>
        <w:rPr>
          <w:spacing w:val="-4"/>
        </w:rPr>
        <w:t>我们审计了北京中长石基信息技术股份有限公司（以下简称石基信息公司）财务报表，包括</w:t>
      </w:r>
      <w:r>
        <w:rPr>
          <w:spacing w:val="3"/>
        </w:rPr>
        <w:t> </w:t>
      </w:r>
      <w:r>
        <w:rPr>
          <w:rFonts w:ascii="宋体" w:hAnsi="宋体" w:cs="宋体" w:eastAsia="宋体" w:hint="default"/>
        </w:rPr>
        <w:t>2017</w:t>
      </w:r>
    </w:p>
    <w:p>
      <w:pPr>
        <w:pStyle w:val="Heading6"/>
        <w:spacing w:line="297" w:lineRule="auto" w:before="72"/>
        <w:ind w:right="208" w:firstLine="0"/>
        <w:jc w:val="left"/>
      </w:pP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日的合并及母公司资产负债表，</w:t>
      </w:r>
      <w:r>
        <w:rPr>
          <w:rFonts w:ascii="宋体" w:hAnsi="宋体" w:cs="宋体" w:eastAsia="宋体" w:hint="default"/>
          <w:spacing w:val="-4"/>
        </w:rPr>
        <w:t>2017</w:t>
      </w:r>
      <w:r>
        <w:rPr>
          <w:rFonts w:ascii="宋体" w:hAnsi="宋体" w:cs="宋体" w:eastAsia="宋体" w:hint="default"/>
          <w:spacing w:val="-45"/>
        </w:rPr>
        <w:t> </w:t>
      </w:r>
      <w:r>
        <w:rPr>
          <w:spacing w:val="-4"/>
        </w:rPr>
        <w:t>年度的合并及母公司利润表、合并及母公司现金流量</w:t>
      </w:r>
      <w:r>
        <w:rPr>
          <w:spacing w:val="-107"/>
        </w:rPr>
        <w:t> </w:t>
      </w:r>
      <w:r>
        <w:rPr>
          <w:spacing w:val="-107"/>
        </w:rPr>
      </w:r>
      <w:r>
        <w:rPr/>
        <w:t>表、合并及母公司股东权益变动表，以及相关财务报表附注。</w:t>
      </w:r>
    </w:p>
    <w:p>
      <w:pPr>
        <w:spacing w:line="240" w:lineRule="auto" w:before="7"/>
        <w:rPr>
          <w:rFonts w:ascii="宋体" w:hAnsi="宋体" w:cs="宋体" w:eastAsia="宋体" w:hint="default"/>
          <w:sz w:val="25"/>
          <w:szCs w:val="25"/>
        </w:rPr>
      </w:pPr>
    </w:p>
    <w:p>
      <w:pPr>
        <w:pStyle w:val="Heading6"/>
        <w:spacing w:line="297" w:lineRule="auto"/>
        <w:ind w:right="97"/>
        <w:jc w:val="left"/>
      </w:pPr>
      <w:r>
        <w:rPr/>
        <w:t>我们认为，后附的财务报表在所有重大方面按照企业会计准则的规定编制，公允反映了石基信息</w:t>
      </w:r>
      <w:r>
        <w:rPr>
          <w:w w:val="100"/>
        </w:rPr>
        <w:t> </w:t>
      </w:r>
      <w:r>
        <w:rPr/>
        <w:t>公司</w:t>
      </w:r>
      <w:r>
        <w:rPr>
          <w:spacing w:val="-75"/>
        </w:rPr>
        <w:t> </w:t>
      </w:r>
      <w:r>
        <w:rPr>
          <w:rFonts w:ascii="宋体" w:hAnsi="宋体" w:cs="宋体" w:eastAsia="宋体" w:hint="default"/>
        </w:rPr>
        <w:t>2017</w:t>
      </w:r>
      <w:r>
        <w:rPr>
          <w:rFonts w:ascii="宋体" w:hAnsi="宋体" w:cs="宋体" w:eastAsia="宋体" w:hint="default"/>
          <w:spacing w:val="-78"/>
        </w:rPr>
        <w:t> </w:t>
      </w:r>
      <w:r>
        <w:rPr/>
        <w:t>年</w:t>
      </w:r>
      <w:r>
        <w:rPr>
          <w:spacing w:val="-75"/>
        </w:rPr>
        <w:t> </w:t>
      </w:r>
      <w:r>
        <w:rPr>
          <w:rFonts w:ascii="宋体" w:hAnsi="宋体" w:cs="宋体" w:eastAsia="宋体" w:hint="default"/>
        </w:rPr>
        <w:t>12</w:t>
      </w:r>
      <w:r>
        <w:rPr>
          <w:rFonts w:ascii="宋体" w:hAnsi="宋体" w:cs="宋体" w:eastAsia="宋体" w:hint="default"/>
          <w:spacing w:val="-75"/>
        </w:rPr>
        <w:t> </w:t>
      </w:r>
      <w:r>
        <w:rPr/>
        <w:t>月</w:t>
      </w:r>
      <w:r>
        <w:rPr>
          <w:spacing w:val="-75"/>
        </w:rPr>
        <w:t> </w:t>
      </w:r>
      <w:r>
        <w:rPr>
          <w:rFonts w:ascii="宋体" w:hAnsi="宋体" w:cs="宋体" w:eastAsia="宋体" w:hint="default"/>
        </w:rPr>
        <w:t>31</w:t>
      </w:r>
      <w:r>
        <w:rPr>
          <w:rFonts w:ascii="宋体" w:hAnsi="宋体" w:cs="宋体" w:eastAsia="宋体" w:hint="default"/>
          <w:spacing w:val="-75"/>
        </w:rPr>
        <w:t> </w:t>
      </w:r>
      <w:r>
        <w:rPr/>
        <w:t>日的合并及母公司财务状况以及</w:t>
      </w:r>
      <w:r>
        <w:rPr>
          <w:spacing w:val="-75"/>
        </w:rPr>
        <w:t> </w:t>
      </w:r>
      <w:r>
        <w:rPr>
          <w:rFonts w:ascii="宋体" w:hAnsi="宋体" w:cs="宋体" w:eastAsia="宋体" w:hint="default"/>
        </w:rPr>
        <w:t>2017</w:t>
      </w:r>
      <w:r>
        <w:rPr>
          <w:rFonts w:ascii="宋体" w:hAnsi="宋体" w:cs="宋体" w:eastAsia="宋体" w:hint="default"/>
          <w:spacing w:val="-75"/>
        </w:rPr>
        <w:t> </w:t>
      </w:r>
      <w:r>
        <w:rPr/>
        <w:t>年度的合并及母公司经营成果和现金流量。</w:t>
      </w:r>
    </w:p>
    <w:p>
      <w:pPr>
        <w:tabs>
          <w:tab w:pos="1413" w:val="left" w:leader="none"/>
        </w:tabs>
        <w:spacing w:line="672" w:lineRule="exact" w:before="53"/>
        <w:ind w:left="592" w:right="213" w:firstLine="2"/>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pacing w:val="-2"/>
          <w:sz w:val="22"/>
          <w:szCs w:val="22"/>
        </w:rPr>
        <w:t>我们按照中国注册会计师审计准则的规定执行了审计工作。审计报告的“注册会计师对财务报表</w:t>
      </w:r>
    </w:p>
    <w:p>
      <w:pPr>
        <w:pStyle w:val="Heading6"/>
        <w:spacing w:line="257" w:lineRule="exact"/>
        <w:ind w:right="100" w:firstLine="0"/>
        <w:jc w:val="left"/>
      </w:pPr>
      <w:r>
        <w:rPr/>
        <w:t>审计的责任”部分进一步阐述了我们在这些准则下的责任。按照中国注册会计师职业道德守则，我们</w:t>
      </w:r>
    </w:p>
    <w:p>
      <w:pPr>
        <w:pStyle w:val="Heading6"/>
        <w:spacing w:line="297" w:lineRule="auto" w:before="72"/>
        <w:ind w:right="100" w:firstLine="0"/>
        <w:jc w:val="left"/>
      </w:pPr>
      <w:r>
        <w:rPr>
          <w:spacing w:val="-1"/>
        </w:rPr>
        <w:t>独立于石基信息公司，并履行了职业道德方面的其他责任。我们相信，我们获取的审计证据是充分、</w:t>
      </w:r>
      <w:r>
        <w:rPr>
          <w:spacing w:val="-74"/>
        </w:rPr>
        <w:t> </w:t>
      </w:r>
      <w:r>
        <w:rPr>
          <w:spacing w:val="-74"/>
        </w:rPr>
      </w:r>
      <w:r>
        <w:rPr/>
        <w:t>适当的，为发表审计意见提供了基础。</w:t>
      </w:r>
    </w:p>
    <w:p>
      <w:pPr>
        <w:spacing w:line="240" w:lineRule="auto" w:before="7"/>
        <w:rPr>
          <w:rFonts w:ascii="宋体" w:hAnsi="宋体" w:cs="宋体" w:eastAsia="宋体" w:hint="default"/>
          <w:sz w:val="25"/>
          <w:szCs w:val="25"/>
        </w:rPr>
      </w:pPr>
    </w:p>
    <w:p>
      <w:pPr>
        <w:pStyle w:val="Heading6"/>
        <w:tabs>
          <w:tab w:pos="1413" w:val="left" w:leader="none"/>
        </w:tabs>
        <w:spacing w:line="559" w:lineRule="auto"/>
        <w:ind w:left="592" w:right="213" w:firstLine="2"/>
        <w:jc w:val="left"/>
      </w:pPr>
      <w:r>
        <w:rPr>
          <w:rFonts w:ascii="宋体" w:hAnsi="宋体" w:cs="宋体" w:eastAsia="宋体" w:hint="default"/>
          <w:b/>
          <w:bCs/>
          <w:w w:val="95"/>
        </w:rPr>
        <w:t>三、</w:t>
        <w:tab/>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spacing w:after="0" w:line="559" w:lineRule="auto"/>
        <w:jc w:val="left"/>
        <w:sectPr>
          <w:type w:val="continuous"/>
          <w:pgSz w:w="11910" w:h="16840"/>
          <w:pgMar w:top="1060" w:bottom="1160" w:left="980" w:right="920"/>
        </w:sectPr>
      </w:pPr>
    </w:p>
    <w:p>
      <w:pPr>
        <w:spacing w:line="240" w:lineRule="auto" w:before="6"/>
        <w:rPr>
          <w:rFonts w:ascii="宋体" w:hAnsi="宋体" w:cs="宋体" w:eastAsia="宋体" w:hint="default"/>
          <w:sz w:val="24"/>
          <w:szCs w:val="24"/>
        </w:rPr>
      </w:pPr>
    </w:p>
    <w:p>
      <w:pPr>
        <w:pStyle w:val="Heading6"/>
        <w:spacing w:line="240" w:lineRule="auto" w:before="32"/>
        <w:ind w:right="153" w:firstLine="0"/>
        <w:jc w:val="left"/>
      </w:pPr>
      <w:r>
        <w:rPr/>
        <w:t>以对财务报表整体进行审计并形成审计意见为背景，我们不对这些事项单独发表意见。</w:t>
      </w:r>
    </w:p>
    <w:p>
      <w:pPr>
        <w:spacing w:line="240" w:lineRule="auto" w:before="1"/>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4952"/>
        <w:gridCol w:w="4657"/>
      </w:tblGrid>
      <w:tr>
        <w:trPr>
          <w:trHeight w:val="45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449"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、收入确认事项</w:t>
            </w:r>
            <w:r>
              <w:rPr>
                <w:rFonts w:ascii="宋体" w:hAnsi="宋体" w:cs="宋体" w:eastAsia="宋体" w:hint="default"/>
                <w:sz w:val="22"/>
                <w:szCs w:val="22"/>
              </w:rPr>
            </w:r>
          </w:p>
        </w:tc>
      </w:tr>
      <w:tr>
        <w:trPr>
          <w:trHeight w:val="729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tabs>
                <w:tab w:pos="604" w:val="left" w:leader="none"/>
                <w:tab w:pos="1106" w:val="left" w:leader="none"/>
                <w:tab w:pos="1607" w:val="left" w:leader="none"/>
                <w:tab w:pos="2109" w:val="left" w:leader="none"/>
                <w:tab w:pos="2611" w:val="left" w:leader="none"/>
                <w:tab w:pos="3112" w:val="left" w:leader="none"/>
                <w:tab w:pos="3614" w:val="left" w:leader="none"/>
                <w:tab w:pos="4115" w:val="left" w:leader="none"/>
                <w:tab w:pos="4617" w:val="left" w:leader="none"/>
              </w:tabs>
              <w:spacing w:line="300" w:lineRule="auto" w:before="69"/>
              <w:ind w:left="103" w:right="-5" w:firstLine="439"/>
              <w:jc w:val="left"/>
              <w:rPr>
                <w:rFonts w:ascii="宋体" w:hAnsi="宋体" w:cs="宋体" w:eastAsia="宋体" w:hint="default"/>
                <w:sz w:val="22"/>
                <w:szCs w:val="22"/>
              </w:rPr>
            </w:pPr>
            <w:r>
              <w:rPr>
                <w:rFonts w:ascii="宋体" w:hAnsi="宋体" w:cs="宋体" w:eastAsia="宋体" w:hint="default"/>
                <w:spacing w:val="-1"/>
                <w:sz w:val="22"/>
                <w:szCs w:val="22"/>
              </w:rPr>
              <w:t>如财务报表附注四、</w:t>
            </w:r>
            <w:r>
              <w:rPr>
                <w:rFonts w:ascii="宋体" w:hAnsi="宋体" w:cs="宋体" w:eastAsia="宋体" w:hint="default"/>
                <w:spacing w:val="-1"/>
                <w:sz w:val="22"/>
                <w:szCs w:val="22"/>
              </w:rPr>
              <w:t>23.</w:t>
            </w:r>
            <w:r>
              <w:rPr>
                <w:rFonts w:ascii="宋体" w:hAnsi="宋体" w:cs="宋体" w:eastAsia="宋体" w:hint="default"/>
                <w:spacing w:val="-1"/>
                <w:sz w:val="22"/>
                <w:szCs w:val="22"/>
              </w:rPr>
              <w:t>及附注六、</w:t>
            </w:r>
            <w:r>
              <w:rPr>
                <w:rFonts w:ascii="宋体" w:hAnsi="宋体" w:cs="宋体" w:eastAsia="宋体" w:hint="default"/>
                <w:spacing w:val="-1"/>
                <w:sz w:val="22"/>
                <w:szCs w:val="22"/>
              </w:rPr>
              <w:t>39.</w:t>
            </w:r>
            <w:r>
              <w:rPr>
                <w:rFonts w:ascii="宋体" w:hAnsi="宋体" w:cs="宋体" w:eastAsia="宋体" w:hint="default"/>
                <w:spacing w:val="-1"/>
                <w:sz w:val="22"/>
                <w:szCs w:val="22"/>
              </w:rPr>
              <w:t>所示，</w:t>
            </w:r>
            <w:r>
              <w:rPr>
                <w:rFonts w:ascii="宋体" w:hAnsi="宋体" w:cs="宋体" w:eastAsia="宋体" w:hint="default"/>
                <w:w w:val="100"/>
                <w:sz w:val="22"/>
                <w:szCs w:val="22"/>
              </w:rPr>
              <w:t> </w:t>
            </w:r>
            <w:r>
              <w:rPr>
                <w:rFonts w:ascii="宋体" w:hAnsi="宋体" w:cs="宋体" w:eastAsia="宋体" w:hint="default"/>
                <w:sz w:val="22"/>
                <w:szCs w:val="22"/>
              </w:rPr>
              <w:t>石基信息公司属于计算机应用服务行业，</w:t>
            </w:r>
            <w:r>
              <w:rPr>
                <w:rFonts w:ascii="宋体" w:hAnsi="宋体" w:cs="宋体" w:eastAsia="宋体" w:hint="default"/>
                <w:sz w:val="22"/>
                <w:szCs w:val="22"/>
              </w:rPr>
              <w:t>2017 </w:t>
            </w:r>
            <w:r>
              <w:rPr>
                <w:rFonts w:ascii="宋体" w:hAnsi="宋体" w:cs="宋体" w:eastAsia="宋体" w:hint="default"/>
                <w:sz w:val="22"/>
                <w:szCs w:val="22"/>
              </w:rPr>
              <w:t>年</w:t>
            </w:r>
            <w:r>
              <w:rPr>
                <w:rFonts w:ascii="宋体" w:hAnsi="宋体" w:cs="宋体" w:eastAsia="宋体" w:hint="default"/>
                <w:spacing w:val="-102"/>
                <w:sz w:val="22"/>
                <w:szCs w:val="22"/>
              </w:rPr>
              <w:t> </w:t>
            </w:r>
            <w:r>
              <w:rPr>
                <w:rFonts w:ascii="宋体" w:hAnsi="宋体" w:cs="宋体" w:eastAsia="宋体" w:hint="default"/>
                <w:sz w:val="22"/>
                <w:szCs w:val="22"/>
              </w:rPr>
              <w:t>石</w:t>
              <w:tab/>
              <w:t>基</w:t>
              <w:tab/>
              <w:t>信</w:t>
              <w:tab/>
              <w:t>息</w:t>
              <w:tab/>
              <w:t>公</w:t>
              <w:tab/>
              <w:t>司</w:t>
              <w:tab/>
              <w:t>营</w:t>
              <w:tab/>
              <w:t>业</w:t>
              <w:tab/>
              <w:t>收</w:t>
              <w:tab/>
              <w:t>入</w:t>
            </w:r>
            <w:r>
              <w:rPr>
                <w:rFonts w:ascii="宋体" w:hAnsi="宋体" w:cs="宋体" w:eastAsia="宋体" w:hint="default"/>
                <w:w w:val="100"/>
                <w:sz w:val="22"/>
                <w:szCs w:val="22"/>
              </w:rPr>
              <w:t> </w:t>
            </w:r>
            <w:r>
              <w:rPr>
                <w:rFonts w:ascii="宋体" w:hAnsi="宋体" w:cs="宋体" w:eastAsia="宋体" w:hint="default"/>
                <w:sz w:val="22"/>
                <w:szCs w:val="22"/>
              </w:rPr>
              <w:t>2,961,186,590.64 </w:t>
            </w:r>
            <w:r>
              <w:rPr>
                <w:rFonts w:ascii="宋体" w:hAnsi="宋体" w:cs="宋体" w:eastAsia="宋体" w:hint="default"/>
                <w:sz w:val="22"/>
                <w:szCs w:val="22"/>
              </w:rPr>
              <w:t>元，主要收入来源于酒店、餐</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3"/>
                <w:sz w:val="22"/>
                <w:szCs w:val="22"/>
              </w:rPr>
              <w:t>饮及零售等旅游消费行业信息管理系统软件的开</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sz w:val="22"/>
                <w:szCs w:val="22"/>
              </w:rPr>
              <w:t>发与销售、系统集成、技术支持与服务业务以及配</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6"/>
                <w:sz w:val="22"/>
                <w:szCs w:val="22"/>
              </w:rPr>
              <w:t>套的硬件销售业务、业务推广等。其中：需要安装</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6"/>
                <w:w w:val="100"/>
                <w:sz w:val="22"/>
                <w:szCs w:val="22"/>
              </w:rPr>
              <w:t>调试的标准化产品以及客户定制化软件产品，按合</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6"/>
                <w:w w:val="100"/>
                <w:sz w:val="22"/>
                <w:szCs w:val="22"/>
              </w:rPr>
              <w:t>同约定在项目实施完成并经验收后确认收入；无需</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3"/>
                <w:sz w:val="22"/>
                <w:szCs w:val="22"/>
              </w:rPr>
              <w:t>安装的标准产品及硬件产品销售按合同约定将产</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w w:val="100"/>
                <w:sz w:val="22"/>
                <w:szCs w:val="22"/>
              </w:rPr>
              <w:t>品转移给客户后确认销售收入；业务推广收入为客</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3"/>
                <w:sz w:val="22"/>
                <w:szCs w:val="22"/>
              </w:rPr>
              <w:t>户通过石基信息对接的微信或支付宝收费通道向</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6"/>
                <w:w w:val="100"/>
                <w:sz w:val="22"/>
                <w:szCs w:val="22"/>
              </w:rPr>
              <w:t>顾客收款，微信或者支付宝向石基信息支付业务推</w:t>
            </w:r>
            <w:r>
              <w:rPr>
                <w:rFonts w:ascii="宋体" w:hAnsi="宋体" w:cs="宋体" w:eastAsia="宋体" w:hint="default"/>
                <w:spacing w:val="-104"/>
                <w:w w:val="100"/>
                <w:sz w:val="22"/>
                <w:szCs w:val="22"/>
              </w:rPr>
              <w:t> </w:t>
            </w:r>
            <w:r>
              <w:rPr>
                <w:rFonts w:ascii="宋体" w:hAnsi="宋体" w:cs="宋体" w:eastAsia="宋体" w:hint="default"/>
                <w:spacing w:val="-104"/>
                <w:w w:val="100"/>
                <w:sz w:val="22"/>
                <w:szCs w:val="22"/>
              </w:rPr>
            </w:r>
            <w:r>
              <w:rPr>
                <w:rFonts w:ascii="宋体" w:hAnsi="宋体" w:cs="宋体" w:eastAsia="宋体" w:hint="default"/>
                <w:spacing w:val="-6"/>
                <w:w w:val="100"/>
                <w:sz w:val="22"/>
                <w:szCs w:val="22"/>
              </w:rPr>
              <w:t>广费，此项收入按照与微信或支付宝对账金额在获</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z w:val="22"/>
                <w:szCs w:val="22"/>
              </w:rPr>
              <w:t>取对账单当期确认。</w:t>
            </w:r>
          </w:p>
          <w:p>
            <w:pPr>
              <w:pStyle w:val="TableParagraph"/>
              <w:spacing w:line="297" w:lineRule="auto" w:before="60"/>
              <w:ind w:left="103" w:right="99" w:firstLine="439"/>
              <w:jc w:val="left"/>
              <w:rPr>
                <w:rFonts w:ascii="宋体" w:hAnsi="宋体" w:cs="宋体" w:eastAsia="宋体" w:hint="default"/>
                <w:sz w:val="22"/>
                <w:szCs w:val="22"/>
              </w:rPr>
            </w:pPr>
            <w:r>
              <w:rPr>
                <w:rFonts w:ascii="宋体" w:hAnsi="宋体" w:cs="宋体" w:eastAsia="宋体" w:hint="default"/>
                <w:spacing w:val="4"/>
                <w:sz w:val="22"/>
                <w:szCs w:val="22"/>
              </w:rPr>
              <w:t>由于营业收入是石基信息公司关键业绩指标</w:t>
            </w:r>
            <w:r>
              <w:rPr>
                <w:rFonts w:ascii="宋体" w:hAnsi="宋体" w:cs="宋体" w:eastAsia="宋体" w:hint="default"/>
                <w:w w:val="100"/>
                <w:sz w:val="22"/>
                <w:szCs w:val="22"/>
              </w:rPr>
              <w:t> </w:t>
            </w:r>
            <w:r>
              <w:rPr>
                <w:rFonts w:ascii="宋体" w:hAnsi="宋体" w:cs="宋体" w:eastAsia="宋体" w:hint="default"/>
                <w:sz w:val="22"/>
                <w:szCs w:val="22"/>
              </w:rPr>
              <w:t>之一，因此我们将收入确认作为关键审计事项。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9"/>
              <w:ind w:left="105" w:right="99"/>
              <w:jc w:val="both"/>
              <w:rPr>
                <w:rFonts w:ascii="宋体" w:hAnsi="宋体" w:cs="宋体" w:eastAsia="宋体" w:hint="default"/>
                <w:sz w:val="22"/>
                <w:szCs w:val="22"/>
              </w:rPr>
            </w:pPr>
            <w:r>
              <w:rPr>
                <w:rFonts w:ascii="宋体" w:hAnsi="宋体" w:cs="宋体" w:eastAsia="宋体" w:hint="default"/>
                <w:spacing w:val="11"/>
                <w:sz w:val="22"/>
                <w:szCs w:val="22"/>
              </w:rPr>
              <w:t>针对收入确认，我们执行了以下主要审计程</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37"/>
                <w:w w:val="100"/>
                <w:sz w:val="22"/>
                <w:szCs w:val="22"/>
              </w:rPr>
              <w:t>序：：</w:t>
            </w:r>
          </w:p>
          <w:p>
            <w:pPr>
              <w:pStyle w:val="TableParagraph"/>
              <w:spacing w:line="300" w:lineRule="auto" w:before="60"/>
              <w:ind w:left="105" w:right="17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评价石基信息与收入确认相关的内部</w:t>
            </w:r>
            <w:r>
              <w:rPr>
                <w:rFonts w:ascii="宋体" w:hAnsi="宋体" w:cs="宋体" w:eastAsia="宋体" w:hint="default"/>
                <w:w w:val="100"/>
                <w:sz w:val="22"/>
                <w:szCs w:val="22"/>
              </w:rPr>
              <w:t> </w:t>
            </w:r>
            <w:r>
              <w:rPr>
                <w:rFonts w:ascii="宋体" w:hAnsi="宋体" w:cs="宋体" w:eastAsia="宋体" w:hint="default"/>
                <w:sz w:val="22"/>
                <w:szCs w:val="22"/>
              </w:rPr>
              <w:t>控制的设计、运行及有效性；</w:t>
            </w:r>
          </w:p>
          <w:p>
            <w:pPr>
              <w:pStyle w:val="TableParagraph"/>
              <w:spacing w:line="300" w:lineRule="auto" w:before="17"/>
              <w:ind w:left="105" w:right="137"/>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8"/>
                <w:sz w:val="22"/>
                <w:szCs w:val="22"/>
              </w:rPr>
              <w:t> </w:t>
            </w:r>
            <w:r>
              <w:rPr>
                <w:rFonts w:ascii="宋体" w:hAnsi="宋体" w:cs="宋体" w:eastAsia="宋体" w:hint="default"/>
                <w:sz w:val="22"/>
                <w:szCs w:val="22"/>
              </w:rPr>
              <w:t>审核销售合同及对管理层进行访谈，</w:t>
            </w:r>
            <w:r>
              <w:rPr>
                <w:rFonts w:ascii="宋体" w:hAnsi="宋体" w:cs="宋体" w:eastAsia="宋体" w:hint="default"/>
                <w:w w:val="100"/>
                <w:sz w:val="22"/>
                <w:szCs w:val="22"/>
              </w:rPr>
              <w:t> </w:t>
            </w:r>
            <w:r>
              <w:rPr>
                <w:rFonts w:ascii="宋体" w:hAnsi="宋体" w:cs="宋体" w:eastAsia="宋体" w:hint="default"/>
                <w:spacing w:val="-1"/>
                <w:sz w:val="22"/>
                <w:szCs w:val="22"/>
              </w:rPr>
              <w:t>了解和评估了石基信息公司的收入确认政策；</w:t>
            </w:r>
          </w:p>
          <w:p>
            <w:pPr>
              <w:pStyle w:val="TableParagraph"/>
              <w:spacing w:line="300" w:lineRule="auto" w:before="17"/>
              <w:ind w:left="105" w:right="95"/>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105"/>
                <w:sz w:val="22"/>
                <w:szCs w:val="22"/>
              </w:rPr>
              <w:t> </w:t>
            </w:r>
            <w:r>
              <w:rPr>
                <w:rFonts w:ascii="宋体" w:hAnsi="宋体" w:cs="宋体" w:eastAsia="宋体" w:hint="default"/>
                <w:spacing w:val="2"/>
                <w:sz w:val="22"/>
                <w:szCs w:val="22"/>
              </w:rPr>
              <w:t>对营业收入进行抽样测试，检查对应</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销售合同、发运凭证、验收单或开通报告等资</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料；核对销售合同中风险及报酬条款与收入确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认原则的一致性；</w:t>
            </w:r>
          </w:p>
          <w:p>
            <w:pPr>
              <w:pStyle w:val="TableParagraph"/>
              <w:spacing w:line="300" w:lineRule="auto" w:before="17"/>
              <w:ind w:left="105" w:right="91"/>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95"/>
                <w:sz w:val="22"/>
                <w:szCs w:val="22"/>
              </w:rPr>
              <w:t> </w:t>
            </w:r>
            <w:r>
              <w:rPr>
                <w:rFonts w:ascii="宋体" w:hAnsi="宋体" w:cs="宋体" w:eastAsia="宋体" w:hint="default"/>
                <w:spacing w:val="3"/>
                <w:sz w:val="22"/>
                <w:szCs w:val="22"/>
              </w:rPr>
              <w:t>根据客户交易的特点和性质，选取全</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年销售发生额较大和期末应收预收余额较大客</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户作为样本实施函证；</w:t>
            </w:r>
          </w:p>
          <w:p>
            <w:pPr>
              <w:pStyle w:val="TableParagraph"/>
              <w:tabs>
                <w:tab w:pos="945" w:val="left" w:leader="none"/>
              </w:tabs>
              <w:spacing w:line="300" w:lineRule="auto" w:before="17"/>
              <w:ind w:left="105" w:right="-12"/>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tab/>
            </w:r>
            <w:r>
              <w:rPr>
                <w:rFonts w:ascii="宋体" w:hAnsi="宋体" w:cs="宋体" w:eastAsia="宋体" w:hint="default"/>
                <w:spacing w:val="2"/>
                <w:sz w:val="22"/>
                <w:szCs w:val="22"/>
              </w:rPr>
              <w:t>针对资产负债表日前后确认的收入执</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5"/>
                <w:sz w:val="22"/>
                <w:szCs w:val="22"/>
              </w:rPr>
              <w:t>行抽样截止测试，核对确认接收的支持性文件，</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以评估相关收入是否在恰当的期间确认；</w:t>
            </w:r>
          </w:p>
          <w:p>
            <w:pPr>
              <w:pStyle w:val="TableParagraph"/>
              <w:spacing w:line="300" w:lineRule="auto" w:before="17"/>
              <w:ind w:left="105" w:right="86"/>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97"/>
                <w:sz w:val="22"/>
                <w:szCs w:val="22"/>
              </w:rPr>
              <w:t> </w:t>
            </w:r>
            <w:r>
              <w:rPr>
                <w:rFonts w:ascii="宋体" w:hAnsi="宋体" w:cs="宋体" w:eastAsia="宋体" w:hint="default"/>
                <w:spacing w:val="11"/>
                <w:sz w:val="22"/>
                <w:szCs w:val="22"/>
              </w:rPr>
              <w:t>针对业务推广费收入</w:t>
            </w:r>
            <w:r>
              <w:rPr>
                <w:rFonts w:ascii="宋体" w:hAnsi="宋体" w:cs="宋体" w:eastAsia="宋体" w:hint="default"/>
                <w:spacing w:val="11"/>
                <w:sz w:val="22"/>
                <w:szCs w:val="22"/>
              </w:rPr>
              <w:t>,</w:t>
            </w:r>
            <w:r>
              <w:rPr>
                <w:rFonts w:ascii="宋体" w:hAnsi="宋体" w:cs="宋体" w:eastAsia="宋体" w:hint="default"/>
                <w:spacing w:val="11"/>
                <w:sz w:val="22"/>
                <w:szCs w:val="22"/>
              </w:rPr>
              <w:t>我们登陆支付</w:t>
            </w:r>
            <w:r>
              <w:rPr>
                <w:rFonts w:ascii="宋体" w:hAnsi="宋体" w:cs="宋体" w:eastAsia="宋体" w:hint="default"/>
                <w:spacing w:val="12"/>
                <w:w w:val="100"/>
                <w:sz w:val="22"/>
                <w:szCs w:val="22"/>
              </w:rPr>
              <w:t> </w:t>
            </w:r>
            <w:r>
              <w:rPr>
                <w:rFonts w:ascii="宋体" w:hAnsi="宋体" w:cs="宋体" w:eastAsia="宋体" w:hint="default"/>
                <w:sz w:val="22"/>
                <w:szCs w:val="22"/>
              </w:rPr>
              <w:t>宝及微信系统查询全年结算收款数据，与支付</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宝及微信各月对账单进行核对，验证收入的真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实性及完整性。</w:t>
            </w:r>
          </w:p>
        </w:tc>
      </w:tr>
      <w:tr>
        <w:trPr>
          <w:trHeight w:val="370"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69"/>
                <w:sz w:val="22"/>
                <w:szCs w:val="22"/>
              </w:rPr>
              <w:t> </w:t>
            </w:r>
            <w:r>
              <w:rPr>
                <w:rFonts w:ascii="宋体" w:hAnsi="宋体" w:cs="宋体" w:eastAsia="宋体" w:hint="default"/>
                <w:b/>
                <w:bCs/>
                <w:sz w:val="22"/>
                <w:szCs w:val="22"/>
              </w:rPr>
              <w:t>商誉减值测试事项</w:t>
            </w:r>
            <w:r>
              <w:rPr>
                <w:rFonts w:ascii="宋体" w:hAnsi="宋体" w:cs="宋体" w:eastAsia="宋体" w:hint="default"/>
                <w:sz w:val="22"/>
                <w:szCs w:val="22"/>
              </w:rPr>
            </w:r>
          </w:p>
        </w:tc>
      </w:tr>
      <w:tr>
        <w:trPr>
          <w:trHeight w:val="481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9"/>
              <w:ind w:left="103" w:right="-5" w:firstLine="439"/>
              <w:jc w:val="left"/>
              <w:rPr>
                <w:rFonts w:ascii="宋体" w:hAnsi="宋体" w:cs="宋体" w:eastAsia="宋体" w:hint="default"/>
                <w:sz w:val="22"/>
                <w:szCs w:val="22"/>
              </w:rPr>
            </w:pPr>
            <w:r>
              <w:rPr>
                <w:rFonts w:ascii="宋体" w:hAnsi="宋体" w:cs="宋体" w:eastAsia="宋体" w:hint="default"/>
                <w:spacing w:val="-1"/>
                <w:sz w:val="22"/>
                <w:szCs w:val="22"/>
              </w:rPr>
              <w:t>如财务报表附注四、</w:t>
            </w:r>
            <w:r>
              <w:rPr>
                <w:rFonts w:ascii="宋体" w:hAnsi="宋体" w:cs="宋体" w:eastAsia="宋体" w:hint="default"/>
                <w:spacing w:val="-1"/>
                <w:sz w:val="22"/>
                <w:szCs w:val="22"/>
              </w:rPr>
              <w:t>18.</w:t>
            </w:r>
            <w:r>
              <w:rPr>
                <w:rFonts w:ascii="宋体" w:hAnsi="宋体" w:cs="宋体" w:eastAsia="宋体" w:hint="default"/>
                <w:spacing w:val="-1"/>
                <w:sz w:val="22"/>
                <w:szCs w:val="22"/>
              </w:rPr>
              <w:t>及附注六、</w:t>
            </w:r>
            <w:r>
              <w:rPr>
                <w:rFonts w:ascii="宋体" w:hAnsi="宋体" w:cs="宋体" w:eastAsia="宋体" w:hint="default"/>
                <w:spacing w:val="-1"/>
                <w:sz w:val="22"/>
                <w:szCs w:val="22"/>
              </w:rPr>
              <w:t>16.</w:t>
            </w:r>
            <w:r>
              <w:rPr>
                <w:rFonts w:ascii="宋体" w:hAnsi="宋体" w:cs="宋体" w:eastAsia="宋体" w:hint="default"/>
                <w:spacing w:val="-1"/>
                <w:sz w:val="22"/>
                <w:szCs w:val="22"/>
              </w:rPr>
              <w:t>所示，</w:t>
            </w:r>
            <w:r>
              <w:rPr>
                <w:rFonts w:ascii="宋体" w:hAnsi="宋体" w:cs="宋体" w:eastAsia="宋体" w:hint="default"/>
                <w:w w:val="100"/>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日止，石基信息公司合并资</w:t>
            </w:r>
          </w:p>
          <w:p>
            <w:pPr>
              <w:pStyle w:val="TableParagraph"/>
              <w:spacing w:line="240" w:lineRule="auto" w:before="15"/>
              <w:ind w:left="103" w:right="0"/>
              <w:jc w:val="left"/>
              <w:rPr>
                <w:rFonts w:ascii="宋体" w:hAnsi="宋体" w:cs="宋体" w:eastAsia="宋体" w:hint="default"/>
                <w:sz w:val="22"/>
                <w:szCs w:val="22"/>
              </w:rPr>
            </w:pPr>
            <w:r>
              <w:rPr>
                <w:rFonts w:ascii="宋体" w:hAnsi="宋体" w:cs="宋体" w:eastAsia="宋体" w:hint="default"/>
                <w:sz w:val="22"/>
                <w:szCs w:val="22"/>
              </w:rPr>
              <w:t>产负债表中商誉原值</w:t>
            </w:r>
            <w:r>
              <w:rPr>
                <w:rFonts w:ascii="宋体" w:hAnsi="宋体" w:cs="宋体" w:eastAsia="宋体" w:hint="default"/>
                <w:spacing w:val="-52"/>
                <w:sz w:val="22"/>
                <w:szCs w:val="22"/>
              </w:rPr>
              <w:t> </w:t>
            </w:r>
            <w:r>
              <w:rPr>
                <w:rFonts w:ascii="宋体" w:hAnsi="宋体" w:cs="宋体" w:eastAsia="宋体" w:hint="default"/>
                <w:sz w:val="22"/>
                <w:szCs w:val="22"/>
              </w:rPr>
              <w:t>1,349,624,620.34</w:t>
            </w:r>
            <w:r>
              <w:rPr>
                <w:rFonts w:ascii="宋体" w:hAnsi="宋体" w:cs="宋体" w:eastAsia="宋体" w:hint="default"/>
                <w:spacing w:val="-52"/>
                <w:sz w:val="22"/>
                <w:szCs w:val="22"/>
              </w:rPr>
              <w:t> </w:t>
            </w:r>
            <w:r>
              <w:rPr>
                <w:rFonts w:ascii="宋体" w:hAnsi="宋体" w:cs="宋体" w:eastAsia="宋体" w:hint="default"/>
                <w:sz w:val="22"/>
                <w:szCs w:val="22"/>
              </w:rPr>
              <w:t>元，减值</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准备</w:t>
            </w:r>
            <w:r>
              <w:rPr>
                <w:rFonts w:ascii="宋体" w:hAnsi="宋体" w:cs="宋体" w:eastAsia="宋体" w:hint="default"/>
                <w:spacing w:val="-36"/>
                <w:sz w:val="22"/>
                <w:szCs w:val="22"/>
              </w:rPr>
              <w:t> </w:t>
            </w:r>
            <w:r>
              <w:rPr>
                <w:rFonts w:ascii="宋体" w:hAnsi="宋体" w:cs="宋体" w:eastAsia="宋体" w:hint="default"/>
                <w:sz w:val="22"/>
                <w:szCs w:val="22"/>
              </w:rPr>
              <w:t>41,171,774.78</w:t>
            </w:r>
            <w:r>
              <w:rPr>
                <w:rFonts w:ascii="宋体" w:hAnsi="宋体" w:cs="宋体" w:eastAsia="宋体" w:hint="default"/>
                <w:spacing w:val="-36"/>
                <w:sz w:val="22"/>
                <w:szCs w:val="22"/>
              </w:rPr>
              <w:t> </w:t>
            </w:r>
            <w:r>
              <w:rPr>
                <w:rFonts w:ascii="宋体" w:hAnsi="宋体" w:cs="宋体" w:eastAsia="宋体" w:hint="default"/>
                <w:sz w:val="22"/>
                <w:szCs w:val="22"/>
              </w:rPr>
              <w:t>元，净值</w:t>
            </w:r>
            <w:r>
              <w:rPr>
                <w:rFonts w:ascii="宋体" w:hAnsi="宋体" w:cs="宋体" w:eastAsia="宋体" w:hint="default"/>
                <w:spacing w:val="-35"/>
                <w:sz w:val="22"/>
                <w:szCs w:val="22"/>
              </w:rPr>
              <w:t> </w:t>
            </w:r>
            <w:r>
              <w:rPr>
                <w:rFonts w:ascii="宋体" w:hAnsi="宋体" w:cs="宋体" w:eastAsia="宋体" w:hint="default"/>
                <w:sz w:val="22"/>
                <w:szCs w:val="22"/>
              </w:rPr>
              <w:t>1,308,452,845.56</w:t>
            </w:r>
          </w:p>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sz w:val="22"/>
                <w:szCs w:val="22"/>
              </w:rPr>
              <w:t>元。</w:t>
            </w:r>
          </w:p>
          <w:p>
            <w:pPr>
              <w:pStyle w:val="TableParagraph"/>
              <w:spacing w:line="300" w:lineRule="auto" w:before="113"/>
              <w:ind w:left="103" w:right="97" w:firstLine="439"/>
              <w:jc w:val="both"/>
              <w:rPr>
                <w:rFonts w:ascii="宋体" w:hAnsi="宋体" w:cs="宋体" w:eastAsia="宋体" w:hint="default"/>
                <w:sz w:val="22"/>
                <w:szCs w:val="22"/>
              </w:rPr>
            </w:pPr>
            <w:r>
              <w:rPr>
                <w:rFonts w:ascii="宋体" w:hAnsi="宋体" w:cs="宋体" w:eastAsia="宋体" w:hint="default"/>
                <w:spacing w:val="-7"/>
                <w:sz w:val="22"/>
                <w:szCs w:val="22"/>
              </w:rPr>
              <w:t>石基信息公司管理层（以下简称管理层）每年</w:t>
            </w:r>
            <w:r>
              <w:rPr>
                <w:rFonts w:ascii="宋体" w:hAnsi="宋体" w:cs="宋体" w:eastAsia="宋体" w:hint="default"/>
                <w:w w:val="100"/>
                <w:sz w:val="22"/>
                <w:szCs w:val="22"/>
              </w:rPr>
              <w:t> </w:t>
            </w:r>
            <w:r>
              <w:rPr>
                <w:rFonts w:ascii="宋体" w:hAnsi="宋体" w:cs="宋体" w:eastAsia="宋体" w:hint="default"/>
                <w:spacing w:val="-6"/>
                <w:w w:val="100"/>
                <w:sz w:val="22"/>
                <w:szCs w:val="22"/>
              </w:rPr>
              <w:t>年度终了对商誉进行减值测试。减值测试要求估计</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6"/>
                <w:w w:val="100"/>
                <w:sz w:val="22"/>
                <w:szCs w:val="22"/>
              </w:rPr>
              <w:t>包含商誉在内的相关资产组的可收回金额，即相关</w:t>
            </w:r>
            <w:r>
              <w:rPr>
                <w:rFonts w:ascii="宋体" w:hAnsi="宋体" w:cs="宋体" w:eastAsia="宋体" w:hint="default"/>
                <w:spacing w:val="-104"/>
                <w:w w:val="100"/>
                <w:sz w:val="22"/>
                <w:szCs w:val="22"/>
              </w:rPr>
              <w:t> </w:t>
            </w:r>
            <w:r>
              <w:rPr>
                <w:rFonts w:ascii="宋体" w:hAnsi="宋体" w:cs="宋体" w:eastAsia="宋体" w:hint="default"/>
                <w:spacing w:val="-104"/>
                <w:w w:val="100"/>
                <w:sz w:val="22"/>
                <w:szCs w:val="22"/>
              </w:rPr>
            </w:r>
            <w:r>
              <w:rPr>
                <w:rFonts w:ascii="宋体" w:hAnsi="宋体" w:cs="宋体" w:eastAsia="宋体" w:hint="default"/>
                <w:spacing w:val="3"/>
                <w:sz w:val="22"/>
                <w:szCs w:val="22"/>
              </w:rPr>
              <w:t>资产组的公允价值减去处置费用后的净额与相关</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资产组预计未来现金流量的现值两者之中的较高</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sz w:val="22"/>
                <w:szCs w:val="22"/>
              </w:rPr>
              <w:t>者。为评估相关资产组的可收回金额，管理层编制</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3"/>
                <w:sz w:val="22"/>
                <w:szCs w:val="22"/>
              </w:rPr>
              <w:t>现金流量预测并采用未来预计现金流量折现的模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型计算各相关资产组的未来现金流量现值。</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both"/>
              <w:rPr>
                <w:rFonts w:ascii="宋体" w:hAnsi="宋体" w:cs="宋体" w:eastAsia="宋体" w:hint="default"/>
                <w:sz w:val="22"/>
                <w:szCs w:val="22"/>
              </w:rPr>
            </w:pPr>
            <w:r>
              <w:rPr>
                <w:rFonts w:ascii="宋体" w:hAnsi="宋体" w:cs="宋体" w:eastAsia="宋体" w:hint="default"/>
                <w:spacing w:val="-5"/>
                <w:sz w:val="22"/>
                <w:szCs w:val="22"/>
              </w:rPr>
              <w:t>针对商誉减值测试，我们执行了以下审计程序：</w:t>
            </w:r>
          </w:p>
          <w:p>
            <w:pPr>
              <w:pStyle w:val="TableParagraph"/>
              <w:spacing w:line="240" w:lineRule="auto" w:before="110"/>
              <w:ind w:left="105"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）评价与商誉减值相关的关键内部控制；</w:t>
            </w:r>
          </w:p>
          <w:p>
            <w:pPr>
              <w:pStyle w:val="TableParagraph"/>
              <w:spacing w:line="240" w:lineRule="auto" w:before="113"/>
              <w:ind w:left="105"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）评估减值测试方法的适当性；</w:t>
            </w:r>
          </w:p>
          <w:p>
            <w:pPr>
              <w:pStyle w:val="TableParagraph"/>
              <w:spacing w:line="300" w:lineRule="auto" w:before="115"/>
              <w:ind w:left="105" w:right="96"/>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3</w:t>
            </w:r>
            <w:r>
              <w:rPr>
                <w:rFonts w:ascii="宋体" w:hAnsi="宋体" w:cs="宋体" w:eastAsia="宋体" w:hint="default"/>
                <w:spacing w:val="-5"/>
                <w:sz w:val="22"/>
                <w:szCs w:val="22"/>
              </w:rPr>
              <w:t>）检查管理层测试所依据的基础数据，比较</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管理层本年度及过往年度做出的估计和计划，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并考虑石基信息公司所属行业的近期发展及被</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投资单位的未来经营计划，审慎评价管理层所</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作的假设和关键判断的合理性；</w:t>
            </w:r>
          </w:p>
          <w:p>
            <w:pPr>
              <w:pStyle w:val="TableParagraph"/>
              <w:spacing w:line="300" w:lineRule="auto" w:before="58"/>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4</w:t>
            </w:r>
            <w:r>
              <w:rPr>
                <w:rFonts w:ascii="宋体" w:hAnsi="宋体" w:cs="宋体" w:eastAsia="宋体" w:hint="default"/>
                <w:spacing w:val="-5"/>
                <w:sz w:val="22"/>
                <w:szCs w:val="22"/>
              </w:rPr>
              <w:t>）对比被投资单位本年实现的数据与历史预</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测数据，评估实际数据与历史预测数据的偏离</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度，分析产生偏离的原因，同时评估未来年度</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预测数据的合理性和可实现性；</w:t>
            </w:r>
          </w:p>
        </w:tc>
      </w:tr>
    </w:tbl>
    <w:p>
      <w:pPr>
        <w:spacing w:after="0" w:line="300" w:lineRule="auto"/>
        <w:jc w:val="both"/>
        <w:rPr>
          <w:rFonts w:ascii="宋体" w:hAnsi="宋体" w:cs="宋体" w:eastAsia="宋体" w:hint="default"/>
          <w:sz w:val="22"/>
          <w:szCs w:val="22"/>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52"/>
        <w:gridCol w:w="4657"/>
      </w:tblGrid>
      <w:tr>
        <w:trPr>
          <w:trHeight w:val="185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3" w:right="96" w:firstLine="439"/>
              <w:jc w:val="both"/>
              <w:rPr>
                <w:rFonts w:ascii="宋体" w:hAnsi="宋体" w:cs="宋体" w:eastAsia="宋体" w:hint="default"/>
                <w:sz w:val="22"/>
                <w:szCs w:val="22"/>
              </w:rPr>
            </w:pPr>
            <w:r>
              <w:rPr>
                <w:rFonts w:ascii="宋体" w:hAnsi="宋体" w:cs="宋体" w:eastAsia="宋体" w:hint="default"/>
                <w:spacing w:val="4"/>
                <w:sz w:val="22"/>
                <w:szCs w:val="22"/>
              </w:rPr>
              <w:t>由于评估相关资产组可收回金额时使用了包</w:t>
            </w:r>
            <w:r>
              <w:rPr>
                <w:rFonts w:ascii="宋体" w:hAnsi="宋体" w:cs="宋体" w:eastAsia="宋体" w:hint="default"/>
                <w:w w:val="100"/>
                <w:sz w:val="22"/>
                <w:szCs w:val="22"/>
              </w:rPr>
              <w:t> </w:t>
            </w:r>
            <w:r>
              <w:rPr>
                <w:rFonts w:ascii="宋体" w:hAnsi="宋体" w:cs="宋体" w:eastAsia="宋体" w:hint="default"/>
                <w:spacing w:val="-6"/>
                <w:sz w:val="22"/>
                <w:szCs w:val="22"/>
              </w:rPr>
              <w:t>含收入增长率、预期毛利率、成本费用率及折现率</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6"/>
                <w:sz w:val="22"/>
                <w:szCs w:val="22"/>
              </w:rPr>
              <w:t>等关键参数，涉及大量假设和判断，同时考虑商誉</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6"/>
                <w:sz w:val="22"/>
                <w:szCs w:val="22"/>
              </w:rPr>
              <w:t>对合并财务报表整体的重要性，因此，我们将商誉</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减值作为关键审计事项。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5</w:t>
            </w:r>
            <w:r>
              <w:rPr>
                <w:rFonts w:ascii="宋体" w:hAnsi="宋体" w:cs="宋体" w:eastAsia="宋体" w:hint="default"/>
                <w:spacing w:val="-5"/>
                <w:sz w:val="22"/>
                <w:szCs w:val="22"/>
              </w:rPr>
              <w:t>）对估值模型进行分析，比较分析市场中与</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被投资单位同类型公司采用的估值技术的一致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性，以及石基信息公司对不同被投资单位估值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所采用估值技术的一致性。</w:t>
            </w:r>
          </w:p>
        </w:tc>
      </w:tr>
    </w:tbl>
    <w:p>
      <w:pPr>
        <w:spacing w:line="240" w:lineRule="auto" w:before="9"/>
        <w:rPr>
          <w:rFonts w:ascii="宋体" w:hAnsi="宋体" w:cs="宋体" w:eastAsia="宋体" w:hint="default"/>
          <w:sz w:val="23"/>
          <w:szCs w:val="23"/>
        </w:rPr>
      </w:pPr>
    </w:p>
    <w:p>
      <w:pPr>
        <w:pStyle w:val="Heading5"/>
        <w:tabs>
          <w:tab w:pos="1413" w:val="left" w:leader="none"/>
        </w:tabs>
        <w:spacing w:line="240" w:lineRule="auto"/>
        <w:ind w:right="208" w:firstLine="0"/>
        <w:jc w:val="left"/>
        <w:rPr>
          <w:b w:val="0"/>
          <w:bCs w:val="0"/>
        </w:rPr>
      </w:pPr>
      <w:r>
        <w:rPr>
          <w:w w:val="95"/>
        </w:rPr>
        <w:t>四、</w:t>
        <w:tab/>
      </w:r>
      <w:r>
        <w:rPr/>
        <w:t>其他信息</w:t>
      </w:r>
      <w:r>
        <w:rPr>
          <w:b w:val="0"/>
          <w:bCs w:val="0"/>
        </w:rPr>
      </w:r>
    </w:p>
    <w:p>
      <w:pPr>
        <w:spacing w:line="240" w:lineRule="auto" w:before="5"/>
        <w:rPr>
          <w:rFonts w:ascii="宋体" w:hAnsi="宋体" w:cs="宋体" w:eastAsia="宋体" w:hint="default"/>
          <w:b/>
          <w:bCs/>
          <w:sz w:val="29"/>
          <w:szCs w:val="29"/>
        </w:rPr>
      </w:pPr>
    </w:p>
    <w:p>
      <w:pPr>
        <w:pStyle w:val="Heading6"/>
        <w:spacing w:line="297" w:lineRule="auto"/>
        <w:ind w:right="273"/>
        <w:jc w:val="left"/>
      </w:pPr>
      <w:r>
        <w:rPr/>
        <w:t>管理层对其他信息负责。其他信息包括石基信息公司</w:t>
      </w:r>
      <w:r>
        <w:rPr>
          <w:spacing w:val="-59"/>
        </w:rPr>
        <w:t> </w:t>
      </w:r>
      <w:r>
        <w:rPr>
          <w:rFonts w:ascii="宋体" w:hAnsi="宋体" w:cs="宋体" w:eastAsia="宋体" w:hint="default"/>
        </w:rPr>
        <w:t>2017</w:t>
      </w:r>
      <w:r>
        <w:rPr>
          <w:rFonts w:ascii="宋体" w:hAnsi="宋体" w:cs="宋体" w:eastAsia="宋体" w:hint="default"/>
          <w:spacing w:val="-59"/>
        </w:rPr>
        <w:t> </w:t>
      </w:r>
      <w:r>
        <w:rPr/>
        <w:t>年年度报告中涵盖的信息，但不包括</w:t>
      </w:r>
      <w:r>
        <w:rPr>
          <w:w w:val="100"/>
        </w:rPr>
        <w:t> </w:t>
      </w:r>
      <w:r>
        <w:rPr/>
        <w:t>财务报表和我们的审计报告。</w:t>
      </w:r>
    </w:p>
    <w:p>
      <w:pPr>
        <w:spacing w:line="240" w:lineRule="auto" w:before="7"/>
        <w:rPr>
          <w:rFonts w:ascii="宋体" w:hAnsi="宋体" w:cs="宋体" w:eastAsia="宋体" w:hint="default"/>
          <w:sz w:val="25"/>
          <w:szCs w:val="25"/>
        </w:rPr>
      </w:pPr>
    </w:p>
    <w:p>
      <w:pPr>
        <w:pStyle w:val="Heading6"/>
        <w:spacing w:line="297" w:lineRule="auto"/>
        <w:ind w:right="208"/>
        <w:jc w:val="left"/>
      </w:pPr>
      <w:r>
        <w:rPr>
          <w:spacing w:val="-1"/>
        </w:rPr>
        <w:t>我们对财务报表发表的审计意见不涵盖其他信息，我们也不对其他信息发表任何形式的鉴证结</w:t>
      </w:r>
      <w:r>
        <w:rPr>
          <w:w w:val="100"/>
        </w:rPr>
        <w:t> </w:t>
      </w:r>
      <w:r>
        <w:rPr/>
        <w:t>论。</w:t>
      </w:r>
    </w:p>
    <w:p>
      <w:pPr>
        <w:spacing w:line="240" w:lineRule="auto" w:before="7"/>
        <w:rPr>
          <w:rFonts w:ascii="宋体" w:hAnsi="宋体" w:cs="宋体" w:eastAsia="宋体" w:hint="default"/>
          <w:sz w:val="25"/>
          <w:szCs w:val="25"/>
        </w:rPr>
      </w:pPr>
    </w:p>
    <w:p>
      <w:pPr>
        <w:pStyle w:val="Heading6"/>
        <w:spacing w:line="297" w:lineRule="auto"/>
        <w:ind w:right="208"/>
        <w:jc w:val="left"/>
      </w:pPr>
      <w:r>
        <w:rPr>
          <w:spacing w:val="-2"/>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spacing w:line="240" w:lineRule="auto" w:before="7"/>
        <w:rPr>
          <w:rFonts w:ascii="宋体" w:hAnsi="宋体" w:cs="宋体" w:eastAsia="宋体" w:hint="default"/>
          <w:sz w:val="25"/>
          <w:szCs w:val="25"/>
        </w:rPr>
      </w:pPr>
    </w:p>
    <w:p>
      <w:pPr>
        <w:pStyle w:val="Heading6"/>
        <w:spacing w:line="297" w:lineRule="auto"/>
        <w:ind w:right="100"/>
        <w:jc w:val="left"/>
      </w:pPr>
      <w:r>
        <w:rPr>
          <w:spacing w:val="-5"/>
        </w:rPr>
        <w:t>基于我们已执行的工作，如果我们确定其他信息存在重大错报，我们应当报告该事实。在这方面，</w:t>
      </w:r>
      <w:r>
        <w:rPr>
          <w:w w:val="100"/>
        </w:rPr>
        <w:t> </w:t>
      </w:r>
      <w:r>
        <w:rPr/>
        <w:t>我们无任何事项需要报告。</w:t>
      </w:r>
    </w:p>
    <w:p>
      <w:pPr>
        <w:tabs>
          <w:tab w:pos="1413" w:val="left" w:leader="none"/>
        </w:tabs>
        <w:spacing w:line="672" w:lineRule="exact" w:before="53"/>
        <w:ind w:left="592" w:right="213" w:firstLine="2"/>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Heading6"/>
        <w:spacing w:line="255" w:lineRule="exact"/>
        <w:ind w:right="208" w:firstLine="0"/>
        <w:jc w:val="left"/>
      </w:pPr>
      <w:r>
        <w:rPr/>
        <w:t>要的内部控制，以使财务报表不存在由于舞弊或错误导致的重大错报。</w:t>
      </w:r>
    </w:p>
    <w:p>
      <w:pPr>
        <w:spacing w:line="240" w:lineRule="auto" w:before="7"/>
        <w:rPr>
          <w:rFonts w:ascii="宋体" w:hAnsi="宋体" w:cs="宋体" w:eastAsia="宋体" w:hint="default"/>
          <w:sz w:val="29"/>
          <w:szCs w:val="29"/>
        </w:rPr>
      </w:pPr>
    </w:p>
    <w:p>
      <w:pPr>
        <w:pStyle w:val="Heading6"/>
        <w:spacing w:line="240" w:lineRule="auto"/>
        <w:ind w:left="592" w:right="100" w:firstLine="0"/>
        <w:jc w:val="left"/>
      </w:pPr>
      <w:r>
        <w:rPr/>
        <w:t>在编制财务报表时，管理层负责评估石基信息公司的持续经营能力，披露与持续经营相关的事项</w:t>
      </w:r>
    </w:p>
    <w:p>
      <w:pPr>
        <w:pStyle w:val="Heading6"/>
        <w:spacing w:line="297" w:lineRule="auto" w:before="72"/>
        <w:ind w:right="100" w:firstLine="0"/>
        <w:jc w:val="left"/>
      </w:pPr>
      <w:r>
        <w:rPr>
          <w:spacing w:val="-2"/>
          <w:w w:val="100"/>
        </w:rPr>
        <w:t>（如适用），并运用持续经营假设，除非管理层计划清算石基信息公司、终止运营或别无其他现实的</w:t>
      </w:r>
      <w:r>
        <w:rPr>
          <w:spacing w:val="-100"/>
          <w:w w:val="100"/>
        </w:rPr>
        <w:t> </w:t>
      </w:r>
      <w:r>
        <w:rPr>
          <w:spacing w:val="-100"/>
          <w:w w:val="100"/>
        </w:rPr>
      </w:r>
      <w:r>
        <w:rPr/>
        <w:t>选择。</w:t>
      </w:r>
    </w:p>
    <w:p>
      <w:pPr>
        <w:spacing w:line="240" w:lineRule="auto" w:before="7"/>
        <w:rPr>
          <w:rFonts w:ascii="宋体" w:hAnsi="宋体" w:cs="宋体" w:eastAsia="宋体" w:hint="default"/>
          <w:sz w:val="25"/>
          <w:szCs w:val="25"/>
        </w:rPr>
      </w:pPr>
    </w:p>
    <w:p>
      <w:pPr>
        <w:tabs>
          <w:tab w:pos="1413" w:val="left" w:leader="none"/>
        </w:tabs>
        <w:spacing w:line="559" w:lineRule="auto" w:before="0"/>
        <w:ind w:left="594" w:right="4789"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治理层负责监督石基信息公司的财务报告过程。</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pStyle w:val="Heading6"/>
        <w:spacing w:line="300" w:lineRule="auto" w:before="91"/>
        <w:ind w:right="210"/>
        <w:jc w:val="both"/>
      </w:pPr>
      <w:r>
        <w:rPr>
          <w:spacing w:val="-2"/>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spacing w:line="240" w:lineRule="auto" w:before="4"/>
        <w:rPr>
          <w:rFonts w:ascii="宋体" w:hAnsi="宋体" w:cs="宋体" w:eastAsia="宋体" w:hint="default"/>
          <w:sz w:val="25"/>
          <w:szCs w:val="25"/>
        </w:rPr>
      </w:pPr>
    </w:p>
    <w:p>
      <w:pPr>
        <w:pStyle w:val="Heading6"/>
        <w:spacing w:line="297" w:lineRule="auto"/>
        <w:ind w:right="208"/>
        <w:jc w:val="left"/>
      </w:pPr>
      <w:r>
        <w:rPr>
          <w:spacing w:val="-2"/>
        </w:rPr>
        <w:t>在按照审计准则执行审计工作的过程中，我们运用职业判断，并保持职业怀疑。同时，我们也执</w:t>
      </w:r>
      <w:r>
        <w:rPr>
          <w:w w:val="100"/>
        </w:rPr>
        <w:t> </w:t>
      </w:r>
      <w:r>
        <w:rPr/>
        <w:t>行以下工作：</w:t>
      </w:r>
    </w:p>
    <w:p>
      <w:pPr>
        <w:spacing w:after="0" w:line="297" w:lineRule="auto"/>
        <w:jc w:val="left"/>
        <w:sectPr>
          <w:pgSz w:w="11910" w:h="16840"/>
          <w:pgMar w:header="877" w:footer="980" w:top="1100" w:bottom="1160" w:left="980" w:right="920"/>
        </w:sectPr>
      </w:pPr>
    </w:p>
    <w:p>
      <w:pPr>
        <w:spacing w:line="240" w:lineRule="auto" w:before="6"/>
        <w:rPr>
          <w:rFonts w:ascii="宋体" w:hAnsi="宋体" w:cs="宋体" w:eastAsia="宋体" w:hint="default"/>
          <w:sz w:val="24"/>
          <w:szCs w:val="24"/>
        </w:rPr>
      </w:pPr>
    </w:p>
    <w:p>
      <w:pPr>
        <w:pStyle w:val="Heading6"/>
        <w:tabs>
          <w:tab w:pos="1553" w:val="left" w:leader="none"/>
        </w:tabs>
        <w:spacing w:line="300" w:lineRule="auto" w:before="32"/>
        <w:ind w:left="292" w:right="100"/>
        <w:jc w:val="left"/>
      </w:pPr>
      <w:r>
        <w:rPr/>
        <w:t>（</w:t>
      </w:r>
      <w:r>
        <w:rPr>
          <w:rFonts w:ascii="宋体" w:hAnsi="宋体" w:cs="宋体" w:eastAsia="宋体" w:hint="default"/>
        </w:rPr>
        <w:t>1</w:t>
      </w:r>
      <w:r>
        <w:rPr/>
        <w:t>）</w:t>
        <w:tab/>
        <w:t>识别和评估由于舞弊或错误导致的财务报表重大错报风险，设计和实施审计程序以应对</w:t>
      </w:r>
      <w:r>
        <w:rPr>
          <w:w w:val="100"/>
        </w:rPr>
        <w:t> </w:t>
      </w:r>
      <w:r>
        <w:rPr>
          <w:spacing w:val="-5"/>
        </w:rPr>
        <w:t>这些风险，并获取充分、适当的审计证据，作为发表审计意见的基础。由于舞弊可能涉及串通、伪造、</w:t>
      </w:r>
      <w:r>
        <w:rPr>
          <w:spacing w:val="-42"/>
        </w:rPr>
        <w:t> </w:t>
      </w:r>
      <w:r>
        <w:rPr>
          <w:spacing w:val="-42"/>
        </w:rPr>
      </w:r>
      <w:r>
        <w:rPr/>
        <w:t>故意遗漏、虚假陈述或凌驾于内部控制之上，未能发现由于舞弊导致的重大错报的风险高于未能发现</w:t>
      </w:r>
      <w:r>
        <w:rPr>
          <w:w w:val="100"/>
        </w:rPr>
        <w:t> </w:t>
      </w:r>
      <w:r>
        <w:rPr/>
        <w:t>由于错误导致的重大错报的风险。</w:t>
      </w:r>
    </w:p>
    <w:p>
      <w:pPr>
        <w:spacing w:line="240" w:lineRule="auto" w:before="2"/>
        <w:rPr>
          <w:rFonts w:ascii="宋体" w:hAnsi="宋体" w:cs="宋体" w:eastAsia="宋体" w:hint="default"/>
          <w:sz w:val="25"/>
          <w:szCs w:val="25"/>
        </w:rPr>
      </w:pPr>
    </w:p>
    <w:p>
      <w:pPr>
        <w:pStyle w:val="Heading6"/>
        <w:tabs>
          <w:tab w:pos="1553" w:val="left" w:leader="none"/>
        </w:tabs>
        <w:spacing w:line="300" w:lineRule="auto"/>
        <w:ind w:left="292" w:right="210"/>
        <w:jc w:val="left"/>
      </w:pPr>
      <w:r>
        <w:rPr/>
        <w:t>（</w:t>
      </w:r>
      <w:r>
        <w:rPr>
          <w:rFonts w:ascii="宋体" w:hAnsi="宋体" w:cs="宋体" w:eastAsia="宋体" w:hint="default"/>
        </w:rPr>
        <w:t>2</w:t>
      </w:r>
      <w:r>
        <w:rPr/>
        <w:t>）</w:t>
        <w:tab/>
      </w:r>
      <w:r>
        <w:rPr>
          <w:spacing w:val="-1"/>
        </w:rPr>
        <w:t>了解与审计相关的内部控制，以设计恰当的审计程序，但目的并非对内部控制的有效性</w:t>
      </w:r>
      <w:r>
        <w:rPr>
          <w:w w:val="100"/>
        </w:rPr>
        <w:t> </w:t>
      </w:r>
      <w:r>
        <w:rPr/>
        <w:t>发表意见。</w:t>
      </w:r>
    </w:p>
    <w:p>
      <w:pPr>
        <w:spacing w:line="240" w:lineRule="auto" w:before="2"/>
        <w:rPr>
          <w:rFonts w:ascii="宋体" w:hAnsi="宋体" w:cs="宋体" w:eastAsia="宋体" w:hint="default"/>
          <w:sz w:val="25"/>
          <w:szCs w:val="25"/>
        </w:rPr>
      </w:pPr>
    </w:p>
    <w:p>
      <w:pPr>
        <w:pStyle w:val="Heading6"/>
        <w:tabs>
          <w:tab w:pos="1553" w:val="left" w:leader="none"/>
        </w:tabs>
        <w:spacing w:line="240" w:lineRule="auto"/>
        <w:ind w:left="732" w:right="100" w:firstLine="0"/>
        <w:jc w:val="left"/>
      </w:pPr>
      <w:r>
        <w:rPr/>
        <w:t>（</w:t>
      </w:r>
      <w:r>
        <w:rPr>
          <w:rFonts w:ascii="宋体" w:hAnsi="宋体" w:cs="宋体" w:eastAsia="宋体" w:hint="default"/>
        </w:rPr>
        <w:t>3</w:t>
      </w:r>
      <w:r>
        <w:rPr/>
        <w:t>）</w:t>
        <w:tab/>
        <w:t>评价管理层选用会计政策的恰当性和作出会计估计及相关披露的合理性。</w:t>
      </w:r>
    </w:p>
    <w:p>
      <w:pPr>
        <w:spacing w:line="240" w:lineRule="auto" w:before="5"/>
        <w:rPr>
          <w:rFonts w:ascii="宋体" w:hAnsi="宋体" w:cs="宋体" w:eastAsia="宋体" w:hint="default"/>
          <w:sz w:val="29"/>
          <w:szCs w:val="29"/>
        </w:rPr>
      </w:pPr>
    </w:p>
    <w:p>
      <w:pPr>
        <w:pStyle w:val="Heading6"/>
        <w:spacing w:line="300" w:lineRule="auto"/>
        <w:ind w:left="292" w:right="208"/>
        <w:jc w:val="both"/>
      </w:pPr>
      <w:r>
        <w:rPr/>
        <w:t>（</w:t>
      </w:r>
      <w:r>
        <w:rPr>
          <w:rFonts w:ascii="宋体" w:hAnsi="宋体" w:cs="宋体" w:eastAsia="宋体" w:hint="default"/>
        </w:rPr>
        <w:t>4</w:t>
      </w:r>
      <w:r>
        <w:rPr/>
        <w:t>）</w:t>
      </w:r>
      <w:r>
        <w:rPr>
          <w:spacing w:val="70"/>
        </w:rPr>
        <w:t> </w:t>
      </w:r>
      <w:r>
        <w:rPr/>
        <w:t>对管理层使用持续经营假设的恰当性得出结论。同时，根据获取的审计证据，就可能导</w:t>
      </w:r>
      <w:r>
        <w:rPr>
          <w:w w:val="100"/>
        </w:rPr>
        <w:t> </w:t>
      </w:r>
      <w:r>
        <w:rPr>
          <w:spacing w:val="-2"/>
        </w:rPr>
        <w:t>致对石基信息公司持续经营能力产生重大疑虑的事项或情况是否存在重大不确定性得出结论。如果我</w:t>
      </w:r>
      <w:r>
        <w:rPr>
          <w:spacing w:val="-74"/>
        </w:rPr>
        <w:t> </w:t>
      </w:r>
      <w:r>
        <w:rPr>
          <w:spacing w:val="-74"/>
        </w:rPr>
      </w:r>
      <w:r>
        <w:rPr>
          <w:spacing w:val="-2"/>
        </w:rPr>
        <w:t>们得出结论认为存在重大不确定性，审计准则要求我们在审计报告中提请报表使用者注意财务报表中</w:t>
      </w:r>
      <w:r>
        <w:rPr>
          <w:spacing w:val="-72"/>
        </w:rPr>
        <w:t> </w:t>
      </w:r>
      <w:r>
        <w:rPr>
          <w:spacing w:val="-72"/>
        </w:rPr>
      </w:r>
      <w:r>
        <w:rPr>
          <w:spacing w:val="-2"/>
        </w:rPr>
        <w:t>的相关披露；如果披露不充分，我们应当发表非无保留意见。我们的结论基于截至审计报告日可获得</w:t>
      </w:r>
      <w:r>
        <w:rPr>
          <w:spacing w:val="-67"/>
        </w:rPr>
        <w:t> </w:t>
      </w:r>
      <w:r>
        <w:rPr>
          <w:spacing w:val="-67"/>
        </w:rPr>
      </w:r>
      <w:r>
        <w:rPr/>
        <w:t>的信息。然而，未来的事项或情况可能导致石基信息不能持续经营。</w:t>
      </w:r>
    </w:p>
    <w:p>
      <w:pPr>
        <w:spacing w:line="240" w:lineRule="auto" w:before="2"/>
        <w:rPr>
          <w:rFonts w:ascii="宋体" w:hAnsi="宋体" w:cs="宋体" w:eastAsia="宋体" w:hint="default"/>
          <w:sz w:val="25"/>
          <w:szCs w:val="25"/>
        </w:rPr>
      </w:pPr>
    </w:p>
    <w:p>
      <w:pPr>
        <w:pStyle w:val="Heading6"/>
        <w:tabs>
          <w:tab w:pos="1553" w:val="left" w:leader="none"/>
        </w:tabs>
        <w:spacing w:line="300" w:lineRule="auto"/>
        <w:ind w:left="292" w:right="210"/>
        <w:jc w:val="left"/>
      </w:pPr>
      <w:r>
        <w:rPr>
          <w:w w:val="100"/>
        </w:rPr>
        <w:t>（</w:t>
      </w:r>
      <w:r>
        <w:rPr>
          <w:rFonts w:ascii="宋体" w:hAnsi="宋体" w:cs="宋体" w:eastAsia="宋体" w:hint="default"/>
          <w:w w:val="100"/>
        </w:rPr>
        <w:t>5</w:t>
      </w:r>
      <w:r>
        <w:rPr>
          <w:w w:val="100"/>
        </w:rPr>
        <w:t>）</w:t>
        <w:tab/>
      </w:r>
      <w:r>
        <w:rPr>
          <w:spacing w:val="-7"/>
          <w:w w:val="100"/>
        </w:rPr>
        <w:t>评价财务报表的总体列报、结构和内容（包括披露），并评价财务报表是否公允反映相关</w:t>
      </w:r>
      <w:r>
        <w:rPr>
          <w:w w:val="100"/>
        </w:rPr>
        <w:t> </w:t>
      </w:r>
      <w:r>
        <w:rPr/>
        <w:t>交易和事项。</w:t>
      </w:r>
    </w:p>
    <w:p>
      <w:pPr>
        <w:spacing w:line="240" w:lineRule="auto" w:before="2"/>
        <w:rPr>
          <w:rFonts w:ascii="宋体" w:hAnsi="宋体" w:cs="宋体" w:eastAsia="宋体" w:hint="default"/>
          <w:sz w:val="25"/>
          <w:szCs w:val="25"/>
        </w:rPr>
      </w:pPr>
    </w:p>
    <w:p>
      <w:pPr>
        <w:pStyle w:val="Heading6"/>
        <w:tabs>
          <w:tab w:pos="1553" w:val="left" w:leader="none"/>
        </w:tabs>
        <w:spacing w:line="300" w:lineRule="auto"/>
        <w:ind w:left="292" w:right="210"/>
        <w:jc w:val="left"/>
      </w:pPr>
      <w:r>
        <w:rPr/>
        <w:t>（</w:t>
      </w:r>
      <w:r>
        <w:rPr>
          <w:rFonts w:ascii="宋体" w:hAnsi="宋体" w:cs="宋体" w:eastAsia="宋体" w:hint="default"/>
        </w:rPr>
        <w:t>6</w:t>
      </w:r>
      <w:r>
        <w:rPr/>
        <w:t>）</w:t>
        <w:tab/>
      </w:r>
      <w:r>
        <w:rPr>
          <w:spacing w:val="-1"/>
        </w:rPr>
        <w:t>就石基信息公司中实体或业务活动的财务信息获取充分、适当的审计证据，以对财务报</w:t>
      </w:r>
      <w:r>
        <w:rPr>
          <w:w w:val="100"/>
        </w:rPr>
        <w:t> </w:t>
      </w:r>
      <w:r>
        <w:rPr/>
        <w:t>表发表审计意见。我们负责指导、监督和执行集团审计，并对审计意见承担全部责任。</w:t>
      </w:r>
    </w:p>
    <w:p>
      <w:pPr>
        <w:spacing w:line="240" w:lineRule="auto" w:before="2"/>
        <w:rPr>
          <w:rFonts w:ascii="宋体" w:hAnsi="宋体" w:cs="宋体" w:eastAsia="宋体" w:hint="default"/>
          <w:sz w:val="25"/>
          <w:szCs w:val="25"/>
        </w:rPr>
      </w:pPr>
    </w:p>
    <w:p>
      <w:pPr>
        <w:pStyle w:val="Heading6"/>
        <w:spacing w:line="297" w:lineRule="auto"/>
        <w:ind w:left="292" w:right="100"/>
        <w:jc w:val="left"/>
      </w:pPr>
      <w:r>
        <w:rPr>
          <w:spacing w:val="-2"/>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7"/>
        <w:rPr>
          <w:rFonts w:ascii="宋体" w:hAnsi="宋体" w:cs="宋体" w:eastAsia="宋体" w:hint="default"/>
          <w:sz w:val="25"/>
          <w:szCs w:val="25"/>
        </w:rPr>
      </w:pPr>
    </w:p>
    <w:p>
      <w:pPr>
        <w:pStyle w:val="Heading6"/>
        <w:spacing w:line="297" w:lineRule="auto"/>
        <w:ind w:left="292" w:right="100"/>
        <w:jc w:val="left"/>
      </w:pPr>
      <w:r>
        <w:rPr>
          <w:spacing w:val="-2"/>
        </w:rPr>
        <w:t>我们还就已遵守与独立性相关的职业道德要求向治理层提供声明，并与治理层沟通可能被合理认</w:t>
      </w:r>
      <w:r>
        <w:rPr>
          <w:w w:val="100"/>
        </w:rPr>
        <w:t> </w:t>
      </w:r>
      <w:r>
        <w:rPr>
          <w:spacing w:val="-5"/>
          <w:w w:val="100"/>
        </w:rPr>
        <w:t>为影响我们独立性的所有关系和其他事项，以及相关的防范措施（如适用）。</w:t>
      </w:r>
    </w:p>
    <w:p>
      <w:pPr>
        <w:spacing w:line="240" w:lineRule="auto" w:before="7"/>
        <w:rPr>
          <w:rFonts w:ascii="宋体" w:hAnsi="宋体" w:cs="宋体" w:eastAsia="宋体" w:hint="default"/>
          <w:sz w:val="25"/>
          <w:szCs w:val="25"/>
        </w:rPr>
      </w:pPr>
    </w:p>
    <w:p>
      <w:pPr>
        <w:pStyle w:val="Heading6"/>
        <w:spacing w:line="300" w:lineRule="auto"/>
        <w:ind w:left="292" w:right="100"/>
        <w:jc w:val="left"/>
      </w:pPr>
      <w:r>
        <w:rPr>
          <w:spacing w:val="-2"/>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4326"/>
        <w:gridCol w:w="5104"/>
      </w:tblGrid>
      <w:tr>
        <w:trPr>
          <w:trHeight w:val="44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5104" w:type="dxa"/>
            <w:tcBorders>
              <w:top w:val="nil" w:sz="6" w:space="0" w:color="auto"/>
              <w:left w:val="nil" w:sz="6" w:space="0" w:color="auto"/>
              <w:bottom w:val="nil" w:sz="6" w:space="0" w:color="auto"/>
              <w:right w:val="nil" w:sz="6" w:space="0" w:color="auto"/>
            </w:tcBorders>
          </w:tcPr>
          <w:p>
            <w:pPr>
              <w:pStyle w:val="TableParagraph"/>
              <w:tabs>
                <w:tab w:pos="3363" w:val="left" w:leader="none"/>
              </w:tabs>
              <w:spacing w:line="221" w:lineRule="exact"/>
              <w:ind w:left="456"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中国注册会计师：张昆</w:t>
              <w:tab/>
              <w:t>（项目合伙人）</w:t>
            </w:r>
          </w:p>
        </w:tc>
      </w:tr>
      <w:tr>
        <w:trPr>
          <w:trHeight w:val="658" w:hRule="exact"/>
        </w:trPr>
        <w:tc>
          <w:tcPr>
            <w:tcW w:w="4326" w:type="dxa"/>
            <w:tcBorders>
              <w:top w:val="nil" w:sz="6" w:space="0" w:color="auto"/>
              <w:left w:val="nil" w:sz="6" w:space="0" w:color="auto"/>
              <w:bottom w:val="nil" w:sz="6" w:space="0" w:color="auto"/>
              <w:right w:val="nil" w:sz="6" w:space="0" w:color="auto"/>
            </w:tcBorders>
          </w:tcPr>
          <w:p>
            <w:pPr/>
          </w:p>
        </w:tc>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中国注册会计师：张海啸</w:t>
            </w:r>
          </w:p>
        </w:tc>
      </w:tr>
      <w:tr>
        <w:trPr>
          <w:trHeight w:val="442" w:hRule="exact"/>
        </w:trPr>
        <w:tc>
          <w:tcPr>
            <w:tcW w:w="4326" w:type="dxa"/>
            <w:tcBorders>
              <w:top w:val="nil" w:sz="6" w:space="0" w:color="auto"/>
              <w:left w:val="nil" w:sz="6" w:space="0" w:color="auto"/>
              <w:bottom w:val="nil" w:sz="6" w:space="0" w:color="auto"/>
              <w:right w:val="nil" w:sz="6" w:space="0" w:color="auto"/>
            </w:tcBorders>
          </w:tcPr>
          <w:p>
            <w:pPr>
              <w:pStyle w:val="TableParagraph"/>
              <w:tabs>
                <w:tab w:pos="970" w:val="left" w:leader="none"/>
              </w:tabs>
              <w:spacing w:line="240" w:lineRule="auto" w:before="153"/>
              <w:ind w:left="130" w:right="0"/>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56" w:right="0"/>
              <w:jc w:val="left"/>
              <w:rPr>
                <w:rFonts w:ascii="宋体" w:hAnsi="宋体" w:cs="宋体" w:eastAsia="宋体" w:hint="default"/>
                <w:sz w:val="22"/>
                <w:szCs w:val="22"/>
              </w:rPr>
            </w:pPr>
            <w:r>
              <w:rPr>
                <w:rFonts w:ascii="宋体" w:hAnsi="宋体" w:cs="宋体" w:eastAsia="宋体" w:hint="default"/>
                <w:sz w:val="22"/>
                <w:szCs w:val="22"/>
              </w:rPr>
              <w:t>二〇一八年四月十八日</w:t>
            </w:r>
          </w:p>
        </w:tc>
      </w:tr>
    </w:tbl>
    <w:p>
      <w:pPr>
        <w:spacing w:after="0" w:line="240" w:lineRule="auto"/>
        <w:jc w:val="left"/>
        <w:rPr>
          <w:rFonts w:ascii="宋体" w:hAnsi="宋体" w:cs="宋体" w:eastAsia="宋体" w:hint="default"/>
          <w:sz w:val="22"/>
          <w:szCs w:val="22"/>
        </w:rPr>
        <w:sectPr>
          <w:pgSz w:w="11910" w:h="16840"/>
          <w:pgMar w:header="877" w:footer="980" w:top="1100" w:bottom="1160" w:left="840" w:right="92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7"/>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933" w:space="143"/>
            <w:col w:w="1641" w:space="3203"/>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1,714,961,087.82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2,644,765,481.81</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701,358.65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2,055,230.00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441,234,382.22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342,576,439.79</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56,015,619.49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57,299,859.27</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191,892.43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59,746,332.89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59,571,126.14</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271,557,513.71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262,444,226.14</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1,519,206,353.74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248,606,400.40</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4,063,614,540.95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3,618,718,763.55</w:t>
            </w:r>
          </w:p>
        </w:tc>
      </w:tr>
      <w:tr>
        <w:trPr>
          <w:trHeight w:val="4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63,144,486.17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33,099,737.03</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353,173,204.23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557,307,067.59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56,328,348.58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106,243,764.19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328,105,170.26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350,295,620.18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52,062,798.61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13,540,623.15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420,020,093.50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231,066,519.43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72,734,817.91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1,198,699.83</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1,308,452,845.56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1,113,402,158.39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3,558,700.55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5,232,479.44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48,829,569.24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27,163,847.22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2,723,910,034.61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2,438,550,516.45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6,787,524,575.56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6,057,269,280.00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16,384,830.73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84,077,205.31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60,459,186.91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175,038,841.02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121,617,453.52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524,427,735.62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414,571,036.98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97,730,575.25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76,134,454.26</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87,565,813.01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82,114,952.35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114,200,855.20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52,108,608.81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2,373,958.82</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38,750,000.00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1,133,299,814.96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845,755,692.83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208,467,614.63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33,581,250.00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196,160.00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1,396,700.29</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456,666.67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366,666.67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40,888,366.88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49,750,612.21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253,486,758.47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83,698,528.88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1,386,786,573.43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929,454,221.71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1,658,040,546.24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1,617,721,001.67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18,809,655.67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8,404,854.66</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38,278,825.78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17,239,605.73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2,469,484,345.23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2,229,233,489.44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5,251,402,125.92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4,939,387,704.50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394"/>
        <w:gridCol w:w="2693"/>
        <w:gridCol w:w="2482"/>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149,335,876.21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188,427,353.79</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5,400,738,002.13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5,127,815,058.29</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6,787,524,575.56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6,057,269,280.00</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18"/>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405,784,707.78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1,451,116,810.42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35,762,072.00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28,506,386.28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3,206,293.60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21,882,579.57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51,998,479.31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39,638,479.31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499,376,993.08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106,436,053.21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116,575,476.09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71,622,049.40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525,144,978.71</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1,637,849,000.57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1,720,602,358.19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2,971,615,240.28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2,765,055,007.05</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92,124,359.82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95,587,530.22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7,058,283.79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10,587,425.59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6,200,272.72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2,227,842.79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3,094,498,156.61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2,873,457,805.65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4,732,347,157.18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4,594,060,163.84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171,306,803.42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40,699,572.85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171,539,911.61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118,040,484.03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25,740,058.33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15,609,149.27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664,863.03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9,364,718.70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869,775,485.58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1,082,063,046.77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1,270,527,121.97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1,297,276,971.62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33,581,250.00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33,581,250.00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1,272,608,371.97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1,330,858,221.62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1,667,484,765.75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1,638,668,573.15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104,877,458.46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599,548,587.95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452,867,157.61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3,459,738,785.21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3,263,201,942.22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4,732,347,157.18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4,594,060,163.84</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1"/>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2,961,186,590.64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2,662,608,134.04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2,961,186,590.64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2,662,608,134.04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2,610,379,985.76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2,330,820,869.49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1,639,529,519.46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1,585,298,092.88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253"/>
        <w:gridCol w:w="2693"/>
        <w:gridCol w:w="2621"/>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22,300,529.18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20,288,667.27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188,605,905.77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183,966,682.23</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718,086,379.26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556,670,439.23</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-910,076.63</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-81,529,853.82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42,767,728.72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66,126,841.70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52,277,471.11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16,693,504.74</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10,092,854.41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11,886,164.54</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17,169.97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18,007.56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93,685,498.83</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496,786,744.79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348,498,776.85</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4,904,270.87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131,588,983.57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17,336,291.26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2,483,498.91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484,354,724.40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477,604,261.51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59,390,579.09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71,806,414.00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424,964,145.31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405,797,847.51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8"/>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424,964,145.31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405,797,847.51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419,028,697.62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388,790,331.19</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5,935,447.69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17,007,516.32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10,404,801.01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-36,901,043.66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10,404,801.01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-36,901,043.66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 益的其他综合收益中享有的份额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10,404,801.01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-36,901,043.66</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 损益的其他综合收益中享有的份额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924,614.26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-176,441.21</w:t>
            </w:r>
          </w:p>
        </w:tc>
      </w:tr>
      <w:tr>
        <w:trPr>
          <w:trHeight w:val="41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-27,953,813.62</w:t>
            </w:r>
          </w:p>
        </w:tc>
      </w:tr>
      <w:tr>
        <w:trPr>
          <w:trHeight w:val="38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持有至到期投资重分类为可供出售金融</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1"/>
      </w:tblGrid>
      <w:tr>
        <w:trPr>
          <w:trHeight w:val="36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9,480,186.75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-8,770,788.83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435,368,946.32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368,896,803.85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429,433,498.63</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351,889,287.53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5,935,447.69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17,007,516.32</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bl>
    <w:p>
      <w:pPr>
        <w:tabs>
          <w:tab w:pos="3578" w:val="left" w:leader="none"/>
          <w:tab w:pos="7721" w:val="left" w:leader="none"/>
        </w:tabs>
        <w:spacing w:line="595" w:lineRule="auto" w:before="49"/>
        <w:ind w:left="152" w:right="243"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408,374,133.68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432,380,484.34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265,790,148.02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288,064,502.06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3,186,461.23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3,302,270.21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19,966,913.22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15,147,368.49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180,687,801.60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126,434,243.13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-14,677,227.81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-52,275,282.98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25,463,010.21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5,663,049.14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259,534,205.94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18,300,533.35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6,768,160.73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9,099,990.12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16,831,417.62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204,322,650.77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64,344,867.64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85,921.09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20,644,733.60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98,736.72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21,067.85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204,309,835.14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84,968,533.39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-6,082,365.37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12,012,555.61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72,955,977.78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9"/>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210,392,200.51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72,955,977.78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 益的其他综合收益中享有的份额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 损益的其他综合收益中享有的份额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72,955,977.78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1402" w:right="0"/>
              <w:jc w:val="left"/>
              <w:rPr>
                <w:rFonts w:ascii="Times New Roman" w:hAnsi="Times New Roman" w:cs="Times New Roman" w:eastAsia="Times New Roman" w:hint="default"/>
                <w:sz w:val="18"/>
                <w:szCs w:val="18"/>
              </w:rPr>
            </w:pPr>
            <w:r>
              <w:rPr>
                <w:rFonts w:ascii="Times New Roman"/>
                <w:sz w:val="18"/>
              </w:rPr>
              <w:t>3,234,253,554.81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0" w:right="0"/>
              <w:jc w:val="left"/>
              <w:rPr>
                <w:rFonts w:ascii="Times New Roman" w:hAnsi="Times New Roman" w:cs="Times New Roman" w:eastAsia="Times New Roman" w:hint="default"/>
                <w:sz w:val="18"/>
                <w:szCs w:val="18"/>
              </w:rPr>
            </w:pPr>
            <w:r>
              <w:rPr>
                <w:rFonts w:ascii="Times New Roman"/>
                <w:sz w:val="18"/>
              </w:rPr>
              <w:t>3,250,750,012.95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36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融资产净增加额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96,774,473.68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78,050,188.52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55,712,981.88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95,397,068.71</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3,386,741,010.37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3,424,197,270.18</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1,848,715,654.20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1,885,070,584.13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544,403,636.32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455,415,436.98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270,340,857.74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264,559,219.76</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210,218,631.89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205,914,268.46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2,873,678,780.15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2,810,959,509.33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513,062,230.22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613,237,760.85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3,404,680,000.00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2,190,626,613.69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34,423,368.41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31,444,594.86</w:t>
            </w:r>
          </w:p>
        </w:tc>
      </w:tr>
      <w:tr>
        <w:trPr>
          <w:trHeight w:val="71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65,553.04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118,907.16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169,918,871.00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3,613,787,792.45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2,222,190,115.71</w:t>
            </w:r>
          </w:p>
        </w:tc>
      </w:tr>
      <w:tr>
        <w:trPr>
          <w:trHeight w:val="71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183,110,115.67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32,019,717.57</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4,808,032,198.36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1,602,270,203.48</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8"/>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252,942,951.01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509,605,183.68</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5,244,085,265.04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2,143,895,104.73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-1,630,297,472.59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78,295,010.98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253"/>
        <w:gridCol w:w="2693"/>
        <w:gridCol w:w="2624"/>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7"/>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222,287,536.94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34,526,214.64</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242,287,536.94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38,526,214.64</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14,717,406.43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28,511,052.33</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60,136,624.44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44,399,071.12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222,767,253.75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297,621,284.62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72,910,123.45</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-55,333,747.68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-34,383,908.81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1,332,628.12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243,658.41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-1,171,236,361.93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657,392,521.43</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2,625,078,705.40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1,967,686,183.97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1,453,842,343.47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2,625,078,705.40</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455,956,596.72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501,029,650.65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17,375,286.51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19,453,450.16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67,226,552.67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617,597,366.35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540,558,435.90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1,138,080,467.16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286,962,708.12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318,203,696.76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86,090,419.58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41,905,739.52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36,006,922.50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39,566,437.86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642,440,150.38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48,210,693.95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1,051,500,200.58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447,886,568.09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-510,941,764.68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690,193,899.07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602,000,000.00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243,134,285.21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2,289,452.05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1,333,134,285.21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604,289,452.05</w:t>
            </w: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560,647.56</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1,814,020,312.50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750,852,600.00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463,800,000.00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1,824,580,960.06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1,214,652,600.00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-491,446,674.85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-610,363,147.95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42,671,550.12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222,487,253.75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265,158,803.87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-265,158,803.87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-1,267,547,243.40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37,159,201.00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1,450,844,697.43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1,413,685,496.43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183,297,454.03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1,450,844,697.43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1416"/>
        <w:gridCol w:w="1409"/>
        <w:gridCol w:w="425"/>
        <w:gridCol w:w="425"/>
        <w:gridCol w:w="425"/>
        <w:gridCol w:w="1448"/>
        <w:gridCol w:w="566"/>
        <w:gridCol w:w="1135"/>
        <w:gridCol w:w="566"/>
        <w:gridCol w:w="1133"/>
        <w:gridCol w:w="708"/>
        <w:gridCol w:w="1418"/>
        <w:gridCol w:w="1361"/>
        <w:gridCol w:w="1498"/>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251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416" w:type="dxa"/>
            <w:vMerge/>
            <w:tcBorders>
              <w:left w:val="single" w:sz="4" w:space="0" w:color="000000"/>
              <w:bottom w:val="nil" w:sz="6" w:space="0" w:color="auto"/>
              <w:right w:val="single" w:sz="4" w:space="0" w:color="000000"/>
            </w:tcBorders>
            <w:shd w:val="clear" w:color="auto" w:fill="D2D2D2"/>
          </w:tcPr>
          <w:p>
            <w:pPr/>
          </w:p>
        </w:tc>
        <w:tc>
          <w:tcPr>
            <w:tcW w:w="96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49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vMerge w:val="restart"/>
            <w:tcBorders>
              <w:top w:val="single" w:sz="4" w:space="0" w:color="000000"/>
              <w:left w:val="single" w:sz="4" w:space="0" w:color="000000"/>
              <w:right w:val="single" w:sz="4" w:space="0" w:color="000000"/>
            </w:tcBorders>
            <w:shd w:val="clear" w:color="auto" w:fill="D2D2D2"/>
          </w:tcPr>
          <w:p>
            <w:pPr/>
          </w:p>
        </w:tc>
        <w:tc>
          <w:tcPr>
            <w:tcW w:w="12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48" w:type="dxa"/>
            <w:vMerge w:val="restart"/>
            <w:tcBorders>
              <w:top w:val="single" w:sz="4" w:space="0" w:color="000000"/>
              <w:left w:val="single" w:sz="4" w:space="0" w:color="000000"/>
              <w:right w:val="single" w:sz="4" w:space="0" w:color="FFFFFF"/>
            </w:tcBorders>
            <w:shd w:val="clear" w:color="auto" w:fill="D2D2D2"/>
          </w:tcPr>
          <w:p>
            <w:pPr/>
          </w:p>
        </w:tc>
        <w:tc>
          <w:tcPr>
            <w:tcW w:w="566" w:type="dxa"/>
            <w:tcBorders>
              <w:top w:val="single" w:sz="4" w:space="0" w:color="000000"/>
              <w:left w:val="single" w:sz="4" w:space="0" w:color="FFFFFF"/>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FFFFFF"/>
            </w:tcBorders>
            <w:shd w:val="clear" w:color="auto" w:fill="D2D2D2"/>
          </w:tcPr>
          <w:p>
            <w:pPr/>
          </w:p>
        </w:tc>
        <w:tc>
          <w:tcPr>
            <w:tcW w:w="708" w:type="dxa"/>
            <w:tcBorders>
              <w:top w:val="single" w:sz="4" w:space="0" w:color="000000"/>
              <w:left w:val="single" w:sz="4" w:space="0" w:color="FFFFFF"/>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16" w:type="dxa"/>
            <w:vMerge/>
            <w:tcBorders>
              <w:left w:val="single" w:sz="4" w:space="0" w:color="000000"/>
              <w:bottom w:val="nil" w:sz="6" w:space="0" w:color="auto"/>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1274" w:type="dxa"/>
            <w:gridSpan w:val="3"/>
            <w:vMerge/>
            <w:tcBorders>
              <w:left w:val="single" w:sz="4" w:space="0" w:color="000000"/>
              <w:bottom w:val="single" w:sz="4" w:space="0" w:color="000000"/>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FFFFFF"/>
            </w:tcBorders>
            <w:shd w:val="clear" w:color="auto" w:fill="D2D2D2"/>
          </w:tcPr>
          <w:p>
            <w:pPr/>
          </w:p>
        </w:tc>
        <w:tc>
          <w:tcPr>
            <w:tcW w:w="56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6"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FFFFFF"/>
            </w:tcBorders>
            <w:shd w:val="clear" w:color="auto" w:fill="D2D2D2"/>
          </w:tcPr>
          <w:p>
            <w:pPr/>
          </w:p>
        </w:tc>
        <w:tc>
          <w:tcPr>
            <w:tcW w:w="70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1"/>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8"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416" w:type="dxa"/>
            <w:vMerge w:val="restart"/>
            <w:tcBorders>
              <w:top w:val="nil" w:sz="6" w:space="0" w:color="auto"/>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0"/>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0"/>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35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FFFFFF"/>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FFFFFF"/>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6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416"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8" w:type="dxa"/>
            <w:vMerge/>
            <w:tcBorders>
              <w:left w:val="single" w:sz="4" w:space="0" w:color="000000"/>
              <w:bottom w:val="nil" w:sz="6" w:space="0" w:color="auto"/>
              <w:right w:val="single" w:sz="4" w:space="0" w:color="FFFFFF"/>
            </w:tcBorders>
            <w:shd w:val="clear" w:color="auto" w:fill="D2D2D2"/>
          </w:tcPr>
          <w:p>
            <w:pPr/>
          </w:p>
        </w:tc>
        <w:tc>
          <w:tcPr>
            <w:tcW w:w="566" w:type="dxa"/>
            <w:vMerge/>
            <w:tcBorders>
              <w:left w:val="single" w:sz="4" w:space="0" w:color="FFFFFF"/>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FFFFFF"/>
            </w:tcBorders>
            <w:shd w:val="clear" w:color="auto" w:fill="D2D2D2"/>
          </w:tcPr>
          <w:p>
            <w:pPr/>
          </w:p>
        </w:tc>
        <w:tc>
          <w:tcPr>
            <w:tcW w:w="708" w:type="dxa"/>
            <w:vMerge/>
            <w:tcBorders>
              <w:left w:val="single" w:sz="4" w:space="0" w:color="FFFFFF"/>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1498"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16" w:type="dxa"/>
            <w:vMerge/>
            <w:tcBorders>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FFFFFF"/>
            </w:tcBorders>
            <w:shd w:val="clear" w:color="auto" w:fill="D2D2D2"/>
          </w:tcPr>
          <w:p>
            <w:pPr/>
          </w:p>
        </w:tc>
        <w:tc>
          <w:tcPr>
            <w:tcW w:w="566" w:type="dxa"/>
            <w:vMerge/>
            <w:tcBorders>
              <w:left w:val="single" w:sz="4" w:space="0" w:color="FFFFFF"/>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361"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195"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8" w:type="dxa"/>
            <w:vMerge/>
            <w:tcBorders>
              <w:left w:val="single" w:sz="4" w:space="0" w:color="000000"/>
              <w:bottom w:val="single" w:sz="4" w:space="0" w:color="000000"/>
              <w:right w:val="single" w:sz="4" w:space="0" w:color="FFFFFF"/>
            </w:tcBorders>
            <w:shd w:val="clear" w:color="auto" w:fill="D2D2D2"/>
          </w:tcPr>
          <w:p>
            <w:pPr/>
          </w:p>
        </w:tc>
        <w:tc>
          <w:tcPr>
            <w:tcW w:w="56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FFFFFF"/>
            </w:tcBorders>
            <w:shd w:val="clear" w:color="auto" w:fill="D2D2D2"/>
          </w:tcPr>
          <w:p>
            <w:pPr/>
          </w:p>
        </w:tc>
        <w:tc>
          <w:tcPr>
            <w:tcW w:w="708" w:type="dxa"/>
            <w:tcBorders>
              <w:top w:val="nil" w:sz="6" w:space="0" w:color="auto"/>
              <w:left w:val="single" w:sz="4" w:space="0" w:color="FFFFFF"/>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1,617,721,001.67</w:t>
            </w: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8,404,854.66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17,239,605.73</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2,229,233,489.44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188,427,353.79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5,127,815,058.29</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3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1,617,721,001.67</w:t>
            </w: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8,404,854.66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17,239,605.73</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2,229,233,489.44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188,427,353.79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5,127,815,058.29</w:t>
            </w:r>
          </w:p>
        </w:tc>
      </w:tr>
      <w:tr>
        <w:trPr>
          <w:trHeight w:val="102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40,319,544.57</w:t>
            </w: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10,404,801.01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240,250,855.79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-39,091,477.58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272,922,943.84</w:t>
            </w:r>
          </w:p>
        </w:tc>
      </w:tr>
      <w:tr>
        <w:trPr>
          <w:trHeight w:val="716"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10,404,801.01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419,028,697.62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5,935,447.69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435,368,946.32</w:t>
            </w: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40,319,544.57</w:t>
            </w: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-115,067,071.66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-29,786,925.27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-104,534,452.36</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FFFFFF"/>
            </w:tcBorders>
          </w:tcPr>
          <w:p>
            <w:pPr/>
          </w:p>
        </w:tc>
        <w:tc>
          <w:tcPr>
            <w:tcW w:w="566" w:type="dxa"/>
            <w:tcBorders>
              <w:top w:val="single" w:sz="4" w:space="0" w:color="000000"/>
              <w:left w:val="single" w:sz="4" w:space="0" w:color="FFFFFF"/>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after="0" w:line="240" w:lineRule="auto"/>
        <w:jc w:val="right"/>
        <w:rPr>
          <w:rFonts w:ascii="Times New Roman" w:hAnsi="Times New Roman" w:cs="Times New Roman" w:eastAsia="Times New Roman" w:hint="default"/>
          <w:sz w:val="18"/>
          <w:szCs w:val="18"/>
        </w:rPr>
        <w:sectPr>
          <w:headerReference w:type="default" r:id="rId34"/>
          <w:footerReference w:type="default" r:id="rId35"/>
          <w:pgSz w:w="16840" w:h="11910" w:orient="landscape"/>
          <w:pgMar w:header="867" w:footer="980" w:top="1060" w:bottom="1160" w:left="1300" w:right="1300"/>
          <w:pgNumType w:start="100"/>
        </w:sectPr>
      </w:pPr>
    </w:p>
    <w:p>
      <w:pPr>
        <w:spacing w:line="240" w:lineRule="auto" w:before="2"/>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439"/>
        <w:gridCol w:w="1397"/>
        <w:gridCol w:w="425"/>
        <w:gridCol w:w="425"/>
        <w:gridCol w:w="425"/>
        <w:gridCol w:w="1448"/>
        <w:gridCol w:w="566"/>
        <w:gridCol w:w="1135"/>
        <w:gridCol w:w="566"/>
        <w:gridCol w:w="1133"/>
        <w:gridCol w:w="708"/>
        <w:gridCol w:w="1418"/>
        <w:gridCol w:w="1361"/>
        <w:gridCol w:w="1498"/>
      </w:tblGrid>
      <w:tr>
        <w:trPr>
          <w:trHeight w:val="377" w:hRule="exact"/>
        </w:trPr>
        <w:tc>
          <w:tcPr>
            <w:tcW w:w="14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39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4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28,816,192.60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11,503,351.97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-115,067,071.66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-32,286,925.27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-135,850,644.96</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-63,710,770.17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-57,911,550.12</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-42,671,550.12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-57,911,550.12</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439"/>
        <w:gridCol w:w="1397"/>
        <w:gridCol w:w="425"/>
        <w:gridCol w:w="425"/>
        <w:gridCol w:w="425"/>
        <w:gridCol w:w="1448"/>
        <w:gridCol w:w="566"/>
        <w:gridCol w:w="1135"/>
        <w:gridCol w:w="566"/>
        <w:gridCol w:w="1133"/>
        <w:gridCol w:w="708"/>
        <w:gridCol w:w="1418"/>
        <w:gridCol w:w="1361"/>
        <w:gridCol w:w="1498"/>
      </w:tblGrid>
      <w:tr>
        <w:trPr>
          <w:trHeight w:val="418" w:hRule="exact"/>
        </w:trPr>
        <w:tc>
          <w:tcPr>
            <w:tcW w:w="14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4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1,066,788,753.00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1,658,040,546.24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18,809,655.67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38,278,825.78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2,469,484,345.23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Times New Roman" w:hAnsi="Times New Roman" w:cs="Times New Roman" w:eastAsia="Times New Roman" w:hint="default"/>
                <w:sz w:val="18"/>
                <w:szCs w:val="18"/>
              </w:rPr>
            </w:pPr>
            <w:r>
              <w:rPr>
                <w:rFonts w:ascii="Times New Roman"/>
                <w:sz w:val="18"/>
              </w:rPr>
              <w:t>149,335,876.21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Times New Roman" w:hAnsi="Times New Roman" w:cs="Times New Roman" w:eastAsia="Times New Roman" w:hint="default"/>
                <w:sz w:val="18"/>
                <w:szCs w:val="18"/>
              </w:rPr>
            </w:pPr>
            <w:r>
              <w:rPr>
                <w:rFonts w:ascii="Times New Roman"/>
                <w:sz w:val="18"/>
              </w:rPr>
              <w:t>5,400,738,002.13</w:t>
            </w:r>
          </w:p>
        </w:tc>
      </w:tr>
    </w:tbl>
    <w:p>
      <w:pPr>
        <w:spacing w:before="49"/>
        <w:ind w:left="120" w:right="1081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4"/>
        <w:gridCol w:w="1409"/>
        <w:gridCol w:w="427"/>
        <w:gridCol w:w="466"/>
        <w:gridCol w:w="384"/>
        <w:gridCol w:w="1419"/>
        <w:gridCol w:w="566"/>
        <w:gridCol w:w="1274"/>
        <w:gridCol w:w="427"/>
        <w:gridCol w:w="1133"/>
        <w:gridCol w:w="708"/>
        <w:gridCol w:w="1418"/>
        <w:gridCol w:w="1361"/>
        <w:gridCol w:w="1498"/>
      </w:tblGrid>
      <w:tr>
        <w:trPr>
          <w:trHeight w:val="403" w:hRule="exact"/>
        </w:trPr>
        <w:tc>
          <w:tcPr>
            <w:tcW w:w="1414" w:type="dxa"/>
            <w:vMerge w:val="restart"/>
            <w:tcBorders>
              <w:top w:val="single" w:sz="4" w:space="0" w:color="000000"/>
              <w:left w:val="single" w:sz="4" w:space="0" w:color="000000"/>
              <w:right w:val="single" w:sz="4" w:space="0" w:color="000000"/>
            </w:tcBorders>
            <w:shd w:val="clear" w:color="auto" w:fill="D2D2D2"/>
          </w:tcPr>
          <w:p>
            <w:pPr/>
          </w:p>
        </w:tc>
        <w:tc>
          <w:tcPr>
            <w:tcW w:w="1249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14" w:type="dxa"/>
            <w:vMerge/>
            <w:tcBorders>
              <w:left w:val="single" w:sz="4" w:space="0" w:color="000000"/>
              <w:bottom w:val="nil" w:sz="6" w:space="0" w:color="auto"/>
              <w:right w:val="single" w:sz="4" w:space="0" w:color="000000"/>
            </w:tcBorders>
            <w:shd w:val="clear" w:color="auto" w:fill="D2D2D2"/>
          </w:tcPr>
          <w:p>
            <w:pPr/>
          </w:p>
        </w:tc>
        <w:tc>
          <w:tcPr>
            <w:tcW w:w="963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498" w:type="dxa"/>
            <w:vMerge w:val="restart"/>
            <w:tcBorders>
              <w:top w:val="single" w:sz="4" w:space="0" w:color="000000"/>
              <w:left w:val="single" w:sz="4" w:space="0" w:color="000000"/>
              <w:right w:val="single" w:sz="4" w:space="0" w:color="000000"/>
            </w:tcBorders>
            <w:shd w:val="clear" w:color="auto" w:fill="D2D2D2"/>
          </w:tcPr>
          <w:p>
            <w:pPr/>
          </w:p>
        </w:tc>
      </w:tr>
      <w:tr>
        <w:trPr>
          <w:trHeight w:val="207" w:hRule="exact"/>
        </w:trPr>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FFFFFF"/>
            </w:tcBorders>
            <w:shd w:val="clear" w:color="auto" w:fill="D2D2D2"/>
          </w:tcPr>
          <w:p>
            <w:pPr/>
          </w:p>
        </w:tc>
        <w:tc>
          <w:tcPr>
            <w:tcW w:w="708" w:type="dxa"/>
            <w:tcBorders>
              <w:top w:val="single" w:sz="4" w:space="0" w:color="000000"/>
              <w:left w:val="single" w:sz="4" w:space="0" w:color="FFFFFF"/>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14" w:type="dxa"/>
            <w:vMerge/>
            <w:tcBorders>
              <w:left w:val="single" w:sz="4" w:space="0" w:color="000000"/>
              <w:bottom w:val="single" w:sz="4" w:space="0" w:color="FFFFFF"/>
              <w:right w:val="single" w:sz="4" w:space="0" w:color="000000"/>
            </w:tcBorders>
            <w:shd w:val="clear" w:color="auto" w:fill="D2D2D2"/>
          </w:tcPr>
          <w:p>
            <w:pPr/>
          </w:p>
        </w:tc>
        <w:tc>
          <w:tcPr>
            <w:tcW w:w="1409" w:type="dxa"/>
            <w:vMerge/>
            <w:tcBorders>
              <w:left w:val="single" w:sz="4" w:space="0" w:color="000000"/>
              <w:bottom w:val="single" w:sz="4" w:space="0" w:color="FFFFFF"/>
              <w:right w:val="single" w:sz="4" w:space="0" w:color="000000"/>
            </w:tcBorders>
            <w:shd w:val="clear" w:color="auto" w:fill="D2D2D2"/>
          </w:tcPr>
          <w:p>
            <w:pPr/>
          </w:p>
        </w:tc>
        <w:tc>
          <w:tcPr>
            <w:tcW w:w="1277" w:type="dxa"/>
            <w:gridSpan w:val="3"/>
            <w:vMerge/>
            <w:tcBorders>
              <w:left w:val="single" w:sz="4" w:space="0" w:color="000000"/>
              <w:bottom w:val="single" w:sz="4" w:space="0" w:color="FFFFFF"/>
              <w:right w:val="single" w:sz="4" w:space="0" w:color="000000"/>
            </w:tcBorders>
            <w:shd w:val="clear" w:color="auto" w:fill="D2D2D2"/>
          </w:tcPr>
          <w:p>
            <w:pPr/>
          </w:p>
        </w:tc>
        <w:tc>
          <w:tcPr>
            <w:tcW w:w="1419" w:type="dxa"/>
            <w:vMerge/>
            <w:tcBorders>
              <w:left w:val="single" w:sz="4" w:space="0" w:color="000000"/>
              <w:bottom w:val="single" w:sz="4" w:space="0" w:color="FFFFFF"/>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5" w:right="23"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FFFFFF"/>
            </w:tcBorders>
            <w:shd w:val="clear" w:color="auto" w:fill="D2D2D2"/>
          </w:tcPr>
          <w:p>
            <w:pPr/>
          </w:p>
        </w:tc>
        <w:tc>
          <w:tcPr>
            <w:tcW w:w="70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1"/>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8"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414" w:type="dxa"/>
            <w:vMerge w:val="restart"/>
            <w:tcBorders>
              <w:top w:val="single" w:sz="4" w:space="0" w:color="FFFFFF"/>
              <w:left w:val="single" w:sz="4" w:space="0" w:color="000000"/>
              <w:right w:val="single" w:sz="4" w:space="0" w:color="000000"/>
            </w:tcBorders>
            <w:shd w:val="clear" w:color="auto" w:fill="D2D2D2"/>
          </w:tcPr>
          <w:p>
            <w:pPr/>
          </w:p>
        </w:tc>
        <w:tc>
          <w:tcPr>
            <w:tcW w:w="14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2"/>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2"/>
              <w:ind w:left="134" w:right="4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84"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2"/>
              <w:ind w:left="96" w:right="96"/>
              <w:jc w:val="left"/>
              <w:rPr>
                <w:rFonts w:ascii="宋体" w:hAnsi="宋体" w:cs="宋体" w:eastAsia="宋体" w:hint="default"/>
                <w:sz w:val="18"/>
                <w:szCs w:val="18"/>
              </w:rPr>
            </w:pPr>
            <w:r>
              <w:rPr>
                <w:rFonts w:ascii="宋体" w:hAnsi="宋体" w:cs="宋体" w:eastAsia="宋体" w:hint="default"/>
                <w:sz w:val="18"/>
                <w:szCs w:val="18"/>
              </w:rPr>
              <w:t>其 他</w:t>
            </w:r>
          </w:p>
        </w:tc>
        <w:tc>
          <w:tcPr>
            <w:tcW w:w="141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3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FFFFFF"/>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6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414"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FFFFFF"/>
            </w:tcBorders>
            <w:shd w:val="clear" w:color="auto" w:fill="D2D2D2"/>
          </w:tcPr>
          <w:p>
            <w:pPr/>
          </w:p>
        </w:tc>
        <w:tc>
          <w:tcPr>
            <w:tcW w:w="708" w:type="dxa"/>
            <w:vMerge/>
            <w:tcBorders>
              <w:left w:val="single" w:sz="4" w:space="0" w:color="FFFFFF"/>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149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14" w:type="dxa"/>
            <w:vMerge/>
            <w:tcBorders>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361"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206"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38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FFFFFF"/>
            </w:tcBorders>
            <w:shd w:val="clear" w:color="auto" w:fill="D2D2D2"/>
          </w:tcPr>
          <w:p>
            <w:pPr/>
          </w:p>
        </w:tc>
        <w:tc>
          <w:tcPr>
            <w:tcW w:w="708" w:type="dxa"/>
            <w:tcBorders>
              <w:top w:val="nil" w:sz="6" w:space="0" w:color="auto"/>
              <w:left w:val="single" w:sz="4" w:space="0" w:color="FFFFFF"/>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355,596,251.00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2,325,696,175.15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45,305,898.32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9,944,007.95</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1,890,410,306.15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39,039,613.79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4,665,992,252.36</w:t>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355,596,251.00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2,325,696,175.15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45,305,898.32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9,944,007.95</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1,890,410,306.15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39,039,613.79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4,665,992,252.36</w:t>
            </w:r>
          </w:p>
        </w:tc>
      </w:tr>
      <w:tr>
        <w:trPr>
          <w:trHeight w:val="1028"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711,192,502.00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-707,975,173.48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-36,901,043.66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7,295,597.78</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338,823,183.29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149,387,740.00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461,822,805.93</w:t>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-36,901,043.66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388,790,331.19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17,007,516.32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368,896,803.85</w:t>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3,217,328.52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134,140,223.68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137,357,552.20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66"/>
        <w:gridCol w:w="384"/>
        <w:gridCol w:w="1419"/>
        <w:gridCol w:w="566"/>
        <w:gridCol w:w="1274"/>
        <w:gridCol w:w="427"/>
        <w:gridCol w:w="1133"/>
        <w:gridCol w:w="708"/>
        <w:gridCol w:w="1418"/>
        <w:gridCol w:w="1361"/>
        <w:gridCol w:w="1498"/>
      </w:tblGrid>
      <w:tr>
        <w:trPr>
          <w:trHeight w:val="377"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39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7,114,900.00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7,114,900.00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-3,897,571.48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130,140,223.68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126,242,652.20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7,295,597.78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-49,967,147.90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-44,431,550.12</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7,295,597.78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-7,295,597.78</w:t>
            </w: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-42,671,550.12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-44,431,550.12</w:t>
            </w: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711,192,502.00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-711,192,502.00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711,192,502.00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-711,192,502.00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r>
        <w:rPr/>
        <w:pict>
          <v:group style="position:absolute;margin-left:243.5pt;margin-top:379.869995pt;width:68.2pt;height:19.6pt;mso-position-horizontal-relative:page;mso-position-vertical-relative:page;z-index:-1160056" coordorigin="4870,7597" coordsize="1364,392">
            <v:shape style="position:absolute;left:4870;top:7597;width:1364;height:392" coordorigin="4870,7597" coordsize="1364,392" path="m4870,7989l6234,7989,6234,7597,4870,7597,4870,7989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66"/>
        <w:gridCol w:w="384"/>
        <w:gridCol w:w="1419"/>
        <w:gridCol w:w="566"/>
        <w:gridCol w:w="1274"/>
        <w:gridCol w:w="427"/>
        <w:gridCol w:w="1133"/>
        <w:gridCol w:w="708"/>
        <w:gridCol w:w="1418"/>
        <w:gridCol w:w="1361"/>
        <w:gridCol w:w="1498"/>
      </w:tblGrid>
      <w:tr>
        <w:trPr>
          <w:trHeight w:val="418"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1,066,788,753.00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1,617,721,001.67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8,404,854.66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17,239,605.73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2,229,233,489.44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188,427,353.79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5,127,815,058.29</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left="120" w:right="20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20" w:right="209"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8"/>
        <w:ind w:left="0" w:right="3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392"/>
        <w:gridCol w:w="1417"/>
        <w:gridCol w:w="710"/>
        <w:gridCol w:w="722"/>
        <w:gridCol w:w="552"/>
        <w:gridCol w:w="1419"/>
        <w:gridCol w:w="566"/>
        <w:gridCol w:w="710"/>
        <w:gridCol w:w="566"/>
        <w:gridCol w:w="1274"/>
        <w:gridCol w:w="1304"/>
        <w:gridCol w:w="1418"/>
      </w:tblGrid>
      <w:tr>
        <w:trPr>
          <w:trHeight w:val="396" w:hRule="exact"/>
        </w:trPr>
        <w:tc>
          <w:tcPr>
            <w:tcW w:w="3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3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79"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5"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392"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3392"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39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1,066,788,753.00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1,638,668,573.15</w:t>
            </w:r>
          </w:p>
        </w:tc>
        <w:tc>
          <w:tcPr>
            <w:tcW w:w="566" w:type="dxa"/>
            <w:tcBorders>
              <w:top w:val="single" w:sz="22" w:space="0" w:color="D2D2D2"/>
              <w:left w:val="single" w:sz="4" w:space="0" w:color="000000"/>
              <w:bottom w:val="single" w:sz="4" w:space="0" w:color="000000"/>
              <w:right w:val="single" w:sz="4" w:space="0" w:color="000000"/>
            </w:tcBorders>
          </w:tcPr>
          <w:p>
            <w:pPr/>
          </w:p>
        </w:tc>
        <w:tc>
          <w:tcPr>
            <w:tcW w:w="710" w:type="dxa"/>
            <w:tcBorders>
              <w:top w:val="single" w:sz="22" w:space="0" w:color="D2D2D2"/>
              <w:left w:val="single" w:sz="4" w:space="0" w:color="000000"/>
              <w:bottom w:val="single" w:sz="4" w:space="0" w:color="000000"/>
              <w:right w:val="single" w:sz="4" w:space="0" w:color="000000"/>
            </w:tcBorders>
          </w:tcPr>
          <w:p>
            <w:pPr/>
          </w:p>
        </w:tc>
        <w:tc>
          <w:tcPr>
            <w:tcW w:w="566" w:type="dxa"/>
            <w:tcBorders>
              <w:top w:val="single" w:sz="22" w:space="0" w:color="D2D2D2"/>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104,877,458.46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452,867,157.61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3,263,201,942.22</w:t>
            </w: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1,066,788,753.00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1,638,668,573.15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104,877,458.46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452,867,157.61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3,263,201,942.22</w:t>
            </w:r>
          </w:p>
        </w:tc>
      </w:tr>
      <w:tr>
        <w:trPr>
          <w:trHeight w:val="401" w:hRule="exact"/>
        </w:trPr>
        <w:tc>
          <w:tcPr>
            <w:tcW w:w="339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号填列</w:t>
            </w:r>
          </w:p>
        </w:tc>
        <w:tc>
          <w:tcPr>
            <w:tcW w:w="1417"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28,816,192.60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center"/>
              <w:rPr>
                <w:rFonts w:ascii="Times New Roman" w:hAnsi="Times New Roman" w:cs="Times New Roman" w:eastAsia="Times New Roman" w:hint="default"/>
                <w:sz w:val="18"/>
                <w:szCs w:val="18"/>
              </w:rPr>
            </w:pPr>
            <w:r>
              <w:rPr>
                <w:rFonts w:ascii="Times New Roman"/>
                <w:sz w:val="18"/>
              </w:rPr>
              <w:t>21,039,220.05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146,681,430.34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196,536,842.99</w:t>
            </w: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210,392,200.51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210,392,200.51</w:t>
            </w: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28,816,192.60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28,816,192.60</w:t>
            </w: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28,816,192.60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2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02"/>
        <w:gridCol w:w="1418"/>
        <w:gridCol w:w="710"/>
        <w:gridCol w:w="722"/>
        <w:gridCol w:w="552"/>
        <w:gridCol w:w="1419"/>
        <w:gridCol w:w="566"/>
        <w:gridCol w:w="710"/>
        <w:gridCol w:w="566"/>
        <w:gridCol w:w="1274"/>
        <w:gridCol w:w="1304"/>
        <w:gridCol w:w="1418"/>
      </w:tblGrid>
      <w:tr>
        <w:trPr>
          <w:trHeight w:val="418" w:hRule="exact"/>
        </w:trPr>
        <w:tc>
          <w:tcPr>
            <w:tcW w:w="34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722"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182" w:right="0"/>
              <w:jc w:val="center"/>
              <w:rPr>
                <w:rFonts w:ascii="Times New Roman" w:hAnsi="Times New Roman" w:cs="Times New Roman" w:eastAsia="Times New Roman" w:hint="default"/>
                <w:sz w:val="18"/>
                <w:szCs w:val="18"/>
              </w:rPr>
            </w:pPr>
            <w:r>
              <w:rPr>
                <w:rFonts w:ascii="Times New Roman"/>
                <w:sz w:val="18"/>
              </w:rPr>
              <w:t>21,039,220.05</w:t>
            </w:r>
          </w:p>
        </w:tc>
        <w:tc>
          <w:tcPr>
            <w:tcW w:w="13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-63,710,770.17</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center"/>
              <w:rPr>
                <w:rFonts w:ascii="Times New Roman" w:hAnsi="Times New Roman" w:cs="Times New Roman" w:eastAsia="Times New Roman" w:hint="default"/>
                <w:sz w:val="18"/>
                <w:szCs w:val="18"/>
              </w:rPr>
            </w:pPr>
            <w:r>
              <w:rPr>
                <w:rFonts w:ascii="Times New Roman"/>
                <w:sz w:val="18"/>
              </w:rPr>
              <w:t>21,039,220.05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-42,671,550.12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1,066,788,753.00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1,667,484,765.75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125,916,678.51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599,548,587.95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3,459,738,785.21</w:t>
            </w:r>
          </w:p>
        </w:tc>
      </w:tr>
    </w:tbl>
    <w:p>
      <w:pPr>
        <w:spacing w:before="49"/>
        <w:ind w:left="120" w:right="209"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3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250"/>
        <w:gridCol w:w="1275"/>
        <w:gridCol w:w="636"/>
        <w:gridCol w:w="665"/>
        <w:gridCol w:w="665"/>
        <w:gridCol w:w="1498"/>
        <w:gridCol w:w="648"/>
        <w:gridCol w:w="708"/>
        <w:gridCol w:w="425"/>
        <w:gridCol w:w="1363"/>
        <w:gridCol w:w="1361"/>
        <w:gridCol w:w="1483"/>
      </w:tblGrid>
      <w:tr>
        <w:trPr>
          <w:trHeight w:val="396" w:hRule="exact"/>
        </w:trPr>
        <w:tc>
          <w:tcPr>
            <w:tcW w:w="3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3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36" w:right="48"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25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66" w:type="dxa"/>
            <w:gridSpan w:val="3"/>
            <w:vMerge/>
            <w:tcBorders>
              <w:left w:val="single" w:sz="4" w:space="0" w:color="000000"/>
              <w:bottom w:val="single" w:sz="4" w:space="0" w:color="000000"/>
              <w:right w:val="single" w:sz="4" w:space="0" w:color="000000"/>
            </w:tcBorders>
            <w:shd w:val="clear" w:color="auto" w:fill="D2D2D2"/>
          </w:tcPr>
          <w:p>
            <w:pP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4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3250"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48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25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49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355,596,251.00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2,342,746,175.15</w:t>
            </w:r>
          </w:p>
        </w:tc>
        <w:tc>
          <w:tcPr>
            <w:tcW w:w="648"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425" w:type="dxa"/>
            <w:tcBorders>
              <w:top w:val="single" w:sz="18" w:space="0" w:color="D2D2D2"/>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97,581,860.68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429,878,327.73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3,225,802,614.56</w:t>
            </w:r>
          </w:p>
        </w:tc>
      </w:tr>
      <w:tr>
        <w:trPr>
          <w:trHeight w:val="401" w:hRule="exact"/>
        </w:trPr>
        <w:tc>
          <w:tcPr>
            <w:tcW w:w="3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2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5" w:type="dxa"/>
            <w:tcBorders>
              <w:top w:val="single" w:sz="4" w:space="0" w:color="000000"/>
              <w:left w:val="single" w:sz="13" w:space="0" w:color="D2D2D2"/>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2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5" w:type="dxa"/>
            <w:tcBorders>
              <w:top w:val="single" w:sz="4" w:space="0" w:color="000000"/>
              <w:left w:val="single" w:sz="13" w:space="0" w:color="D2D2D2"/>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13" w:space="0" w:color="D2D2D2"/>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262"/>
        <w:gridCol w:w="1275"/>
        <w:gridCol w:w="636"/>
        <w:gridCol w:w="665"/>
        <w:gridCol w:w="665"/>
        <w:gridCol w:w="1498"/>
        <w:gridCol w:w="648"/>
        <w:gridCol w:w="708"/>
        <w:gridCol w:w="425"/>
        <w:gridCol w:w="1363"/>
        <w:gridCol w:w="1361"/>
        <w:gridCol w:w="1483"/>
      </w:tblGrid>
      <w:tr>
        <w:trPr>
          <w:trHeight w:val="418" w:hRule="exact"/>
        </w:trPr>
        <w:tc>
          <w:tcPr>
            <w:tcW w:w="326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90" w:right="0"/>
              <w:jc w:val="center"/>
              <w:rPr>
                <w:rFonts w:ascii="Times New Roman" w:hAnsi="Times New Roman" w:cs="Times New Roman" w:eastAsia="Times New Roman" w:hint="default"/>
                <w:sz w:val="18"/>
                <w:szCs w:val="18"/>
              </w:rPr>
            </w:pPr>
            <w:r>
              <w:rPr>
                <w:rFonts w:ascii="Times New Roman"/>
                <w:sz w:val="18"/>
              </w:rPr>
              <w:t>355,596,251.00</w:t>
            </w:r>
          </w:p>
        </w:tc>
        <w:tc>
          <w:tcPr>
            <w:tcW w:w="63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2,342,746,175.15</w:t>
            </w:r>
          </w:p>
        </w:tc>
        <w:tc>
          <w:tcPr>
            <w:tcW w:w="64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3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97,581,860.68</w:t>
            </w:r>
          </w:p>
        </w:tc>
        <w:tc>
          <w:tcPr>
            <w:tcW w:w="13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429,878,327.73</w:t>
            </w:r>
          </w:p>
        </w:tc>
        <w:tc>
          <w:tcPr>
            <w:tcW w:w="14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3,225,802,614.56</w:t>
            </w:r>
          </w:p>
        </w:tc>
      </w:tr>
      <w:tr>
        <w:trPr>
          <w:trHeight w:val="71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r>
              <w:rPr>
                <w:rFonts w:ascii="宋体" w:hAnsi="宋体" w:cs="宋体" w:eastAsia="宋体" w:hint="default"/>
                <w:sz w:val="18"/>
                <w:szCs w:val="18"/>
              </w:rPr>
              <w:t> 列）</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711,192,502.00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-704,077,602.00</w:t>
            </w: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7,295,597.78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22,988,829.88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37,399,327.66</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72,955,977.78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72,955,977.78</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7,114,900.00</w:t>
            </w: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7,114,900.00</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7,114,900.00</w:t>
            </w: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7,114,900.00</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7,295,597.78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-49,967,147.90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7,295,597.78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-7,295,597.78</w:t>
            </w: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-42,671,550.12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711,192,502.00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-711,192,502.00</w:t>
            </w: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711,192,502.00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-711,192,502.00</w:t>
            </w: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1,066,788,753.0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1,638,668,573.15</w:t>
            </w:r>
          </w:p>
        </w:tc>
        <w:tc>
          <w:tcPr>
            <w:tcW w:w="6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104,877,458.46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452,867,157.61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3,263,201,942.22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208"/>
        <w:jc w:val="left"/>
        <w:rPr>
          <w:b w:val="0"/>
          <w:bCs w:val="0"/>
        </w:rPr>
      </w:pPr>
      <w:r>
        <w:rPr/>
        <w:t>三、公司基本情况</w:t>
      </w:r>
      <w:r>
        <w:rPr>
          <w:b w:val="0"/>
          <w:bCs w:val="0"/>
        </w:rPr>
      </w:r>
    </w:p>
    <w:p>
      <w:pPr>
        <w:spacing w:line="240" w:lineRule="auto" w:before="3"/>
        <w:rPr>
          <w:rFonts w:ascii="宋体" w:hAnsi="宋体" w:cs="宋体" w:eastAsia="宋体" w:hint="default"/>
          <w:b/>
          <w:bCs/>
          <w:sz w:val="24"/>
          <w:szCs w:val="24"/>
        </w:rPr>
      </w:pPr>
    </w:p>
    <w:p>
      <w:pPr>
        <w:pStyle w:val="Heading6"/>
        <w:spacing w:line="244" w:lineRule="auto"/>
        <w:ind w:right="211"/>
        <w:jc w:val="both"/>
      </w:pPr>
      <w:r>
        <w:rPr/>
        <w:t>北京中长石基信息技术股份有限公司（以下简称公司或本公司，与子公司合称集团或本集团</w:t>
      </w:r>
      <w:r>
        <w:rPr>
          <w:rFonts w:ascii="Times New Roman" w:hAnsi="Times New Roman" w:cs="Times New Roman" w:eastAsia="Times New Roman" w:hint="default"/>
        </w:rPr>
        <w:t>)</w:t>
      </w:r>
      <w:r>
        <w:rPr/>
        <w:t>是</w:t>
      </w:r>
      <w:r>
        <w:rPr>
          <w:w w:val="100"/>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月经北京市人民政府经济体制改革办公室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w:t>
      </w:r>
      <w:r>
        <w:rPr>
          <w:spacing w:val="-62"/>
        </w:rPr>
        <w:t> </w:t>
      </w:r>
      <w:r>
        <w:rPr>
          <w:spacing w:val="-62"/>
        </w:rPr>
      </w:r>
      <w:r>
        <w:rPr/>
        <w:t>石基信息技术有限责任公司整体变更而成的股份有限公司。</w:t>
      </w:r>
    </w:p>
    <w:p>
      <w:pPr>
        <w:spacing w:line="240" w:lineRule="auto" w:before="11"/>
        <w:rPr>
          <w:rFonts w:ascii="宋体" w:hAnsi="宋体" w:cs="宋体" w:eastAsia="宋体" w:hint="default"/>
          <w:sz w:val="19"/>
          <w:szCs w:val="19"/>
        </w:rPr>
      </w:pPr>
    </w:p>
    <w:p>
      <w:pPr>
        <w:pStyle w:val="Heading6"/>
        <w:spacing w:line="244" w:lineRule="auto"/>
        <w:ind w:right="206"/>
        <w:jc w:val="both"/>
      </w:pPr>
      <w:r>
        <w:rPr>
          <w:spacing w:val="-2"/>
        </w:rPr>
        <w:t>本公司前身北京中长石基信息技术有限责任公司系于</w:t>
      </w:r>
      <w:r>
        <w:rPr>
          <w:rFonts w:ascii="Times New Roman" w:hAnsi="Times New Roman" w:cs="Times New Roman" w:eastAsia="Times New Roman" w:hint="default"/>
          <w:spacing w:val="-2"/>
        </w:rPr>
        <w:t>1998</w:t>
      </w:r>
      <w:r>
        <w:rPr>
          <w:spacing w:val="-2"/>
        </w:rPr>
        <w:t>年由李仲初、郭家满投资设立的有限责</w:t>
      </w:r>
      <w:r>
        <w:rPr>
          <w:w w:val="100"/>
        </w:rPr>
        <w:t> </w:t>
      </w:r>
      <w:r>
        <w:rPr/>
        <w:t>任公司，设立时的名称为北京中长石基网络系统工程技术有限公司，注册资本为人民币</w:t>
      </w:r>
      <w:r>
        <w:rPr>
          <w:rFonts w:ascii="Times New Roman" w:hAnsi="Times New Roman" w:cs="Times New Roman" w:eastAsia="Times New Roman" w:hint="default"/>
        </w:rPr>
        <w:t>200</w:t>
      </w:r>
      <w:r>
        <w:rPr/>
        <w:t>万元，其</w:t>
      </w:r>
      <w:r>
        <w:rPr>
          <w:spacing w:val="-40"/>
        </w:rPr>
        <w:t> </w:t>
      </w:r>
      <w:r>
        <w:rPr>
          <w:spacing w:val="-40"/>
        </w:rPr>
      </w:r>
      <w:r>
        <w:rPr>
          <w:spacing w:val="-3"/>
        </w:rPr>
        <w:t>中：李仲初出资</w:t>
      </w:r>
      <w:r>
        <w:rPr>
          <w:rFonts w:ascii="Times New Roman" w:hAnsi="Times New Roman" w:cs="Times New Roman" w:eastAsia="Times New Roman" w:hint="default"/>
          <w:spacing w:val="-3"/>
        </w:rPr>
        <w:t>160</w:t>
      </w:r>
      <w:r>
        <w:rPr>
          <w:spacing w:val="-3"/>
        </w:rPr>
        <w:t>万元，占注册资本的</w:t>
      </w:r>
      <w:r>
        <w:rPr>
          <w:rFonts w:ascii="Times New Roman" w:hAnsi="Times New Roman" w:cs="Times New Roman" w:eastAsia="Times New Roman" w:hint="default"/>
          <w:spacing w:val="-3"/>
        </w:rPr>
        <w:t>80%</w:t>
      </w:r>
      <w:r>
        <w:rPr>
          <w:spacing w:val="-3"/>
        </w:rPr>
        <w:t>；郭家满出资</w:t>
      </w:r>
      <w:r>
        <w:rPr>
          <w:rFonts w:ascii="Times New Roman" w:hAnsi="Times New Roman" w:cs="Times New Roman" w:eastAsia="Times New Roman" w:hint="default"/>
          <w:spacing w:val="-3"/>
        </w:rPr>
        <w:t>40</w:t>
      </w:r>
      <w:r>
        <w:rPr>
          <w:spacing w:val="-3"/>
        </w:rPr>
        <w:t>万元，占注册资本的</w:t>
      </w:r>
      <w:r>
        <w:rPr>
          <w:rFonts w:ascii="Times New Roman" w:hAnsi="Times New Roman" w:cs="Times New Roman" w:eastAsia="Times New Roman" w:hint="default"/>
          <w:spacing w:val="-3"/>
        </w:rPr>
        <w:t>20%</w:t>
      </w:r>
      <w:r>
        <w:rPr>
          <w:spacing w:val="-3"/>
        </w:rPr>
        <w:t>，于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15"/>
        </w:rPr>
        <w:t> </w:t>
      </w:r>
      <w:r>
        <w:rPr/>
        <w:t>日在北京市工商行政管理局登记注册。</w:t>
      </w:r>
    </w:p>
    <w:p>
      <w:pPr>
        <w:spacing w:line="240" w:lineRule="auto" w:before="11"/>
        <w:rPr>
          <w:rFonts w:ascii="宋体" w:hAnsi="宋体" w:cs="宋体" w:eastAsia="宋体" w:hint="default"/>
          <w:sz w:val="19"/>
          <w:szCs w:val="19"/>
        </w:rPr>
      </w:pPr>
    </w:p>
    <w:p>
      <w:pPr>
        <w:pStyle w:val="Heading6"/>
        <w:spacing w:line="247" w:lineRule="auto"/>
        <w:ind w:right="100"/>
        <w:jc w:val="left"/>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11</w:t>
      </w:r>
      <w:r>
        <w:rPr>
          <w:spacing w:val="-4"/>
        </w:rPr>
        <w:t>月，经公司</w:t>
      </w:r>
      <w:r>
        <w:rPr>
          <w:rFonts w:ascii="Times New Roman" w:hAnsi="Times New Roman" w:cs="Times New Roman" w:eastAsia="Times New Roman" w:hint="default"/>
          <w:spacing w:val="-4"/>
        </w:rPr>
        <w:t>2000</w:t>
      </w:r>
      <w:r>
        <w:rPr>
          <w:spacing w:val="-4"/>
        </w:rPr>
        <w:t>年度股东会决议，郭家满将其所持有公司</w:t>
      </w:r>
      <w:r>
        <w:rPr>
          <w:rFonts w:ascii="Times New Roman" w:hAnsi="Times New Roman" w:cs="Times New Roman" w:eastAsia="Times New Roman" w:hint="default"/>
          <w:spacing w:val="-4"/>
        </w:rPr>
        <w:t>20%</w:t>
      </w:r>
      <w:r>
        <w:rPr>
          <w:spacing w:val="-4"/>
        </w:rPr>
        <w:t>的股权分别转让给李彩练、</w:t>
      </w:r>
      <w:r>
        <w:rPr>
          <w:w w:val="100"/>
        </w:rPr>
        <w:t> </w:t>
      </w:r>
      <w:r>
        <w:rPr>
          <w:spacing w:val="-2"/>
        </w:rPr>
        <w:t>焦梅荣、郭灵红和李殿坤，同时注册资本增加为</w:t>
      </w:r>
      <w:r>
        <w:rPr>
          <w:rFonts w:ascii="Times New Roman" w:hAnsi="Times New Roman" w:cs="Times New Roman" w:eastAsia="Times New Roman" w:hint="default"/>
          <w:spacing w:val="-2"/>
        </w:rPr>
        <w:t>500</w:t>
      </w:r>
      <w:r>
        <w:rPr>
          <w:spacing w:val="-2"/>
        </w:rPr>
        <w:t>万元，其中：李仲初出资</w:t>
      </w:r>
      <w:r>
        <w:rPr>
          <w:rFonts w:ascii="Times New Roman" w:hAnsi="Times New Roman" w:cs="Times New Roman" w:eastAsia="Times New Roman" w:hint="default"/>
          <w:spacing w:val="-2"/>
        </w:rPr>
        <w:t>400</w:t>
      </w:r>
      <w:r>
        <w:rPr>
          <w:spacing w:val="-2"/>
        </w:rPr>
        <w:t>万元，占注册资本的</w:t>
      </w:r>
      <w:r>
        <w:rPr>
          <w:spacing w:val="-66"/>
        </w:rPr>
        <w:t> </w:t>
      </w:r>
      <w:r>
        <w:rPr>
          <w:spacing w:val="-66"/>
        </w:rPr>
      </w:r>
      <w:r>
        <w:rPr>
          <w:rFonts w:ascii="Times New Roman" w:hAnsi="Times New Roman" w:cs="Times New Roman" w:eastAsia="Times New Roman" w:hint="default"/>
        </w:rPr>
        <w:t>80%</w:t>
      </w:r>
      <w:r>
        <w:rPr/>
        <w:t>；李彩练出资</w:t>
      </w:r>
      <w:r>
        <w:rPr>
          <w:rFonts w:ascii="Times New Roman" w:hAnsi="Times New Roman" w:cs="Times New Roman" w:eastAsia="Times New Roman" w:hint="default"/>
        </w:rPr>
        <w:t>40</w:t>
      </w:r>
      <w:r>
        <w:rPr/>
        <w:t>万元，占注册资本的</w:t>
      </w:r>
      <w:r>
        <w:rPr>
          <w:rFonts w:ascii="Times New Roman" w:hAnsi="Times New Roman" w:cs="Times New Roman" w:eastAsia="Times New Roman" w:hint="default"/>
        </w:rPr>
        <w:t>8%</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7%</w:t>
      </w:r>
      <w:r>
        <w:rPr/>
        <w:t>；郭灵红出资</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万元，占注册资本的</w:t>
      </w:r>
      <w:r>
        <w:rPr>
          <w:rFonts w:ascii="Times New Roman" w:hAnsi="Times New Roman" w:cs="Times New Roman" w:eastAsia="Times New Roman" w:hint="default"/>
        </w:rPr>
        <w:t>3%</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2%</w:t>
      </w:r>
      <w:r>
        <w:rPr/>
        <w:t>。</w:t>
      </w:r>
    </w:p>
    <w:p>
      <w:pPr>
        <w:spacing w:line="240" w:lineRule="auto" w:before="5"/>
        <w:rPr>
          <w:rFonts w:ascii="宋体" w:hAnsi="宋体" w:cs="宋体" w:eastAsia="宋体" w:hint="default"/>
          <w:sz w:val="18"/>
          <w:szCs w:val="18"/>
        </w:rPr>
      </w:pPr>
    </w:p>
    <w:p>
      <w:pPr>
        <w:pStyle w:val="Heading6"/>
        <w:spacing w:line="244" w:lineRule="auto"/>
        <w:ind w:right="10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月，经公司</w:t>
      </w:r>
      <w:r>
        <w:rPr>
          <w:rFonts w:ascii="Times New Roman" w:hAnsi="Times New Roman" w:cs="Times New Roman" w:eastAsia="Times New Roman" w:hint="default"/>
        </w:rPr>
        <w:t>2001</w:t>
      </w:r>
      <w:r>
        <w:rPr/>
        <w:t>年度第一次临时股东大会决议，公司更名为北京中长石基信息技术有限</w:t>
      </w:r>
      <w:r>
        <w:rPr>
          <w:w w:val="100"/>
        </w:rPr>
        <w:t> </w:t>
      </w:r>
      <w:r>
        <w:rPr>
          <w:spacing w:val="-4"/>
        </w:rPr>
        <w:t>公司，同时引进新股东长春燃气股份有限公司，公司注册资本增加为 </w:t>
      </w:r>
      <w:r>
        <w:rPr>
          <w:rFonts w:ascii="Times New Roman" w:hAnsi="Times New Roman" w:cs="Times New Roman" w:eastAsia="Times New Roman" w:hint="default"/>
          <w:spacing w:val="-5"/>
        </w:rPr>
        <w:t>625</w:t>
      </w:r>
      <w:r>
        <w:rPr>
          <w:spacing w:val="-5"/>
        </w:rPr>
        <w:t>万元，其中：李仲初出资</w:t>
      </w:r>
      <w:r>
        <w:rPr>
          <w:rFonts w:ascii="Times New Roman" w:hAnsi="Times New Roman" w:cs="Times New Roman" w:eastAsia="Times New Roman" w:hint="default"/>
          <w:spacing w:val="-5"/>
        </w:rPr>
        <w:t>400 </w:t>
      </w:r>
      <w:r>
        <w:rPr>
          <w:spacing w:val="-5"/>
        </w:rPr>
        <w:t>万元，占注册资本的</w:t>
      </w:r>
      <w:r>
        <w:rPr>
          <w:rFonts w:ascii="Times New Roman" w:hAnsi="Times New Roman" w:cs="Times New Roman" w:eastAsia="Times New Roman" w:hint="default"/>
          <w:spacing w:val="-5"/>
        </w:rPr>
        <w:t>64%</w:t>
      </w:r>
      <w:r>
        <w:rPr>
          <w:spacing w:val="-5"/>
        </w:rPr>
        <w:t>；长春燃气股份有限公司出资</w:t>
      </w:r>
      <w:r>
        <w:rPr>
          <w:rFonts w:ascii="Times New Roman" w:hAnsi="Times New Roman" w:cs="Times New Roman" w:eastAsia="Times New Roman" w:hint="default"/>
          <w:spacing w:val="-5"/>
        </w:rPr>
        <w:t>125</w:t>
      </w:r>
      <w:r>
        <w:rPr>
          <w:spacing w:val="-5"/>
        </w:rPr>
        <w:t>万元，占注册资本</w:t>
      </w:r>
      <w:r>
        <w:rPr>
          <w:rFonts w:ascii="Times New Roman" w:hAnsi="Times New Roman" w:cs="Times New Roman" w:eastAsia="Times New Roman" w:hint="default"/>
          <w:spacing w:val="-5"/>
        </w:rPr>
        <w:t>20%</w:t>
      </w:r>
      <w:r>
        <w:rPr>
          <w:spacing w:val="-5"/>
        </w:rPr>
        <w:t>；李彩练出资</w:t>
      </w:r>
      <w:r>
        <w:rPr>
          <w:rFonts w:ascii="Times New Roman" w:hAnsi="Times New Roman" w:cs="Times New Roman" w:eastAsia="Times New Roman" w:hint="default"/>
          <w:spacing w:val="-5"/>
        </w:rPr>
        <w:t>40</w:t>
      </w:r>
      <w:r>
        <w:rPr>
          <w:spacing w:val="-5"/>
        </w:rPr>
        <w:t>万元，</w:t>
      </w:r>
      <w:r>
        <w:rPr>
          <w:spacing w:val="-57"/>
        </w:rPr>
        <w:t> </w:t>
      </w:r>
      <w:r>
        <w:rPr>
          <w:spacing w:val="-57"/>
        </w:rPr>
      </w:r>
      <w:r>
        <w:rPr>
          <w:spacing w:val="-5"/>
        </w:rPr>
        <w:t>占注册资本的</w:t>
      </w:r>
      <w:r>
        <w:rPr>
          <w:rFonts w:ascii="Times New Roman" w:hAnsi="Times New Roman" w:cs="Times New Roman" w:eastAsia="Times New Roman" w:hint="default"/>
          <w:spacing w:val="-5"/>
        </w:rPr>
        <w:t>6.4%</w:t>
      </w:r>
      <w:r>
        <w:rPr>
          <w:spacing w:val="-5"/>
        </w:rPr>
        <w:t>；焦梅荣出资</w:t>
      </w:r>
      <w:r>
        <w:rPr>
          <w:rFonts w:ascii="Times New Roman" w:hAnsi="Times New Roman" w:cs="Times New Roman" w:eastAsia="Times New Roman" w:hint="default"/>
          <w:spacing w:val="-5"/>
        </w:rPr>
        <w:t>35</w:t>
      </w:r>
      <w:r>
        <w:rPr>
          <w:spacing w:val="-5"/>
        </w:rPr>
        <w:t>万元，占注册资本的</w:t>
      </w:r>
      <w:r>
        <w:rPr>
          <w:rFonts w:ascii="Times New Roman" w:hAnsi="Times New Roman" w:cs="Times New Roman" w:eastAsia="Times New Roman" w:hint="default"/>
          <w:spacing w:val="-5"/>
        </w:rPr>
        <w:t>5.6%</w:t>
      </w:r>
      <w:r>
        <w:rPr>
          <w:spacing w:val="-5"/>
        </w:rPr>
        <w:t>；郭灵红出资</w:t>
      </w:r>
      <w:r>
        <w:rPr>
          <w:rFonts w:ascii="Times New Roman" w:hAnsi="Times New Roman" w:cs="Times New Roman" w:eastAsia="Times New Roman" w:hint="default"/>
          <w:spacing w:val="-5"/>
        </w:rPr>
        <w:t>15</w:t>
      </w:r>
      <w:r>
        <w:rPr>
          <w:spacing w:val="-5"/>
        </w:rPr>
        <w:t>万元，占注册资本的</w:t>
      </w:r>
      <w:r>
        <w:rPr>
          <w:rFonts w:ascii="Times New Roman" w:hAnsi="Times New Roman" w:cs="Times New Roman" w:eastAsia="Times New Roman" w:hint="default"/>
          <w:spacing w:val="-5"/>
        </w:rPr>
        <w:t>2.4%</w:t>
      </w:r>
      <w:r>
        <w:rPr>
          <w:spacing w:val="-5"/>
        </w:rPr>
        <w:t>；</w:t>
      </w:r>
      <w:r>
        <w:rPr>
          <w:spacing w:val="-63"/>
        </w:rPr>
        <w:t> </w:t>
      </w:r>
      <w:r>
        <w:rPr/>
        <w:t>李殿坤出资</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万元，占注册资本的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208"/>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月，经公司</w:t>
      </w:r>
      <w:r>
        <w:rPr>
          <w:rFonts w:ascii="Times New Roman" w:hAnsi="Times New Roman" w:cs="Times New Roman" w:eastAsia="Times New Roman" w:hint="default"/>
          <w:spacing w:val="-2"/>
        </w:rPr>
        <w:t>2001</w:t>
      </w:r>
      <w:r>
        <w:rPr>
          <w:spacing w:val="-2"/>
        </w:rPr>
        <w:t>年度第二次临时股东大会决议，李彩练将其所持有公司</w:t>
      </w:r>
      <w:r>
        <w:rPr>
          <w:spacing w:val="11"/>
        </w:rPr>
        <w:t> </w:t>
      </w:r>
      <w:r>
        <w:rPr>
          <w:rFonts w:ascii="Times New Roman" w:hAnsi="Times New Roman" w:cs="Times New Roman" w:eastAsia="Times New Roman" w:hint="default"/>
          <w:spacing w:val="-1"/>
        </w:rPr>
        <w:t>6.4%</w:t>
      </w:r>
      <w:r>
        <w:rPr>
          <w:spacing w:val="-1"/>
        </w:rPr>
        <w:t>的股权全部</w:t>
      </w:r>
      <w:r>
        <w:rPr>
          <w:w w:val="100"/>
        </w:rPr>
        <w:t> </w:t>
      </w:r>
      <w:r>
        <w:rPr/>
        <w:t>转让给北京业勤投资顾问有限公司，郭灵红将其所持有公司</w:t>
      </w:r>
      <w:r>
        <w:rPr>
          <w:rFonts w:ascii="Times New Roman" w:hAnsi="Times New Roman" w:cs="Times New Roman" w:eastAsia="Times New Roman" w:hint="default"/>
        </w:rPr>
        <w:t>2.4%</w:t>
      </w:r>
      <w:r>
        <w:rPr/>
        <w:t>的股权全部转让给陈国强。</w:t>
      </w:r>
    </w:p>
    <w:p>
      <w:pPr>
        <w:spacing w:line="240" w:lineRule="auto" w:before="7"/>
        <w:rPr>
          <w:rFonts w:ascii="宋体" w:hAnsi="宋体" w:cs="宋体" w:eastAsia="宋体" w:hint="default"/>
          <w:sz w:val="18"/>
          <w:szCs w:val="18"/>
        </w:rPr>
      </w:pPr>
    </w:p>
    <w:p>
      <w:pPr>
        <w:pStyle w:val="Heading6"/>
        <w:spacing w:line="244" w:lineRule="auto"/>
        <w:ind w:right="208"/>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月，经公司</w:t>
      </w:r>
      <w:r>
        <w:rPr>
          <w:rFonts w:ascii="Times New Roman" w:hAnsi="Times New Roman" w:cs="Times New Roman" w:eastAsia="Times New Roman" w:hint="default"/>
          <w:spacing w:val="-2"/>
        </w:rPr>
        <w:t>2001</w:t>
      </w:r>
      <w:r>
        <w:rPr>
          <w:spacing w:val="-2"/>
        </w:rPr>
        <w:t>年度第四次临时股东大会决议，并经北京市人民政府经济体制改革办公</w:t>
      </w:r>
      <w:r>
        <w:rPr>
          <w:w w:val="100"/>
        </w:rPr>
        <w:t> </w:t>
      </w:r>
      <w:r>
        <w:rPr>
          <w:spacing w:val="-1"/>
        </w:rPr>
        <w:t>室</w:t>
      </w:r>
      <w:r>
        <w:rPr>
          <w:rFonts w:ascii="Times New Roman" w:hAnsi="Times New Roman" w:cs="Times New Roman" w:eastAsia="Times New Roman" w:hint="default"/>
          <w:spacing w:val="-1"/>
        </w:rPr>
        <w:t>“</w:t>
      </w:r>
      <w:r>
        <w:rPr>
          <w:spacing w:val="-1"/>
        </w:rPr>
        <w:t>京政体改股函</w:t>
      </w:r>
      <w:r>
        <w:rPr>
          <w:rFonts w:ascii="Times New Roman" w:hAnsi="Times New Roman" w:cs="Times New Roman" w:eastAsia="Times New Roman" w:hint="default"/>
          <w:spacing w:val="-1"/>
        </w:rPr>
        <w:t>[2001]66</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文批准，公司由有限责任公司整体变更为股份有限公司，以</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w:t>
      </w:r>
      <w:r>
        <w:rPr>
          <w:spacing w:val="-84"/>
        </w:rPr>
        <w:t> </w:t>
      </w:r>
      <w:r>
        <w:rPr>
          <w:rFonts w:ascii="Times New Roman" w:hAnsi="Times New Roman" w:cs="Times New Roman" w:eastAsia="Times New Roman" w:hint="default"/>
        </w:rPr>
        <w:t>31</w:t>
      </w:r>
      <w:r>
        <w:rPr/>
        <w:t>日经审计后净资产，按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的折股比率，原有股东持股比例不变，折为股本</w:t>
      </w:r>
      <w:r>
        <w:rPr>
          <w:rFonts w:ascii="Times New Roman" w:hAnsi="Times New Roman" w:cs="Times New Roman" w:eastAsia="Times New Roman" w:hint="default"/>
        </w:rPr>
        <w:t>3,300.00</w:t>
      </w:r>
      <w:r>
        <w:rPr/>
        <w:t>万股。其中：</w:t>
      </w:r>
      <w:r>
        <w:rPr>
          <w:spacing w:val="-45"/>
        </w:rPr>
        <w:t> </w:t>
      </w:r>
      <w:r>
        <w:rPr>
          <w:spacing w:val="-45"/>
        </w:rPr>
      </w:r>
      <w:r>
        <w:rPr/>
        <w:t>李仲初</w:t>
      </w:r>
      <w:r>
        <w:rPr>
          <w:rFonts w:ascii="Times New Roman" w:hAnsi="Times New Roman" w:cs="Times New Roman" w:eastAsia="Times New Roman" w:hint="default"/>
        </w:rPr>
        <w:t>2,112</w:t>
      </w:r>
      <w:r>
        <w:rPr>
          <w:rFonts w:ascii="Times New Roman" w:hAnsi="Times New Roman" w:cs="Times New Roman" w:eastAsia="Times New Roman" w:hint="default"/>
          <w:spacing w:val="24"/>
        </w:rPr>
        <w:t> </w:t>
      </w:r>
      <w:r>
        <w:rPr/>
        <w:t>万股，占总股本的</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660</w:t>
      </w:r>
      <w:r>
        <w:rPr/>
        <w:t>万股，占总股本的</w:t>
      </w:r>
      <w:r>
        <w:rPr>
          <w:rFonts w:ascii="Times New Roman" w:hAnsi="Times New Roman" w:cs="Times New Roman" w:eastAsia="Times New Roman" w:hint="default"/>
        </w:rPr>
        <w:t>20%</w:t>
      </w:r>
      <w:r>
        <w:rPr/>
        <w:t>；北京业勤投</w:t>
      </w:r>
      <w:r>
        <w:rPr>
          <w:w w:val="100"/>
        </w:rPr>
        <w:t> </w:t>
      </w:r>
      <w:r>
        <w:rPr/>
        <w:t>资顾问有限公司</w:t>
      </w:r>
      <w:r>
        <w:rPr>
          <w:rFonts w:ascii="Times New Roman" w:hAnsi="Times New Roman" w:cs="Times New Roman" w:eastAsia="Times New Roman" w:hint="default"/>
        </w:rPr>
        <w:t>211.20 </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184.80</w:t>
      </w:r>
      <w:r>
        <w:rPr/>
        <w:t>万股，占总股本的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79.20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52.80</w:t>
      </w:r>
      <w:r>
        <w:rPr/>
        <w:t>万股，占总股本的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208"/>
        <w:jc w:val="righ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月，经公司</w:t>
      </w:r>
      <w:r>
        <w:rPr>
          <w:rFonts w:ascii="Times New Roman" w:hAnsi="Times New Roman" w:cs="Times New Roman" w:eastAsia="Times New Roman" w:hint="default"/>
          <w:spacing w:val="-2"/>
        </w:rPr>
        <w:t>2003</w:t>
      </w:r>
      <w:r>
        <w:rPr>
          <w:spacing w:val="-2"/>
        </w:rPr>
        <w:t>年度股东大会决议，以</w:t>
      </w:r>
      <w:r>
        <w:rPr>
          <w:rFonts w:ascii="Times New Roman" w:hAnsi="Times New Roman" w:cs="Times New Roman" w:eastAsia="Times New Roman" w:hint="default"/>
          <w:spacing w:val="-2"/>
        </w:rPr>
        <w:t>2003</w:t>
      </w:r>
      <w:r>
        <w:rPr>
          <w:spacing w:val="-2"/>
        </w:rPr>
        <w:t>年末未分配利润中的</w:t>
      </w:r>
      <w:r>
        <w:rPr>
          <w:rFonts w:ascii="Times New Roman" w:hAnsi="Times New Roman" w:cs="Times New Roman" w:eastAsia="Times New Roman" w:hint="default"/>
          <w:spacing w:val="-2"/>
        </w:rPr>
        <w:t>900</w:t>
      </w:r>
      <w:r>
        <w:rPr>
          <w:spacing w:val="-2"/>
        </w:rPr>
        <w:t>万元转增股本，转增</w:t>
      </w:r>
      <w:r>
        <w:rPr>
          <w:w w:val="100"/>
        </w:rPr>
        <w:t> </w:t>
      </w:r>
      <w:r>
        <w:rPr>
          <w:spacing w:val="-5"/>
        </w:rPr>
        <w:t>后公司总股本增至</w:t>
      </w:r>
      <w:r>
        <w:rPr>
          <w:rFonts w:ascii="Times New Roman" w:hAnsi="Times New Roman" w:cs="Times New Roman" w:eastAsia="Times New Roman" w:hint="default"/>
          <w:spacing w:val="-5"/>
        </w:rPr>
        <w:t>4,200</w:t>
      </w:r>
      <w:r>
        <w:rPr>
          <w:spacing w:val="-5"/>
        </w:rPr>
        <w:t>万元，其中：李仲初</w:t>
      </w:r>
      <w:r>
        <w:rPr>
          <w:rFonts w:ascii="Times New Roman" w:hAnsi="Times New Roman" w:cs="Times New Roman" w:eastAsia="Times New Roman" w:hint="default"/>
          <w:spacing w:val="-5"/>
        </w:rPr>
        <w:t>2,688 </w:t>
      </w:r>
      <w:r>
        <w:rPr>
          <w:spacing w:val="-7"/>
        </w:rPr>
        <w:t>万股，占总股本的</w:t>
      </w:r>
      <w:r>
        <w:rPr>
          <w:spacing w:val="35"/>
        </w:rPr>
        <w:t> </w:t>
      </w:r>
      <w:r>
        <w:rPr>
          <w:rFonts w:ascii="Times New Roman" w:hAnsi="Times New Roman" w:cs="Times New Roman" w:eastAsia="Times New Roman" w:hint="default"/>
          <w:spacing w:val="-4"/>
        </w:rPr>
        <w:t>64%</w:t>
      </w:r>
      <w:r>
        <w:rPr>
          <w:spacing w:val="-4"/>
        </w:rPr>
        <w:t>；长春燃气股份有限公司</w:t>
      </w:r>
      <w:r>
        <w:rPr>
          <w:rFonts w:ascii="Times New Roman" w:hAnsi="Times New Roman" w:cs="Times New Roman" w:eastAsia="Times New Roman" w:hint="default"/>
          <w:spacing w:val="-4"/>
        </w:rPr>
        <w:t>840</w:t>
      </w:r>
      <w:r>
        <w:rPr>
          <w:rFonts w:ascii="Times New Roman" w:hAnsi="Times New Roman" w:cs="Times New Roman" w:eastAsia="Times New Roman" w:hint="default"/>
          <w:w w:val="100"/>
        </w:rPr>
        <w:t> </w:t>
      </w:r>
      <w:r>
        <w:rPr/>
        <w:t>万股，占总股本的</w:t>
      </w:r>
      <w:r>
        <w:rPr>
          <w:rFonts w:ascii="Times New Roman" w:hAnsi="Times New Roman" w:cs="Times New Roman" w:eastAsia="Times New Roman" w:hint="default"/>
        </w:rPr>
        <w:t>20%</w:t>
      </w:r>
      <w:r>
        <w:rPr/>
        <w:t>；北京业勤投资顾问有限公司</w:t>
      </w:r>
      <w:r>
        <w:rPr>
          <w:spacing w:val="-30"/>
        </w:rPr>
        <w:t> </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235.20</w:t>
      </w:r>
      <w:r>
        <w:rPr/>
        <w:t>万</w:t>
      </w:r>
      <w:r>
        <w:rPr>
          <w:w w:val="100"/>
        </w:rPr>
        <w:t> </w:t>
      </w:r>
      <w:r>
        <w:rPr/>
        <w:t>股，占总股本的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100.80</w:t>
      </w:r>
      <w:r>
        <w:rPr>
          <w:rFonts w:ascii="Times New Roman" w:hAnsi="Times New Roman" w:cs="Times New Roman" w:eastAsia="Times New Roman" w:hint="default"/>
          <w:spacing w:val="24"/>
        </w:rPr>
        <w:t> </w:t>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67.20</w:t>
      </w:r>
      <w:r>
        <w:rPr/>
        <w:t>万股，占总股本的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208"/>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月，经公司股东大会决议，长春燃气股份有限公司将其所持有公司</w:t>
      </w:r>
      <w:r>
        <w:rPr>
          <w:rFonts w:ascii="Times New Roman" w:hAnsi="Times New Roman" w:cs="Times New Roman" w:eastAsia="Times New Roman" w:hint="default"/>
        </w:rPr>
        <w:t>20</w:t>
      </w:r>
      <w:r>
        <w:rPr/>
        <w:t>％的股权全部转让</w:t>
      </w:r>
      <w:r>
        <w:rPr>
          <w:w w:val="100"/>
        </w:rPr>
        <w:t> </w:t>
      </w:r>
      <w:r>
        <w:rPr/>
        <w:t>给李仲初。</w:t>
      </w:r>
    </w:p>
    <w:p>
      <w:pPr>
        <w:spacing w:line="240" w:lineRule="auto" w:before="12"/>
        <w:rPr>
          <w:rFonts w:ascii="宋体" w:hAnsi="宋体" w:cs="宋体" w:eastAsia="宋体" w:hint="default"/>
          <w:sz w:val="19"/>
          <w:szCs w:val="19"/>
        </w:rPr>
      </w:pPr>
    </w:p>
    <w:p>
      <w:pPr>
        <w:pStyle w:val="Heading6"/>
        <w:spacing w:line="244" w:lineRule="auto"/>
        <w:ind w:right="10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月，经中国证券监督管理委员会证监发行字</w:t>
      </w:r>
      <w:r>
        <w:rPr>
          <w:rFonts w:ascii="Times New Roman" w:hAnsi="Times New Roman" w:cs="Times New Roman" w:eastAsia="Times New Roman" w:hint="default"/>
        </w:rPr>
        <w:t>[2007]189</w:t>
      </w:r>
      <w:r>
        <w:rPr/>
        <w:t>号文核准，同意公司向社会公开发</w:t>
      </w:r>
      <w:r>
        <w:rPr>
          <w:w w:val="100"/>
        </w:rPr>
        <w:t> </w:t>
      </w:r>
      <w:r>
        <w:rPr/>
        <w:t>行人民币普通股股票</w:t>
      </w:r>
      <w:r>
        <w:rPr>
          <w:rFonts w:ascii="Times New Roman" w:hAnsi="Times New Roman" w:cs="Times New Roman" w:eastAsia="Times New Roman" w:hint="default"/>
        </w:rPr>
        <w:t>1,400.00</w:t>
      </w:r>
      <w:r>
        <w:rPr/>
        <w:t>万股，变更后公司的注册资本为</w:t>
      </w:r>
      <w:r>
        <w:rPr>
          <w:spacing w:val="-34"/>
        </w:rPr>
        <w:t> </w:t>
      </w:r>
      <w:r>
        <w:rPr>
          <w:rFonts w:ascii="Times New Roman" w:hAnsi="Times New Roman" w:cs="Times New Roman" w:eastAsia="Times New Roman" w:hint="default"/>
        </w:rPr>
        <w:t>5,600.00</w:t>
      </w:r>
      <w:r>
        <w:rPr/>
        <w:t>万元，其中：李仲初</w:t>
      </w:r>
      <w:r>
        <w:rPr>
          <w:rFonts w:ascii="Times New Roman" w:hAnsi="Times New Roman" w:cs="Times New Roman" w:eastAsia="Times New Roman" w:hint="default"/>
        </w:rPr>
        <w:t>3,528.00</w:t>
      </w:r>
      <w:r>
        <w:rPr/>
        <w:t>万</w:t>
      </w:r>
      <w:r>
        <w:rPr>
          <w:w w:val="100"/>
        </w:rPr>
        <w:t> </w:t>
      </w:r>
      <w:r>
        <w:rPr/>
        <w:t>股，占总股本的</w:t>
      </w:r>
      <w:r>
        <w:rPr>
          <w:rFonts w:ascii="Times New Roman" w:hAnsi="Times New Roman" w:cs="Times New Roman" w:eastAsia="Times New Roman" w:hint="default"/>
        </w:rPr>
        <w:t>63.00%</w:t>
      </w:r>
      <w:r>
        <w:rPr/>
        <w:t>；北京业勤投资顾问有限公司</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4.80%</w:t>
      </w:r>
      <w:r>
        <w:rPr/>
        <w:t>；焦梅荣</w:t>
      </w:r>
      <w:r>
        <w:rPr>
          <w:rFonts w:ascii="Times New Roman" w:hAnsi="Times New Roman" w:cs="Times New Roman" w:eastAsia="Times New Roman" w:hint="default"/>
        </w:rPr>
        <w:t>235.20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6"/>
        </w:rPr>
        <w:t>万股，占总股本的</w:t>
      </w:r>
      <w:r>
        <w:rPr>
          <w:rFonts w:ascii="Times New Roman" w:hAnsi="Times New Roman" w:cs="Times New Roman" w:eastAsia="Times New Roman" w:hint="default"/>
          <w:spacing w:val="-6"/>
        </w:rPr>
        <w:t>4.20%</w:t>
      </w:r>
      <w:r>
        <w:rPr>
          <w:spacing w:val="-6"/>
        </w:rPr>
        <w:t>；陈国强</w:t>
      </w:r>
      <w:r>
        <w:rPr>
          <w:rFonts w:ascii="Times New Roman" w:hAnsi="Times New Roman" w:cs="Times New Roman" w:eastAsia="Times New Roman" w:hint="default"/>
          <w:spacing w:val="-6"/>
        </w:rPr>
        <w:t>100.80</w:t>
      </w:r>
      <w:r>
        <w:rPr>
          <w:spacing w:val="-6"/>
        </w:rPr>
        <w:t>万股，占总股本的</w:t>
      </w:r>
      <w:r>
        <w:rPr>
          <w:rFonts w:ascii="Times New Roman" w:hAnsi="Times New Roman" w:cs="Times New Roman" w:eastAsia="Times New Roman" w:hint="default"/>
          <w:spacing w:val="-6"/>
        </w:rPr>
        <w:t>1.80%</w:t>
      </w:r>
      <w:r>
        <w:rPr>
          <w:spacing w:val="-6"/>
        </w:rPr>
        <w:t>；李殿坤</w:t>
      </w:r>
      <w:r>
        <w:rPr>
          <w:rFonts w:ascii="Times New Roman" w:hAnsi="Times New Roman" w:cs="Times New Roman" w:eastAsia="Times New Roman" w:hint="default"/>
          <w:spacing w:val="-6"/>
        </w:rPr>
        <w:t>67.20</w:t>
      </w:r>
      <w:r>
        <w:rPr>
          <w:spacing w:val="-6"/>
        </w:rPr>
        <w:t>万股</w:t>
      </w:r>
      <w:r>
        <w:rPr>
          <w:rFonts w:ascii="Times New Roman" w:hAnsi="Times New Roman" w:cs="Times New Roman" w:eastAsia="Times New Roman" w:hint="default"/>
          <w:spacing w:val="-6"/>
        </w:rPr>
        <w:t>,</w:t>
      </w:r>
      <w:r>
        <w:rPr>
          <w:spacing w:val="-6"/>
        </w:rPr>
        <w:t>，占总股本的</w:t>
      </w:r>
      <w:r>
        <w:rPr>
          <w:rFonts w:ascii="Times New Roman" w:hAnsi="Times New Roman" w:cs="Times New Roman" w:eastAsia="Times New Roman" w:hint="default"/>
          <w:spacing w:val="-6"/>
        </w:rPr>
        <w:t>1.2%</w:t>
      </w:r>
      <w:r>
        <w:rPr>
          <w:spacing w:val="-6"/>
        </w:rPr>
        <w:t>；</w:t>
      </w:r>
      <w:r>
        <w:rPr>
          <w:spacing w:val="-25"/>
        </w:rPr>
        <w:t> </w:t>
      </w:r>
      <w:r>
        <w:rPr/>
        <w:t>社会公众股</w:t>
      </w:r>
      <w:r>
        <w:rPr>
          <w:rFonts w:ascii="Times New Roman" w:hAnsi="Times New Roman" w:cs="Times New Roman" w:eastAsia="Times New Roman" w:hint="default"/>
        </w:rPr>
        <w:t>1,400.00</w:t>
      </w:r>
      <w:r>
        <w:rPr/>
        <w:t>万股，占总股本的</w:t>
      </w:r>
      <w:r>
        <w:rPr>
          <w:rFonts w:ascii="Times New Roman" w:hAnsi="Times New Roman" w:cs="Times New Roman" w:eastAsia="Times New Roman" w:hint="default"/>
        </w:rPr>
        <w:t>25.00%</w:t>
      </w:r>
      <w:r>
        <w:rPr/>
        <w:t>。</w:t>
      </w:r>
    </w:p>
    <w:p>
      <w:pPr>
        <w:spacing w:after="0" w:line="244" w:lineRule="auto"/>
        <w:jc w:val="left"/>
        <w:sectPr>
          <w:headerReference w:type="default" r:id="rId36"/>
          <w:footerReference w:type="default" r:id="rId37"/>
          <w:pgSz w:w="11910" w:h="16840"/>
          <w:pgMar w:header="877" w:footer="980" w:top="1100" w:bottom="1160" w:left="980" w:right="920"/>
          <w:pgNumType w:start="107"/>
        </w:sectPr>
      </w:pPr>
    </w:p>
    <w:p>
      <w:pPr>
        <w:spacing w:line="240" w:lineRule="auto" w:before="5"/>
        <w:rPr>
          <w:rFonts w:ascii="宋体" w:hAnsi="宋体" w:cs="宋体" w:eastAsia="宋体" w:hint="default"/>
          <w:sz w:val="20"/>
          <w:szCs w:val="20"/>
        </w:rPr>
      </w:pPr>
    </w:p>
    <w:p>
      <w:pPr>
        <w:pStyle w:val="Heading6"/>
        <w:spacing w:line="247" w:lineRule="auto" w:before="32"/>
        <w:ind w:right="100"/>
        <w:jc w:val="left"/>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5</w:t>
      </w:r>
      <w:r>
        <w:rPr>
          <w:spacing w:val="-4"/>
        </w:rPr>
        <w:t>月，根据公司股东会决议和修改后章程的规定，由资本公积转增股本人民币</w:t>
      </w:r>
      <w:r>
        <w:rPr>
          <w:rFonts w:ascii="Times New Roman" w:hAnsi="Times New Roman" w:cs="Times New Roman" w:eastAsia="Times New Roman" w:hint="default"/>
          <w:spacing w:val="-4"/>
        </w:rPr>
        <w:t>5,600.00</w:t>
      </w:r>
      <w:r>
        <w:rPr>
          <w:spacing w:val="-4"/>
        </w:rPr>
        <w:t>万元，</w:t>
      </w:r>
      <w:r>
        <w:rPr>
          <w:w w:val="100"/>
        </w:rPr>
        <w:t> </w:t>
      </w:r>
      <w:r>
        <w:rPr/>
        <w:t>变更后的公司注册资本为人民币普通股</w:t>
      </w:r>
      <w:r>
        <w:rPr>
          <w:rFonts w:ascii="Times New Roman" w:hAnsi="Times New Roman" w:cs="Times New Roman" w:eastAsia="Times New Roman" w:hint="default"/>
        </w:rPr>
        <w:t>11,200.00</w:t>
      </w:r>
      <w:r>
        <w:rPr/>
        <w:t>万元，公司于</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日完成了工商变更登记。</w:t>
      </w:r>
    </w:p>
    <w:p>
      <w:pPr>
        <w:spacing w:line="240" w:lineRule="auto" w:before="5"/>
        <w:rPr>
          <w:rFonts w:ascii="宋体" w:hAnsi="宋体" w:cs="宋体" w:eastAsia="宋体" w:hint="default"/>
          <w:sz w:val="18"/>
          <w:szCs w:val="18"/>
        </w:rPr>
      </w:pPr>
    </w:p>
    <w:p>
      <w:pPr>
        <w:pStyle w:val="Heading6"/>
        <w:spacing w:line="244" w:lineRule="auto"/>
        <w:ind w:right="208"/>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月，根据公司股东会决议和修改后章程的规定，由资本公积转增股本人民币</w:t>
      </w:r>
      <w:r>
        <w:rPr>
          <w:rFonts w:ascii="Times New Roman" w:hAnsi="Times New Roman" w:cs="Times New Roman" w:eastAsia="Times New Roman" w:hint="default"/>
        </w:rPr>
        <w:t>11,200.00</w:t>
      </w:r>
      <w:r>
        <w:rPr/>
        <w:t>万</w:t>
      </w:r>
      <w:r>
        <w:rPr>
          <w:w w:val="100"/>
        </w:rPr>
        <w:t> </w:t>
      </w:r>
      <w:r>
        <w:rPr/>
        <w:t>元，变更后的公司注册资本为人民币普通股</w:t>
      </w:r>
      <w:r>
        <w:rPr>
          <w:rFonts w:ascii="Times New Roman" w:hAnsi="Times New Roman" w:cs="Times New Roman" w:eastAsia="Times New Roman" w:hint="default"/>
        </w:rPr>
        <w:t>22,400.00</w:t>
      </w:r>
      <w:r>
        <w:rPr/>
        <w:t>万元，公司于</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日完成了工商变更登</w:t>
      </w:r>
      <w:r>
        <w:rPr>
          <w:spacing w:val="-103"/>
        </w:rPr>
        <w:t> </w:t>
      </w:r>
      <w:r>
        <w:rPr>
          <w:spacing w:val="-103"/>
        </w:rPr>
      </w:r>
      <w:r>
        <w:rPr/>
        <w:t>记。</w:t>
      </w:r>
    </w:p>
    <w:p>
      <w:pPr>
        <w:spacing w:line="240" w:lineRule="auto" w:before="11"/>
        <w:rPr>
          <w:rFonts w:ascii="宋体" w:hAnsi="宋体" w:cs="宋体" w:eastAsia="宋体" w:hint="default"/>
          <w:sz w:val="19"/>
          <w:szCs w:val="19"/>
        </w:rPr>
      </w:pPr>
    </w:p>
    <w:p>
      <w:pPr>
        <w:pStyle w:val="Heading6"/>
        <w:spacing w:line="244" w:lineRule="auto"/>
        <w:ind w:right="100"/>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月，根据公司股东会决议和修改后章程的规定，由资本公积转增股本人民币</w:t>
      </w:r>
      <w:r>
        <w:rPr>
          <w:rFonts w:ascii="Times New Roman" w:hAnsi="Times New Roman" w:cs="Times New Roman" w:eastAsia="Times New Roman" w:hint="default"/>
          <w:spacing w:val="-4"/>
        </w:rPr>
        <w:t>8,512.00</w:t>
      </w:r>
      <w:r>
        <w:rPr>
          <w:spacing w:val="-4"/>
        </w:rPr>
        <w:t>万元，</w:t>
      </w:r>
      <w:r>
        <w:rPr>
          <w:w w:val="100"/>
        </w:rPr>
        <w:t> </w:t>
      </w:r>
      <w:r>
        <w:rPr/>
        <w:t>变更后的公司注册资本为人民币普通股</w:t>
      </w:r>
      <w:r>
        <w:rPr>
          <w:rFonts w:ascii="Times New Roman" w:hAnsi="Times New Roman" w:cs="Times New Roman" w:eastAsia="Times New Roman" w:hint="default"/>
        </w:rPr>
        <w:t>30,912.00</w:t>
      </w:r>
      <w:r>
        <w:rPr/>
        <w:t>万元，公司于</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日完成了工商变更登记。</w:t>
      </w:r>
    </w:p>
    <w:p>
      <w:pPr>
        <w:spacing w:line="240" w:lineRule="auto" w:before="7"/>
        <w:rPr>
          <w:rFonts w:ascii="宋体" w:hAnsi="宋体" w:cs="宋体" w:eastAsia="宋体" w:hint="default"/>
          <w:sz w:val="18"/>
          <w:szCs w:val="18"/>
        </w:rPr>
      </w:pPr>
    </w:p>
    <w:p>
      <w:pPr>
        <w:pStyle w:val="Heading6"/>
        <w:spacing w:line="244" w:lineRule="auto"/>
        <w:ind w:right="20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月，根据公司股东会决议，公司向淘宝（中国）软件有限公司非公开发行人民币普通股</w:t>
      </w:r>
      <w:r>
        <w:rPr>
          <w:w w:val="100"/>
        </w:rPr>
        <w:t> </w:t>
      </w:r>
      <w:r>
        <w:rPr/>
        <w:t>共计</w:t>
      </w:r>
      <w:r>
        <w:rPr>
          <w:rFonts w:ascii="Times New Roman" w:hAnsi="Times New Roman" w:cs="Times New Roman" w:eastAsia="Times New Roman" w:hint="default"/>
        </w:rPr>
        <w:t>46,476,251</w:t>
      </w:r>
      <w:r>
        <w:rPr/>
        <w:t>股，实际募集资金净额</w:t>
      </w:r>
      <w:r>
        <w:rPr>
          <w:rFonts w:ascii="Times New Roman" w:hAnsi="Times New Roman" w:cs="Times New Roman" w:eastAsia="Times New Roman" w:hint="default"/>
        </w:rPr>
        <w:t>237,217.24</w:t>
      </w:r>
      <w:r>
        <w:rPr/>
        <w:t>万元，其中</w:t>
      </w:r>
      <w:r>
        <w:rPr>
          <w:rFonts w:ascii="Times New Roman" w:hAnsi="Times New Roman" w:cs="Times New Roman" w:eastAsia="Times New Roman" w:hint="default"/>
        </w:rPr>
        <w:t>4,647.63</w:t>
      </w:r>
      <w:r>
        <w:rPr/>
        <w:t>万元计入实收资本，剩余部分计</w:t>
      </w:r>
      <w:r>
        <w:rPr>
          <w:spacing w:val="-49"/>
        </w:rPr>
        <w:t> </w:t>
      </w:r>
      <w:r>
        <w:rPr>
          <w:spacing w:val="-49"/>
        </w:rPr>
      </w:r>
      <w:r>
        <w:rPr>
          <w:spacing w:val="-2"/>
        </w:rPr>
        <w:t>入资本公积，变更后的公司注册资本为人民币普通股</w:t>
      </w:r>
      <w:r>
        <w:rPr>
          <w:rFonts w:ascii="Times New Roman" w:hAnsi="Times New Roman" w:cs="Times New Roman" w:eastAsia="Times New Roman" w:hint="default"/>
          <w:spacing w:val="-2"/>
        </w:rPr>
        <w:t>35,559.63</w:t>
      </w:r>
      <w:r>
        <w:rPr>
          <w:spacing w:val="-2"/>
        </w:rPr>
        <w:t>万元，本次发行新增股份已于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7</w:t>
      </w:r>
      <w:r>
        <w:rPr/>
        <w:t>日在中国证券登记结算有限责任公司深圳分公司办理完毕登记托管相关事宜，并于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日上市交易。</w:t>
      </w:r>
    </w:p>
    <w:p>
      <w:pPr>
        <w:spacing w:line="240" w:lineRule="auto" w:before="11"/>
        <w:rPr>
          <w:rFonts w:ascii="宋体" w:hAnsi="宋体" w:cs="宋体" w:eastAsia="宋体" w:hint="default"/>
          <w:sz w:val="19"/>
          <w:szCs w:val="19"/>
        </w:rPr>
      </w:pPr>
    </w:p>
    <w:p>
      <w:pPr>
        <w:pStyle w:val="Heading6"/>
        <w:spacing w:line="244" w:lineRule="auto"/>
        <w:ind w:right="208"/>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月根据公司股东大会决议及修改后章程的规定，由资本公积转增股本人民币</w:t>
      </w:r>
      <w:r>
        <w:rPr>
          <w:rFonts w:ascii="Times New Roman" w:hAnsi="Times New Roman" w:cs="Times New Roman" w:eastAsia="Times New Roman" w:hint="default"/>
        </w:rPr>
        <w:t>71,119.00</w:t>
      </w:r>
      <w:r>
        <w:rPr/>
        <w:t>万</w:t>
      </w:r>
      <w:r>
        <w:rPr>
          <w:w w:val="100"/>
        </w:rPr>
        <w:t> </w:t>
      </w:r>
      <w:r>
        <w:rPr/>
        <w:t>元，变更后公司注册资本为</w:t>
      </w:r>
      <w:r>
        <w:rPr>
          <w:rFonts w:ascii="Times New Roman" w:hAnsi="Times New Roman" w:cs="Times New Roman" w:eastAsia="Times New Roman" w:hint="default"/>
        </w:rPr>
        <w:t>106,678.88</w:t>
      </w:r>
      <w:r>
        <w:rPr/>
        <w:t>万元，公司于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日完成了工商变更登记。</w:t>
      </w:r>
    </w:p>
    <w:p>
      <w:pPr>
        <w:spacing w:line="240" w:lineRule="auto" w:before="7"/>
        <w:rPr>
          <w:rFonts w:ascii="宋体" w:hAnsi="宋体" w:cs="宋体" w:eastAsia="宋体" w:hint="default"/>
          <w:sz w:val="18"/>
          <w:szCs w:val="18"/>
        </w:rPr>
      </w:pPr>
    </w:p>
    <w:p>
      <w:pPr>
        <w:pStyle w:val="Heading6"/>
        <w:spacing w:line="259" w:lineRule="auto"/>
        <w:ind w:right="210"/>
        <w:jc w:val="both"/>
      </w:pPr>
      <w:r>
        <w:rPr>
          <w:spacing w:val="-2"/>
        </w:rPr>
        <w:t>本公司属软件服务行业，主要从事酒店、零售、餐饮软件的开发以及相关产品的销售等。公司经</w:t>
      </w:r>
      <w:r>
        <w:rPr>
          <w:w w:val="100"/>
        </w:rPr>
        <w:t> </w:t>
      </w:r>
      <w:r>
        <w:rPr>
          <w:spacing w:val="-2"/>
        </w:rPr>
        <w:t>营范围主要为：技术开发、技术咨询、技术转让、技术服务、技术培训；销售开发后的产品、计算机</w:t>
      </w:r>
      <w:r>
        <w:rPr>
          <w:spacing w:val="-71"/>
        </w:rPr>
        <w:t> </w:t>
      </w:r>
      <w:r>
        <w:rPr>
          <w:spacing w:val="-71"/>
        </w:rPr>
      </w:r>
      <w:r>
        <w:rPr>
          <w:spacing w:val="-2"/>
        </w:rPr>
        <w:t>及外围设备；提供信息源服务；网络技术服务；电子商务（未取得专项审批的项目除外）；安装计算</w:t>
      </w:r>
      <w:r>
        <w:rPr>
          <w:spacing w:val="-74"/>
        </w:rPr>
        <w:t> </w:t>
      </w:r>
      <w:r>
        <w:rPr>
          <w:spacing w:val="-74"/>
        </w:rPr>
      </w:r>
      <w:r>
        <w:rPr>
          <w:spacing w:val="-2"/>
        </w:rPr>
        <w:t>机；货物进出口、技术进出口、代理进出口。（企业依法自主选择经营项目，开展经营活动；依法须</w:t>
      </w:r>
      <w:r>
        <w:rPr>
          <w:spacing w:val="-75"/>
        </w:rPr>
        <w:t> </w:t>
      </w:r>
      <w:r>
        <w:rPr>
          <w:spacing w:val="-75"/>
        </w:rPr>
      </w:r>
      <w:r>
        <w:rPr>
          <w:spacing w:val="-2"/>
        </w:rPr>
        <w:t>经批准的项目，经相关部门批准后依批准的内容开展经营活动；不得从事本市产业政策禁止和限制类</w:t>
      </w:r>
      <w:r>
        <w:rPr>
          <w:spacing w:val="-70"/>
        </w:rPr>
        <w:t> </w:t>
      </w:r>
      <w:r>
        <w:rPr>
          <w:spacing w:val="-70"/>
        </w:rPr>
      </w:r>
      <w:r>
        <w:rPr/>
        <w:t>项目的经营活动。）</w:t>
      </w:r>
    </w:p>
    <w:p>
      <w:pPr>
        <w:spacing w:line="240" w:lineRule="auto" w:before="11"/>
        <w:rPr>
          <w:rFonts w:ascii="宋体" w:hAnsi="宋体" w:cs="宋体" w:eastAsia="宋体" w:hint="default"/>
          <w:sz w:val="18"/>
          <w:szCs w:val="18"/>
        </w:rPr>
      </w:pPr>
    </w:p>
    <w:p>
      <w:pPr>
        <w:pStyle w:val="Heading6"/>
        <w:spacing w:line="247" w:lineRule="auto"/>
        <w:ind w:right="209"/>
        <w:jc w:val="both"/>
      </w:pPr>
      <w:r>
        <w:rPr>
          <w:spacing w:val="-2"/>
        </w:rPr>
        <w:t>本集团合并财务报表范围包括</w:t>
      </w:r>
      <w:r>
        <w:rPr>
          <w:rFonts w:ascii="Times New Roman" w:hAnsi="Times New Roman" w:cs="Times New Roman" w:eastAsia="Times New Roman" w:hint="default"/>
          <w:spacing w:val="-2"/>
        </w:rPr>
        <w:t>69</w:t>
      </w:r>
      <w:r>
        <w:rPr>
          <w:spacing w:val="-2"/>
        </w:rPr>
        <w:t>家子公司，其中二级子公司</w:t>
      </w:r>
      <w:r>
        <w:rPr>
          <w:rFonts w:ascii="Times New Roman" w:hAnsi="Times New Roman" w:cs="Times New Roman" w:eastAsia="Times New Roman" w:hint="default"/>
          <w:spacing w:val="-2"/>
        </w:rPr>
        <w:t>15</w:t>
      </w:r>
      <w:r>
        <w:rPr>
          <w:spacing w:val="-2"/>
        </w:rPr>
        <w:t>家、三级子公司</w:t>
      </w:r>
      <w:r>
        <w:rPr>
          <w:rFonts w:ascii="Times New Roman" w:hAnsi="Times New Roman" w:cs="Times New Roman" w:eastAsia="Times New Roman" w:hint="default"/>
          <w:spacing w:val="-2"/>
        </w:rPr>
        <w:t>25</w:t>
      </w:r>
      <w:r>
        <w:rPr>
          <w:spacing w:val="-2"/>
        </w:rPr>
        <w:t>家、四级子公司</w:t>
      </w:r>
      <w:r>
        <w:rPr>
          <w:w w:val="100"/>
        </w:rPr>
        <w:t> </w:t>
      </w:r>
      <w:r>
        <w:rPr>
          <w:rFonts w:ascii="Times New Roman" w:hAnsi="Times New Roman" w:cs="Times New Roman" w:eastAsia="Times New Roman" w:hint="default"/>
          <w:spacing w:val="-6"/>
        </w:rPr>
        <w:t>19</w:t>
      </w:r>
      <w:r>
        <w:rPr>
          <w:spacing w:val="-6"/>
        </w:rPr>
        <w:t>家、五级子公司</w:t>
      </w:r>
      <w:r>
        <w:rPr>
          <w:rFonts w:ascii="Times New Roman" w:hAnsi="Times New Roman" w:cs="Times New Roman" w:eastAsia="Times New Roman" w:hint="default"/>
          <w:spacing w:val="-6"/>
        </w:rPr>
        <w:t>10</w:t>
      </w:r>
      <w:r>
        <w:rPr>
          <w:spacing w:val="-6"/>
        </w:rPr>
        <w:t>家。与上年相比，本年因非同一控制下企业合并增加</w:t>
      </w:r>
      <w:r>
        <w:rPr>
          <w:rFonts w:ascii="Times New Roman" w:hAnsi="Times New Roman" w:cs="Times New Roman" w:eastAsia="Times New Roman" w:hint="default"/>
          <w:spacing w:val="-6"/>
        </w:rPr>
        <w:t>Review </w:t>
      </w:r>
      <w:r>
        <w:rPr>
          <w:rFonts w:ascii="Times New Roman" w:hAnsi="Times New Roman" w:cs="Times New Roman" w:eastAsia="Times New Roman" w:hint="default"/>
        </w:rPr>
        <w:t>Rank </w:t>
      </w:r>
      <w:r>
        <w:rPr>
          <w:rFonts w:ascii="Times New Roman" w:hAnsi="Times New Roman" w:cs="Times New Roman" w:eastAsia="Times New Roman" w:hint="default"/>
          <w:spacing w:val="-6"/>
        </w:rPr>
        <w:t>S.A.</w:t>
      </w:r>
      <w:r>
        <w:rPr>
          <w:spacing w:val="-6"/>
        </w:rPr>
        <w:t>、</w:t>
      </w:r>
      <w:r>
        <w:rPr>
          <w:rFonts w:ascii="Times New Roman" w:hAnsi="Times New Roman" w:cs="Times New Roman" w:eastAsia="Times New Roman" w:hint="default"/>
          <w:spacing w:val="-6"/>
        </w:rPr>
        <w:t>Galasys </w:t>
      </w:r>
      <w:r>
        <w:rPr>
          <w:rFonts w:ascii="Times New Roman" w:hAnsi="Times New Roman" w:cs="Times New Roman" w:eastAsia="Times New Roman" w:hint="default"/>
        </w:rPr>
        <w:t>Plc</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等</w:t>
      </w:r>
      <w:r>
        <w:rPr>
          <w:rFonts w:ascii="Times New Roman" w:hAnsi="Times New Roman" w:cs="Times New Roman" w:eastAsia="Times New Roman" w:hint="default"/>
        </w:rPr>
        <w:t>11</w:t>
      </w:r>
      <w:r>
        <w:rPr/>
        <w:t>家，因派生分立增加敏付科技有限公司。因处置减少</w:t>
      </w:r>
      <w:r>
        <w:rPr>
          <w:rFonts w:ascii="Times New Roman" w:hAnsi="Times New Roman" w:cs="Times New Roman" w:eastAsia="Times New Roman" w:hint="default"/>
        </w:rPr>
        <w:t>Great Kylin Investment</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w:t>
      </w:r>
    </w:p>
    <w:p>
      <w:pPr>
        <w:spacing w:line="240" w:lineRule="auto" w:before="5"/>
        <w:rPr>
          <w:rFonts w:ascii="宋体" w:hAnsi="宋体" w:cs="宋体" w:eastAsia="宋体" w:hint="default"/>
          <w:sz w:val="18"/>
          <w:szCs w:val="18"/>
        </w:rPr>
      </w:pPr>
    </w:p>
    <w:p>
      <w:pPr>
        <w:pStyle w:val="Heading6"/>
        <w:spacing w:line="240" w:lineRule="auto"/>
        <w:ind w:left="592" w:right="208" w:firstLine="0"/>
        <w:jc w:val="left"/>
      </w:pPr>
      <w:r>
        <w:rPr/>
        <w:t>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2"/>
          <w:szCs w:val="22"/>
        </w:rPr>
      </w:pPr>
    </w:p>
    <w:p>
      <w:pPr>
        <w:pStyle w:val="Heading3"/>
        <w:spacing w:line="240" w:lineRule="auto"/>
        <w:ind w:right="208"/>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209"/>
        <w:jc w:val="both"/>
      </w:pPr>
      <w:r>
        <w:rPr>
          <w:spacing w:val="-2"/>
        </w:rPr>
        <w:t>本集团财务报表以持续经营为基础，根据实际发生的交易和事项，按照财政部颁布的《企业会计</w:t>
      </w:r>
      <w:r>
        <w:rPr>
          <w:w w:val="100"/>
        </w:rPr>
        <w:t> </w:t>
      </w:r>
      <w:r>
        <w:rPr/>
        <w:t>准则》及相关规定，并基于本附注“四、重要会计政策及会计估计”所述会计政策和会计估计编制</w:t>
      </w:r>
    </w:p>
    <w:p>
      <w:pPr>
        <w:spacing w:line="240" w:lineRule="auto" w:before="2"/>
        <w:rPr>
          <w:rFonts w:ascii="宋体" w:hAnsi="宋体" w:cs="宋体" w:eastAsia="宋体" w:hint="default"/>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4"/>
          <w:szCs w:val="24"/>
        </w:rPr>
      </w:pPr>
    </w:p>
    <w:p>
      <w:pPr>
        <w:pStyle w:val="Heading6"/>
        <w:spacing w:line="244" w:lineRule="auto"/>
        <w:ind w:right="211"/>
        <w:jc w:val="both"/>
      </w:pPr>
      <w:r>
        <w:rPr>
          <w:spacing w:val="-2"/>
        </w:rPr>
        <w:t>本集团有近期获利经营的历史且有财务资源支持，不存在可能导致对本集团自报表期末起</w:t>
      </w:r>
      <w:r>
        <w:rPr>
          <w:rFonts w:ascii="Times New Roman" w:hAnsi="Times New Roman" w:cs="Times New Roman" w:eastAsia="Times New Roman" w:hint="default"/>
          <w:spacing w:val="-2"/>
        </w:rPr>
        <w:t>12</w:t>
      </w:r>
      <w:r>
        <w:rPr>
          <w:spacing w:val="-2"/>
        </w:rPr>
        <w:t>个月</w:t>
      </w:r>
      <w:r>
        <w:rPr>
          <w:w w:val="100"/>
        </w:rPr>
        <w:t> </w:t>
      </w:r>
      <w:r>
        <w:rPr/>
        <w:t>内的持续经营能力产生重大疑虑的事项或情况，认为以持续经营为基础编制财务报表是合理的。</w:t>
      </w:r>
    </w:p>
    <w:p>
      <w:pPr>
        <w:spacing w:after="0" w:line="244" w:lineRule="auto"/>
        <w:jc w:val="both"/>
        <w:sectPr>
          <w:pgSz w:w="11910" w:h="16840"/>
          <w:pgMar w:header="877" w:footer="980" w:top="1100" w:bottom="1160" w:left="980" w:right="92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52" w:right="15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Heading6"/>
        <w:spacing w:line="249" w:lineRule="auto" w:before="87"/>
        <w:ind w:right="153"/>
        <w:jc w:val="left"/>
      </w:pPr>
      <w:r>
        <w:rPr>
          <w:spacing w:val="-1"/>
        </w:rPr>
        <w:t>根据财政部颁发的《关于印发修订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[2017]15</w:t>
      </w:r>
      <w:r>
        <w:rPr>
          <w:rFonts w:ascii="Times New Roman" w:hAnsi="Times New Roman" w:cs="Times New Roman" w:eastAsia="Times New Roman" w:hint="default"/>
          <w:w w:val="100"/>
        </w:rPr>
        <w:t> </w:t>
      </w:r>
      <w:r>
        <w:rPr>
          <w:spacing w:val="-8"/>
          <w:w w:val="100"/>
        </w:rPr>
        <w:t>号）、《关于印发</w:t>
      </w:r>
      <w:r>
        <w:rPr>
          <w:rFonts w:ascii="Times New Roman" w:hAnsi="Times New Roman" w:cs="Times New Roman" w:eastAsia="Times New Roman" w:hint="default"/>
          <w:spacing w:val="-8"/>
          <w:w w:val="100"/>
        </w:rPr>
        <w:t>&lt;</w:t>
      </w:r>
      <w:r>
        <w:rPr>
          <w:spacing w:val="-8"/>
          <w:w w:val="100"/>
        </w:rPr>
        <w:t>企业会计准则第</w:t>
      </w:r>
      <w:r>
        <w:rPr>
          <w:rFonts w:ascii="Times New Roman" w:hAnsi="Times New Roman" w:cs="Times New Roman" w:eastAsia="Times New Roman" w:hint="default"/>
          <w:spacing w:val="-8"/>
          <w:w w:val="100"/>
        </w:rPr>
        <w:t>42</w:t>
      </w:r>
      <w:r>
        <w:rPr>
          <w:spacing w:val="-8"/>
          <w:w w:val="100"/>
        </w:rPr>
        <w:t>号</w:t>
      </w:r>
      <w:r>
        <w:rPr>
          <w:rFonts w:ascii="Times New Roman" w:hAnsi="Times New Roman" w:cs="Times New Roman" w:eastAsia="Times New Roman" w:hint="default"/>
          <w:spacing w:val="-8"/>
          <w:w w:val="100"/>
        </w:rPr>
        <w:t>——</w:t>
      </w:r>
      <w:r>
        <w:rPr>
          <w:spacing w:val="-8"/>
          <w:w w:val="100"/>
        </w:rPr>
        <w:t>持有待售的非流动资产、处置组和终止经营</w:t>
      </w:r>
      <w:r>
        <w:rPr>
          <w:rFonts w:ascii="Times New Roman" w:hAnsi="Times New Roman" w:cs="Times New Roman" w:eastAsia="Times New Roman" w:hint="default"/>
          <w:spacing w:val="-8"/>
          <w:w w:val="100"/>
        </w:rPr>
        <w:t>&gt;</w:t>
      </w:r>
      <w:r>
        <w:rPr>
          <w:spacing w:val="-8"/>
          <w:w w:val="100"/>
        </w:rPr>
        <w:t>的通知》（财</w:t>
      </w:r>
      <w:r>
        <w:rPr>
          <w:spacing w:val="-67"/>
          <w:w w:val="100"/>
        </w:rPr>
        <w:t> </w:t>
      </w:r>
      <w:r>
        <w:rPr>
          <w:spacing w:val="-67"/>
          <w:w w:val="100"/>
        </w:rPr>
      </w:r>
      <w:r>
        <w:rPr>
          <w:spacing w:val="-3"/>
        </w:rPr>
        <w:t>会</w:t>
      </w:r>
      <w:r>
        <w:rPr>
          <w:rFonts w:ascii="Times New Roman" w:hAnsi="Times New Roman" w:cs="Times New Roman" w:eastAsia="Times New Roman" w:hint="default"/>
          <w:spacing w:val="-3"/>
        </w:rPr>
        <w:t>[2017]13</w:t>
      </w:r>
      <w:r>
        <w:rPr>
          <w:spacing w:val="-3"/>
        </w:rPr>
        <w:t>号）的有关规定，本公司自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日期开始执行修订的政府补助准则和自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15"/>
        </w:rPr>
        <w:t> </w:t>
      </w:r>
      <w:r>
        <w:rPr/>
        <w:t>日起执行修订的持有待售的非流动资产、处置组和终止经营准则。</w:t>
      </w:r>
      <w:r>
        <w:rPr>
          <w:w w:val="100"/>
        </w:rPr>
        <w:t> </w:t>
      </w:r>
      <w:r>
        <w:rPr>
          <w:spacing w:val="-2"/>
        </w:rPr>
        <w:t>本集团根据财会</w:t>
      </w:r>
      <w:r>
        <w:rPr>
          <w:rFonts w:ascii="Times New Roman" w:hAnsi="Times New Roman" w:cs="Times New Roman" w:eastAsia="Times New Roman" w:hint="default"/>
          <w:spacing w:val="-2"/>
        </w:rPr>
        <w:t>30</w:t>
      </w:r>
      <w:r>
        <w:rPr>
          <w:spacing w:val="-2"/>
        </w:rPr>
        <w:t>号文，对出售划分为持有待售的非流动资产（金融工具、长期股权投资和投资性房</w:t>
      </w:r>
      <w:r>
        <w:rPr>
          <w:spacing w:val="-67"/>
        </w:rPr>
        <w:t> </w:t>
      </w:r>
      <w:r>
        <w:rPr>
          <w:spacing w:val="-67"/>
        </w:rPr>
      </w:r>
      <w:r>
        <w:rPr>
          <w:spacing w:val="-2"/>
        </w:rPr>
        <w:t>地产除外）或处置组时确认的处置利得或损失，以及处置未划分为持有待售的固定资产、在建工程及</w:t>
      </w:r>
      <w:r>
        <w:rPr>
          <w:spacing w:val="-67"/>
        </w:rPr>
        <w:t> </w:t>
      </w:r>
      <w:r>
        <w:rPr>
          <w:spacing w:val="-67"/>
        </w:rPr>
      </w:r>
      <w:r>
        <w:rPr/>
        <w:t>无形资产而产生的处置利得或损失，在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项目列报。</w:t>
      </w:r>
    </w:p>
    <w:p>
      <w:pPr>
        <w:spacing w:line="240" w:lineRule="auto" w:before="7"/>
        <w:rPr>
          <w:rFonts w:ascii="宋体" w:hAnsi="宋体" w:cs="宋体" w:eastAsia="宋体" w:hint="default"/>
          <w:sz w:val="23"/>
          <w:szCs w:val="23"/>
        </w:rPr>
      </w:pPr>
    </w:p>
    <w:p>
      <w:pPr>
        <w:pStyle w:val="Heading7"/>
        <w:spacing w:line="240" w:lineRule="auto"/>
        <w:ind w:right="15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53"/>
        <w:jc w:val="left"/>
      </w:pPr>
      <w:r>
        <w:rPr>
          <w:spacing w:val="-2"/>
        </w:rPr>
        <w:t>本集团编制的财务报表符合企业会计准则的要求，真实、完整地反映了本公司及本集团的财务状</w:t>
      </w:r>
      <w:r>
        <w:rPr>
          <w:w w:val="100"/>
        </w:rPr>
        <w:t> </w:t>
      </w:r>
      <w:r>
        <w:rPr/>
        <w:t>况、经营成果和现金流量等有关信息。</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53" w:firstLine="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592" w:right="153" w:firstLine="0"/>
        <w:jc w:val="left"/>
      </w:pPr>
      <w:r>
        <w:rPr/>
        <w:t>本集团以</w:t>
      </w:r>
      <w:r>
        <w:rPr>
          <w:rFonts w:ascii="Times New Roman" w:hAnsi="Times New Roman" w:cs="Times New Roman" w:eastAsia="Times New Roman" w:hint="default"/>
        </w:rPr>
        <w:t>12</w:t>
      </w:r>
      <w:r>
        <w:rPr/>
        <w:t>个月为一个经营周期，并以营业周期作为资产和负债的流动性划分标准。</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53" w:firstLine="0"/>
        <w:jc w:val="left"/>
      </w:pPr>
      <w:r>
        <w:rPr/>
        <w:t>本集团以人民币为记账本位币。</w:t>
      </w:r>
    </w:p>
    <w:p>
      <w:pPr>
        <w:spacing w:line="240" w:lineRule="auto" w:before="6"/>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49"/>
        <w:jc w:val="both"/>
      </w:pPr>
      <w:r>
        <w:rPr>
          <w:spacing w:val="-2"/>
        </w:rPr>
        <w:t>本集团作为合并方，在同一控制下企业合并中取得的资产和负债，在合并日按被合并方在最终控</w:t>
      </w:r>
      <w:r>
        <w:rPr>
          <w:w w:val="100"/>
        </w:rPr>
        <w:t> </w:t>
      </w:r>
      <w:r>
        <w:rPr>
          <w:spacing w:val="-2"/>
        </w:rPr>
        <w:t>制方合并报表中的账面价值计量。取得的净资产账面价值与支付的合并对价账面价值的差额，调整资</w:t>
      </w:r>
      <w:r>
        <w:rPr>
          <w:spacing w:val="-68"/>
        </w:rPr>
        <w:t> </w:t>
      </w:r>
      <w:r>
        <w:rPr>
          <w:spacing w:val="-68"/>
        </w:rPr>
      </w:r>
      <w:r>
        <w:rPr/>
        <w:t>本公积；资本公积不足冲减的，调整留存收益。</w:t>
      </w:r>
    </w:p>
    <w:p>
      <w:pPr>
        <w:spacing w:line="240" w:lineRule="auto" w:before="12"/>
        <w:rPr>
          <w:rFonts w:ascii="宋体" w:hAnsi="宋体" w:cs="宋体" w:eastAsia="宋体" w:hint="default"/>
          <w:sz w:val="18"/>
          <w:szCs w:val="18"/>
        </w:rPr>
      </w:pPr>
    </w:p>
    <w:p>
      <w:pPr>
        <w:pStyle w:val="Heading6"/>
        <w:spacing w:line="259" w:lineRule="auto"/>
        <w:ind w:right="148"/>
        <w:jc w:val="both"/>
      </w:pPr>
      <w:r>
        <w:rPr>
          <w:spacing w:val="-2"/>
        </w:rPr>
        <w:t>在非同一控制下企业合并中取得的被购买方可辨认资产、负债及或有负债在收购日以公允价值计</w:t>
      </w:r>
      <w:r>
        <w:rPr>
          <w:w w:val="100"/>
        </w:rPr>
        <w:t> </w:t>
      </w:r>
      <w:r>
        <w:rPr>
          <w:spacing w:val="-2"/>
        </w:rPr>
        <w:t>量。合并成本为本集团在购买日为取得对被购买方的控制权而支付的现金或非现金资产、发行或承担</w:t>
      </w:r>
      <w:r>
        <w:rPr>
          <w:spacing w:val="-70"/>
        </w:rPr>
        <w:t> </w:t>
      </w:r>
      <w:r>
        <w:rPr>
          <w:spacing w:val="-70"/>
        </w:rPr>
      </w:r>
      <w:r>
        <w:rPr>
          <w:spacing w:val="-2"/>
        </w:rPr>
        <w:t>的负债、发行的权益性证券等的公允价值以及在企业合并中发生的各项直接相关费用之和（通过多次</w:t>
      </w:r>
      <w:r>
        <w:rPr>
          <w:spacing w:val="-70"/>
        </w:rPr>
        <w:t> </w:t>
      </w:r>
      <w:r>
        <w:rPr>
          <w:spacing w:val="-70"/>
        </w:rPr>
      </w:r>
      <w:r>
        <w:rPr>
          <w:spacing w:val="-2"/>
        </w:rPr>
        <w:t>交易分步实现的企业合并，其合并成本为每一单项交易的成本之和）。合并成本大于合并中取得的被</w:t>
      </w:r>
      <w:r>
        <w:rPr>
          <w:spacing w:val="-70"/>
        </w:rPr>
        <w:t> </w:t>
      </w:r>
      <w:r>
        <w:rPr>
          <w:spacing w:val="-70"/>
        </w:rPr>
      </w:r>
      <w:r>
        <w:rPr>
          <w:spacing w:val="-2"/>
        </w:rPr>
        <w:t>购买方可辨认净资产公允价值份额的差额，确认为商誉；合并成本小于合并中取得的被购买方可辨认</w:t>
      </w:r>
      <w:r>
        <w:rPr>
          <w:spacing w:val="-70"/>
        </w:rPr>
        <w:t> </w:t>
      </w:r>
      <w:r>
        <w:rPr>
          <w:spacing w:val="-70"/>
        </w:rPr>
      </w:r>
      <w:r>
        <w:rPr>
          <w:spacing w:val="-2"/>
        </w:rPr>
        <w:t>净资产公允价值份额的，首先对合并中取得的各项可辨认资产、负债及或有负债的公允价值、以及合</w:t>
      </w:r>
      <w:r>
        <w:rPr>
          <w:spacing w:val="-66"/>
        </w:rPr>
        <w:t> </w:t>
      </w:r>
      <w:r>
        <w:rPr>
          <w:spacing w:val="-66"/>
        </w:rPr>
      </w:r>
      <w:r>
        <w:rPr>
          <w:spacing w:val="-2"/>
        </w:rPr>
        <w:t>并对价的非现金资产或发行的权益性证券等的公允价值进行复核，经复核后，合并成本仍小于合并中</w:t>
      </w:r>
    </w:p>
    <w:p>
      <w:pPr>
        <w:spacing w:after="0" w:line="259" w:lineRule="auto"/>
        <w:jc w:val="both"/>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40" w:lineRule="auto" w:before="32"/>
        <w:ind w:right="208" w:firstLine="0"/>
        <w:jc w:val="left"/>
      </w:pPr>
      <w:r>
        <w:rPr/>
        <w:t>取得的被购买方可辨认净资产公允价值份额的，将其差额计入合并当期营业外收入。</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pStyle w:val="Heading7"/>
        <w:spacing w:line="240" w:lineRule="auto"/>
        <w:ind w:right="208"/>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Heading6"/>
        <w:spacing w:line="550" w:lineRule="atLeast" w:before="52"/>
        <w:ind w:left="592" w:right="208" w:firstLine="0"/>
        <w:jc w:val="left"/>
      </w:pPr>
      <w:r>
        <w:rPr/>
        <w:t>本集团将所有控制的子公司及结构化主体纳入合并财务报表范围。</w:t>
      </w:r>
      <w:r>
        <w:rPr>
          <w:w w:val="100"/>
        </w:rPr>
        <w:t> </w:t>
      </w:r>
      <w:r>
        <w:rPr>
          <w:spacing w:val="-2"/>
        </w:rPr>
        <w:t>在编制合并财务报表时，子公司与本公司采用的会计政策或会计期间不一致的，按照本公司的会</w:t>
      </w:r>
    </w:p>
    <w:p>
      <w:pPr>
        <w:pStyle w:val="Heading6"/>
        <w:spacing w:line="240" w:lineRule="auto" w:before="24"/>
        <w:ind w:right="208" w:firstLine="0"/>
        <w:jc w:val="left"/>
      </w:pPr>
      <w:r>
        <w:rPr/>
        <w:t>计政策或会计期间对子公司财务报表进行必要的调整。</w:t>
      </w:r>
    </w:p>
    <w:p>
      <w:pPr>
        <w:spacing w:line="240" w:lineRule="auto" w:before="2"/>
        <w:rPr>
          <w:rFonts w:ascii="宋体" w:hAnsi="宋体" w:cs="宋体" w:eastAsia="宋体" w:hint="default"/>
          <w:sz w:val="20"/>
          <w:szCs w:val="20"/>
        </w:rPr>
      </w:pPr>
    </w:p>
    <w:p>
      <w:pPr>
        <w:pStyle w:val="Heading6"/>
        <w:spacing w:line="254" w:lineRule="auto"/>
        <w:ind w:right="212"/>
        <w:jc w:val="both"/>
      </w:pPr>
      <w:r>
        <w:rPr>
          <w:spacing w:val="-2"/>
        </w:rPr>
        <w:t>合并范围内的所有重大内部交易、往来余额及未实现利润在合并报表编制时予以抵销。子公司的</w:t>
      </w:r>
      <w:r>
        <w:rPr>
          <w:w w:val="100"/>
        </w:rPr>
        <w:t> </w:t>
      </w:r>
      <w:r>
        <w:rPr>
          <w:spacing w:val="-2"/>
        </w:rPr>
        <w:t>所有者权益中不属于母公司的份额以及当期净损益、其他综合收益及综合收益总额中属于少数股东权</w:t>
      </w:r>
      <w:r>
        <w:rPr>
          <w:spacing w:val="-73"/>
        </w:rPr>
        <w:t> </w:t>
      </w:r>
      <w:r>
        <w:rPr>
          <w:spacing w:val="-73"/>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34"/>
        </w:rPr>
        <w:t> </w:t>
      </w:r>
      <w:r>
        <w:rPr>
          <w:spacing w:val="-34"/>
        </w:rPr>
      </w:r>
      <w:r>
        <w:rPr/>
        <w:t>归属于少数股东的综合收益总额</w:t>
      </w:r>
      <w:r>
        <w:rPr>
          <w:rFonts w:ascii="Times New Roman" w:hAnsi="Times New Roman" w:cs="Times New Roman" w:eastAsia="Times New Roman" w:hint="default"/>
        </w:rPr>
        <w:t>”</w:t>
      </w:r>
      <w:r>
        <w:rPr/>
        <w:t>项目列示。</w:t>
      </w:r>
    </w:p>
    <w:p>
      <w:pPr>
        <w:spacing w:line="240" w:lineRule="auto" w:before="11"/>
        <w:rPr>
          <w:rFonts w:ascii="宋体" w:hAnsi="宋体" w:cs="宋体" w:eastAsia="宋体" w:hint="default"/>
          <w:sz w:val="17"/>
          <w:szCs w:val="17"/>
        </w:rPr>
      </w:pPr>
    </w:p>
    <w:p>
      <w:pPr>
        <w:pStyle w:val="Heading6"/>
        <w:spacing w:line="259" w:lineRule="auto"/>
        <w:ind w:right="208"/>
        <w:jc w:val="both"/>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r>
        <w:rPr>
          <w:spacing w:val="-68"/>
        </w:rPr>
        <w:t> </w:t>
      </w:r>
      <w:r>
        <w:rPr>
          <w:spacing w:val="-68"/>
        </w:rPr>
      </w:r>
      <w:r>
        <w:rPr/>
        <w:t>最终控制方开始控制时点起一直存在。</w:t>
      </w:r>
    </w:p>
    <w:p>
      <w:pPr>
        <w:spacing w:line="240" w:lineRule="auto" w:before="11"/>
        <w:rPr>
          <w:rFonts w:ascii="宋体" w:hAnsi="宋体" w:cs="宋体" w:eastAsia="宋体" w:hint="default"/>
          <w:sz w:val="18"/>
          <w:szCs w:val="18"/>
        </w:rPr>
      </w:pPr>
    </w:p>
    <w:p>
      <w:pPr>
        <w:pStyle w:val="Heading6"/>
        <w:spacing w:line="259" w:lineRule="auto"/>
        <w:ind w:right="100"/>
        <w:jc w:val="left"/>
      </w:pPr>
      <w:r>
        <w:rPr/>
        <w:t>通过多次交易分步取得同一控制下被投资单位的股权，最终形成企业合并的，应在取得控制权的</w:t>
      </w:r>
      <w:r>
        <w:rPr>
          <w:w w:val="100"/>
        </w:rPr>
        <w:t> </w:t>
      </w:r>
      <w:r>
        <w:rPr>
          <w:spacing w:val="-2"/>
        </w:rPr>
        <w:t>报告期，补充披露在合并财务报表中的处理方法。例如：通过多次交易分步取得同一控制下被投资单</w:t>
      </w:r>
      <w:r>
        <w:rPr>
          <w:spacing w:val="-67"/>
        </w:rPr>
        <w:t> </w:t>
      </w:r>
      <w:r>
        <w:rPr>
          <w:spacing w:val="-67"/>
        </w:rPr>
      </w:r>
      <w:r>
        <w:rPr>
          <w:spacing w:val="-2"/>
        </w:rPr>
        <w:t>位的股权，最终形成企业合并，编制合并报表时，视同在最终控制方开始控制时即以目前的状态存在</w:t>
      </w:r>
      <w:r>
        <w:rPr>
          <w:spacing w:val="-69"/>
        </w:rPr>
        <w:t> </w:t>
      </w:r>
      <w:r>
        <w:rPr>
          <w:spacing w:val="-69"/>
        </w:rPr>
      </w:r>
      <w:r>
        <w:rPr>
          <w:spacing w:val="-5"/>
        </w:rPr>
        <w:t>进行调整，在编制比较报表时，以不早于本集团和被合并方同处于最终控制方的控制之下的时点为限，</w:t>
      </w:r>
      <w:r>
        <w:rPr>
          <w:spacing w:val="-45"/>
        </w:rPr>
        <w:t> </w:t>
      </w:r>
      <w:r>
        <w:rPr>
          <w:spacing w:val="-45"/>
        </w:rPr>
      </w:r>
      <w:r>
        <w:rPr>
          <w:spacing w:val="-2"/>
        </w:rPr>
        <w:t>将被合并方的有关资产、负债并入本集团合并财务报表的比较报表中，并将合并而增加的净资产在比</w:t>
      </w:r>
      <w:r>
        <w:rPr>
          <w:spacing w:val="-70"/>
        </w:rPr>
        <w:t> </w:t>
      </w:r>
      <w:r>
        <w:rPr>
          <w:spacing w:val="-70"/>
        </w:rPr>
      </w:r>
      <w:r>
        <w:rPr>
          <w:spacing w:val="-2"/>
        </w:rPr>
        <w:t>较报表中调整所有者权益项下的相关项目。为避免对被合并方净资产的价值进行重复计算，本集团在</w:t>
      </w:r>
      <w:r>
        <w:rPr>
          <w:spacing w:val="-70"/>
        </w:rPr>
        <w:t> </w:t>
      </w:r>
      <w:r>
        <w:rPr>
          <w:spacing w:val="-70"/>
        </w:rPr>
      </w:r>
      <w:r>
        <w:rPr>
          <w:spacing w:val="-2"/>
        </w:rPr>
        <w:t>达到合并之前持有的长期股权投资，在取得原股权之日与本集团和被合并方处于同一方最终控制之日</w:t>
      </w:r>
      <w:r>
        <w:rPr>
          <w:spacing w:val="-73"/>
        </w:rPr>
        <w:t> </w:t>
      </w:r>
      <w:r>
        <w:rPr>
          <w:spacing w:val="-73"/>
        </w:rPr>
      </w:r>
      <w:r>
        <w:rPr>
          <w:spacing w:val="-2"/>
        </w:rPr>
        <w:t>孰晚日起至合并日之间已确认有关损益、其他综合收益和其他净资产变动，应分别冲减比较报表期间</w:t>
      </w:r>
      <w:r>
        <w:rPr>
          <w:spacing w:val="-70"/>
        </w:rPr>
        <w:t> </w:t>
      </w:r>
      <w:r>
        <w:rPr>
          <w:spacing w:val="-70"/>
        </w:rPr>
      </w:r>
      <w:r>
        <w:rPr/>
        <w:t>的期初留存收益和当期损益。</w:t>
      </w:r>
    </w:p>
    <w:p>
      <w:pPr>
        <w:spacing w:line="240" w:lineRule="auto" w:before="11"/>
        <w:rPr>
          <w:rFonts w:ascii="宋体" w:hAnsi="宋体" w:cs="宋体" w:eastAsia="宋体" w:hint="default"/>
          <w:sz w:val="18"/>
          <w:szCs w:val="18"/>
        </w:rPr>
      </w:pPr>
    </w:p>
    <w:p>
      <w:pPr>
        <w:pStyle w:val="Heading6"/>
        <w:spacing w:line="259" w:lineRule="auto"/>
        <w:ind w:right="208"/>
        <w:jc w:val="both"/>
      </w:pPr>
      <w:r>
        <w:rPr>
          <w:spacing w:val="-2"/>
        </w:rPr>
        <w:t>对于非同一控制下企业合并取得子公司，经营成果和现金流量自本集团取得控制权之日起纳入合</w:t>
      </w:r>
      <w:r>
        <w:rPr>
          <w:w w:val="100"/>
        </w:rPr>
        <w:t> </w:t>
      </w:r>
      <w:r>
        <w:rPr>
          <w:spacing w:val="-2"/>
        </w:rPr>
        <w:t>并财务报表。在编制合并财务报表时，以购买日确定的各项可辨认资产、负债及或有负债的公允价值</w:t>
      </w:r>
      <w:r>
        <w:rPr>
          <w:spacing w:val="-68"/>
        </w:rPr>
        <w:t> </w:t>
      </w:r>
      <w:r>
        <w:rPr>
          <w:spacing w:val="-68"/>
        </w:rPr>
      </w:r>
      <w:r>
        <w:rPr/>
        <w:t>为基础对子公司的财务报表进行调整。</w:t>
      </w:r>
    </w:p>
    <w:p>
      <w:pPr>
        <w:spacing w:line="240" w:lineRule="auto" w:before="11"/>
        <w:rPr>
          <w:rFonts w:ascii="宋体" w:hAnsi="宋体" w:cs="宋体" w:eastAsia="宋体" w:hint="default"/>
          <w:sz w:val="18"/>
          <w:szCs w:val="18"/>
        </w:rPr>
      </w:pPr>
    </w:p>
    <w:p>
      <w:pPr>
        <w:pStyle w:val="Heading6"/>
        <w:spacing w:line="259" w:lineRule="auto"/>
        <w:ind w:right="209"/>
        <w:jc w:val="both"/>
      </w:pPr>
      <w:r>
        <w:rPr>
          <w:spacing w:val="-2"/>
        </w:rPr>
        <w:t>通过多次交易分步取得非同一控制下被投资单位的股权，最终形成企业合并的，应在取得控制权</w:t>
      </w:r>
      <w:r>
        <w:rPr>
          <w:w w:val="100"/>
        </w:rPr>
        <w:t> </w:t>
      </w:r>
      <w:r>
        <w:rPr>
          <w:spacing w:val="-2"/>
        </w:rPr>
        <w:t>的报告期，补充披露在合并财务报表中的处理方法。例如：通过多次交易分步取得非同一控制下被投</w:t>
      </w:r>
      <w:r>
        <w:rPr>
          <w:spacing w:val="-69"/>
        </w:rPr>
        <w:t> </w:t>
      </w:r>
      <w:r>
        <w:rPr>
          <w:spacing w:val="-69"/>
        </w:rPr>
      </w:r>
      <w:r>
        <w:rPr>
          <w:spacing w:val="-2"/>
        </w:rPr>
        <w:t>资单位的股权，最终形成企业合并，编制合并报表时，对于购买日之前持有的被购买方的股权，按照</w:t>
      </w:r>
      <w:r>
        <w:rPr>
          <w:spacing w:val="-71"/>
        </w:rPr>
        <w:t> </w:t>
      </w:r>
      <w:r>
        <w:rPr>
          <w:spacing w:val="-71"/>
        </w:rPr>
      </w:r>
      <w:r>
        <w:rPr>
          <w:spacing w:val="-2"/>
        </w:rPr>
        <w:t>该股权在购买日的公允价值进行重新计量，公允价值与其账面价值的差额计入当期投资收益；与其相</w:t>
      </w:r>
      <w:r>
        <w:rPr>
          <w:spacing w:val="-70"/>
        </w:rPr>
        <w:t> </w:t>
      </w:r>
      <w:r>
        <w:rPr>
          <w:spacing w:val="-70"/>
        </w:rPr>
      </w:r>
      <w:r>
        <w:rPr>
          <w:spacing w:val="-2"/>
        </w:rPr>
        <w:t>关的购买日之前持有的被购买方的股权涉及权益法核算下的其他综合收益以及除净损益、其他综合收</w:t>
      </w:r>
      <w:r>
        <w:rPr>
          <w:spacing w:val="-73"/>
        </w:rPr>
        <w:t> </w:t>
      </w:r>
      <w:r>
        <w:rPr>
          <w:spacing w:val="-73"/>
        </w:rPr>
      </w:r>
      <w:r>
        <w:rPr>
          <w:spacing w:val="-2"/>
        </w:rPr>
        <w:t>益和利润分配外的其他所有者权益变动，在购买日所属当期转为投资损益，由于被投资方重新计量设</w:t>
      </w:r>
      <w:r>
        <w:rPr>
          <w:spacing w:val="-70"/>
        </w:rPr>
        <w:t> </w:t>
      </w:r>
      <w:r>
        <w:rPr>
          <w:spacing w:val="-70"/>
        </w:rPr>
      </w:r>
      <w:r>
        <w:rPr/>
        <w:t>定受益计划净负债或净资产变动而产生的其他综合收益除外。</w:t>
      </w:r>
    </w:p>
    <w:p>
      <w:pPr>
        <w:spacing w:line="240" w:lineRule="auto" w:before="11"/>
        <w:rPr>
          <w:rFonts w:ascii="宋体" w:hAnsi="宋体" w:cs="宋体" w:eastAsia="宋体" w:hint="default"/>
          <w:sz w:val="18"/>
          <w:szCs w:val="18"/>
        </w:rPr>
      </w:pPr>
    </w:p>
    <w:p>
      <w:pPr>
        <w:pStyle w:val="Heading6"/>
        <w:spacing w:line="259" w:lineRule="auto"/>
        <w:ind w:right="170"/>
        <w:jc w:val="both"/>
      </w:pPr>
      <w:r>
        <w:rPr>
          <w:spacing w:val="-2"/>
        </w:rPr>
        <w:t>本集团在不丧失控制权的情况下部分处置对子公司的长期股权投资，在合并财务报表中，处置价</w:t>
      </w:r>
      <w:r>
        <w:rPr>
          <w:w w:val="100"/>
        </w:rPr>
        <w:t> </w:t>
      </w:r>
      <w:r>
        <w:rPr>
          <w:spacing w:val="-1"/>
        </w:rPr>
        <w:t>款与处置长期股权投资相对应享有子公司自购买日或合并日开始持续计算的净资产份额之间的差额，</w:t>
      </w:r>
      <w:r>
        <w:rPr>
          <w:spacing w:val="-73"/>
        </w:rPr>
        <w:t> </w:t>
      </w:r>
      <w:r>
        <w:rPr>
          <w:spacing w:val="-73"/>
        </w:rPr>
      </w:r>
      <w:r>
        <w:rPr/>
        <w:t>调整资本溢价或股本溢价，资本公积不足冲减的，调整留存收益。</w:t>
      </w:r>
    </w:p>
    <w:p>
      <w:pPr>
        <w:spacing w:line="240" w:lineRule="auto" w:before="11"/>
        <w:rPr>
          <w:rFonts w:ascii="宋体" w:hAnsi="宋体" w:cs="宋体" w:eastAsia="宋体" w:hint="default"/>
          <w:sz w:val="18"/>
          <w:szCs w:val="18"/>
        </w:rPr>
      </w:pPr>
    </w:p>
    <w:p>
      <w:pPr>
        <w:pStyle w:val="Heading6"/>
        <w:spacing w:line="240" w:lineRule="auto"/>
        <w:ind w:left="592" w:right="100" w:firstLine="0"/>
        <w:jc w:val="left"/>
      </w:pPr>
      <w:r>
        <w:rPr/>
        <w:t>本集团因处置部分股权投资等原因丧失了对被投资方的控制权的，在编制合并财务报表时，对于</w:t>
      </w:r>
    </w:p>
    <w:p>
      <w:pPr>
        <w:spacing w:after="0" w:line="240" w:lineRule="auto"/>
        <w:jc w:val="left"/>
        <w:sectPr>
          <w:footerReference w:type="default" r:id="rId38"/>
          <w:pgSz w:w="11910" w:h="16840"/>
          <w:pgMar w:footer="980" w:header="877" w:top="1100" w:bottom="1160" w:left="980" w:right="920"/>
          <w:pgNumType w:start="110"/>
        </w:sectPr>
      </w:pPr>
    </w:p>
    <w:p>
      <w:pPr>
        <w:spacing w:line="240" w:lineRule="auto" w:before="5"/>
        <w:rPr>
          <w:rFonts w:ascii="宋体" w:hAnsi="宋体" w:cs="宋体" w:eastAsia="宋体" w:hint="default"/>
          <w:sz w:val="20"/>
          <w:szCs w:val="20"/>
        </w:rPr>
      </w:pPr>
    </w:p>
    <w:p>
      <w:pPr>
        <w:pStyle w:val="Heading6"/>
        <w:spacing w:line="259" w:lineRule="auto" w:before="32"/>
        <w:ind w:right="146" w:firstLine="0"/>
        <w:jc w:val="both"/>
      </w:pP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3"/>
        </w:rPr>
        <w:t> </w:t>
      </w:r>
      <w:r>
        <w:rPr>
          <w:spacing w:val="-73"/>
        </w:rPr>
      </w:r>
      <w:r>
        <w:rPr>
          <w:spacing w:val="-2"/>
        </w:rPr>
        <w:t>间的差额，计入丧失控制权当期的投资损益，同时冲减商誉。与原有子公司股权投资相关的其他综合</w:t>
      </w:r>
      <w:r>
        <w:rPr>
          <w:spacing w:val="-64"/>
        </w:rPr>
        <w:t> </w:t>
      </w:r>
      <w:r>
        <w:rPr>
          <w:spacing w:val="-64"/>
        </w:rPr>
      </w:r>
      <w:r>
        <w:rPr/>
        <w:t>收益等，在丧失控制权时转为当期投资损益</w:t>
      </w:r>
      <w:r>
        <w:rPr>
          <w:spacing w:val="-23"/>
        </w:rPr>
        <w:t> </w:t>
      </w:r>
      <w:r>
        <w:rPr/>
        <w:t>。</w:t>
      </w:r>
    </w:p>
    <w:p>
      <w:pPr>
        <w:spacing w:line="240" w:lineRule="auto" w:before="11"/>
        <w:rPr>
          <w:rFonts w:ascii="宋体" w:hAnsi="宋体" w:cs="宋体" w:eastAsia="宋体" w:hint="default"/>
          <w:sz w:val="18"/>
          <w:szCs w:val="18"/>
        </w:rPr>
      </w:pPr>
    </w:p>
    <w:p>
      <w:pPr>
        <w:pStyle w:val="Heading6"/>
        <w:spacing w:line="259" w:lineRule="auto"/>
        <w:ind w:right="151"/>
        <w:jc w:val="both"/>
      </w:pPr>
      <w:r>
        <w:rPr>
          <w:spacing w:val="-2"/>
        </w:rPr>
        <w:t>本集团通过多次交易分步处置对子公司股权投资直至丧失控制权的，如果处置对子公司股权投资</w:t>
      </w:r>
      <w:r>
        <w:rPr>
          <w:w w:val="100"/>
        </w:rPr>
        <w:t> </w:t>
      </w:r>
      <w:r>
        <w:rPr>
          <w:spacing w:val="-2"/>
        </w:rPr>
        <w:t>直至丧失控制权的各项交易属于一揽子交易的，应当将各项交易作为一项处置子公司并丧失控制权的</w:t>
      </w:r>
      <w:r>
        <w:rPr>
          <w:spacing w:val="-73"/>
        </w:rPr>
        <w:t> </w:t>
      </w:r>
      <w:r>
        <w:rPr>
          <w:spacing w:val="-73"/>
        </w:rPr>
      </w:r>
      <w:r>
        <w:rPr>
          <w:spacing w:val="-2"/>
        </w:rPr>
        <w:t>交易进行会计处理；但是，在丧失控制权之前每一次处置价款与处置投资对应的享有该子公司净资产</w:t>
      </w:r>
      <w:r>
        <w:rPr>
          <w:spacing w:val="-70"/>
        </w:rPr>
        <w:t> </w:t>
      </w:r>
      <w:r>
        <w:rPr>
          <w:spacing w:val="-70"/>
        </w:rPr>
      </w:r>
      <w:r>
        <w:rPr>
          <w:spacing w:val="-2"/>
        </w:rPr>
        <w:t>份额的差额，在合并财务报表中确认为其他综合收益，在丧失控制权时一并转入丧失控制权当期的投</w:t>
      </w:r>
      <w:r>
        <w:rPr>
          <w:spacing w:val="-70"/>
        </w:rPr>
        <w:t> </w:t>
      </w:r>
      <w:r>
        <w:rPr>
          <w:spacing w:val="-70"/>
        </w:rPr>
      </w:r>
      <w:r>
        <w:rPr/>
        <w:t>资损益。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51"/>
        <w:jc w:val="both"/>
      </w:pPr>
      <w:r>
        <w:rPr>
          <w:spacing w:val="-2"/>
        </w:rPr>
        <w:t>本集团现金流量表之现金指库存现金以及可以随时用于支付的存款。现金流量表之现金等价物指</w:t>
      </w:r>
      <w:r>
        <w:rPr>
          <w:w w:val="100"/>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8</w:t>
      </w:r>
      <w:r>
        <w:rPr/>
        <w:t>、</w:t>
      </w:r>
      <w:r>
        <w:rPr>
          <w:spacing w:val="-61"/>
        </w:rPr>
        <w:t> </w:t>
      </w:r>
      <w:r>
        <w:rPr/>
        <w:t>外币业务和外币报表折算</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right="153" w:firstLine="0"/>
        <w:jc w:val="left"/>
      </w:pPr>
      <w:r>
        <w:rPr/>
        <w:t>（</w:t>
      </w:r>
      <w:r>
        <w:rPr>
          <w:rFonts w:ascii="宋体" w:hAnsi="宋体" w:cs="宋体" w:eastAsia="宋体" w:hint="default"/>
        </w:rPr>
        <w:t>1</w:t>
      </w:r>
      <w:r>
        <w:rPr/>
        <w:t>）外币交易</w:t>
      </w:r>
    </w:p>
    <w:p>
      <w:pPr>
        <w:spacing w:line="240" w:lineRule="auto" w:before="2"/>
        <w:rPr>
          <w:rFonts w:ascii="宋体" w:hAnsi="宋体" w:cs="宋体" w:eastAsia="宋体" w:hint="default"/>
          <w:sz w:val="20"/>
          <w:szCs w:val="20"/>
        </w:rPr>
      </w:pPr>
    </w:p>
    <w:p>
      <w:pPr>
        <w:pStyle w:val="Heading6"/>
        <w:spacing w:line="259" w:lineRule="auto"/>
        <w:ind w:left="513" w:right="150"/>
        <w:jc w:val="both"/>
      </w:pPr>
      <w:r>
        <w:rPr/>
        <w:t>本集团外币交易按交易发生日的即期汇率将外币金额折算为人民币金额。于资产负债表日，</w:t>
      </w:r>
      <w:r>
        <w:rPr>
          <w:w w:val="100"/>
        </w:rPr>
        <w:t> </w:t>
      </w:r>
      <w:r>
        <w:rPr/>
        <w:t>外币货币性项目采用资产负债表日的即期汇率折算为人民币，所产生的折算差额除了为购建或生</w:t>
      </w:r>
      <w:r>
        <w:rPr>
          <w:spacing w:val="-71"/>
        </w:rPr>
        <w:t> </w:t>
      </w:r>
      <w:r>
        <w:rPr>
          <w:spacing w:val="-71"/>
        </w:rPr>
      </w:r>
      <w:r>
        <w:rPr/>
        <w:t>产符合资本化条件的资产而借入的外币专门借款产生的汇兑差额按资本化的原则处理外，直接计</w:t>
      </w:r>
      <w:r>
        <w:rPr>
          <w:spacing w:val="-71"/>
        </w:rPr>
        <w:t> </w:t>
      </w:r>
      <w:r>
        <w:rPr>
          <w:spacing w:val="-71"/>
        </w:rPr>
      </w:r>
      <w:r>
        <w:rPr/>
        <w:t>入当期损益。</w:t>
      </w:r>
    </w:p>
    <w:p>
      <w:pPr>
        <w:pStyle w:val="Heading6"/>
        <w:spacing w:line="552" w:lineRule="exact" w:before="62"/>
        <w:ind w:left="592" w:right="153" w:hanging="440"/>
        <w:jc w:val="left"/>
      </w:pPr>
      <w:r>
        <w:rPr/>
        <w:t>（</w:t>
      </w:r>
      <w:r>
        <w:rPr>
          <w:rFonts w:ascii="宋体" w:hAnsi="宋体" w:cs="宋体" w:eastAsia="宋体" w:hint="default"/>
        </w:rPr>
        <w:t>2</w:t>
      </w:r>
      <w:r>
        <w:rPr/>
        <w:t>）外币财务报表的折算</w:t>
      </w:r>
      <w:r>
        <w:rPr>
          <w:w w:val="100"/>
        </w:rPr>
        <w:t> </w:t>
      </w:r>
      <w:r>
        <w:rPr>
          <w:spacing w:val="-5"/>
        </w:rPr>
        <w:t>外币资产负债表中资产、负债类项目采用资产负债表日的即期汇率折算；所有者权益类项目除</w:t>
      </w:r>
      <w:r>
        <w:rPr>
          <w:rFonts w:ascii="Times New Roman" w:hAnsi="Times New Roman" w:cs="Times New Roman" w:eastAsia="Times New Roman" w:hint="default"/>
          <w:spacing w:val="-5"/>
        </w:rPr>
        <w:t>“</w:t>
      </w:r>
      <w:r>
        <w:rPr>
          <w:spacing w:val="-5"/>
        </w:rPr>
        <w:t>未</w:t>
      </w:r>
    </w:p>
    <w:p>
      <w:pPr>
        <w:pStyle w:val="Heading6"/>
        <w:spacing w:line="249" w:lineRule="exact"/>
        <w:ind w:right="153" w:firstLine="0"/>
        <w:jc w:val="left"/>
      </w:pP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p>
    <w:p>
      <w:pPr>
        <w:pStyle w:val="Heading6"/>
        <w:spacing w:line="259" w:lineRule="auto" w:before="7"/>
        <w:ind w:right="153" w:firstLine="0"/>
        <w:jc w:val="left"/>
      </w:pPr>
      <w:r>
        <w:rPr>
          <w:spacing w:val="-2"/>
        </w:rPr>
        <w:t>期汇率折算。上述折算产生的外币报表折算差额，在其他综合收益项目中列示。外币现金流量采用现</w:t>
      </w:r>
      <w:r>
        <w:rPr>
          <w:spacing w:val="-67"/>
        </w:rPr>
        <w:t> </w:t>
      </w:r>
      <w:r>
        <w:rPr>
          <w:spacing w:val="-67"/>
        </w:rPr>
      </w:r>
      <w:r>
        <w:rPr/>
        <w:t>金流量发生日的即期汇率折算。汇率变动对现金的影响额，在现金流量表中单独列示。</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153" w:firstLine="0"/>
        <w:jc w:val="left"/>
      </w:pPr>
      <w:r>
        <w:rPr/>
        <w:t>本集团成为金融工具合同的一方时确认一项金融资产或金融负债。</w:t>
      </w:r>
    </w:p>
    <w:p>
      <w:pPr>
        <w:spacing w:line="240" w:lineRule="auto" w:before="3"/>
        <w:rPr>
          <w:rFonts w:ascii="宋体" w:hAnsi="宋体" w:cs="宋体" w:eastAsia="宋体" w:hint="default"/>
          <w:sz w:val="20"/>
          <w:szCs w:val="20"/>
        </w:rPr>
      </w:pPr>
    </w:p>
    <w:p>
      <w:pPr>
        <w:pStyle w:val="Heading6"/>
        <w:spacing w:line="460" w:lineRule="auto"/>
        <w:ind w:left="513" w:right="5274" w:hanging="361"/>
        <w:jc w:val="left"/>
      </w:pPr>
      <w:r>
        <w:rPr/>
        <w:t>（</w:t>
      </w:r>
      <w:r>
        <w:rPr>
          <w:rFonts w:ascii="宋体" w:hAnsi="宋体" w:cs="宋体" w:eastAsia="宋体" w:hint="default"/>
        </w:rPr>
        <w:t>1</w:t>
      </w:r>
      <w:r>
        <w:rPr/>
        <w:t>）</w:t>
      </w:r>
      <w:r>
        <w:rPr>
          <w:spacing w:val="58"/>
        </w:rPr>
        <w:t> </w:t>
      </w:r>
      <w:r>
        <w:rPr/>
        <w:t>金融资产</w:t>
      </w:r>
      <w:r>
        <w:rPr>
          <w:spacing w:val="-106"/>
        </w:rPr>
        <w:t> </w:t>
      </w:r>
      <w:r>
        <w:rPr>
          <w:spacing w:val="-106"/>
        </w:rPr>
      </w:r>
      <w:r>
        <w:rPr>
          <w:rFonts w:ascii="宋体" w:hAnsi="宋体" w:cs="宋体" w:eastAsia="宋体" w:hint="default"/>
          <w:spacing w:val="-1"/>
        </w:rPr>
        <w:t>1</w:t>
      </w:r>
      <w:r>
        <w:rPr>
          <w:spacing w:val="-1"/>
        </w:rPr>
        <w:t>）金融资产分类、确认依据和计量方法</w:t>
      </w:r>
    </w:p>
    <w:p>
      <w:pPr>
        <w:pStyle w:val="Heading6"/>
        <w:spacing w:line="259" w:lineRule="auto" w:before="61"/>
        <w:ind w:left="513" w:right="153"/>
        <w:jc w:val="both"/>
      </w:pPr>
      <w:r>
        <w:rPr/>
        <w:t>本集团按投资目的和经济实质对拥有的金融资产分类为以公允价值计量且其变动计入当期损</w:t>
      </w:r>
      <w:r>
        <w:rPr>
          <w:w w:val="100"/>
        </w:rPr>
        <w:t> </w:t>
      </w:r>
      <w:r>
        <w:rPr/>
        <w:t>益的金融资产、持有至到期投资、应收款项及可供出售金融资产。</w:t>
      </w:r>
    </w:p>
    <w:p>
      <w:pPr>
        <w:spacing w:after="0" w:line="259" w:lineRule="auto"/>
        <w:jc w:val="both"/>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59" w:lineRule="auto" w:before="32"/>
        <w:ind w:left="513" w:right="208"/>
        <w:jc w:val="both"/>
      </w:pPr>
      <w:r>
        <w:rPr/>
        <w:t>以公允价值计量且其变动计入当期损益的金融资产，包括交易性金融资产和在初始确认时指</w:t>
      </w:r>
      <w:r>
        <w:rPr>
          <w:w w:val="100"/>
        </w:rPr>
        <w:t> </w:t>
      </w:r>
      <w:r>
        <w:rPr/>
        <w:t>定为以公允价值计量且其变动计入当期损益的金融资产。本集团将满足下列条件之一的金融资产</w:t>
      </w:r>
      <w:r>
        <w:rPr>
          <w:spacing w:val="-71"/>
        </w:rPr>
        <w:t> </w:t>
      </w:r>
      <w:r>
        <w:rPr>
          <w:spacing w:val="-71"/>
        </w:rPr>
      </w:r>
      <w:r>
        <w:rPr/>
        <w:t>归类为交易性金融资产：取得该金融资产的目的是为了在短期内出售；属于进行集中管理的可辨</w:t>
      </w:r>
      <w:r>
        <w:rPr>
          <w:spacing w:val="-71"/>
        </w:rPr>
        <w:t> </w:t>
      </w:r>
      <w:r>
        <w:rPr>
          <w:spacing w:val="-71"/>
        </w:rPr>
      </w:r>
      <w:r>
        <w:rPr/>
        <w:t>认金融工具组合的一部分，且有客观证据表明公司近期采用短期获利方式对该组合进行管理；属</w:t>
      </w:r>
      <w:r>
        <w:rPr>
          <w:spacing w:val="-71"/>
        </w:rPr>
        <w:t> </w:t>
      </w:r>
      <w:r>
        <w:rPr>
          <w:spacing w:val="-71"/>
        </w:rPr>
      </w:r>
      <w:r>
        <w:rPr/>
        <w:t>于衍生工具，但是，被指定且为有效套期工具的衍生工具、属于财务担保合同的衍生工具、与在</w:t>
      </w:r>
      <w:r>
        <w:rPr>
          <w:spacing w:val="-71"/>
        </w:rPr>
        <w:t> </w:t>
      </w:r>
      <w:r>
        <w:rPr>
          <w:spacing w:val="-71"/>
        </w:rPr>
      </w:r>
      <w:r>
        <w:rPr/>
        <w:t>活跃市场中没有报价且其公允价值不能可靠计量的权益工具投资挂钩并须通过交付该权益工具结</w:t>
      </w:r>
      <w:r>
        <w:rPr>
          <w:spacing w:val="-69"/>
        </w:rPr>
        <w:t> </w:t>
      </w:r>
      <w:r>
        <w:rPr>
          <w:spacing w:val="-69"/>
        </w:rPr>
      </w:r>
      <w:r>
        <w:rPr/>
        <w:t>算的衍生工具除外。本集团将只有符合下列条件之一的金融工具，才可在初始确认时指定为以公</w:t>
      </w:r>
      <w:r>
        <w:rPr>
          <w:spacing w:val="-71"/>
        </w:rPr>
        <w:t> </w:t>
      </w:r>
      <w:r>
        <w:rPr>
          <w:spacing w:val="-71"/>
        </w:rPr>
      </w:r>
      <w:r>
        <w:rPr/>
        <w:t>允价值计量且其变动计入当期损益的金融资产：该指定可以消除或明显减少由于该金融工具的计</w:t>
      </w:r>
      <w:r>
        <w:rPr>
          <w:spacing w:val="-71"/>
        </w:rPr>
        <w:t> </w:t>
      </w:r>
      <w:r>
        <w:rPr>
          <w:spacing w:val="-71"/>
        </w:rPr>
      </w:r>
      <w:r>
        <w:rPr/>
        <w:t>量基础不同所导致的相关利得或损失在确认或计量方面不一致的情况；公司风险管理或投资策略</w:t>
      </w:r>
      <w:r>
        <w:rPr>
          <w:spacing w:val="-71"/>
        </w:rPr>
        <w:t> </w:t>
      </w:r>
      <w:r>
        <w:rPr>
          <w:spacing w:val="-71"/>
        </w:rPr>
      </w:r>
      <w:r>
        <w:rPr/>
        <w:t>的正式书面文件已载明，该金融工具组合以公允价值为基础进行管理、评价并向关键管理人员报</w:t>
      </w:r>
      <w:r>
        <w:rPr>
          <w:spacing w:val="-71"/>
        </w:rPr>
        <w:t> </w:t>
      </w:r>
      <w:r>
        <w:rPr>
          <w:spacing w:val="-71"/>
        </w:rPr>
      </w:r>
      <w:r>
        <w:rPr/>
        <w:t>告；包含一项或多项嵌入衍生工具的混合工具，除非嵌入衍生工具对混合工具的现金流量没有重</w:t>
      </w:r>
      <w:r>
        <w:rPr>
          <w:spacing w:val="-71"/>
        </w:rPr>
        <w:t> </w:t>
      </w:r>
      <w:r>
        <w:rPr>
          <w:spacing w:val="-71"/>
        </w:rPr>
      </w:r>
      <w:r>
        <w:rPr/>
        <w:t>大改变，或所嵌入的衍生工具明显不应当从相关混合工具中分拆；包含需要分拆但无法在取得时</w:t>
      </w:r>
      <w:r>
        <w:rPr>
          <w:spacing w:val="-69"/>
        </w:rPr>
        <w:t> </w:t>
      </w:r>
      <w:r>
        <w:rPr>
          <w:spacing w:val="-69"/>
        </w:rPr>
      </w:r>
      <w:r>
        <w:rPr/>
        <w:t>或后续的资产负债表日对其进行单独计量的嵌入衍生工具的混合工具。对此类金融资产，采用公</w:t>
      </w:r>
      <w:r>
        <w:rPr>
          <w:spacing w:val="-71"/>
        </w:rPr>
        <w:t> </w:t>
      </w:r>
      <w:r>
        <w:rPr>
          <w:spacing w:val="-71"/>
        </w:rPr>
      </w:r>
      <w:r>
        <w:rPr/>
        <w:t>允价值进行后续计量。公允价值变动计入公允价值变动损益；在资产持有期间所取得的利息或现</w:t>
      </w:r>
      <w:r>
        <w:rPr>
          <w:spacing w:val="-71"/>
        </w:rPr>
        <w:t> </w:t>
      </w:r>
      <w:r>
        <w:rPr>
          <w:spacing w:val="-71"/>
        </w:rPr>
      </w:r>
      <w:r>
        <w:rPr/>
        <w:t>金股利，确认为投资收益；处置时，其公允价值与初始入账金额之间的差额确认为投资损益，同</w:t>
      </w:r>
      <w:r>
        <w:rPr>
          <w:spacing w:val="-71"/>
        </w:rPr>
        <w:t> </w:t>
      </w:r>
      <w:r>
        <w:rPr>
          <w:spacing w:val="-71"/>
        </w:rPr>
      </w:r>
      <w:r>
        <w:rPr/>
        <w:t>时调整公允价值变动损益。</w:t>
      </w:r>
    </w:p>
    <w:p>
      <w:pPr>
        <w:spacing w:line="240" w:lineRule="auto" w:before="11"/>
        <w:rPr>
          <w:rFonts w:ascii="宋体" w:hAnsi="宋体" w:cs="宋体" w:eastAsia="宋体" w:hint="default"/>
          <w:sz w:val="18"/>
          <w:szCs w:val="18"/>
        </w:rPr>
      </w:pPr>
    </w:p>
    <w:p>
      <w:pPr>
        <w:pStyle w:val="Heading6"/>
        <w:spacing w:line="259" w:lineRule="auto"/>
        <w:ind w:left="513" w:right="210"/>
        <w:jc w:val="both"/>
      </w:pPr>
      <w:r>
        <w:rPr/>
        <w:t>持有至到期投资，是指到期日固定、回收金额固定或可确定，且本集团有明确意图和能力持</w:t>
      </w:r>
      <w:r>
        <w:rPr>
          <w:w w:val="100"/>
        </w:rPr>
        <w:t> </w:t>
      </w:r>
      <w:r>
        <w:rPr/>
        <w:t>有至到期的非衍生金融资产。持有至到期投资采用实际利率法，按照摊余成本进行后续计量，其</w:t>
      </w:r>
      <w:r>
        <w:rPr>
          <w:spacing w:val="-71"/>
        </w:rPr>
        <w:t> </w:t>
      </w:r>
      <w:r>
        <w:rPr>
          <w:spacing w:val="-71"/>
        </w:rPr>
      </w:r>
      <w:r>
        <w:rPr/>
        <w:t>摊销或减值以及终止确认产生的利得或损失，均计入当期损益。</w:t>
      </w:r>
    </w:p>
    <w:p>
      <w:pPr>
        <w:spacing w:line="240" w:lineRule="auto" w:before="11"/>
        <w:rPr>
          <w:rFonts w:ascii="宋体" w:hAnsi="宋体" w:cs="宋体" w:eastAsia="宋体" w:hint="default"/>
          <w:sz w:val="18"/>
          <w:szCs w:val="18"/>
        </w:rPr>
      </w:pPr>
    </w:p>
    <w:p>
      <w:pPr>
        <w:pStyle w:val="Heading6"/>
        <w:spacing w:line="259" w:lineRule="auto"/>
        <w:ind w:left="513" w:right="210"/>
        <w:jc w:val="both"/>
      </w:pPr>
      <w:r>
        <w:rPr/>
        <w:t>应收款项，是指在活跃市场中没有报价，回收金额固定或可确定的非衍生金融资产。采用实</w:t>
      </w:r>
      <w:r>
        <w:rPr>
          <w:w w:val="100"/>
        </w:rPr>
        <w:t> </w:t>
      </w:r>
      <w:r>
        <w:rPr/>
        <w:t>际利率法，按照摊余成本进行后续计量，其摊销或减值以及终止确认产生的利得或损失，均计入</w:t>
      </w:r>
      <w:r>
        <w:rPr>
          <w:spacing w:val="-71"/>
        </w:rPr>
        <w:t> </w:t>
      </w:r>
      <w:r>
        <w:rPr>
          <w:spacing w:val="-71"/>
        </w:rPr>
      </w:r>
      <w:r>
        <w:rPr/>
        <w:t>当期损益。</w:t>
      </w:r>
    </w:p>
    <w:p>
      <w:pPr>
        <w:spacing w:line="240" w:lineRule="auto" w:before="11"/>
        <w:rPr>
          <w:rFonts w:ascii="宋体" w:hAnsi="宋体" w:cs="宋体" w:eastAsia="宋体" w:hint="default"/>
          <w:sz w:val="18"/>
          <w:szCs w:val="18"/>
        </w:rPr>
      </w:pPr>
    </w:p>
    <w:p>
      <w:pPr>
        <w:pStyle w:val="Heading6"/>
        <w:spacing w:line="259" w:lineRule="auto"/>
        <w:ind w:left="513" w:right="100"/>
        <w:jc w:val="left"/>
      </w:pPr>
      <w:r>
        <w:rPr/>
        <w:t>可供出售金融资产，是指初始确认时即被指定为可供出售的非衍生金融资产，以及未被划分</w:t>
      </w:r>
      <w:r>
        <w:rPr>
          <w:w w:val="100"/>
        </w:rPr>
        <w:t> </w:t>
      </w:r>
      <w:r>
        <w:rPr/>
        <w:t>为其他类的金融资产。这类资产中，在活跃市场中没有报价且其公允价值不能可靠计量的权益工</w:t>
      </w:r>
      <w:r>
        <w:rPr>
          <w:spacing w:val="-71"/>
        </w:rPr>
        <w:t> </w:t>
      </w:r>
      <w:r>
        <w:rPr>
          <w:spacing w:val="-71"/>
        </w:rPr>
      </w:r>
      <w:r>
        <w:rPr/>
        <w:t>具投资以及与该权益工具挂钩并须通过交付该权益工具结算的衍生金融资产，按成本进行后续计</w:t>
      </w:r>
      <w:r>
        <w:rPr>
          <w:spacing w:val="-71"/>
        </w:rPr>
        <w:t> </w:t>
      </w:r>
      <w:r>
        <w:rPr>
          <w:spacing w:val="-71"/>
        </w:rPr>
      </w:r>
      <w:r>
        <w:rPr>
          <w:spacing w:val="-3"/>
        </w:rPr>
        <w:t>量；其他存在活跃市场报价或虽没有活跃市场报价但公允价值能够可靠计量的，按公允价值计量，</w:t>
      </w:r>
      <w:r>
        <w:rPr>
          <w:spacing w:val="-61"/>
        </w:rPr>
        <w:t> </w:t>
      </w:r>
      <w:r>
        <w:rPr>
          <w:spacing w:val="-61"/>
        </w:rPr>
      </w:r>
      <w:r>
        <w:rPr/>
        <w:t>公允价值变动计入其他综合收益。对于此类金融资产采用公允价值进行后续计量，除减值损失及</w:t>
      </w:r>
      <w:r>
        <w:rPr>
          <w:spacing w:val="-72"/>
        </w:rPr>
        <w:t> </w:t>
      </w:r>
      <w:r>
        <w:rPr>
          <w:spacing w:val="-72"/>
        </w:rPr>
      </w:r>
      <w:r>
        <w:rPr/>
        <w:t>外币货币性金融资产形成的汇兑损益外，可供出售金融资产公允价值变动直接计入股东权益，待</w:t>
      </w:r>
      <w:r>
        <w:rPr>
          <w:spacing w:val="-71"/>
        </w:rPr>
        <w:t> </w:t>
      </w:r>
      <w:r>
        <w:rPr>
          <w:spacing w:val="-71"/>
        </w:rPr>
      </w:r>
      <w:r>
        <w:rPr/>
        <w:t>该金融资产终止确认时，原直接计入权益的公允价值变动累计额转入当期损益。可供出售债务工</w:t>
      </w:r>
      <w:r>
        <w:rPr>
          <w:spacing w:val="-71"/>
        </w:rPr>
        <w:t> </w:t>
      </w:r>
      <w:r>
        <w:rPr>
          <w:spacing w:val="-71"/>
        </w:rPr>
      </w:r>
      <w:r>
        <w:rPr/>
        <w:t>具投资在持有期间按实际利率法计算的利息，以及被投资单位宣告发放的与可供出售权益工具投</w:t>
      </w:r>
      <w:r>
        <w:rPr>
          <w:spacing w:val="-71"/>
        </w:rPr>
        <w:t> </w:t>
      </w:r>
      <w:r>
        <w:rPr>
          <w:spacing w:val="-71"/>
        </w:rPr>
      </w:r>
      <w:r>
        <w:rPr/>
        <w:t>资相关的现金股利，作为投资收益计入当期损益。对于在活跃市场中没有报价且其公允价值不能</w:t>
      </w:r>
      <w:r>
        <w:rPr>
          <w:spacing w:val="-71"/>
        </w:rPr>
        <w:t> </w:t>
      </w:r>
      <w:r>
        <w:rPr>
          <w:spacing w:val="-71"/>
        </w:rPr>
      </w:r>
      <w:r>
        <w:rPr/>
        <w:t>可靠计量的权益工具投资，按成本计量。</w:t>
      </w:r>
    </w:p>
    <w:p>
      <w:pPr>
        <w:pStyle w:val="Heading6"/>
        <w:spacing w:line="552" w:lineRule="exact" w:before="62"/>
        <w:ind w:left="952" w:right="100" w:hanging="440"/>
        <w:jc w:val="left"/>
      </w:pPr>
      <w:r>
        <w:rPr>
          <w:rFonts w:ascii="宋体" w:hAnsi="宋体" w:cs="宋体" w:eastAsia="宋体" w:hint="default"/>
        </w:rPr>
        <w:t>2</w:t>
      </w:r>
      <w:r>
        <w:rPr/>
        <w:t>）金融资产转移的确认依据和计量方法</w:t>
      </w:r>
      <w:r>
        <w:rPr>
          <w:spacing w:val="-108"/>
        </w:rPr>
        <w:t> </w:t>
      </w:r>
      <w:r>
        <w:rPr>
          <w:spacing w:val="-108"/>
        </w:rPr>
      </w:r>
      <w:r>
        <w:rPr>
          <w:spacing w:val="-3"/>
        </w:rPr>
        <w:t>金融资产满足下列条件之一的，予以终止确认：①收取该金融资产现金流量的合同权利终止；</w:t>
      </w:r>
    </w:p>
    <w:p>
      <w:pPr>
        <w:pStyle w:val="Heading6"/>
        <w:spacing w:line="233" w:lineRule="exact"/>
        <w:ind w:left="513" w:right="100" w:firstLine="0"/>
        <w:jc w:val="left"/>
      </w:pPr>
      <w:r>
        <w:rPr>
          <w:spacing w:val="-2"/>
        </w:rPr>
        <w:t>②该金融资产已转移，且本集团将金融资产所有权上几乎所有的风险和报酬转移给转入方；</w:t>
      </w:r>
      <w:r>
        <w:rPr>
          <w:spacing w:val="2"/>
        </w:rPr>
        <w:t> </w:t>
      </w:r>
      <w:r>
        <w:rPr>
          <w:spacing w:val="-3"/>
        </w:rPr>
        <w:t>③该</w:t>
      </w:r>
      <w:r>
        <w:rPr/>
      </w:r>
    </w:p>
    <w:p>
      <w:pPr>
        <w:pStyle w:val="Heading6"/>
        <w:spacing w:line="259" w:lineRule="auto" w:before="24"/>
        <w:ind w:left="513" w:right="208" w:firstLine="0"/>
        <w:jc w:val="left"/>
      </w:pPr>
      <w:r>
        <w:rPr/>
        <w:t>金融资产已转移，虽然本集团既没有转移也没有保留金融资产所有权上几乎所有的风险和报酬，</w:t>
      </w:r>
      <w:r>
        <w:rPr>
          <w:spacing w:val="-71"/>
        </w:rPr>
        <w:t> </w:t>
      </w:r>
      <w:r>
        <w:rPr>
          <w:spacing w:val="-71"/>
        </w:rPr>
      </w:r>
      <w:r>
        <w:rPr/>
        <w:t>但是放弃了对该金融资产控制。</w:t>
      </w:r>
    </w:p>
    <w:p>
      <w:pPr>
        <w:spacing w:line="240" w:lineRule="auto" w:before="11"/>
        <w:rPr>
          <w:rFonts w:ascii="宋体" w:hAnsi="宋体" w:cs="宋体" w:eastAsia="宋体" w:hint="default"/>
          <w:sz w:val="18"/>
          <w:szCs w:val="18"/>
        </w:rPr>
      </w:pPr>
    </w:p>
    <w:p>
      <w:pPr>
        <w:pStyle w:val="Heading6"/>
        <w:spacing w:line="259" w:lineRule="auto"/>
        <w:ind w:left="513" w:right="213"/>
        <w:jc w:val="both"/>
      </w:pPr>
      <w:r>
        <w:rPr/>
        <w:t>企业既没有转移也没有保留金融资产所有权上几乎所有的风险和报酬，且未放弃对该金融资</w:t>
      </w:r>
      <w:r>
        <w:rPr>
          <w:w w:val="100"/>
        </w:rPr>
        <w:t> </w:t>
      </w:r>
      <w:r>
        <w:rPr>
          <w:spacing w:val="-1"/>
        </w:rPr>
        <w:t>产控制的，则按照其继续涉入所转移金融资产的程度确认有关金融资产，并相应确认有关负债。</w:t>
      </w:r>
    </w:p>
    <w:p>
      <w:pPr>
        <w:spacing w:after="0" w:line="259" w:lineRule="auto"/>
        <w:jc w:val="both"/>
        <w:sectPr>
          <w:pgSz w:w="11910" w:h="16840"/>
          <w:pgMar w:header="877" w:footer="980" w:top="1100" w:bottom="1160" w:left="980" w:right="920"/>
        </w:sectPr>
      </w:pPr>
    </w:p>
    <w:p>
      <w:pPr>
        <w:spacing w:line="240" w:lineRule="auto" w:before="5"/>
        <w:rPr>
          <w:rFonts w:ascii="宋体" w:hAnsi="宋体" w:cs="宋体" w:eastAsia="宋体" w:hint="default"/>
          <w:sz w:val="20"/>
          <w:szCs w:val="20"/>
        </w:rPr>
      </w:pPr>
    </w:p>
    <w:p>
      <w:pPr>
        <w:pStyle w:val="Heading6"/>
        <w:spacing w:line="261" w:lineRule="auto" w:before="32"/>
        <w:ind w:left="513" w:right="153"/>
        <w:jc w:val="both"/>
      </w:pPr>
      <w:r>
        <w:rPr/>
        <w:t>金融资产整体转移满足终止确认条件的，将所转移金融资产的账面价值，与因转移而收到的</w:t>
      </w:r>
      <w:r>
        <w:rPr>
          <w:w w:val="100"/>
        </w:rPr>
        <w:t> </w:t>
      </w:r>
      <w:r>
        <w:rPr/>
        <w:t>对价及原计入其他综合收益的公允价值变动累计额之和的差额计入当期损益。</w:t>
      </w:r>
    </w:p>
    <w:p>
      <w:pPr>
        <w:spacing w:line="240" w:lineRule="auto" w:before="9"/>
        <w:rPr>
          <w:rFonts w:ascii="宋体" w:hAnsi="宋体" w:cs="宋体" w:eastAsia="宋体" w:hint="default"/>
          <w:sz w:val="18"/>
          <w:szCs w:val="18"/>
        </w:rPr>
      </w:pPr>
    </w:p>
    <w:p>
      <w:pPr>
        <w:pStyle w:val="Heading6"/>
        <w:spacing w:line="259" w:lineRule="auto"/>
        <w:ind w:left="513" w:right="150"/>
        <w:jc w:val="both"/>
      </w:pPr>
      <w:r>
        <w:rPr/>
        <w:t>金融资产部分转移满足终止确认条件的，将所转移金融资产整体的账面价值，在终止确认部</w:t>
      </w:r>
      <w:r>
        <w:rPr>
          <w:w w:val="100"/>
        </w:rPr>
        <w:t> </w:t>
      </w:r>
      <w:r>
        <w:rPr/>
        <w:t>分和未终止确认部分之间，按照各自的相对公允价值进行分摊，并将因转移而收到的对价及应分</w:t>
      </w:r>
      <w:r>
        <w:rPr>
          <w:spacing w:val="-71"/>
        </w:rPr>
        <w:t> </w:t>
      </w:r>
      <w:r>
        <w:rPr>
          <w:spacing w:val="-71"/>
        </w:rPr>
      </w:r>
      <w:r>
        <w:rPr/>
        <w:t>摊至终止确认部分的原计入其他综合收益的公允价值变动累计额之和，与分摊的前述账面金额的</w:t>
      </w:r>
      <w:r>
        <w:rPr>
          <w:spacing w:val="-71"/>
        </w:rPr>
        <w:t> </w:t>
      </w:r>
      <w:r>
        <w:rPr>
          <w:spacing w:val="-71"/>
        </w:rPr>
      </w:r>
      <w:r>
        <w:rPr/>
        <w:t>差额计入当期损益。</w:t>
      </w:r>
    </w:p>
    <w:p>
      <w:pPr>
        <w:pStyle w:val="Heading6"/>
        <w:spacing w:line="552" w:lineRule="exact" w:before="62"/>
        <w:ind w:left="952" w:right="153" w:hanging="440"/>
        <w:jc w:val="left"/>
      </w:pPr>
      <w:r>
        <w:rPr>
          <w:rFonts w:ascii="宋体" w:hAnsi="宋体" w:cs="宋体" w:eastAsia="宋体" w:hint="default"/>
        </w:rPr>
        <w:t>3</w:t>
      </w:r>
      <w:r>
        <w:rPr/>
        <w:t>）金融资产减值的测试方法及会计处理方法</w:t>
      </w:r>
      <w:r>
        <w:rPr>
          <w:w w:val="100"/>
        </w:rPr>
        <w:t> </w:t>
      </w:r>
      <w:r>
        <w:rPr/>
        <w:t>除以公允价值计量且其变动计入当期损益的金融资产外，本集团于资产负债表日对其他金融</w:t>
      </w:r>
    </w:p>
    <w:p>
      <w:pPr>
        <w:pStyle w:val="Heading6"/>
        <w:spacing w:line="233" w:lineRule="exact"/>
        <w:ind w:left="513" w:right="153" w:firstLine="0"/>
        <w:jc w:val="left"/>
      </w:pPr>
      <w:r>
        <w:rPr/>
        <w:t>资产的账面价值进行检查，如果有客观证据表明某项金融资产发生减值的，计提减值准备。</w:t>
      </w:r>
    </w:p>
    <w:p>
      <w:pPr>
        <w:spacing w:line="240" w:lineRule="auto" w:before="2"/>
        <w:rPr>
          <w:rFonts w:ascii="宋体" w:hAnsi="宋体" w:cs="宋体" w:eastAsia="宋体" w:hint="default"/>
          <w:sz w:val="20"/>
          <w:szCs w:val="20"/>
        </w:rPr>
      </w:pPr>
    </w:p>
    <w:p>
      <w:pPr>
        <w:pStyle w:val="Heading6"/>
        <w:spacing w:line="460" w:lineRule="auto"/>
        <w:ind w:left="513" w:right="5274" w:firstLine="0"/>
        <w:jc w:val="left"/>
      </w:pPr>
      <w:r>
        <w:rPr/>
        <w:t>（</w:t>
      </w:r>
      <w:r>
        <w:rPr>
          <w:rFonts w:ascii="宋体" w:hAnsi="宋体" w:cs="宋体" w:eastAsia="宋体" w:hint="default"/>
        </w:rPr>
        <w:t>2</w:t>
      </w:r>
      <w:r>
        <w:rPr/>
        <w:t>）金融负债</w:t>
      </w:r>
      <w:r>
        <w:rPr>
          <w:w w:val="100"/>
        </w:rPr>
        <w:t> </w:t>
      </w:r>
      <w:r>
        <w:rPr>
          <w:rFonts w:ascii="宋体" w:hAnsi="宋体" w:cs="宋体" w:eastAsia="宋体" w:hint="default"/>
          <w:spacing w:val="-1"/>
        </w:rPr>
        <w:t>1</w:t>
      </w:r>
      <w:r>
        <w:rPr>
          <w:spacing w:val="-1"/>
        </w:rPr>
        <w:t>）金融负债分类、确认依据和计量方法</w:t>
      </w:r>
    </w:p>
    <w:p>
      <w:pPr>
        <w:pStyle w:val="Heading6"/>
        <w:spacing w:line="259" w:lineRule="auto" w:before="61"/>
        <w:ind w:left="513" w:right="153"/>
        <w:jc w:val="both"/>
      </w:pPr>
      <w:r>
        <w:rPr/>
        <w:t>本集团的金融负债于初始确认时分类为以公允价值计量且其变动计入当期损益的金融负债和</w:t>
      </w:r>
      <w:r>
        <w:rPr>
          <w:w w:val="100"/>
        </w:rPr>
        <w:t> </w:t>
      </w:r>
      <w:r>
        <w:rPr/>
        <w:t>其他金融负债。</w:t>
      </w:r>
    </w:p>
    <w:p>
      <w:pPr>
        <w:spacing w:line="240" w:lineRule="auto" w:before="11"/>
        <w:rPr>
          <w:rFonts w:ascii="宋体" w:hAnsi="宋体" w:cs="宋体" w:eastAsia="宋体" w:hint="default"/>
          <w:sz w:val="18"/>
          <w:szCs w:val="18"/>
        </w:rPr>
      </w:pPr>
    </w:p>
    <w:p>
      <w:pPr>
        <w:pStyle w:val="Heading6"/>
        <w:spacing w:line="259" w:lineRule="auto"/>
        <w:ind w:left="513" w:right="150"/>
        <w:jc w:val="both"/>
      </w:pPr>
      <w:r>
        <w:rPr/>
        <w:t>以公允价值计量且其变动计入当期损益的金融负债，包括交易性金融负债和初始确认时指定</w:t>
      </w:r>
      <w:r>
        <w:rPr>
          <w:w w:val="100"/>
        </w:rPr>
        <w:t> </w:t>
      </w:r>
      <w:r>
        <w:rPr/>
        <w:t>为以公允价值计量且其变动计入当期损益的金融负债，（相关分类依据参照金融资产分类依据进</w:t>
      </w:r>
      <w:r>
        <w:rPr>
          <w:spacing w:val="-71"/>
        </w:rPr>
        <w:t> </w:t>
      </w:r>
      <w:r>
        <w:rPr>
          <w:spacing w:val="-71"/>
        </w:rPr>
      </w:r>
      <w:r>
        <w:rPr/>
        <w:t>行披露）。按照公允价值进行后续计量，公允价值变动形成的利得或损失以及与该金融负债相关</w:t>
      </w:r>
      <w:r>
        <w:rPr>
          <w:spacing w:val="-71"/>
        </w:rPr>
        <w:t> </w:t>
      </w:r>
      <w:r>
        <w:rPr>
          <w:spacing w:val="-71"/>
        </w:rPr>
      </w:r>
      <w:r>
        <w:rPr/>
        <w:t>的股利和利息支出计入当期损益。</w:t>
      </w:r>
    </w:p>
    <w:p>
      <w:pPr>
        <w:spacing w:line="240" w:lineRule="auto" w:before="11"/>
        <w:rPr>
          <w:rFonts w:ascii="宋体" w:hAnsi="宋体" w:cs="宋体" w:eastAsia="宋体" w:hint="default"/>
          <w:sz w:val="18"/>
          <w:szCs w:val="18"/>
        </w:rPr>
      </w:pPr>
    </w:p>
    <w:p>
      <w:pPr>
        <w:pStyle w:val="Heading6"/>
        <w:spacing w:line="460" w:lineRule="auto"/>
        <w:ind w:left="484" w:right="1569" w:firstLine="468"/>
        <w:jc w:val="left"/>
      </w:pPr>
      <w:r>
        <w:rPr>
          <w:spacing w:val="-1"/>
        </w:rPr>
        <w:t>其他金融负债，采用实际利率法，按照摊余成本进行后续计量。</w:t>
      </w:r>
      <w:r>
        <w:rPr>
          <w:w w:val="100"/>
        </w:rPr>
        <w:t> </w:t>
      </w:r>
      <w:r>
        <w:rPr>
          <w:rFonts w:ascii="宋体" w:hAnsi="宋体" w:cs="宋体" w:eastAsia="宋体" w:hint="default"/>
        </w:rPr>
        <w:t>2</w:t>
      </w:r>
      <w:r>
        <w:rPr/>
        <w:t>）金融负债终止确认条件</w:t>
      </w:r>
    </w:p>
    <w:p>
      <w:pPr>
        <w:pStyle w:val="Heading6"/>
        <w:spacing w:line="259" w:lineRule="auto" w:before="61"/>
        <w:ind w:left="513" w:right="150"/>
        <w:jc w:val="both"/>
      </w:pPr>
      <w:r>
        <w:rPr/>
        <w:t>当金融负债的现时义务全部或部分已经解除时，终止确认该金融负债或义务已解除的部分。</w:t>
      </w:r>
      <w:r>
        <w:rPr>
          <w:w w:val="100"/>
        </w:rPr>
        <w:t> </w:t>
      </w:r>
      <w:r>
        <w:rPr/>
        <w:t>公司与债权人之间签订协议，以承担新金融负债方式替换现存金融负债，且新金融负债与现存金</w:t>
      </w:r>
      <w:r>
        <w:rPr>
          <w:spacing w:val="-71"/>
        </w:rPr>
        <w:t> </w:t>
      </w:r>
      <w:r>
        <w:rPr>
          <w:spacing w:val="-71"/>
        </w:rPr>
      </w:r>
      <w:r>
        <w:rPr/>
        <w:t>融负债的合同条款实质上不同的，终止确认现存金融负债，并同时确认新金融负债。公司对现存</w:t>
      </w:r>
      <w:r>
        <w:rPr>
          <w:spacing w:val="-71"/>
        </w:rPr>
        <w:t> </w:t>
      </w:r>
      <w:r>
        <w:rPr>
          <w:spacing w:val="-71"/>
        </w:rPr>
      </w:r>
      <w:r>
        <w:rPr/>
        <w:t>金融负债全部或部分的合同条款作出实质性修改的，终止确认现存金融负债或其一部分，同时将</w:t>
      </w:r>
      <w:r>
        <w:rPr>
          <w:spacing w:val="-71"/>
        </w:rPr>
        <w:t> </w:t>
      </w:r>
      <w:r>
        <w:rPr>
          <w:spacing w:val="-71"/>
        </w:rPr>
      </w:r>
      <w:r>
        <w:rPr/>
        <w:t>修改条款后的金融负债确认为一项新金融负债。终止确认部分的账面价值与支付的对价之间的差</w:t>
      </w:r>
      <w:r>
        <w:rPr>
          <w:spacing w:val="-71"/>
        </w:rPr>
        <w:t> </w:t>
      </w:r>
      <w:r>
        <w:rPr>
          <w:spacing w:val="-71"/>
        </w:rPr>
      </w:r>
      <w:r>
        <w:rPr/>
        <w:t>额，计入当期损益。</w:t>
      </w:r>
    </w:p>
    <w:p>
      <w:pPr>
        <w:pStyle w:val="Heading6"/>
        <w:spacing w:line="552" w:lineRule="exact" w:before="62"/>
        <w:ind w:left="592" w:right="153" w:hanging="80"/>
        <w:jc w:val="left"/>
      </w:pPr>
      <w:r>
        <w:rPr>
          <w:rFonts w:ascii="宋体" w:hAnsi="宋体" w:cs="宋体" w:eastAsia="宋体" w:hint="default"/>
        </w:rPr>
        <w:t>3</w:t>
      </w:r>
      <w:r>
        <w:rPr/>
        <w:t>）金融资产和金融负债的公允价值确定方法</w:t>
      </w:r>
      <w:r>
        <w:rPr>
          <w:w w:val="100"/>
        </w:rPr>
        <w:t> </w:t>
      </w:r>
      <w:r>
        <w:rPr>
          <w:spacing w:val="-2"/>
        </w:rPr>
        <w:t>公允价值，是指市场参与者在计量日发生的有序交易中，出售一项资产所能收到或者转移一项负</w:t>
      </w:r>
    </w:p>
    <w:p>
      <w:pPr>
        <w:pStyle w:val="Heading6"/>
        <w:spacing w:line="233" w:lineRule="exact"/>
        <w:ind w:right="0" w:firstLine="0"/>
        <w:jc w:val="both"/>
      </w:pPr>
      <w:r>
        <w:rPr/>
        <w:t>债所需支付的价格。金融工具存在活跃市场的，本公司采用活跃市场中的报价确定其公允价值。活跃</w:t>
      </w:r>
    </w:p>
    <w:p>
      <w:pPr>
        <w:pStyle w:val="Heading6"/>
        <w:spacing w:line="259" w:lineRule="auto" w:before="24"/>
        <w:ind w:right="150" w:firstLine="0"/>
        <w:jc w:val="both"/>
      </w:pPr>
      <w:r>
        <w:rPr>
          <w:spacing w:val="-2"/>
        </w:rPr>
        <w:t>市场中的报价是指易于定期从交易所、经纪商、行业协会、定价服务机构等获得的价格，且代表了在</w:t>
      </w:r>
      <w:r>
        <w:rPr>
          <w:spacing w:val="-70"/>
        </w:rPr>
        <w:t> </w:t>
      </w:r>
      <w:r>
        <w:rPr>
          <w:spacing w:val="-70"/>
        </w:rPr>
      </w:r>
      <w:r>
        <w:rPr>
          <w:spacing w:val="-2"/>
        </w:rPr>
        <w:t>公平交易中实际发生的市场交易的价格。金融工具不存在活跃市场的，本公司采用估值技术确定其公</w:t>
      </w:r>
      <w:r>
        <w:rPr>
          <w:spacing w:val="-70"/>
        </w:rPr>
        <w:t> </w:t>
      </w:r>
      <w:r>
        <w:rPr>
          <w:spacing w:val="-70"/>
        </w:rPr>
      </w:r>
      <w:r>
        <w:rPr>
          <w:spacing w:val="-2"/>
        </w:rPr>
        <w:t>允价值。估值技术包括参考熟悉情况并自愿交易的各方最近进行的市场交易中使用的价格、参照实质</w:t>
      </w:r>
      <w:r>
        <w:rPr>
          <w:spacing w:val="-70"/>
        </w:rPr>
        <w:t> </w:t>
      </w:r>
      <w:r>
        <w:rPr>
          <w:spacing w:val="-70"/>
        </w:rPr>
      </w:r>
      <w:r>
        <w:rPr/>
        <w:t>上相同的其他金融工具当前的公允价值、现金流量折现法和期权定价模型等。</w:t>
      </w:r>
    </w:p>
    <w:p>
      <w:pPr>
        <w:spacing w:line="240" w:lineRule="auto" w:before="11"/>
        <w:rPr>
          <w:rFonts w:ascii="宋体" w:hAnsi="宋体" w:cs="宋体" w:eastAsia="宋体" w:hint="default"/>
          <w:sz w:val="18"/>
          <w:szCs w:val="18"/>
        </w:rPr>
      </w:pPr>
    </w:p>
    <w:p>
      <w:pPr>
        <w:pStyle w:val="Heading6"/>
        <w:spacing w:line="259" w:lineRule="auto"/>
        <w:ind w:right="153"/>
        <w:jc w:val="left"/>
      </w:pPr>
      <w:r>
        <w:rPr>
          <w:spacing w:val="-2"/>
        </w:rPr>
        <w:t>本集团以主要市场的价格计量金融资产和金融负债的公允价值，不存在主要市场的，以最有利市</w:t>
      </w:r>
      <w:r>
        <w:rPr>
          <w:w w:val="100"/>
        </w:rPr>
        <w:t> </w:t>
      </w:r>
      <w:r>
        <w:rPr>
          <w:spacing w:val="-2"/>
        </w:rPr>
        <w:t>场的价格计量金融资产和金融负债的公允价值，并且采用当时适用并且有足够可利用数据和其他信息</w:t>
      </w:r>
    </w:p>
    <w:p>
      <w:pPr>
        <w:spacing w:after="0" w:line="259" w:lineRule="auto"/>
        <w:jc w:val="left"/>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59" w:lineRule="auto" w:before="32"/>
        <w:ind w:right="148" w:firstLine="0"/>
        <w:jc w:val="both"/>
      </w:pPr>
      <w:r>
        <w:rPr>
          <w:spacing w:val="-2"/>
        </w:rPr>
        <w:t>支持的估值技术。公允价值计量所使用的输入值分为三个层次，即第一层次输入值是计量日能够取得</w:t>
      </w:r>
      <w:r>
        <w:rPr>
          <w:spacing w:val="-70"/>
        </w:rPr>
        <w:t> </w:t>
      </w:r>
      <w:r>
        <w:rPr>
          <w:spacing w:val="-70"/>
        </w:rPr>
      </w:r>
      <w:r>
        <w:rPr>
          <w:spacing w:val="-2"/>
        </w:rPr>
        <w:t>的相同资产或负债在活跃市场上未经调整的报价；第二层次输入值是除第一层次输入值外相关资产或</w:t>
      </w:r>
      <w:r>
        <w:rPr>
          <w:spacing w:val="-72"/>
        </w:rPr>
        <w:t> </w:t>
      </w:r>
      <w:r>
        <w:rPr>
          <w:spacing w:val="-72"/>
        </w:rPr>
      </w:r>
      <w:r>
        <w:rPr>
          <w:spacing w:val="-2"/>
        </w:rPr>
        <w:t>负债直接或间接可观察的输入值；第三层次输入值是相关资产或负债的不可观察输入值。本集团优先</w:t>
      </w:r>
      <w:r>
        <w:rPr>
          <w:spacing w:val="-70"/>
        </w:rPr>
        <w:t> </w:t>
      </w:r>
      <w:r>
        <w:rPr>
          <w:spacing w:val="-70"/>
        </w:rPr>
      </w:r>
      <w:r>
        <w:rPr>
          <w:spacing w:val="-2"/>
        </w:rPr>
        <w:t>使用第一层次输入值，最后再使用第三层次输入值。公允价值计量结果所属的层次，由对公允价值计</w:t>
      </w:r>
      <w:r>
        <w:rPr>
          <w:spacing w:val="-68"/>
        </w:rPr>
        <w:t> </w:t>
      </w:r>
      <w:r>
        <w:rPr>
          <w:spacing w:val="-68"/>
        </w:rPr>
      </w:r>
      <w:r>
        <w:rPr/>
        <w:t>量整体而言具有重大意义的输入值所属的最低层次决定。</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both"/>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1"/>
        <w:gridCol w:w="6308"/>
      </w:tblGrid>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本公司将占应收款项比重超过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％的单个客户应收款项确认为单项金额重大的 应收款项。</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本公司对单项金额重大的应收款项单独进行减值测试，单独测试未发生减值的金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融资产，包括在具有类似信用风险特征的金融资产组合中进行减值测试。</w:t>
            </w:r>
          </w:p>
        </w:tc>
      </w:tr>
    </w:tbl>
    <w:p>
      <w:pPr>
        <w:spacing w:line="240" w:lineRule="auto" w:before="3"/>
        <w:rPr>
          <w:rFonts w:ascii="宋体" w:hAnsi="宋体" w:cs="宋体" w:eastAsia="宋体" w:hint="default"/>
          <w:b/>
          <w:bCs/>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71"/>
        <w:gridCol w:w="5600"/>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（计算机及服务行业）</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（商品批发行业）</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（备用金组合）</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1-2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2-3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（备用金组合）不存在减值风险，不计提坏 账准备的应收款项组合。</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44"/>
        <w:ind w:left="0" w:right="159" w:firstLine="0"/>
        <w:jc w:val="right"/>
        <w:rPr>
          <w:rFonts w:ascii="宋体" w:hAnsi="宋体" w:cs="宋体" w:eastAsia="宋体" w:hint="default"/>
          <w:sz w:val="18"/>
          <w:szCs w:val="18"/>
        </w:rPr>
      </w:pPr>
      <w:r>
        <w:rPr/>
        <w:pict>
          <v:shape style="position:absolute;margin-left:56.459999pt;margin-top:-36.398273pt;width:479.2pt;height:56.3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7"/>
                    <w:gridCol w:w="7302"/>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公司将有确凿证据证明难以收回的应收款项</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6"/>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单独进行减值测试，如有客观证据表明已发生减值，确认减值损失，计入当期损益；单独测 </w:t>
                        </w:r>
                        <w:r>
                          <w:rPr>
                            <w:rFonts w:ascii="宋体" w:hAnsi="宋体" w:cs="宋体" w:eastAsia="宋体" w:hint="default"/>
                            <w:spacing w:val="-2"/>
                            <w:sz w:val="18"/>
                            <w:szCs w:val="18"/>
                          </w:rPr>
                          <w:t>试未发生减值的应收款项，包括在具有类似信用风险特征的应收款项组合中再进行减值测试</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7"/>
        <w:spacing w:line="240" w:lineRule="auto" w:before="36"/>
        <w:ind w:right="15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3"/>
        <w:rPr>
          <w:rFonts w:ascii="宋体" w:hAnsi="宋体" w:cs="宋体" w:eastAsia="宋体" w:hint="default"/>
          <w:sz w:val="15"/>
          <w:szCs w:val="15"/>
        </w:rPr>
      </w:pPr>
    </w:p>
    <w:p>
      <w:pPr>
        <w:pStyle w:val="Heading6"/>
        <w:spacing w:line="259" w:lineRule="auto"/>
        <w:ind w:right="149"/>
        <w:jc w:val="both"/>
      </w:pPr>
      <w:r>
        <w:rPr>
          <w:spacing w:val="-2"/>
        </w:rPr>
        <w:t>本集团存货主要包括日常活动中持有以备出售的产成品或商品、处于生产过程中的在产品、在生</w:t>
      </w:r>
      <w:r>
        <w:rPr>
          <w:w w:val="100"/>
        </w:rPr>
        <w:t> </w:t>
      </w:r>
      <w:r>
        <w:rPr>
          <w:spacing w:val="-2"/>
        </w:rPr>
        <w:t>产过程或提供劳务过程中耗用的材料和物料等。具体划分为原材料、低值易耗品、库存商品、在建系</w:t>
      </w:r>
      <w:r>
        <w:rPr>
          <w:spacing w:val="-68"/>
        </w:rPr>
        <w:t> </w:t>
      </w:r>
      <w:r>
        <w:rPr>
          <w:spacing w:val="-68"/>
        </w:rPr>
      </w:r>
      <w:r>
        <w:rPr/>
        <w:t>统集成项目成本、发出商品等。</w:t>
      </w:r>
    </w:p>
    <w:p>
      <w:pPr>
        <w:spacing w:line="240" w:lineRule="auto" w:before="11"/>
        <w:rPr>
          <w:rFonts w:ascii="宋体" w:hAnsi="宋体" w:cs="宋体" w:eastAsia="宋体" w:hint="default"/>
          <w:sz w:val="18"/>
          <w:szCs w:val="18"/>
        </w:rPr>
      </w:pPr>
    </w:p>
    <w:p>
      <w:pPr>
        <w:pStyle w:val="Heading6"/>
        <w:spacing w:line="259" w:lineRule="auto"/>
        <w:ind w:right="150"/>
        <w:jc w:val="both"/>
      </w:pPr>
      <w:r>
        <w:rPr>
          <w:spacing w:val="-2"/>
        </w:rPr>
        <w:t>存货实行永续盘存制，存货在取得时按实际成本计价；领用或发出存货，根据业务的不同分别采</w:t>
      </w:r>
      <w:r>
        <w:rPr>
          <w:w w:val="100"/>
        </w:rPr>
        <w:t> </w:t>
      </w:r>
      <w:r>
        <w:rPr>
          <w:spacing w:val="-2"/>
        </w:rPr>
        <w:t>用加权平均法或个别计价法确定其实际成本，低值易耗品于领用时按一次摊销法摊销；包装物于领用</w:t>
      </w:r>
      <w:r>
        <w:rPr>
          <w:spacing w:val="-70"/>
        </w:rPr>
        <w:t> </w:t>
      </w:r>
      <w:r>
        <w:rPr>
          <w:spacing w:val="-70"/>
        </w:rPr>
      </w:r>
      <w:r>
        <w:rPr/>
        <w:t>时按一次摊销法摊销。</w:t>
      </w:r>
    </w:p>
    <w:p>
      <w:pPr>
        <w:spacing w:line="240" w:lineRule="auto" w:before="11"/>
        <w:rPr>
          <w:rFonts w:ascii="宋体" w:hAnsi="宋体" w:cs="宋体" w:eastAsia="宋体" w:hint="default"/>
          <w:sz w:val="18"/>
          <w:szCs w:val="18"/>
        </w:rPr>
      </w:pPr>
    </w:p>
    <w:p>
      <w:pPr>
        <w:pStyle w:val="Heading6"/>
        <w:spacing w:line="259" w:lineRule="auto"/>
        <w:ind w:right="150"/>
        <w:jc w:val="both"/>
      </w:pPr>
      <w:r>
        <w:rPr>
          <w:spacing w:val="-2"/>
        </w:rPr>
        <w:t>库存商品、在产品和用于出售的材料等直接用于出售的商品存货，其可变现净值按该存货的估计</w:t>
      </w:r>
      <w:r>
        <w:rPr>
          <w:w w:val="100"/>
        </w:rPr>
        <w:t> </w:t>
      </w:r>
      <w:r>
        <w:rPr>
          <w:spacing w:val="-2"/>
        </w:rPr>
        <w:t>售价减去估计的销售费用和相关税费后的金额确定；用于生产而持有的材料存货，其可变现净值按所</w:t>
      </w:r>
      <w:r>
        <w:rPr>
          <w:spacing w:val="-70"/>
        </w:rPr>
        <w:t> </w:t>
      </w:r>
      <w:r>
        <w:rPr>
          <w:spacing w:val="-70"/>
        </w:rPr>
      </w:r>
      <w:r>
        <w:rPr>
          <w:spacing w:val="-2"/>
        </w:rPr>
        <w:t>生产的产成品的估计售价减去至完工时估计将要发生的成本、估计的销售费用和相关税费后的金额确</w:t>
      </w:r>
      <w:r>
        <w:rPr>
          <w:spacing w:val="-73"/>
        </w:rPr>
        <w:t> </w:t>
      </w:r>
      <w:r>
        <w:rPr>
          <w:spacing w:val="-73"/>
        </w:rPr>
      </w:r>
      <w:r>
        <w:rPr/>
        <w:t>定。</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12</w:t>
      </w:r>
      <w:r>
        <w:rPr/>
        <w:t>、长期股权投资</w:t>
      </w:r>
      <w:r>
        <w:rPr>
          <w:b w:val="0"/>
          <w:bCs w:val="0"/>
        </w:rPr>
      </w:r>
    </w:p>
    <w:p>
      <w:pPr>
        <w:pStyle w:val="Heading6"/>
        <w:spacing w:line="550" w:lineRule="atLeast" w:before="50"/>
        <w:ind w:left="592" w:right="153" w:firstLine="0"/>
        <w:jc w:val="left"/>
      </w:pPr>
      <w:r>
        <w:rPr/>
        <w:t>本集团长期股权投资主要是对子公司的投资、对联营企业的投资和对合营企业的投资。</w:t>
      </w:r>
      <w:r>
        <w:rPr>
          <w:w w:val="100"/>
        </w:rPr>
        <w:t> </w:t>
      </w:r>
      <w:r>
        <w:rPr>
          <w:spacing w:val="-2"/>
        </w:rPr>
        <w:t>本集团对共同控制的判断依据是所有参与方或参与方组合集体控制该安排，并且该安排相关活动</w:t>
      </w:r>
    </w:p>
    <w:p>
      <w:pPr>
        <w:pStyle w:val="Heading6"/>
        <w:spacing w:line="240" w:lineRule="auto" w:before="24"/>
        <w:ind w:right="153" w:firstLine="0"/>
        <w:jc w:val="left"/>
      </w:pPr>
      <w:r>
        <w:rPr/>
        <w:t>的政策必须经过这些集体控制该安排的参与方一致同意。</w:t>
      </w:r>
    </w:p>
    <w:p>
      <w:pPr>
        <w:spacing w:line="240" w:lineRule="auto" w:before="2"/>
        <w:rPr>
          <w:rFonts w:ascii="宋体" w:hAnsi="宋体" w:cs="宋体" w:eastAsia="宋体" w:hint="default"/>
          <w:sz w:val="20"/>
          <w:szCs w:val="20"/>
        </w:rPr>
      </w:pPr>
    </w:p>
    <w:p>
      <w:pPr>
        <w:pStyle w:val="Heading6"/>
        <w:spacing w:line="244" w:lineRule="auto"/>
        <w:ind w:right="151"/>
        <w:jc w:val="both"/>
      </w:pPr>
      <w:r>
        <w:rPr/>
        <w:t>本集团直接或通过子公司间接拥有被投资单位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w:t>
      </w:r>
      <w:r>
        <w:rPr>
          <w:w w:val="100"/>
        </w:rPr>
        <w:t> </w:t>
      </w:r>
      <w:r>
        <w:rPr>
          <w:spacing w:val="-2"/>
        </w:rPr>
        <w:t>对被投资单位具有重大影响。持有被投资单位</w:t>
      </w:r>
      <w:r>
        <w:rPr>
          <w:rFonts w:ascii="Times New Roman" w:hAnsi="Times New Roman" w:cs="Times New Roman" w:eastAsia="Times New Roman" w:hint="default"/>
          <w:spacing w:val="-2"/>
        </w:rPr>
        <w:t>20%</w:t>
      </w:r>
      <w:r>
        <w:rPr>
          <w:spacing w:val="-2"/>
        </w:rPr>
        <w:t>以下表决权的，还需要综合考虑在被投资单位的董</w:t>
      </w:r>
      <w:r>
        <w:rPr>
          <w:spacing w:val="-33"/>
        </w:rPr>
        <w:t> </w:t>
      </w:r>
      <w:r>
        <w:rPr>
          <w:spacing w:val="-33"/>
        </w:rPr>
      </w:r>
      <w:r>
        <w:rPr>
          <w:spacing w:val="-2"/>
        </w:rPr>
        <w:t>事会或类似权力机构中派有代表、或参与被投资单位财务和经营政策制定过程、或与被投资单位之间</w:t>
      </w:r>
    </w:p>
    <w:p>
      <w:pPr>
        <w:spacing w:after="0" w:line="244" w:lineRule="auto"/>
        <w:jc w:val="both"/>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61" w:lineRule="auto" w:before="32"/>
        <w:ind w:right="210" w:firstLine="0"/>
        <w:jc w:val="both"/>
      </w:pPr>
      <w:r>
        <w:rPr>
          <w:spacing w:val="-2"/>
        </w:rPr>
        <w:t>发生重要交易、或向被投资单位派出管理人员、或向被投资单位提供关键技术资料等事实和情况判断</w:t>
      </w:r>
      <w:r>
        <w:rPr>
          <w:spacing w:val="-70"/>
        </w:rPr>
        <w:t> </w:t>
      </w:r>
      <w:r>
        <w:rPr>
          <w:spacing w:val="-70"/>
        </w:rPr>
      </w:r>
      <w:r>
        <w:rPr/>
        <w:t>对被投资单位具有重大影响。</w:t>
      </w:r>
    </w:p>
    <w:p>
      <w:pPr>
        <w:spacing w:line="240" w:lineRule="auto" w:before="9"/>
        <w:rPr>
          <w:rFonts w:ascii="宋体" w:hAnsi="宋体" w:cs="宋体" w:eastAsia="宋体" w:hint="default"/>
          <w:sz w:val="18"/>
          <w:szCs w:val="18"/>
        </w:rPr>
      </w:pPr>
    </w:p>
    <w:p>
      <w:pPr>
        <w:pStyle w:val="Heading6"/>
        <w:spacing w:line="259" w:lineRule="auto"/>
        <w:ind w:right="100"/>
        <w:jc w:val="left"/>
      </w:pPr>
      <w:r>
        <w:rPr>
          <w:spacing w:val="-5"/>
        </w:rPr>
        <w:t>对被投资单位形成控制的，为本集团的子公司。通过同一控制下的企业合并取得的长期股权投资，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43"/>
        </w:rPr>
        <w:t> </w:t>
      </w:r>
      <w:r>
        <w:rPr>
          <w:spacing w:val="-43"/>
        </w:rPr>
      </w:r>
      <w:r>
        <w:rPr/>
        <w:t>初始投资成本。被合并方在合并日的净资产账面价值为负数的，长期股权投资成本按零确定。</w:t>
      </w:r>
    </w:p>
    <w:p>
      <w:pPr>
        <w:spacing w:line="240" w:lineRule="auto" w:before="11"/>
        <w:rPr>
          <w:rFonts w:ascii="宋体" w:hAnsi="宋体" w:cs="宋体" w:eastAsia="宋体" w:hint="default"/>
          <w:sz w:val="18"/>
          <w:szCs w:val="18"/>
        </w:rPr>
      </w:pPr>
    </w:p>
    <w:p>
      <w:pPr>
        <w:pStyle w:val="Heading6"/>
        <w:spacing w:line="259" w:lineRule="auto"/>
        <w:ind w:right="209"/>
        <w:jc w:val="both"/>
      </w:pPr>
      <w:r>
        <w:rPr>
          <w:spacing w:val="-2"/>
        </w:rPr>
        <w:t>通过多次交易分步取得同一控制下被投资单位的股权，最终形成企业合并的，应在取得控制权的</w:t>
      </w:r>
      <w:r>
        <w:rPr>
          <w:w w:val="100"/>
        </w:rPr>
        <w:t> </w:t>
      </w:r>
      <w:r>
        <w:rPr>
          <w:spacing w:val="-2"/>
        </w:rPr>
        <w:t>报告期，补充披露在母公司财务报表中的长期股权投资的处理方法。例如：通过多次交易分步取得同</w:t>
      </w:r>
      <w:r>
        <w:rPr>
          <w:spacing w:val="-68"/>
        </w:rPr>
        <w:t> </w:t>
      </w:r>
      <w:r>
        <w:rPr>
          <w:spacing w:val="-68"/>
        </w:rPr>
      </w:r>
      <w:r>
        <w:rPr>
          <w:spacing w:val="-2"/>
        </w:rPr>
        <w:t>一控制下被投资单位的股权，最终形成企业合并，属于一揽子交易的，本集团将各项交易作为一项取</w:t>
      </w:r>
      <w:r>
        <w:rPr>
          <w:spacing w:val="-70"/>
        </w:rPr>
        <w:t> </w:t>
      </w:r>
      <w:r>
        <w:rPr>
          <w:spacing w:val="-70"/>
        </w:rPr>
      </w:r>
      <w:r>
        <w:rPr>
          <w:spacing w:val="-2"/>
        </w:rPr>
        <w:t>得控制权的交易进行会计处理。不属于一览交易的，在合并日，根据合并后享有被合并方净资产在最</w:t>
      </w:r>
      <w:r>
        <w:rPr>
          <w:spacing w:val="-71"/>
        </w:rPr>
        <w:t> </w:t>
      </w:r>
      <w:r>
        <w:rPr>
          <w:spacing w:val="-71"/>
        </w:rPr>
      </w:r>
      <w:r>
        <w:rPr>
          <w:spacing w:val="-2"/>
        </w:rPr>
        <w:t>终控制方合并财务报表中的账面价值的份额作为长期股权投资的的初始投资成本。初始投资成本与达</w:t>
      </w:r>
      <w:r>
        <w:rPr>
          <w:spacing w:val="-73"/>
        </w:rPr>
        <w:t> </w:t>
      </w:r>
      <w:r>
        <w:rPr>
          <w:spacing w:val="-73"/>
        </w:rPr>
      </w:r>
      <w:r>
        <w:rPr>
          <w:spacing w:val="-2"/>
        </w:rPr>
        <w:t>到合并前的长期股权投资账面价值加上合并日进一步取得股份新支付对价的账面价值之和的差额，调</w:t>
      </w:r>
      <w:r>
        <w:rPr>
          <w:spacing w:val="-73"/>
        </w:rPr>
        <w:t> </w:t>
      </w:r>
      <w:r>
        <w:rPr>
          <w:spacing w:val="-73"/>
        </w:rPr>
      </w:r>
      <w:r>
        <w:rPr/>
        <w:t>整资本公积，资本公积不足冲减的，冲减留存收益。</w:t>
      </w:r>
    </w:p>
    <w:p>
      <w:pPr>
        <w:pStyle w:val="Heading6"/>
        <w:spacing w:line="552" w:lineRule="exact" w:before="62"/>
        <w:ind w:left="592" w:right="208" w:firstLine="0"/>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Heading6"/>
        <w:spacing w:line="233" w:lineRule="exact"/>
        <w:ind w:right="0" w:firstLine="0"/>
        <w:jc w:val="both"/>
      </w:pPr>
      <w:r>
        <w:rPr/>
        <w:t>的报告期，补充披露在母公司财务报表中的长期股权投资成本处理方法。例如：通过多次交易分步取</w:t>
      </w:r>
    </w:p>
    <w:p>
      <w:pPr>
        <w:pStyle w:val="Heading6"/>
        <w:spacing w:line="259" w:lineRule="auto" w:before="24"/>
        <w:ind w:right="208" w:firstLine="0"/>
        <w:jc w:val="both"/>
      </w:pPr>
      <w:r>
        <w:rPr>
          <w:spacing w:val="-2"/>
        </w:rPr>
        <w:t>得非同一控制下被投资单位的股权，最终形成企业合并，属于一揽子交易的，本集团将各项交易作为</w:t>
      </w:r>
      <w:r>
        <w:rPr>
          <w:spacing w:val="-67"/>
        </w:rPr>
        <w:t> </w:t>
      </w:r>
      <w:r>
        <w:rPr>
          <w:spacing w:val="-67"/>
        </w:rPr>
      </w:r>
      <w:r>
        <w:rPr>
          <w:spacing w:val="-2"/>
        </w:rPr>
        <w:t>一项取得控制权的交易进行会计处理。不属于一览交易的，按照原持有的股权投资账面价值加上新增</w:t>
      </w:r>
      <w:r>
        <w:rPr>
          <w:spacing w:val="-70"/>
        </w:rPr>
        <w:t> </w:t>
      </w:r>
      <w:r>
        <w:rPr>
          <w:spacing w:val="-70"/>
        </w:rPr>
      </w:r>
      <w:r>
        <w:rPr>
          <w:spacing w:val="-2"/>
        </w:rPr>
        <w:t>投资成本之和，作为改按成本法核算的初始投资成本。购买日之前持有的股权采用权益法核算的，原</w:t>
      </w:r>
      <w:r>
        <w:rPr>
          <w:spacing w:val="-68"/>
        </w:rPr>
        <w:t> </w:t>
      </w:r>
      <w:r>
        <w:rPr>
          <w:spacing w:val="-68"/>
        </w:rPr>
      </w:r>
      <w:r>
        <w:rPr>
          <w:spacing w:val="-2"/>
        </w:rPr>
        <w:t>权益法核算的相关其他综合收益暂不做调整，在处置该项投资时采用与被投资单位直接处置相关资产</w:t>
      </w:r>
      <w:r>
        <w:rPr>
          <w:spacing w:val="-70"/>
        </w:rPr>
        <w:t> </w:t>
      </w:r>
      <w:r>
        <w:rPr>
          <w:spacing w:val="-70"/>
        </w:rPr>
      </w:r>
      <w:r>
        <w:rPr>
          <w:spacing w:val="2"/>
        </w:rPr>
        <w:t>或负债相同的基础进行会计处理。购买日之前持有的股权在可供出售金融资产中采用公允价值核算</w:t>
      </w:r>
      <w:r>
        <w:rPr>
          <w:spacing w:val="-43"/>
        </w:rPr>
        <w:t> </w:t>
      </w:r>
      <w:r>
        <w:rPr>
          <w:spacing w:val="-43"/>
        </w:rPr>
      </w:r>
      <w:r>
        <w:rPr/>
        <w:t>的，原计入其他综合收益的累计公允价值变动在合并日转入当期投资损益。</w:t>
      </w:r>
    </w:p>
    <w:p>
      <w:pPr>
        <w:spacing w:line="240" w:lineRule="auto" w:before="11"/>
        <w:rPr>
          <w:rFonts w:ascii="宋体" w:hAnsi="宋体" w:cs="宋体" w:eastAsia="宋体" w:hint="default"/>
          <w:sz w:val="18"/>
          <w:szCs w:val="18"/>
        </w:rPr>
      </w:pPr>
    </w:p>
    <w:p>
      <w:pPr>
        <w:pStyle w:val="Heading6"/>
        <w:spacing w:line="259" w:lineRule="auto"/>
        <w:ind w:right="211"/>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t>为投资成本；投资者投入的长期股权投资，按照投资合同或协议约定的价值作为投资成本。</w:t>
      </w:r>
    </w:p>
    <w:p>
      <w:pPr>
        <w:pStyle w:val="Heading6"/>
        <w:spacing w:line="552" w:lineRule="exact" w:before="62"/>
        <w:ind w:left="592" w:right="208" w:firstLine="0"/>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Heading6"/>
        <w:spacing w:line="233" w:lineRule="exact"/>
        <w:ind w:right="0" w:firstLine="0"/>
        <w:jc w:val="both"/>
      </w:pPr>
      <w:r>
        <w:rPr/>
        <w:t>及发生的相关交易费用增加长期股权投资成本的账面价值。被投资单位宣告分派的现金股利或利润，</w:t>
      </w:r>
    </w:p>
    <w:p>
      <w:pPr>
        <w:pStyle w:val="Heading6"/>
        <w:spacing w:line="240" w:lineRule="auto" w:before="24"/>
        <w:ind w:right="0" w:firstLine="0"/>
        <w:jc w:val="both"/>
      </w:pPr>
      <w:r>
        <w:rPr/>
        <w:t>按照应享有的金额确认为当期投资收益。</w:t>
      </w:r>
    </w:p>
    <w:p>
      <w:pPr>
        <w:spacing w:line="240" w:lineRule="auto" w:before="2"/>
        <w:rPr>
          <w:rFonts w:ascii="宋体" w:hAnsi="宋体" w:cs="宋体" w:eastAsia="宋体" w:hint="default"/>
          <w:sz w:val="20"/>
          <w:szCs w:val="20"/>
        </w:rPr>
      </w:pPr>
    </w:p>
    <w:p>
      <w:pPr>
        <w:pStyle w:val="Heading6"/>
        <w:spacing w:line="259" w:lineRule="auto"/>
        <w:ind w:right="211"/>
        <w:jc w:val="both"/>
      </w:pPr>
      <w:r>
        <w:rPr>
          <w:spacing w:val="-2"/>
        </w:rPr>
        <w:t>后续计量采用权益法核算的长期股权投资，随着被投资单位所有者权益的变动相应调整增加或减</w:t>
      </w:r>
      <w:r>
        <w:rPr>
          <w:w w:val="100"/>
        </w:rPr>
        <w:t> </w:t>
      </w:r>
      <w:r>
        <w:rPr>
          <w:spacing w:val="-2"/>
        </w:rPr>
        <w:t>少长期股权投资的账面价值。其中在确认应享有被投资单位净损益的份额时，以取得投资时被投资单</w:t>
      </w:r>
      <w:r>
        <w:rPr>
          <w:spacing w:val="-70"/>
        </w:rPr>
        <w:t> </w:t>
      </w:r>
      <w:r>
        <w:rPr>
          <w:spacing w:val="-70"/>
        </w:rPr>
      </w:r>
      <w:r>
        <w:rPr>
          <w:spacing w:val="-2"/>
        </w:rPr>
        <w:t>位各项可辨认资产等的公允价值为基础，按照本集团的会计政策及会计期间，并抵销与联营企业及合</w:t>
      </w:r>
      <w:r>
        <w:rPr>
          <w:spacing w:val="-70"/>
        </w:rPr>
        <w:t> </w:t>
      </w:r>
      <w:r>
        <w:rPr>
          <w:spacing w:val="-70"/>
        </w:rPr>
      </w:r>
      <w:r>
        <w:rPr>
          <w:spacing w:val="-2"/>
        </w:rPr>
        <w:t>营企业之间发生的内部交易损益按照持股比例计算归属于投资企业的部分，对被投资单位的净利润进</w:t>
      </w:r>
      <w:r>
        <w:rPr>
          <w:spacing w:val="-71"/>
        </w:rPr>
        <w:t> </w:t>
      </w:r>
      <w:r>
        <w:rPr>
          <w:spacing w:val="-71"/>
        </w:rPr>
      </w:r>
      <w:r>
        <w:rPr/>
        <w:t>行调整后确认。</w:t>
      </w:r>
    </w:p>
    <w:p>
      <w:pPr>
        <w:spacing w:line="240" w:lineRule="auto" w:before="11"/>
        <w:rPr>
          <w:rFonts w:ascii="宋体" w:hAnsi="宋体" w:cs="宋体" w:eastAsia="宋体" w:hint="default"/>
          <w:sz w:val="18"/>
          <w:szCs w:val="18"/>
        </w:rPr>
      </w:pPr>
    </w:p>
    <w:p>
      <w:pPr>
        <w:pStyle w:val="Heading6"/>
        <w:spacing w:line="259" w:lineRule="auto"/>
        <w:ind w:right="210"/>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spacing w:line="240" w:lineRule="auto" w:before="11"/>
        <w:rPr>
          <w:rFonts w:ascii="宋体" w:hAnsi="宋体" w:cs="宋体" w:eastAsia="宋体" w:hint="default"/>
          <w:sz w:val="18"/>
          <w:szCs w:val="18"/>
        </w:rPr>
      </w:pPr>
    </w:p>
    <w:p>
      <w:pPr>
        <w:pStyle w:val="Heading6"/>
        <w:spacing w:line="240" w:lineRule="auto"/>
        <w:ind w:left="592" w:right="100" w:firstLine="0"/>
        <w:jc w:val="left"/>
      </w:pPr>
      <w:r>
        <w:rPr/>
        <w:t>因处置部分股权投资等原因丧失了对被投资单位的共同控制或重大影响的，处置后的剩余股权改</w:t>
      </w:r>
    </w:p>
    <w:p>
      <w:pPr>
        <w:spacing w:after="0" w:line="240" w:lineRule="auto"/>
        <w:jc w:val="left"/>
        <w:sectPr>
          <w:pgSz w:w="11910" w:h="16840"/>
          <w:pgMar w:header="877" w:footer="980" w:top="1100" w:bottom="1160" w:left="980" w:right="920"/>
        </w:sectPr>
      </w:pPr>
    </w:p>
    <w:p>
      <w:pPr>
        <w:spacing w:line="240" w:lineRule="auto" w:before="5"/>
        <w:rPr>
          <w:rFonts w:ascii="宋体" w:hAnsi="宋体" w:cs="宋体" w:eastAsia="宋体" w:hint="default"/>
          <w:sz w:val="20"/>
          <w:szCs w:val="20"/>
        </w:rPr>
      </w:pPr>
    </w:p>
    <w:p>
      <w:pPr>
        <w:pStyle w:val="Heading6"/>
        <w:spacing w:line="259" w:lineRule="auto" w:before="32"/>
        <w:ind w:right="209" w:firstLine="0"/>
        <w:jc w:val="both"/>
      </w:pPr>
      <w:r>
        <w:rPr>
          <w:spacing w:val="-2"/>
        </w:rPr>
        <w:t>按可供出售金融资产核算，剩余股权在丧失共同控制或重大影响之日的公允价值与账面价值之间的差</w:t>
      </w:r>
      <w:r>
        <w:rPr>
          <w:spacing w:val="-73"/>
        </w:rPr>
        <w:t> </w:t>
      </w:r>
      <w:r>
        <w:rPr>
          <w:spacing w:val="-73"/>
        </w:rPr>
      </w:r>
      <w:r>
        <w:rPr>
          <w:spacing w:val="-2"/>
        </w:rPr>
        <w:t>额计入当期损益。原股权投资因采用权益法核算而确认的其他综合收益，在终止采用权益法核算时采</w:t>
      </w:r>
      <w:r>
        <w:rPr>
          <w:spacing w:val="-68"/>
        </w:rPr>
        <w:t> </w:t>
      </w:r>
      <w:r>
        <w:rPr>
          <w:spacing w:val="-68"/>
        </w:rPr>
      </w:r>
      <w:r>
        <w:rPr/>
        <w:t>用与被投资单位直接处置相关资产或负债相同的基础进行会计处理。</w:t>
      </w:r>
    </w:p>
    <w:p>
      <w:pPr>
        <w:spacing w:line="240" w:lineRule="auto" w:before="11"/>
        <w:rPr>
          <w:rFonts w:ascii="宋体" w:hAnsi="宋体" w:cs="宋体" w:eastAsia="宋体" w:hint="default"/>
          <w:sz w:val="18"/>
          <w:szCs w:val="18"/>
        </w:rPr>
      </w:pPr>
    </w:p>
    <w:p>
      <w:pPr>
        <w:pStyle w:val="Heading6"/>
        <w:spacing w:line="259" w:lineRule="auto"/>
        <w:ind w:right="100"/>
        <w:jc w:val="left"/>
      </w:pPr>
      <w:r>
        <w:rPr>
          <w:spacing w:val="-2"/>
        </w:rPr>
        <w:t>因处置部分长期股权投资丧失了对被投资单位控制的，处置后的剩余股权能够对被投资单位实施</w:t>
      </w:r>
      <w:r>
        <w:rPr>
          <w:w w:val="100"/>
        </w:rPr>
        <w:t> </w:t>
      </w:r>
      <w:r>
        <w:rPr>
          <w:spacing w:val="-1"/>
        </w:rPr>
        <w:t>共同控制或施加重大影响的，改按权益法核算，处置股权账面价值和处置对价的差额计入投资收益，</w:t>
      </w:r>
      <w:r>
        <w:rPr>
          <w:spacing w:val="-73"/>
        </w:rPr>
        <w:t> </w:t>
      </w:r>
      <w:r>
        <w:rPr>
          <w:spacing w:val="-73"/>
        </w:rPr>
      </w:r>
      <w:r>
        <w:rPr>
          <w:spacing w:val="-2"/>
        </w:rPr>
        <w:t>并对该剩余股权视同自取得时即采用权益法核算进行调整；处置后的剩余股权不能对被投资单位实施</w:t>
      </w:r>
      <w:r>
        <w:rPr>
          <w:spacing w:val="-73"/>
        </w:rPr>
        <w:t> </w:t>
      </w:r>
      <w:r>
        <w:rPr>
          <w:spacing w:val="-73"/>
        </w:rPr>
      </w:r>
      <w:r>
        <w:rPr>
          <w:spacing w:val="-2"/>
        </w:rPr>
        <w:t>共同控制或施加重大影响的，改按可供出售金融资产的有关规定进行会计处理，处置股权账面价值和</w:t>
      </w:r>
      <w:r>
        <w:rPr>
          <w:spacing w:val="-70"/>
        </w:rPr>
        <w:t> </w:t>
      </w:r>
      <w:r>
        <w:rPr>
          <w:spacing w:val="-70"/>
        </w:rPr>
      </w:r>
      <w:r>
        <w:rPr>
          <w:spacing w:val="-2"/>
        </w:rPr>
        <w:t>处置对价的差额计入投资收益，剩余股权在丧失控制之日的公允价值与账面价值间的差额计入当期投</w:t>
      </w:r>
      <w:r>
        <w:rPr>
          <w:spacing w:val="-73"/>
        </w:rPr>
        <w:t> </w:t>
      </w:r>
      <w:r>
        <w:rPr>
          <w:spacing w:val="-73"/>
        </w:rPr>
      </w:r>
      <w:r>
        <w:rPr/>
        <w:t>资损益。</w:t>
      </w:r>
      <w:r>
        <w:rPr>
          <w:spacing w:val="-107"/>
        </w:rPr>
        <w:t> </w:t>
      </w:r>
      <w:r>
        <w:rPr>
          <w:spacing w:val="-2"/>
        </w:rPr>
        <w:t>本集团对于分步处置股权至丧失控股权的各项交易不属于一揽子交易的，对每一项交易分别进行会计</w:t>
      </w:r>
      <w:r>
        <w:rPr>
          <w:spacing w:val="-73"/>
        </w:rPr>
        <w:t> </w:t>
      </w:r>
      <w:r>
        <w:rPr>
          <w:spacing w:val="-73"/>
        </w:rPr>
      </w:r>
      <w:r>
        <w:rPr>
          <w:spacing w:val="-2"/>
        </w:rPr>
        <w:t>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的，将各项交易作为一项处置子公司并丧失控制权的交易进行会计处理，但</w:t>
      </w:r>
      <w:r>
        <w:rPr>
          <w:spacing w:val="-45"/>
        </w:rPr>
        <w:t> </w:t>
      </w:r>
      <w:r>
        <w:rPr>
          <w:spacing w:val="-45"/>
        </w:rPr>
      </w:r>
      <w:r>
        <w:rPr/>
        <w:t>是，在丧失控制权之前每一次交易处置价款与所处置的股权对应的长期股权投资账面价值之间的差</w:t>
      </w:r>
      <w:r>
        <w:rPr>
          <w:w w:val="100"/>
        </w:rPr>
        <w:t> </w:t>
      </w:r>
      <w:r>
        <w:rPr/>
        <w:t>额，确认为其他综合收益，到丧失控制权时再一并转入丧失控制权的当期损益。</w:t>
      </w:r>
    </w:p>
    <w:p>
      <w:pPr>
        <w:spacing w:line="240" w:lineRule="auto" w:before="2"/>
        <w:rPr>
          <w:rFonts w:ascii="宋体" w:hAnsi="宋体" w:cs="宋体" w:eastAsia="宋体" w:hint="default"/>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Heading6"/>
        <w:spacing w:line="550" w:lineRule="exact" w:before="17"/>
        <w:ind w:left="592" w:right="208" w:firstLine="0"/>
        <w:jc w:val="left"/>
      </w:pPr>
      <w:r>
        <w:rPr/>
        <w:t>本集团投资性房地产包括已出租的土地使用权、已出租的建筑物等。采用成本模式计量。</w:t>
      </w:r>
      <w:r>
        <w:rPr>
          <w:w w:val="100"/>
        </w:rPr>
        <w:t> </w:t>
      </w:r>
      <w:r>
        <w:rPr>
          <w:spacing w:val="-2"/>
        </w:rPr>
        <w:t>本集团投资性房地产采用年限平均方法计提折旧或摊销。各类投资性房地产的预计使用寿命、净</w:t>
      </w:r>
    </w:p>
    <w:p>
      <w:pPr>
        <w:pStyle w:val="Heading6"/>
        <w:spacing w:line="250" w:lineRule="exact"/>
        <w:ind w:right="208" w:firstLine="0"/>
        <w:jc w:val="left"/>
      </w:pPr>
      <w:r>
        <w:rPr/>
        <w:t>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率如下：</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835"/>
        <w:gridCol w:w="2269"/>
        <w:gridCol w:w="2268"/>
        <w:gridCol w:w="2129"/>
      </w:tblGrid>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89" w:right="0"/>
              <w:jc w:val="left"/>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847"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9" w:right="0"/>
              <w:jc w:val="left"/>
              <w:rPr>
                <w:rFonts w:ascii="Times New Roman" w:hAnsi="Times New Roman" w:cs="Times New Roman" w:eastAsia="Times New Roman" w:hint="default"/>
                <w:sz w:val="18"/>
                <w:szCs w:val="18"/>
              </w:rPr>
            </w:pPr>
            <w:r>
              <w:rPr>
                <w:rFonts w:ascii="Times New Roman"/>
                <w:sz w:val="18"/>
              </w:rPr>
              <w:t>40-50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2-2.5</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19" w:right="0"/>
              <w:jc w:val="left"/>
              <w:rPr>
                <w:rFonts w:ascii="Times New Roman" w:hAnsi="Times New Roman" w:cs="Times New Roman" w:eastAsia="Times New Roman" w:hint="default"/>
                <w:sz w:val="18"/>
                <w:szCs w:val="18"/>
              </w:rPr>
            </w:pPr>
            <w:r>
              <w:rPr>
                <w:rFonts w:ascii="Times New Roman"/>
                <w:sz w:val="18"/>
              </w:rPr>
              <w:t>20-35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2.71-4.75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208"/>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20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8" w:firstLine="420"/>
        <w:jc w:val="left"/>
      </w:pPr>
      <w:r>
        <w:rPr>
          <w:spacing w:val="-2"/>
        </w:rPr>
        <w:t>本集团固定资产是指同时具有以下特征，即为生产商品、提供劳务、出租或经营管理而持有的，使用</w:t>
      </w:r>
      <w:r>
        <w:rPr>
          <w:w w:val="100"/>
        </w:rPr>
        <w:t> </w:t>
      </w:r>
      <w:r>
        <w:rPr>
          <w:spacing w:val="-3"/>
        </w:rPr>
        <w:t>年限超过一年的有形资产。本集团固定资产单位价值 </w:t>
      </w:r>
      <w:r>
        <w:rPr>
          <w:rFonts w:ascii="Times New Roman" w:hAnsi="Times New Roman" w:cs="Times New Roman" w:eastAsia="Times New Roman" w:hint="default"/>
        </w:rPr>
        <w:t>5,000 </w:t>
      </w:r>
      <w:r>
        <w:rPr>
          <w:spacing w:val="-5"/>
        </w:rPr>
        <w:t>元以上的，按年限平均法计提折旧；自 </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t>年</w:t>
      </w:r>
    </w:p>
    <w:p>
      <w:pPr>
        <w:pStyle w:val="BodyText"/>
        <w:spacing w:line="268" w:lineRule="auto"/>
        <w:ind w:right="10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月起，单位价值</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元（含）以下的固定资产，采用加速折旧法一次性计提折旧。固定资产在与其有</w:t>
      </w:r>
      <w:r>
        <w:rPr>
          <w:w w:val="100"/>
        </w:rPr>
        <w:t> </w:t>
      </w:r>
      <w:r>
        <w:rPr>
          <w:spacing w:val="-5"/>
        </w:rPr>
        <w:t>关的经济利益很可能流入本集团、且其成本能够可靠计量时予以确认。本集团固定资产包括房屋及建筑物、 </w:t>
      </w:r>
      <w:r>
        <w:rPr>
          <w:spacing w:val="-5"/>
        </w:rPr>
        <w:t>电子设备、运输设备、办公设备及家具等。除已提足折旧仍继续使用的固定资产和单独计价入账的土地外，</w:t>
      </w:r>
      <w:r>
        <w:rPr>
          <w:spacing w:val="-3"/>
        </w:rPr>
        <w:t> </w:t>
      </w:r>
      <w:r>
        <w:rPr>
          <w:spacing w:val="-3"/>
        </w:rPr>
      </w:r>
      <w:r>
        <w:rPr/>
        <w:t>本集团对所有固定资产计提折旧。本集团固定资产的分类折旧年限、预计净残值率、折旧率如下：</w:t>
      </w:r>
    </w:p>
    <w:p>
      <w:pPr>
        <w:spacing w:line="240" w:lineRule="auto" w:before="11"/>
        <w:rPr>
          <w:rFonts w:ascii="宋体" w:hAnsi="宋体" w:cs="宋体" w:eastAsia="宋体" w:hint="default"/>
          <w:sz w:val="23"/>
          <w:szCs w:val="23"/>
        </w:rPr>
      </w:pPr>
    </w:p>
    <w:p>
      <w:pPr>
        <w:pStyle w:val="Heading7"/>
        <w:spacing w:line="240" w:lineRule="auto"/>
        <w:ind w:right="20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2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1.90%-19.00%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办公设备及家具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7"/>
        <w:spacing w:line="240" w:lineRule="auto" w:before="36"/>
        <w:ind w:right="20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8" w:firstLine="420"/>
        <w:jc w:val="left"/>
      </w:pPr>
      <w:r>
        <w:rPr/>
        <w:t>融资租入固定资产以租赁资产的公允价值与最低租赁付款额的现值两者中的较低者作为租入资产的</w:t>
      </w:r>
      <w:r>
        <w:rPr>
          <w:w w:val="100"/>
        </w:rPr>
        <w:t> </w:t>
      </w:r>
      <w:r>
        <w:rPr>
          <w:spacing w:val="-2"/>
        </w:rPr>
        <w:t>入账价值。租入资产的入账价值与最低租赁付款额之间的差额作为未确认融资费用。融资租入的固定资产</w:t>
      </w:r>
      <w:r>
        <w:rPr>
          <w:spacing w:val="-43"/>
        </w:rPr>
        <w:t> </w:t>
      </w:r>
      <w:r>
        <w:rPr>
          <w:spacing w:val="-43"/>
        </w:rPr>
      </w:r>
      <w:r>
        <w:rPr>
          <w:spacing w:val="-2"/>
        </w:rPr>
        <w:t>采用与自有固定资产相一致的折旧政策。能够合理确定租赁期届满时将取得租入资产所有权的，租入固定</w:t>
      </w:r>
      <w:r>
        <w:rPr>
          <w:spacing w:val="-42"/>
        </w:rPr>
        <w:t> </w:t>
      </w:r>
      <w:r>
        <w:rPr>
          <w:spacing w:val="-42"/>
        </w:rPr>
      </w:r>
      <w:r>
        <w:rPr>
          <w:spacing w:val="-2"/>
        </w:rPr>
        <w:t>资产在其预计使用寿命内计提折旧；否则，租入固定资产在租赁期与该资产预计使用寿命两者中较短的期</w:t>
      </w:r>
      <w:r>
        <w:rPr>
          <w:spacing w:val="-41"/>
        </w:rPr>
        <w:t> </w:t>
      </w:r>
      <w:r>
        <w:rPr>
          <w:spacing w:val="-41"/>
        </w:rPr>
      </w:r>
      <w:r>
        <w:rPr/>
        <w:t>间内计提折旧。</w:t>
      </w:r>
    </w:p>
    <w:p>
      <w:pPr>
        <w:spacing w:line="240" w:lineRule="auto" w:before="5"/>
        <w:rPr>
          <w:rFonts w:ascii="宋体" w:hAnsi="宋体" w:cs="宋体" w:eastAsia="宋体" w:hint="default"/>
          <w:sz w:val="23"/>
          <w:szCs w:val="23"/>
        </w:rPr>
      </w:pPr>
    </w:p>
    <w:p>
      <w:pPr>
        <w:pStyle w:val="Heading7"/>
        <w:spacing w:line="240" w:lineRule="auto"/>
        <w:ind w:right="208"/>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3"/>
        <w:rPr>
          <w:rFonts w:ascii="宋体" w:hAnsi="宋体" w:cs="宋体" w:eastAsia="宋体" w:hint="default"/>
          <w:sz w:val="15"/>
          <w:szCs w:val="15"/>
        </w:rPr>
      </w:pPr>
    </w:p>
    <w:p>
      <w:pPr>
        <w:pStyle w:val="Heading6"/>
        <w:spacing w:line="259" w:lineRule="auto"/>
        <w:ind w:right="208"/>
        <w:jc w:val="left"/>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line="240" w:lineRule="auto" w:before="2"/>
        <w:rPr>
          <w:rFonts w:ascii="宋体" w:hAnsi="宋体" w:cs="宋体" w:eastAsia="宋体" w:hint="default"/>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1"/>
        <w:rPr>
          <w:rFonts w:ascii="宋体" w:hAnsi="宋体" w:cs="宋体" w:eastAsia="宋体" w:hint="default"/>
          <w:b/>
          <w:bCs/>
          <w:sz w:val="23"/>
          <w:szCs w:val="23"/>
        </w:rPr>
      </w:pPr>
    </w:p>
    <w:p>
      <w:pPr>
        <w:pStyle w:val="Heading6"/>
        <w:spacing w:line="254" w:lineRule="auto"/>
        <w:ind w:right="10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100"/>
        </w:rPr>
        <w:t> </w:t>
      </w:r>
      <w:r>
        <w:rPr/>
        <w:t>的固定资产、投资性房地产和存货等的借款费用，在资产支出已经发生、借款费用已经发生、为使资</w:t>
      </w:r>
      <w:r>
        <w:rPr>
          <w:w w:val="100"/>
        </w:rPr>
        <w:t> </w:t>
      </w:r>
      <w:r>
        <w:rPr/>
        <w:t>产达到预定可使用或可销售状态所必要的购建或生产活动已经开始时，开始资本化；当购建或生产符</w:t>
      </w:r>
      <w:r>
        <w:rPr>
          <w:w w:val="100"/>
        </w:rPr>
        <w:t> </w:t>
      </w:r>
      <w:r>
        <w:rPr/>
        <w:t>合资本化条件的资产达到预定可使用或可销售状态时，停止资本化，其后发生的借款费用计入当期损</w:t>
      </w:r>
      <w:r>
        <w:rPr>
          <w:w w:val="100"/>
        </w:rPr>
        <w:t> </w:t>
      </w:r>
      <w:r>
        <w:rPr>
          <w:spacing w:val="-2"/>
        </w:rPr>
        <w:t>益。如果符合资本化条件的资产在购建或者生产过程中发生非正常中断、且中断时间连续超过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w:t>
      </w:r>
      <w:r>
        <w:rPr>
          <w:spacing w:val="-66"/>
        </w:rPr>
        <w:t> </w:t>
      </w:r>
      <w:r>
        <w:rPr>
          <w:spacing w:val="-66"/>
        </w:rPr>
      </w:r>
      <w:r>
        <w:rPr/>
        <w:t>暂停借款费用的资本化，直至资产的购建或生产活动重新开始。</w:t>
      </w:r>
    </w:p>
    <w:p>
      <w:pPr>
        <w:spacing w:line="240" w:lineRule="auto" w:before="2"/>
        <w:rPr>
          <w:rFonts w:ascii="宋体" w:hAnsi="宋体" w:cs="宋体" w:eastAsia="宋体" w:hint="default"/>
          <w:sz w:val="19"/>
          <w:szCs w:val="19"/>
        </w:rPr>
      </w:pPr>
    </w:p>
    <w:p>
      <w:pPr>
        <w:pStyle w:val="Heading6"/>
        <w:spacing w:line="259" w:lineRule="auto"/>
        <w:ind w:right="210"/>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3"/>
        </w:rPr>
        <w:t> </w:t>
      </w:r>
      <w:r>
        <w:rPr>
          <w:spacing w:val="-73"/>
        </w:rPr>
      </w:r>
      <w:r>
        <w:rPr>
          <w:spacing w:val="-2"/>
        </w:rPr>
        <w:t>支出加权平均数乘以所占用一般借款的资本化率，确定资本化金额。资本化率根据一般借款加权平均</w:t>
      </w:r>
      <w:r>
        <w:rPr>
          <w:spacing w:val="-69"/>
        </w:rPr>
        <w:t> </w:t>
      </w:r>
      <w:r>
        <w:rPr>
          <w:spacing w:val="-69"/>
        </w:rPr>
      </w:r>
      <w:r>
        <w:rPr/>
        <w:t>利率计算确定。</w:t>
      </w:r>
    </w:p>
    <w:p>
      <w:pPr>
        <w:spacing w:line="240" w:lineRule="auto" w:before="2"/>
        <w:rPr>
          <w:rFonts w:ascii="宋体" w:hAnsi="宋体" w:cs="宋体" w:eastAsia="宋体" w:hint="default"/>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208"/>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208"/>
        <w:jc w:val="both"/>
      </w:pPr>
      <w:r>
        <w:rPr>
          <w:spacing w:val="-3"/>
        </w:rPr>
        <w:t>本集团无形资产包括土地使用权、商标权、专利技术、非专利技术、软件著作权等，按取得时的</w:t>
      </w:r>
      <w:r>
        <w:rPr>
          <w:w w:val="100"/>
        </w:rPr>
        <w:t> </w:t>
      </w:r>
      <w:r>
        <w:rPr>
          <w:spacing w:val="-2"/>
        </w:rPr>
        <w:t>实际成本计量，其中，购入的无形资产，按实际支付的价款和相关的其他支出作为实际成本；投资者</w:t>
      </w:r>
      <w:r>
        <w:rPr>
          <w:spacing w:val="-72"/>
        </w:rPr>
        <w:t> </w:t>
      </w:r>
      <w:r>
        <w:rPr>
          <w:spacing w:val="-72"/>
        </w:rPr>
      </w:r>
      <w:r>
        <w:rPr>
          <w:spacing w:val="-2"/>
        </w:rPr>
        <w:t>投入的无形资产，按投资合同或协议约定的价值确定实际成本，但合同或协议约定价值不公允的，按</w:t>
      </w:r>
      <w:r>
        <w:rPr>
          <w:spacing w:val="-67"/>
        </w:rPr>
        <w:t> </w:t>
      </w:r>
      <w:r>
        <w:rPr>
          <w:spacing w:val="-67"/>
        </w:rPr>
      </w:r>
      <w:r>
        <w:rPr>
          <w:spacing w:val="-2"/>
        </w:rPr>
        <w:t>公允价值确定实际成本；对非同一控制下合并中取得被购买方拥有的但在其财务报表中未确认的无形</w:t>
      </w:r>
      <w:r>
        <w:rPr>
          <w:spacing w:val="-72"/>
        </w:rPr>
        <w:t> </w:t>
      </w:r>
      <w:r>
        <w:rPr>
          <w:spacing w:val="-72"/>
        </w:rPr>
      </w:r>
      <w:r>
        <w:rPr/>
        <w:t>资产，在对被购买方资产进行初始确认时，按公允价值确认为无形资产。</w:t>
      </w:r>
    </w:p>
    <w:p>
      <w:pPr>
        <w:spacing w:after="0" w:line="259" w:lineRule="auto"/>
        <w:jc w:val="both"/>
        <w:sectPr>
          <w:pgSz w:w="11910" w:h="16840"/>
          <w:pgMar w:header="877" w:footer="980" w:top="1100" w:bottom="1160" w:left="980" w:right="920"/>
        </w:sectPr>
      </w:pPr>
    </w:p>
    <w:p>
      <w:pPr>
        <w:spacing w:line="240" w:lineRule="auto" w:before="5"/>
        <w:rPr>
          <w:rFonts w:ascii="宋体" w:hAnsi="宋体" w:cs="宋体" w:eastAsia="宋体" w:hint="default"/>
          <w:sz w:val="20"/>
          <w:szCs w:val="20"/>
        </w:rPr>
      </w:pPr>
    </w:p>
    <w:p>
      <w:pPr>
        <w:pStyle w:val="Heading6"/>
        <w:spacing w:line="259" w:lineRule="auto" w:before="32"/>
        <w:ind w:right="210"/>
        <w:jc w:val="both"/>
      </w:pPr>
      <w:r>
        <w:rPr>
          <w:spacing w:val="-2"/>
        </w:rPr>
        <w:t>土地使用权从出让起始日起，按其出让年限平均摊销；无形资产按预计使用年限、合同规定的受</w:t>
      </w:r>
      <w:r>
        <w:rPr>
          <w:w w:val="100"/>
        </w:rPr>
        <w:t> </w:t>
      </w:r>
      <w:r>
        <w:rPr>
          <w:spacing w:val="-2"/>
        </w:rPr>
        <w:t>益年限和法律规定的有效年限三者中最短者分期平均摊销。摊销金额按其受益对象计入相关资产成本</w:t>
      </w:r>
      <w:r>
        <w:rPr>
          <w:spacing w:val="-73"/>
        </w:rPr>
        <w:t> </w:t>
      </w:r>
      <w:r>
        <w:rPr>
          <w:spacing w:val="-73"/>
        </w:rPr>
      </w:r>
      <w:r>
        <w:rPr>
          <w:spacing w:val="-2"/>
        </w:rPr>
        <w:t>和当期损益。对使用寿命有限的无形资产的预计使用寿命及摊销方法于每年年度终了进行复核，如发</w:t>
      </w:r>
      <w:r>
        <w:rPr>
          <w:spacing w:val="-70"/>
        </w:rPr>
        <w:t> </w:t>
      </w:r>
      <w:r>
        <w:rPr>
          <w:spacing w:val="-70"/>
        </w:rPr>
      </w:r>
      <w:r>
        <w:rPr/>
        <w:t>生改变，则作为会计估计变更处理。</w:t>
      </w:r>
    </w:p>
    <w:p>
      <w:pPr>
        <w:spacing w:line="240" w:lineRule="auto" w:before="2"/>
        <w:rPr>
          <w:rFonts w:ascii="宋体" w:hAnsi="宋体" w:cs="宋体" w:eastAsia="宋体" w:hint="default"/>
          <w:sz w:val="24"/>
          <w:szCs w:val="24"/>
        </w:rPr>
      </w:pPr>
    </w:p>
    <w:p>
      <w:pPr>
        <w:spacing w:line="480" w:lineRule="auto" w:before="0"/>
        <w:ind w:left="592" w:right="208" w:hanging="440"/>
        <w:jc w:val="left"/>
        <w:rPr>
          <w:rFonts w:ascii="宋体" w:hAnsi="宋体" w:cs="宋体" w:eastAsia="宋体" w:hint="default"/>
          <w:sz w:val="22"/>
          <w:szCs w:val="22"/>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2"/>
          <w:szCs w:val="22"/>
        </w:rPr>
        <w:t>本公司内部研究开发项目的支出分为研究阶段支出与开发阶段支出。</w:t>
      </w:r>
      <w:r>
        <w:rPr>
          <w:rFonts w:ascii="宋体" w:hAnsi="宋体" w:cs="宋体" w:eastAsia="宋体" w:hint="default"/>
          <w:w w:val="100"/>
          <w:sz w:val="22"/>
          <w:szCs w:val="22"/>
        </w:rPr>
        <w:t> </w:t>
      </w:r>
      <w:r>
        <w:rPr>
          <w:rFonts w:ascii="宋体" w:hAnsi="宋体" w:cs="宋体" w:eastAsia="宋体" w:hint="default"/>
          <w:sz w:val="22"/>
          <w:szCs w:val="22"/>
        </w:rPr>
        <w:t>研究阶段的支出，于发生时计入当期损益。</w:t>
      </w:r>
    </w:p>
    <w:p>
      <w:pPr>
        <w:pStyle w:val="Heading6"/>
        <w:spacing w:line="259" w:lineRule="auto" w:before="44"/>
        <w:ind w:right="208"/>
        <w:jc w:val="both"/>
      </w:pPr>
      <w:r>
        <w:rPr>
          <w:spacing w:val="-2"/>
        </w:rPr>
        <w:t>开发阶段的支出同时满足下列条件的，确认为无形资产，不能满足下述条件的开发阶段的支出计</w:t>
      </w:r>
      <w:r>
        <w:rPr>
          <w:w w:val="100"/>
        </w:rPr>
        <w:t> </w:t>
      </w:r>
      <w:r>
        <w:rPr/>
        <w:t>入当期损益：</w:t>
      </w:r>
    </w:p>
    <w:p>
      <w:pPr>
        <w:spacing w:line="240" w:lineRule="auto" w:before="12"/>
        <w:rPr>
          <w:rFonts w:ascii="宋体" w:hAnsi="宋体" w:cs="宋体" w:eastAsia="宋体" w:hint="default"/>
          <w:sz w:val="18"/>
          <w:szCs w:val="18"/>
        </w:rPr>
      </w:pPr>
    </w:p>
    <w:p>
      <w:pPr>
        <w:pStyle w:val="Heading6"/>
        <w:spacing w:line="240" w:lineRule="auto"/>
        <w:ind w:left="592" w:right="208" w:firstLine="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2"/>
        <w:rPr>
          <w:rFonts w:ascii="宋体" w:hAnsi="宋体" w:cs="宋体" w:eastAsia="宋体" w:hint="default"/>
          <w:sz w:val="18"/>
          <w:szCs w:val="18"/>
        </w:rPr>
      </w:pPr>
    </w:p>
    <w:p>
      <w:pPr>
        <w:pStyle w:val="Heading6"/>
        <w:spacing w:line="240" w:lineRule="auto"/>
        <w:ind w:left="592" w:right="208" w:firstLine="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12"/>
        <w:rPr>
          <w:rFonts w:ascii="宋体" w:hAnsi="宋体" w:cs="宋体" w:eastAsia="宋体" w:hint="default"/>
          <w:sz w:val="18"/>
          <w:szCs w:val="18"/>
        </w:rPr>
      </w:pPr>
    </w:p>
    <w:p>
      <w:pPr>
        <w:pStyle w:val="Heading6"/>
        <w:spacing w:line="244" w:lineRule="auto"/>
        <w:ind w:right="213"/>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w:t>
      </w:r>
      <w:r>
        <w:rPr>
          <w:w w:val="100"/>
        </w:rPr>
        <w:t> </w:t>
      </w:r>
      <w:r>
        <w:rPr/>
        <w:t>资产自身存在市场，无形资产将在内部使用的，能够证明其有用性；</w:t>
      </w:r>
    </w:p>
    <w:p>
      <w:pPr>
        <w:spacing w:line="240" w:lineRule="auto" w:before="11"/>
        <w:rPr>
          <w:rFonts w:ascii="宋体" w:hAnsi="宋体" w:cs="宋体" w:eastAsia="宋体" w:hint="default"/>
          <w:sz w:val="19"/>
          <w:szCs w:val="19"/>
        </w:rPr>
      </w:pPr>
    </w:p>
    <w:p>
      <w:pPr>
        <w:pStyle w:val="Heading6"/>
        <w:spacing w:line="244" w:lineRule="auto"/>
        <w:ind w:right="213"/>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w:t>
      </w:r>
      <w:r>
        <w:rPr>
          <w:w w:val="100"/>
        </w:rPr>
        <w:t> </w:t>
      </w:r>
      <w:r>
        <w:rPr/>
        <w:t>售该无形资产；</w:t>
      </w:r>
    </w:p>
    <w:p>
      <w:pPr>
        <w:spacing w:line="240" w:lineRule="auto" w:before="11"/>
        <w:rPr>
          <w:rFonts w:ascii="宋体" w:hAnsi="宋体" w:cs="宋体" w:eastAsia="宋体" w:hint="default"/>
          <w:sz w:val="19"/>
          <w:szCs w:val="19"/>
        </w:rPr>
      </w:pPr>
    </w:p>
    <w:p>
      <w:pPr>
        <w:pStyle w:val="Heading6"/>
        <w:spacing w:line="434" w:lineRule="auto"/>
        <w:ind w:left="592" w:right="208" w:firstLine="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1"/>
        </w:rPr>
        <w:t>无法区分研究阶段支出和开发阶段支出的，将发生的研发支出全部计入当期损益。</w:t>
      </w:r>
    </w:p>
    <w:p>
      <w:pPr>
        <w:pStyle w:val="Heading7"/>
        <w:spacing w:line="240" w:lineRule="auto" w:before="155"/>
        <w:ind w:right="208"/>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00"/>
        <w:jc w:val="left"/>
      </w:pPr>
      <w:r>
        <w:rPr>
          <w:spacing w:val="-2"/>
        </w:rPr>
        <w:t>本集团于每一资产负债表日对长期股权投资、采用成本模式计量的投资性房地产、固定资产、在</w:t>
      </w:r>
      <w:r>
        <w:rPr>
          <w:w w:val="100"/>
        </w:rPr>
        <w:t> </w:t>
      </w:r>
      <w:r>
        <w:rPr>
          <w:spacing w:val="-5"/>
        </w:rPr>
        <w:t>建工程、采用成本模式计量的生产性生物资产、油气资产、使用寿命有限的无形资产等项目进行检查，</w:t>
      </w:r>
      <w:r>
        <w:rPr>
          <w:spacing w:val="-47"/>
        </w:rPr>
        <w:t> </w:t>
      </w:r>
      <w:r>
        <w:rPr>
          <w:spacing w:val="-47"/>
        </w:rPr>
      </w:r>
      <w:r>
        <w:rPr>
          <w:spacing w:val="-2"/>
        </w:rPr>
        <w:t>当存在减值迹象时，本集团进行减值测试。对商誉和使用寿命不确定的无形资产，无论是否存在减值</w:t>
      </w:r>
      <w:r>
        <w:rPr>
          <w:spacing w:val="-67"/>
        </w:rPr>
        <w:t> </w:t>
      </w:r>
      <w:r>
        <w:rPr>
          <w:spacing w:val="-67"/>
        </w:rPr>
      </w:r>
      <w:r>
        <w:rPr/>
        <w:t>迹象，每年末均进行减值测试。</w:t>
      </w:r>
    </w:p>
    <w:p>
      <w:pPr>
        <w:spacing w:line="240" w:lineRule="auto" w:before="11"/>
        <w:rPr>
          <w:rFonts w:ascii="宋体" w:hAnsi="宋体" w:cs="宋体" w:eastAsia="宋体" w:hint="default"/>
          <w:sz w:val="18"/>
          <w:szCs w:val="18"/>
        </w:rPr>
      </w:pPr>
    </w:p>
    <w:p>
      <w:pPr>
        <w:pStyle w:val="Heading6"/>
        <w:spacing w:line="259" w:lineRule="auto"/>
        <w:ind w:right="210"/>
        <w:jc w:val="both"/>
      </w:pPr>
      <w:r>
        <w:rPr>
          <w:spacing w:val="-2"/>
        </w:rPr>
        <w:t>减值测试后，若该资产的账面价值超过其可收回金额，其差额确认为减值损失，上述资产的减值</w:t>
      </w:r>
      <w:r>
        <w:rPr>
          <w:w w:val="100"/>
        </w:rPr>
        <w:t> </w:t>
      </w:r>
      <w:r>
        <w:rPr/>
        <w:t>损失一经确认，在以后会计期间不予转回。</w:t>
      </w:r>
    </w:p>
    <w:p>
      <w:pPr>
        <w:spacing w:line="240" w:lineRule="auto" w:before="2"/>
        <w:rPr>
          <w:rFonts w:ascii="宋体" w:hAnsi="宋体" w:cs="宋体" w:eastAsia="宋体" w:hint="default"/>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208"/>
        <w:jc w:val="both"/>
      </w:pPr>
      <w:r>
        <w:rPr>
          <w:spacing w:val="2"/>
        </w:rPr>
        <w:t>本集团的长期待摊费用包括摊销期限在一年以上的经营租赁方式租入的固定资产改良支出等各</w:t>
      </w:r>
      <w:r>
        <w:rPr>
          <w:w w:val="100"/>
        </w:rPr>
        <w:t> </w:t>
      </w:r>
      <w:r>
        <w:rPr>
          <w:spacing w:val="-2"/>
        </w:rPr>
        <w:t>项费用。该等费用在受益期内平均摊销，如果长期待摊费用项目不能使以后会计期间受益，则将尚未</w:t>
      </w:r>
      <w:r>
        <w:rPr>
          <w:spacing w:val="-68"/>
        </w:rPr>
        <w:t> </w:t>
      </w:r>
      <w:r>
        <w:rPr>
          <w:spacing w:val="-68"/>
        </w:rPr>
      </w:r>
      <w:r>
        <w:rPr/>
        <w:t>摊销的该项目的摊余价值全部转入当期损益。</w:t>
      </w:r>
    </w:p>
    <w:p>
      <w:pPr>
        <w:spacing w:after="0" w:line="259" w:lineRule="auto"/>
        <w:jc w:val="both"/>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50"/>
        <w:jc w:val="both"/>
      </w:pPr>
      <w:r>
        <w:rPr>
          <w:spacing w:val="-2"/>
        </w:rPr>
        <w:t>短期薪酬主要包括工资、奖金、津贴和补贴、职工福利费、医疗保险费、生育保险费、工伤保险</w:t>
      </w:r>
      <w:r>
        <w:rPr>
          <w:w w:val="100"/>
        </w:rPr>
        <w:t> </w:t>
      </w:r>
      <w:r>
        <w:rPr>
          <w:spacing w:val="-2"/>
        </w:rPr>
        <w:t>费、住房公积金、工会经费和职工教育经费、非货币性福利等，在职工提供服务的会计期间，将实际</w:t>
      </w:r>
      <w:r>
        <w:rPr>
          <w:spacing w:val="-71"/>
        </w:rPr>
        <w:t> </w:t>
      </w:r>
      <w:r>
        <w:rPr>
          <w:spacing w:val="-71"/>
        </w:rPr>
      </w:r>
      <w:r>
        <w:rPr/>
        <w:t>发生的短期薪酬确认为负债，并按照受益对象计入当期损益或相关资产成本。</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49"/>
        <w:jc w:val="both"/>
      </w:pPr>
      <w:r>
        <w:rPr>
          <w:spacing w:val="-2"/>
        </w:rPr>
        <w:t>离职后福利主要包括基本养老保险、失业保险以及年金等，按照公司承担的风险和义务，分类为</w:t>
      </w:r>
      <w:r>
        <w:rPr>
          <w:w w:val="100"/>
        </w:rPr>
        <w:t> </w:t>
      </w:r>
      <w:r>
        <w:rPr>
          <w:spacing w:val="-2"/>
        </w:rPr>
        <w:t>设定提存计划。对于设定提存计划在根据在资产负债表日为换取职工在会计期间提供的服务而向单独</w:t>
      </w:r>
      <w:r>
        <w:rPr>
          <w:spacing w:val="-73"/>
        </w:rPr>
        <w:t> </w:t>
      </w:r>
      <w:r>
        <w:rPr>
          <w:spacing w:val="-73"/>
        </w:rPr>
      </w:r>
      <w:r>
        <w:rPr/>
        <w:t>主体缴存的提存金确认为负债，并按照受益对象计入当期损益或相关资产成本。</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51"/>
        <w:jc w:val="both"/>
      </w:pPr>
      <w:r>
        <w:rPr>
          <w:spacing w:val="-2"/>
        </w:rPr>
        <w:t>职工内部退休计划采用与上述辞退福利相同的原则处理。本公司将自职工停止提供服务日至正常</w:t>
      </w:r>
      <w:r>
        <w:rPr>
          <w:w w:val="100"/>
        </w:rPr>
        <w:t> </w:t>
      </w:r>
      <w:r>
        <w:rPr>
          <w:spacing w:val="-2"/>
        </w:rPr>
        <w:t>退休日的期间拟支付的内退人员工资和缴纳的社会保险费等，在符合预计负债确认条件时，计入当期</w:t>
      </w:r>
      <w:r>
        <w:rPr>
          <w:spacing w:val="-70"/>
        </w:rPr>
        <w:t> </w:t>
      </w:r>
      <w:r>
        <w:rPr>
          <w:spacing w:val="-70"/>
        </w:rPr>
      </w:r>
      <w:r>
        <w:rPr/>
        <w:t>损益（辞退福利）。</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153"/>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47"/>
        <w:jc w:val="both"/>
      </w:pPr>
      <w:r>
        <w:rPr>
          <w:spacing w:val="-2"/>
        </w:rPr>
        <w:t>当与对外担保、商业承兑汇票贴现、未决诉讼或仲裁、产品质量保证等或有事项相关的业务同时</w:t>
      </w:r>
      <w:r>
        <w:rPr>
          <w:w w:val="100"/>
        </w:rPr>
        <w:t> </w:t>
      </w:r>
      <w:r>
        <w:rPr>
          <w:spacing w:val="-2"/>
        </w:rPr>
        <w:t>符合以下条件时，本集团将其确认为负债：该义务是本集团承担的现时义务；该义务的履行很可能导</w:t>
      </w:r>
      <w:r>
        <w:rPr>
          <w:spacing w:val="-66"/>
        </w:rPr>
        <w:t> </w:t>
      </w:r>
      <w:r>
        <w:rPr>
          <w:spacing w:val="-66"/>
        </w:rPr>
      </w:r>
      <w:r>
        <w:rPr/>
        <w:t>致经济利益流出企业；该义务的金额能够可靠地计量。</w:t>
      </w:r>
    </w:p>
    <w:p>
      <w:pPr>
        <w:spacing w:line="240" w:lineRule="auto" w:before="11"/>
        <w:rPr>
          <w:rFonts w:ascii="宋体" w:hAnsi="宋体" w:cs="宋体" w:eastAsia="宋体" w:hint="default"/>
          <w:sz w:val="18"/>
          <w:szCs w:val="18"/>
        </w:rPr>
      </w:pPr>
    </w:p>
    <w:p>
      <w:pPr>
        <w:pStyle w:val="Heading6"/>
        <w:spacing w:line="259" w:lineRule="auto"/>
        <w:ind w:right="150"/>
        <w:jc w:val="both"/>
      </w:pPr>
      <w:r>
        <w:rPr>
          <w:spacing w:val="-2"/>
        </w:rPr>
        <w:t>在资产负债表日，考虑与或有事项有关的风险、不确定性和货币时间价值等因素，按照履行相关</w:t>
      </w:r>
      <w:r>
        <w:rPr>
          <w:w w:val="100"/>
        </w:rPr>
        <w:t> </w:t>
      </w:r>
      <w:r>
        <w:rPr/>
        <w:t>现时义务所需支出的最佳估计数对预计负债进行计量。</w:t>
      </w:r>
    </w:p>
    <w:p>
      <w:pPr>
        <w:spacing w:line="240" w:lineRule="auto" w:before="11"/>
        <w:rPr>
          <w:rFonts w:ascii="宋体" w:hAnsi="宋体" w:cs="宋体" w:eastAsia="宋体" w:hint="default"/>
          <w:sz w:val="18"/>
          <w:szCs w:val="18"/>
        </w:rPr>
      </w:pPr>
    </w:p>
    <w:p>
      <w:pPr>
        <w:pStyle w:val="Heading6"/>
        <w:spacing w:line="259" w:lineRule="auto"/>
        <w:ind w:right="112"/>
        <w:jc w:val="both"/>
      </w:pPr>
      <w:r>
        <w:rPr>
          <w:spacing w:val="-1"/>
        </w:rPr>
        <w:t>如果清偿预计负债所需支出全部或部分预期由第三方补偿的，补偿金额在基本确定能够收到时，</w:t>
      </w:r>
      <w:r>
        <w:rPr>
          <w:w w:val="100"/>
        </w:rPr>
        <w:t> </w:t>
      </w:r>
      <w:r>
        <w:rPr/>
        <w:t>作为资产单独确认，且确认的补偿金额不超过预计负债的账面价值。</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10"/>
        <w:jc w:val="right"/>
      </w:pPr>
      <w:r>
        <w:rPr>
          <w:spacing w:val="2"/>
        </w:rPr>
        <w:t>用以换取职工提供服务的以权益结算的股份支付，以授予职工权益工具在授予日的公允价值计</w:t>
      </w:r>
      <w:r>
        <w:rPr>
          <w:w w:val="100"/>
        </w:rPr>
        <w:t> </w:t>
      </w:r>
      <w:r>
        <w:rPr>
          <w:spacing w:val="-2"/>
        </w:rPr>
        <w:t>量。该公允价值的金额在完成等待期内的服务或达到规定业绩条件才可行权的情况下，在等待期内以</w:t>
      </w:r>
      <w:r>
        <w:rPr>
          <w:w w:val="100"/>
        </w:rPr>
        <w:t> </w:t>
      </w:r>
      <w:r>
        <w:rPr>
          <w:spacing w:val="-1"/>
        </w:rPr>
        <w:t>对可行权权益工具数量的最佳估计为基础，按直线法计算计入相关成本或费用，相应增加资本公积。</w:t>
      </w:r>
    </w:p>
    <w:p>
      <w:pPr>
        <w:spacing w:line="240" w:lineRule="auto" w:before="11"/>
        <w:rPr>
          <w:rFonts w:ascii="宋体" w:hAnsi="宋体" w:cs="宋体" w:eastAsia="宋体" w:hint="default"/>
          <w:sz w:val="18"/>
          <w:szCs w:val="18"/>
        </w:rPr>
      </w:pPr>
    </w:p>
    <w:p>
      <w:pPr>
        <w:pStyle w:val="Heading6"/>
        <w:spacing w:line="259" w:lineRule="auto"/>
        <w:ind w:right="110"/>
        <w:jc w:val="both"/>
      </w:pPr>
      <w:r>
        <w:rPr>
          <w:spacing w:val="-2"/>
        </w:rPr>
        <w:t>以现金结算的股份支付，按照本集团承担的以股份或其他权益工具为基础确定的负债的公允价值</w:t>
      </w:r>
      <w:r>
        <w:rPr>
          <w:w w:val="100"/>
        </w:rPr>
        <w:t> </w:t>
      </w:r>
      <w:r>
        <w:rPr>
          <w:spacing w:val="-1"/>
        </w:rPr>
        <w:t>计量。如授予后立即可行权，在授予日以承担负债的公允价值计入相关成本或费用，相应增加负债；</w:t>
      </w:r>
      <w:r>
        <w:rPr>
          <w:spacing w:val="-73"/>
        </w:rPr>
        <w:t> </w:t>
      </w:r>
      <w:r>
        <w:rPr>
          <w:spacing w:val="-73"/>
        </w:rPr>
      </w:r>
      <w:r>
        <w:rPr>
          <w:spacing w:val="-2"/>
        </w:rPr>
        <w:t>如需完成等待期内的服务或达到规定业绩条件以后才可行权，在等待期的每个资产负债表日，以对可</w:t>
      </w:r>
    </w:p>
    <w:p>
      <w:pPr>
        <w:spacing w:after="0" w:line="259" w:lineRule="auto"/>
        <w:jc w:val="both"/>
        <w:sectPr>
          <w:footerReference w:type="default" r:id="rId39"/>
          <w:pgSz w:w="11910" w:h="16840"/>
          <w:pgMar w:footer="980" w:header="877" w:top="1100" w:bottom="1160" w:left="980" w:right="980"/>
          <w:pgNumType w:start="120"/>
        </w:sectPr>
      </w:pPr>
    </w:p>
    <w:p>
      <w:pPr>
        <w:spacing w:line="240" w:lineRule="auto" w:before="5"/>
        <w:rPr>
          <w:rFonts w:ascii="宋体" w:hAnsi="宋体" w:cs="宋体" w:eastAsia="宋体" w:hint="default"/>
          <w:sz w:val="20"/>
          <w:szCs w:val="20"/>
        </w:rPr>
      </w:pPr>
    </w:p>
    <w:p>
      <w:pPr>
        <w:pStyle w:val="Heading6"/>
        <w:spacing w:line="261" w:lineRule="auto" w:before="32"/>
        <w:ind w:right="153" w:firstLine="0"/>
        <w:jc w:val="left"/>
      </w:pPr>
      <w:r>
        <w:rPr>
          <w:spacing w:val="-2"/>
        </w:rPr>
        <w:t>行权情况的最佳估计为基础，按照本集团承担负债的公允价值金额，将当期取得的服务计入成本或费</w:t>
      </w:r>
      <w:r>
        <w:rPr>
          <w:spacing w:val="-69"/>
        </w:rPr>
        <w:t> </w:t>
      </w:r>
      <w:r>
        <w:rPr>
          <w:spacing w:val="-69"/>
        </w:rPr>
      </w:r>
      <w:r>
        <w:rPr/>
        <w:t>用，相应调整负债。</w:t>
      </w:r>
    </w:p>
    <w:p>
      <w:pPr>
        <w:spacing w:line="240" w:lineRule="auto" w:before="9"/>
        <w:rPr>
          <w:rFonts w:ascii="宋体" w:hAnsi="宋体" w:cs="宋体" w:eastAsia="宋体" w:hint="default"/>
          <w:sz w:val="18"/>
          <w:szCs w:val="18"/>
        </w:rPr>
      </w:pPr>
    </w:p>
    <w:p>
      <w:pPr>
        <w:pStyle w:val="Heading6"/>
        <w:spacing w:line="259" w:lineRule="auto"/>
        <w:ind w:right="153"/>
        <w:jc w:val="both"/>
      </w:pPr>
      <w:r>
        <w:rPr>
          <w:spacing w:val="-2"/>
        </w:rPr>
        <w:t>在相关负债结算前的每个资产负债表日以及结算日，对负债的公允价值重新计量，其变动计入当</w:t>
      </w:r>
      <w:r>
        <w:rPr>
          <w:w w:val="100"/>
        </w:rPr>
        <w:t> </w:t>
      </w:r>
      <w:r>
        <w:rPr/>
        <w:t>期损益。</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4"/>
        <w:rPr>
          <w:rFonts w:ascii="宋体" w:hAnsi="宋体" w:cs="宋体" w:eastAsia="宋体" w:hint="default"/>
          <w:sz w:val="15"/>
          <w:szCs w:val="15"/>
        </w:rPr>
      </w:pPr>
    </w:p>
    <w:p>
      <w:pPr>
        <w:pStyle w:val="Heading6"/>
        <w:spacing w:line="259" w:lineRule="auto"/>
        <w:ind w:right="112"/>
        <w:jc w:val="both"/>
      </w:pPr>
      <w:r>
        <w:rPr>
          <w:spacing w:val="-1"/>
        </w:rPr>
        <w:t>本集团的营业收入主要包括销售自行开发研制的软件产品收入、销售商品收入、系统集成收入、</w:t>
      </w:r>
      <w:r>
        <w:rPr>
          <w:w w:val="100"/>
        </w:rPr>
        <w:t> </w:t>
      </w:r>
      <w:r>
        <w:rPr>
          <w:spacing w:val="-2"/>
        </w:rPr>
        <w:t>技术支持与维护收入、一次性技术开发收入、让渡资产使用权收入、业务推广费收入。收入确认政策</w:t>
      </w:r>
      <w:r>
        <w:rPr>
          <w:spacing w:val="-71"/>
        </w:rPr>
        <w:t> </w:t>
      </w:r>
      <w:r>
        <w:rPr>
          <w:spacing w:val="-71"/>
        </w:rPr>
      </w:r>
      <w:r>
        <w:rPr/>
        <w:t>如下：</w:t>
      </w:r>
    </w:p>
    <w:p>
      <w:pPr>
        <w:pStyle w:val="Heading6"/>
        <w:spacing w:line="552" w:lineRule="exact" w:before="62"/>
        <w:ind w:left="592" w:right="153" w:firstLine="0"/>
        <w:jc w:val="left"/>
      </w:pPr>
      <w:r>
        <w:rPr/>
        <w:t>（</w:t>
      </w:r>
      <w:r>
        <w:rPr>
          <w:rFonts w:ascii="Times New Roman" w:hAnsi="Times New Roman" w:cs="Times New Roman" w:eastAsia="Times New Roman" w:hint="default"/>
        </w:rPr>
        <w:t>1</w:t>
      </w:r>
      <w:r>
        <w:rPr/>
        <w:t>）销售自行开发研制的软件产品收入</w:t>
      </w:r>
      <w:r>
        <w:rPr>
          <w:spacing w:val="-108"/>
        </w:rPr>
        <w:t> </w:t>
      </w:r>
      <w:r>
        <w:rPr>
          <w:spacing w:val="-108"/>
        </w:rPr>
      </w:r>
      <w:r>
        <w:rPr/>
        <w:t>自行开发研制的软件产品是指公司拥有著作权，销售时不转让所有权的软件产品。</w:t>
      </w:r>
      <w:r>
        <w:rPr>
          <w:w w:val="100"/>
        </w:rPr>
        <w:t> </w:t>
      </w:r>
      <w:r>
        <w:rPr>
          <w:spacing w:val="-2"/>
        </w:rPr>
        <w:t>对于不需要安装就可以使用的软件产品，本集团在已将软件产品使用权上的主要风险和报酬转给</w:t>
      </w:r>
    </w:p>
    <w:p>
      <w:pPr>
        <w:pStyle w:val="Heading6"/>
        <w:spacing w:line="233" w:lineRule="exact"/>
        <w:ind w:right="0" w:firstLine="0"/>
        <w:jc w:val="left"/>
      </w:pPr>
      <w:r>
        <w:rPr/>
        <w:t>购货方；本集团既没有保留与使用权相联系的继续管理权；也没有对已售出的软件产品实施控制；与</w:t>
      </w:r>
    </w:p>
    <w:p>
      <w:pPr>
        <w:pStyle w:val="Heading6"/>
        <w:spacing w:line="460" w:lineRule="auto" w:before="24"/>
        <w:ind w:left="592" w:right="153" w:hanging="440"/>
        <w:jc w:val="left"/>
      </w:pPr>
      <w:r>
        <w:rPr>
          <w:spacing w:val="-1"/>
        </w:rPr>
        <w:t>交易相关的经济利益能够流入企业；相关的收入和成本能够可靠地计量时，确认收入实现。</w:t>
      </w:r>
      <w:r>
        <w:rPr>
          <w:spacing w:val="-77"/>
        </w:rPr>
        <w:t> </w:t>
      </w:r>
      <w:r>
        <w:rPr>
          <w:spacing w:val="-77"/>
        </w:rPr>
      </w:r>
      <w:r>
        <w:rPr/>
        <w:t>对于系统集成中的软件产品收入，按系统集成收入确认的原则确认。</w:t>
      </w:r>
    </w:p>
    <w:p>
      <w:pPr>
        <w:pStyle w:val="Heading6"/>
        <w:spacing w:line="240" w:lineRule="auto" w:before="61"/>
        <w:ind w:left="592" w:right="153" w:firstLine="0"/>
        <w:jc w:val="left"/>
      </w:pPr>
      <w:r>
        <w:rPr/>
        <w:t>（</w:t>
      </w:r>
      <w:r>
        <w:rPr>
          <w:rFonts w:ascii="Times New Roman" w:hAnsi="Times New Roman" w:cs="Times New Roman" w:eastAsia="Times New Roman" w:hint="default"/>
        </w:rPr>
        <w:t>2</w:t>
      </w:r>
      <w:r>
        <w:rPr/>
        <w:t>）销售商品收入</w:t>
      </w:r>
    </w:p>
    <w:p>
      <w:pPr>
        <w:spacing w:line="240" w:lineRule="auto" w:before="12"/>
        <w:rPr>
          <w:rFonts w:ascii="宋体" w:hAnsi="宋体" w:cs="宋体" w:eastAsia="宋体" w:hint="default"/>
          <w:sz w:val="18"/>
          <w:szCs w:val="18"/>
        </w:rPr>
      </w:pPr>
    </w:p>
    <w:p>
      <w:pPr>
        <w:pStyle w:val="Heading6"/>
        <w:spacing w:line="259" w:lineRule="auto"/>
        <w:ind w:right="147"/>
        <w:jc w:val="both"/>
      </w:pPr>
      <w:r>
        <w:rPr>
          <w:spacing w:val="-2"/>
        </w:rPr>
        <w:t>本集团已将外购商品的所有权的主要风险和报酬转给购货方；既没有保留与所有权相联系的继续</w:t>
      </w:r>
      <w:r>
        <w:rPr>
          <w:w w:val="100"/>
        </w:rPr>
        <w:t> </w:t>
      </w:r>
      <w:r>
        <w:rPr>
          <w:spacing w:val="-2"/>
        </w:rPr>
        <w:t>管理权；也没有对已售出的所有权实施控制；与交易相关的经济利益能够流入企业；相关的收入和成</w:t>
      </w:r>
      <w:r>
        <w:rPr>
          <w:spacing w:val="-67"/>
        </w:rPr>
        <w:t> </w:t>
      </w:r>
      <w:r>
        <w:rPr>
          <w:spacing w:val="-67"/>
        </w:rPr>
      </w:r>
      <w:r>
        <w:rPr/>
        <w:t>本能够可靠地计量时，确认收入实现。</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pPr>
      <w:r>
        <w:rPr/>
        <w:t>对于系统集成中的外购商品收入，按系统集成收入确认的原则确认。</w:t>
      </w:r>
    </w:p>
    <w:p>
      <w:pPr>
        <w:spacing w:line="240" w:lineRule="auto" w:before="2"/>
        <w:rPr>
          <w:rFonts w:ascii="宋体" w:hAnsi="宋体" w:cs="宋体" w:eastAsia="宋体" w:hint="default"/>
          <w:sz w:val="20"/>
          <w:szCs w:val="20"/>
        </w:rPr>
      </w:pPr>
    </w:p>
    <w:p>
      <w:pPr>
        <w:pStyle w:val="Heading6"/>
        <w:spacing w:line="434" w:lineRule="auto"/>
        <w:ind w:left="592" w:right="2574" w:firstLine="0"/>
        <w:jc w:val="left"/>
      </w:pPr>
      <w:r>
        <w:rPr/>
        <w:t>（</w:t>
      </w:r>
      <w:r>
        <w:rPr>
          <w:rFonts w:ascii="Times New Roman" w:hAnsi="Times New Roman" w:cs="Times New Roman" w:eastAsia="Times New Roman" w:hint="default"/>
        </w:rPr>
        <w:t>3</w:t>
      </w:r>
      <w:r>
        <w:rPr/>
        <w:t>）系统集成收入</w:t>
      </w:r>
      <w:r>
        <w:rPr>
          <w:w w:val="100"/>
        </w:rPr>
        <w:t> </w:t>
      </w:r>
      <w:r>
        <w:rPr>
          <w:spacing w:val="-1"/>
        </w:rPr>
        <w:t>系统集成包括外购商品、自行开发软件产品的销售及安装。</w:t>
      </w:r>
    </w:p>
    <w:p>
      <w:pPr>
        <w:pStyle w:val="Heading6"/>
        <w:spacing w:line="259" w:lineRule="auto" w:before="86"/>
        <w:ind w:right="148"/>
        <w:jc w:val="both"/>
      </w:pPr>
      <w:r>
        <w:rPr>
          <w:spacing w:val="-2"/>
        </w:rPr>
        <w:t>本集团在将系统集成中外购商品的所有权、自行开发研制的软件产品使用权上的主要风险和报酬</w:t>
      </w:r>
      <w:r>
        <w:rPr>
          <w:w w:val="100"/>
        </w:rPr>
        <w:t> </w:t>
      </w:r>
      <w:r>
        <w:rPr>
          <w:spacing w:val="-2"/>
        </w:rPr>
        <w:t>转给购货方，本集团既没有保留与所有权及使用权相联系的继续管理权；也没有对已售出的使用权及</w:t>
      </w:r>
      <w:r>
        <w:rPr>
          <w:spacing w:val="-70"/>
        </w:rPr>
        <w:t> </w:t>
      </w:r>
      <w:r>
        <w:rPr>
          <w:spacing w:val="-70"/>
        </w:rPr>
      </w:r>
      <w:r>
        <w:rPr>
          <w:spacing w:val="-2"/>
        </w:rPr>
        <w:t>所有权实施控制；系统安装调试完毕并取得购货方的确认；与交易相关的经济利益能够流入企业；相</w:t>
      </w:r>
      <w:r>
        <w:rPr>
          <w:spacing w:val="-67"/>
        </w:rPr>
        <w:t> </w:t>
      </w:r>
      <w:r>
        <w:rPr>
          <w:spacing w:val="-67"/>
        </w:rPr>
      </w:r>
      <w:r>
        <w:rPr/>
        <w:t>关的收入和成本能够可靠地计量时，确认收入实现。</w:t>
      </w:r>
    </w:p>
    <w:p>
      <w:pPr>
        <w:pStyle w:val="Heading6"/>
        <w:spacing w:line="530" w:lineRule="atLeast" w:before="21"/>
        <w:ind w:left="592" w:right="153" w:firstLine="0"/>
        <w:jc w:val="left"/>
      </w:pPr>
      <w:r>
        <w:rPr/>
        <w:t>（</w:t>
      </w:r>
      <w:r>
        <w:rPr>
          <w:rFonts w:ascii="Times New Roman" w:hAnsi="Times New Roman" w:cs="Times New Roman" w:eastAsia="Times New Roman" w:hint="default"/>
        </w:rPr>
        <w:t>4</w:t>
      </w:r>
      <w:r>
        <w:rPr/>
        <w:t>）技术支持与维护收入</w:t>
      </w:r>
      <w:r>
        <w:rPr>
          <w:w w:val="100"/>
        </w:rPr>
        <w:t> </w:t>
      </w:r>
      <w:r>
        <w:rPr>
          <w:spacing w:val="-2"/>
        </w:rPr>
        <w:t>技术支持与维护主要是指根据合同规定向用户提供的后续服务，后续服务包括系统维护、技术与</w:t>
      </w:r>
    </w:p>
    <w:p>
      <w:pPr>
        <w:pStyle w:val="Heading6"/>
        <w:spacing w:line="460" w:lineRule="auto" w:before="24"/>
        <w:ind w:left="592" w:right="153" w:hanging="440"/>
        <w:jc w:val="left"/>
      </w:pPr>
      <w:r>
        <w:rPr/>
        <w:t>应用咨询、产品升级等。</w:t>
      </w:r>
      <w:r>
        <w:rPr>
          <w:w w:val="100"/>
        </w:rPr>
        <w:t> </w:t>
      </w:r>
      <w:r>
        <w:rPr>
          <w:spacing w:val="-2"/>
        </w:rPr>
        <w:t>本集团在劳务已经提供，收到价款或取得收款的依据后，根据与用户签订的技术支持与维护合同</w:t>
      </w:r>
    </w:p>
    <w:p>
      <w:pPr>
        <w:spacing w:after="0" w:line="460" w:lineRule="auto"/>
        <w:jc w:val="left"/>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40" w:lineRule="auto" w:before="32"/>
        <w:ind w:right="153" w:firstLine="0"/>
        <w:jc w:val="left"/>
      </w:pPr>
      <w:r>
        <w:rPr/>
        <w:t>规定的维护期间及合同总金额，按提供技术支持与维护的进度确认技术与维护收入。</w:t>
      </w:r>
    </w:p>
    <w:p>
      <w:pPr>
        <w:pStyle w:val="Heading6"/>
        <w:spacing w:line="530" w:lineRule="atLeast" w:before="39"/>
        <w:ind w:left="592" w:right="153" w:firstLine="0"/>
        <w:jc w:val="left"/>
      </w:pPr>
      <w:r>
        <w:rPr/>
        <w:t>（</w:t>
      </w:r>
      <w:r>
        <w:rPr>
          <w:rFonts w:ascii="Times New Roman" w:hAnsi="Times New Roman" w:cs="Times New Roman" w:eastAsia="Times New Roman" w:hint="default"/>
        </w:rPr>
        <w:t>5</w:t>
      </w:r>
      <w:r>
        <w:rPr/>
        <w:t>）一次性技术开发收入</w:t>
      </w:r>
      <w:r>
        <w:rPr>
          <w:w w:val="100"/>
        </w:rPr>
        <w:t> </w:t>
      </w:r>
      <w:r>
        <w:rPr>
          <w:spacing w:val="-2"/>
        </w:rPr>
        <w:t>一次性技术开发主要是指根据本集团客户的要求对自行开发研究的软件进行再次开发，向客户一</w:t>
      </w:r>
    </w:p>
    <w:p>
      <w:pPr>
        <w:pStyle w:val="Heading6"/>
        <w:spacing w:line="460" w:lineRule="auto" w:before="24"/>
        <w:ind w:left="592" w:right="153" w:hanging="440"/>
        <w:jc w:val="left"/>
      </w:pPr>
      <w:r>
        <w:rPr/>
        <w:t>次性收取的技术开发费。</w:t>
      </w:r>
      <w:r>
        <w:rPr>
          <w:w w:val="100"/>
        </w:rPr>
        <w:t> </w:t>
      </w:r>
      <w:r>
        <w:rPr>
          <w:spacing w:val="-1"/>
        </w:rPr>
        <w:t>本集团在劳务已经提供，收到价款或取得收款的依据，项目完工时确认收入的实现。</w:t>
      </w:r>
    </w:p>
    <w:p>
      <w:pPr>
        <w:pStyle w:val="Heading6"/>
        <w:spacing w:line="434" w:lineRule="auto" w:before="61"/>
        <w:ind w:left="592" w:right="4014" w:firstLine="0"/>
        <w:jc w:val="left"/>
      </w:pPr>
      <w:r>
        <w:rPr/>
        <w:t>（</w:t>
      </w:r>
      <w:r>
        <w:rPr>
          <w:rFonts w:ascii="Times New Roman" w:hAnsi="Times New Roman" w:cs="Times New Roman" w:eastAsia="Times New Roman" w:hint="default"/>
        </w:rPr>
        <w:t>6</w:t>
      </w:r>
      <w:r>
        <w:rPr/>
        <w:t>）让渡资产使用权收入</w:t>
      </w:r>
      <w:r>
        <w:rPr>
          <w:w w:val="100"/>
        </w:rPr>
        <w:t> </w:t>
      </w:r>
      <w:r>
        <w:rPr>
          <w:spacing w:val="-1"/>
        </w:rPr>
        <w:t>让渡资产使用权收入包括资金使用费收入等。</w:t>
      </w:r>
    </w:p>
    <w:p>
      <w:pPr>
        <w:pStyle w:val="Heading6"/>
        <w:spacing w:line="259" w:lineRule="auto" w:before="86"/>
        <w:ind w:right="150"/>
        <w:jc w:val="both"/>
      </w:pPr>
      <w:r>
        <w:rPr>
          <w:spacing w:val="-2"/>
        </w:rPr>
        <w:t>本集团在收入的金额能够可靠地计量，相关的经济利益很可能流入企业时，确认让渡资产使用权</w:t>
      </w:r>
      <w:r>
        <w:rPr>
          <w:w w:val="100"/>
        </w:rPr>
        <w:t> </w:t>
      </w:r>
      <w:r>
        <w:rPr/>
        <w:t>收入。</w:t>
      </w:r>
    </w:p>
    <w:p>
      <w:pPr>
        <w:pStyle w:val="Heading6"/>
        <w:spacing w:line="530" w:lineRule="atLeast" w:before="21"/>
        <w:ind w:left="592" w:right="153" w:firstLine="0"/>
        <w:jc w:val="left"/>
      </w:pPr>
      <w:r>
        <w:rPr/>
        <w:t>（</w:t>
      </w:r>
      <w:r>
        <w:rPr>
          <w:rFonts w:ascii="Times New Roman" w:hAnsi="Times New Roman" w:cs="Times New Roman" w:eastAsia="Times New Roman" w:hint="default"/>
        </w:rPr>
        <w:t>7</w:t>
      </w:r>
      <w:r>
        <w:rPr/>
        <w:t>）业务推广费收入</w:t>
      </w:r>
      <w:r>
        <w:rPr>
          <w:w w:val="100"/>
        </w:rPr>
        <w:t> </w:t>
      </w:r>
      <w:r>
        <w:rPr>
          <w:spacing w:val="-2"/>
        </w:rPr>
        <w:t>业务推广费收入主要是指在使用本公司产品的商户系统中安装架设支付宝或微信支付通道，为支</w:t>
      </w:r>
    </w:p>
    <w:p>
      <w:pPr>
        <w:pStyle w:val="Heading6"/>
        <w:spacing w:line="240" w:lineRule="auto" w:before="24"/>
        <w:ind w:right="153" w:firstLine="0"/>
        <w:jc w:val="left"/>
      </w:pPr>
      <w:r>
        <w:rPr/>
        <w:t>付宝或微信的支付提供推广和安装服务，支付宝或微信向本公司支付一定的推广和服务费</w:t>
      </w:r>
    </w:p>
    <w:p>
      <w:pPr>
        <w:spacing w:line="240" w:lineRule="auto" w:before="6"/>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09"/>
        <w:jc w:val="both"/>
      </w:pPr>
      <w:r>
        <w:rPr>
          <w:spacing w:val="-2"/>
        </w:rPr>
        <w:t>本集团的政府补助包括从政府无偿取得货币性资产或非货币性资产。其中，与资产相关的政府补</w:t>
      </w:r>
      <w:r>
        <w:rPr>
          <w:w w:val="100"/>
        </w:rPr>
        <w:t> </w:t>
      </w:r>
      <w:r>
        <w:rPr>
          <w:spacing w:val="-1"/>
        </w:rPr>
        <w:t>助，是指本集团取得的、用于购建或以其他方式形成长期资产的政府补助；与收益相关的政府补助，</w:t>
      </w:r>
      <w:r>
        <w:rPr>
          <w:spacing w:val="-72"/>
        </w:rPr>
        <w:t> </w:t>
      </w:r>
      <w:r>
        <w:rPr>
          <w:spacing w:val="-72"/>
        </w:rPr>
      </w:r>
      <w:r>
        <w:rPr>
          <w:spacing w:val="-2"/>
        </w:rPr>
        <w:t>是指除与资产相关的政府补助之外的政府补助。如果政府文件中未明确规定补助对象，本集团按照上</w:t>
      </w:r>
      <w:r>
        <w:rPr>
          <w:spacing w:val="-70"/>
        </w:rPr>
        <w:t> </w:t>
      </w:r>
      <w:r>
        <w:rPr>
          <w:spacing w:val="-70"/>
        </w:rPr>
      </w:r>
      <w:r>
        <w:rPr/>
        <w:t>述区分原则进行判断，难以区分的，整体归类为与收益相关的政府补助。</w:t>
      </w:r>
    </w:p>
    <w:p>
      <w:pPr>
        <w:spacing w:line="240" w:lineRule="auto" w:before="11"/>
        <w:rPr>
          <w:rFonts w:ascii="宋体" w:hAnsi="宋体" w:cs="宋体" w:eastAsia="宋体" w:hint="default"/>
          <w:sz w:val="18"/>
          <w:szCs w:val="18"/>
        </w:rPr>
      </w:pPr>
    </w:p>
    <w:p>
      <w:pPr>
        <w:pStyle w:val="Heading6"/>
        <w:spacing w:line="259" w:lineRule="auto"/>
        <w:ind w:right="148"/>
        <w:jc w:val="both"/>
      </w:pPr>
      <w:r>
        <w:rPr>
          <w:spacing w:val="-2"/>
        </w:rPr>
        <w:t>政府补助为货币性资产的，按照实际收到的金额计量，对于按照固定的定额标准拨付的补助，或</w:t>
      </w:r>
      <w:r>
        <w:rPr>
          <w:w w:val="100"/>
        </w:rPr>
        <w:t> </w:t>
      </w:r>
      <w:r>
        <w:rPr/>
        <w:t>对年末有确凿证据表明能够符合财政扶持政策规定的相关条件且预计能够收到财政扶持资金时</w:t>
      </w:r>
      <w:r>
        <w:rPr>
          <w:spacing w:val="58"/>
        </w:rPr>
        <w:t> </w:t>
      </w:r>
      <w:r>
        <w:rPr/>
        <w:t>，按</w:t>
      </w:r>
      <w:r>
        <w:rPr>
          <w:spacing w:val="-102"/>
        </w:rPr>
        <w:t> </w:t>
      </w:r>
      <w:r>
        <w:rPr>
          <w:spacing w:val="-102"/>
        </w:rPr>
      </w:r>
      <w:r>
        <w:rPr>
          <w:spacing w:val="-2"/>
        </w:rPr>
        <w:t>照应收的金额计量；政府补助为非货币性资产的，按照公允价值计量，公允价值不能可靠取得的，按</w:t>
      </w:r>
      <w:r>
        <w:rPr>
          <w:spacing w:val="-69"/>
        </w:rPr>
        <w:t> </w:t>
      </w:r>
      <w:r>
        <w:rPr>
          <w:spacing w:val="-69"/>
        </w:rPr>
      </w:r>
      <w:r>
        <w:rPr/>
        <w:t>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6"/>
        <w:rPr>
          <w:rFonts w:ascii="宋体" w:hAnsi="宋体" w:cs="宋体" w:eastAsia="宋体" w:hint="default"/>
          <w:sz w:val="17"/>
          <w:szCs w:val="17"/>
        </w:rPr>
      </w:pPr>
    </w:p>
    <w:p>
      <w:pPr>
        <w:pStyle w:val="Heading6"/>
        <w:spacing w:line="259" w:lineRule="auto"/>
        <w:ind w:right="150"/>
        <w:jc w:val="both"/>
      </w:pPr>
      <w:r>
        <w:rPr>
          <w:spacing w:val="-2"/>
        </w:rPr>
        <w:t>与资产相关的政府补助确认为递延收益，在相关资产使用寿命内按照系统、合理的方法计入当期</w:t>
      </w:r>
      <w:r>
        <w:rPr>
          <w:w w:val="100"/>
        </w:rPr>
        <w:t> </w:t>
      </w:r>
      <w:r>
        <w:rPr>
          <w:spacing w:val="-2"/>
        </w:rPr>
        <w:t>损益。相关资产在使用寿命结束前被出售、转让、报废或发生毁损的，将尚未分配的相关递延收益余</w:t>
      </w:r>
      <w:r>
        <w:rPr>
          <w:spacing w:val="-69"/>
        </w:rPr>
        <w:t> </w:t>
      </w:r>
      <w:r>
        <w:rPr>
          <w:spacing w:val="-69"/>
        </w:rPr>
      </w:r>
      <w:r>
        <w:rPr/>
        <w:t>额转入资产处置当期的损益。</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48"/>
        <w:jc w:val="both"/>
      </w:pPr>
      <w:r>
        <w:rPr>
          <w:spacing w:val="-2"/>
        </w:rPr>
        <w:t>与收益相关的政府补助，用于补偿以后期间的相关成本费用或损失的，确认为递延收益，并在确</w:t>
      </w:r>
      <w:r>
        <w:rPr>
          <w:w w:val="100"/>
        </w:rPr>
        <w:t> </w:t>
      </w:r>
      <w:r>
        <w:rPr>
          <w:spacing w:val="-2"/>
        </w:rPr>
        <w:t>认相关成本费用或损失的期间计入当期损益。与日常活动相关的政府补助，按照经济业务实质，计入</w:t>
      </w:r>
      <w:r>
        <w:rPr>
          <w:spacing w:val="-67"/>
        </w:rPr>
        <w:t> </w:t>
      </w:r>
      <w:r>
        <w:rPr>
          <w:spacing w:val="-67"/>
        </w:rPr>
      </w:r>
      <w:r>
        <w:rPr/>
        <w:t>其他收益或冲减相关成本费用。与日常活动无关的政府补助，计入营业外收支。</w:t>
      </w:r>
    </w:p>
    <w:p>
      <w:pPr>
        <w:spacing w:line="240" w:lineRule="auto" w:before="11"/>
        <w:rPr>
          <w:rFonts w:ascii="宋体" w:hAnsi="宋体" w:cs="宋体" w:eastAsia="宋体" w:hint="default"/>
          <w:sz w:val="18"/>
          <w:szCs w:val="18"/>
        </w:rPr>
      </w:pPr>
    </w:p>
    <w:p>
      <w:pPr>
        <w:pStyle w:val="Heading6"/>
        <w:spacing w:line="259" w:lineRule="auto"/>
        <w:ind w:right="152"/>
        <w:jc w:val="both"/>
      </w:pPr>
      <w:r>
        <w:rPr>
          <w:spacing w:val="-2"/>
        </w:rPr>
        <w:t>本集团取得政策性优惠贷款贴息的，区分财政将贴息资金拨付给贷款银行和财政将贴息资金直接</w:t>
      </w:r>
      <w:r>
        <w:rPr>
          <w:w w:val="100"/>
        </w:rPr>
        <w:t> </w:t>
      </w:r>
      <w:r>
        <w:rPr/>
        <w:t>拨付给本集团两种情况，分别按照以下原则进行会计处理：</w:t>
      </w:r>
    </w:p>
    <w:p>
      <w:pPr>
        <w:spacing w:after="0" w:line="259" w:lineRule="auto"/>
        <w:jc w:val="both"/>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56" w:lineRule="auto" w:before="32"/>
        <w:ind w:right="151"/>
        <w:jc w:val="both"/>
      </w:pPr>
      <w:r>
        <w:rPr/>
        <w:t>（</w:t>
      </w:r>
      <w:r>
        <w:rPr>
          <w:rFonts w:ascii="Times New Roman" w:hAnsi="Times New Roman" w:cs="Times New Roman" w:eastAsia="Times New Roman" w:hint="default"/>
        </w:rPr>
        <w:t>1</w:t>
      </w:r>
      <w:r>
        <w:rPr/>
        <w:t>）财政将贴息资金拨付给贷款银行，由贷款银行以政策性优惠利率向本集团提供贷款的，本</w:t>
      </w:r>
      <w:r>
        <w:rPr>
          <w:w w:val="100"/>
        </w:rPr>
        <w:t> </w:t>
      </w:r>
      <w:r>
        <w:rPr>
          <w:spacing w:val="-2"/>
        </w:rPr>
        <w:t>集团以实际收到的借款金额作为借款的入账价值，按照借款本金和该政策性优惠利率计算相关借款费</w:t>
      </w:r>
      <w:r>
        <w:rPr>
          <w:spacing w:val="-72"/>
        </w:rPr>
        <w:t> </w:t>
      </w:r>
      <w:r>
        <w:rPr>
          <w:spacing w:val="-72"/>
        </w:rPr>
      </w:r>
      <w:r>
        <w:rPr>
          <w:spacing w:val="-2"/>
        </w:rPr>
        <w:t>用（或以借款的公允价值作为借款的入账价值并按照实际利率法计算借款费用，实际收到的金额与借</w:t>
      </w:r>
      <w:r>
        <w:rPr>
          <w:spacing w:val="-70"/>
        </w:rPr>
        <w:t> </w:t>
      </w:r>
      <w:r>
        <w:rPr>
          <w:spacing w:val="-70"/>
        </w:rPr>
      </w:r>
      <w:r>
        <w:rPr>
          <w:spacing w:val="-2"/>
        </w:rPr>
        <w:t>款公允价值之间的差额确认为递延收益。递延收益在借款存续期内采用实际利率法摊销，冲减相关借</w:t>
      </w:r>
      <w:r>
        <w:rPr>
          <w:spacing w:val="-70"/>
        </w:rPr>
        <w:t> </w:t>
      </w:r>
      <w:r>
        <w:rPr>
          <w:spacing w:val="-70"/>
        </w:rPr>
      </w:r>
      <w:r>
        <w:rPr/>
        <w:t>款费用）。</w:t>
      </w:r>
    </w:p>
    <w:p>
      <w:pPr>
        <w:spacing w:line="240" w:lineRule="auto" w:before="0"/>
        <w:rPr>
          <w:rFonts w:ascii="宋体" w:hAnsi="宋体" w:cs="宋体" w:eastAsia="宋体" w:hint="default"/>
          <w:sz w:val="19"/>
          <w:szCs w:val="19"/>
        </w:rPr>
      </w:pPr>
    </w:p>
    <w:p>
      <w:pPr>
        <w:pStyle w:val="Heading6"/>
        <w:spacing w:line="446" w:lineRule="auto"/>
        <w:ind w:left="592" w:right="153" w:firstLine="88"/>
        <w:jc w:val="left"/>
      </w:pPr>
      <w:r>
        <w:rPr/>
        <w:t>（</w:t>
      </w:r>
      <w:r>
        <w:rPr>
          <w:rFonts w:ascii="Times New Roman" w:hAnsi="Times New Roman" w:cs="Times New Roman" w:eastAsia="Times New Roman" w:hint="default"/>
        </w:rPr>
        <w:t>2</w:t>
      </w:r>
      <w:r>
        <w:rPr/>
        <w:t>）财政将贴息资金直接拨付给本集团，本集团将对应的贴息冲减相关借款费用。</w:t>
      </w:r>
      <w:r>
        <w:rPr>
          <w:w w:val="100"/>
        </w:rPr>
        <w:t> </w:t>
      </w:r>
      <w:r>
        <w:rPr>
          <w:spacing w:val="-1"/>
        </w:rPr>
        <w:t>本集团已确认的政府补助需要退回的，在需要退回的当期分情况按照以下规定进行会计处理：</w:t>
      </w:r>
      <w:r>
        <w:rPr>
          <w:spacing w:val="-79"/>
        </w:rPr>
        <w:t> </w:t>
      </w:r>
      <w:r>
        <w:rPr>
          <w:spacing w:val="-79"/>
        </w:rPr>
      </w:r>
      <w:r>
        <w:rPr>
          <w:rFonts w:ascii="Times New Roman" w:hAnsi="Times New Roman" w:cs="Times New Roman" w:eastAsia="Times New Roman" w:hint="default"/>
        </w:rPr>
        <w:t>1</w:t>
      </w:r>
      <w:r>
        <w:rPr/>
        <w:t>）初始确认时冲减相关资产账面价值的，调整资产账面价值。</w:t>
      </w:r>
    </w:p>
    <w:p>
      <w:pPr>
        <w:pStyle w:val="Heading6"/>
        <w:spacing w:line="240" w:lineRule="auto" w:before="38"/>
        <w:ind w:left="592" w:right="153" w:firstLine="0"/>
        <w:jc w:val="left"/>
      </w:pPr>
      <w:r>
        <w:rPr>
          <w:rFonts w:ascii="Times New Roman" w:hAnsi="Times New Roman" w:cs="Times New Roman" w:eastAsia="Times New Roman" w:hint="default"/>
        </w:rPr>
        <w:t>2</w:t>
      </w:r>
      <w:r>
        <w:rPr/>
        <w:t>）存在相关递延收益的，冲减相关递延收益账面余额，超出部分计入当期损益。</w:t>
      </w:r>
    </w:p>
    <w:p>
      <w:pPr>
        <w:spacing w:line="240" w:lineRule="auto" w:before="13"/>
        <w:rPr>
          <w:rFonts w:ascii="宋体" w:hAnsi="宋体" w:cs="宋体" w:eastAsia="宋体" w:hint="default"/>
          <w:sz w:val="18"/>
          <w:szCs w:val="18"/>
        </w:rPr>
      </w:pPr>
    </w:p>
    <w:p>
      <w:pPr>
        <w:pStyle w:val="Heading6"/>
        <w:spacing w:line="240" w:lineRule="auto"/>
        <w:ind w:left="592" w:right="153" w:firstLine="0"/>
        <w:jc w:val="left"/>
      </w:pPr>
      <w:r>
        <w:rPr>
          <w:rFonts w:ascii="Times New Roman" w:hAnsi="Times New Roman" w:cs="Times New Roman" w:eastAsia="Times New Roman" w:hint="default"/>
        </w:rPr>
        <w:t>3</w:t>
      </w:r>
      <w:r>
        <w:rPr/>
        <w:t>）属于其他情况的，直接计入当期损益。</w:t>
      </w:r>
    </w:p>
    <w:p>
      <w:pPr>
        <w:spacing w:line="240" w:lineRule="auto" w:before="3"/>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4"/>
          <w:szCs w:val="24"/>
        </w:rPr>
      </w:pPr>
    </w:p>
    <w:p>
      <w:pPr>
        <w:pStyle w:val="Heading6"/>
        <w:spacing w:line="252" w:lineRule="auto"/>
        <w:ind w:right="148"/>
        <w:jc w:val="both"/>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w:t>
      </w:r>
      <w:r>
        <w:rPr>
          <w:w w:val="100"/>
        </w:rPr>
        <w:t> </w:t>
      </w:r>
      <w:r>
        <w:rPr/>
        <w:t>性差异</w:t>
      </w:r>
      <w:r>
        <w:rPr>
          <w:rFonts w:ascii="Times New Roman" w:hAnsi="Times New Roman" w:cs="Times New Roman" w:eastAsia="Times New Roman" w:hint="default"/>
        </w:rPr>
        <w:t>)</w:t>
      </w:r>
      <w:r>
        <w:rPr/>
        <w:t>计算确认。对于按照税法规定能够于以后年度抵减应纳税所得额的可抵扣亏损，确认相应的</w:t>
      </w:r>
      <w:r>
        <w:rPr>
          <w:spacing w:val="-14"/>
        </w:rPr>
        <w:t> </w:t>
      </w:r>
      <w:r>
        <w:rPr>
          <w:spacing w:val="-14"/>
        </w:rPr>
      </w:r>
      <w:r>
        <w:rPr>
          <w:spacing w:val="-2"/>
        </w:rPr>
        <w:t>递延所得税资产。对于商誉的初始确认产生的暂时性差异，不确认相应的递延所得税负债。对于既不</w:t>
      </w:r>
      <w:r>
        <w:rPr>
          <w:spacing w:val="-67"/>
        </w:rPr>
        <w:t> </w:t>
      </w:r>
      <w:r>
        <w:rPr>
          <w:spacing w:val="-67"/>
        </w:rPr>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78"/>
        </w:rPr>
        <w:t> </w:t>
      </w:r>
      <w:r>
        <w:rPr>
          <w:spacing w:val="-78"/>
        </w:rPr>
      </w:r>
      <w:r>
        <w:rPr>
          <w:spacing w:val="-2"/>
        </w:rPr>
        <w:t>确认形成的暂时性差异，不确认相应的递延所得税资产和递延所得税负债。于资产负债表日，递延所</w:t>
      </w:r>
      <w:r>
        <w:rPr>
          <w:spacing w:val="-65"/>
        </w:rPr>
        <w:t> </w:t>
      </w:r>
      <w:r>
        <w:rPr>
          <w:spacing w:val="-65"/>
        </w:rPr>
      </w:r>
      <w:r>
        <w:rPr/>
        <w:t>得税资产和递延所得税负债，按照预期收回该资产或清偿该负债期间的适用税率计量。</w:t>
      </w:r>
    </w:p>
    <w:p>
      <w:pPr>
        <w:spacing w:line="240" w:lineRule="auto" w:before="4"/>
        <w:rPr>
          <w:rFonts w:ascii="宋体" w:hAnsi="宋体" w:cs="宋体" w:eastAsia="宋体" w:hint="default"/>
          <w:sz w:val="19"/>
          <w:szCs w:val="19"/>
        </w:rPr>
      </w:pPr>
    </w:p>
    <w:p>
      <w:pPr>
        <w:pStyle w:val="Heading6"/>
        <w:spacing w:line="259" w:lineRule="auto"/>
        <w:ind w:right="153"/>
        <w:jc w:val="both"/>
      </w:pPr>
      <w:r>
        <w:rPr>
          <w:spacing w:val="-2"/>
        </w:rPr>
        <w:t>本集团以很可能取得用来抵扣可抵扣暂时性差异、可抵扣亏损和税款抵减的未来应纳税所得额为</w:t>
      </w:r>
      <w:r>
        <w:rPr>
          <w:w w:val="100"/>
        </w:rPr>
        <w:t> </w:t>
      </w:r>
      <w:r>
        <w:rPr/>
        <w:t>限，确认递延所得税资产。</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58"/>
        <w:jc w:val="both"/>
      </w:pPr>
      <w:r>
        <w:rPr>
          <w:spacing w:val="2"/>
        </w:rPr>
        <w:t>本集团作为经营租赁承租方的租金在租赁期内的各个期间按直线法计入相关资产成本或当期损</w:t>
      </w:r>
      <w:r>
        <w:rPr>
          <w:w w:val="100"/>
        </w:rPr>
        <w:t> </w:t>
      </w:r>
      <w:r>
        <w:rPr/>
        <w:t>益。</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51"/>
        <w:jc w:val="both"/>
      </w:pPr>
      <w:r>
        <w:rPr>
          <w:spacing w:val="-2"/>
        </w:rPr>
        <w:t>本集团作为融资租赁承租方时，在租赁开始日，按租赁开始日租赁资产的公允价值与最低租赁付</w:t>
      </w:r>
      <w:r>
        <w:rPr>
          <w:w w:val="100"/>
        </w:rPr>
        <w:t> </w:t>
      </w:r>
      <w:r>
        <w:rPr>
          <w:spacing w:val="-2"/>
        </w:rPr>
        <w:t>款额的现值两者中较低者，作为融资租入固定资产的入账价值，将最低租赁付款额作为长期应付款的</w:t>
      </w:r>
      <w:r>
        <w:rPr>
          <w:spacing w:val="-70"/>
        </w:rPr>
        <w:t> </w:t>
      </w:r>
      <w:r>
        <w:rPr>
          <w:spacing w:val="-70"/>
        </w:rPr>
      </w:r>
      <w:r>
        <w:rPr/>
        <w:t>入账价值，将两者的差额记录为未确认融资费用。</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31"/>
        <w:gridCol w:w="2977"/>
        <w:gridCol w:w="1063"/>
      </w:tblGrid>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2900"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根据财政部颁发的《关于印发修订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 </w:t>
            </w:r>
            <w:r>
              <w:rPr>
                <w:rFonts w:ascii="宋体" w:hAnsi="宋体" w:cs="宋体" w:eastAsia="宋体" w:hint="default"/>
                <w:spacing w:val="-9"/>
                <w:sz w:val="18"/>
                <w:szCs w:val="18"/>
              </w:rPr>
              <w:t>助</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[2017]15</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号）、《关于印发</w:t>
            </w:r>
            <w:r>
              <w:rPr>
                <w:rFonts w:ascii="Times New Roman" w:hAnsi="Times New Roman" w:cs="Times New Roman" w:eastAsia="Times New Roman" w:hint="default"/>
                <w:spacing w:val="-16"/>
                <w:sz w:val="18"/>
                <w:szCs w:val="18"/>
              </w:rPr>
              <w:t>&lt;</w:t>
            </w:r>
            <w:r>
              <w:rPr>
                <w:rFonts w:ascii="宋体" w:hAnsi="宋体" w:cs="宋体" w:eastAsia="宋体" w:hint="default"/>
                <w:spacing w:val="-16"/>
                <w:sz w:val="18"/>
                <w:szCs w:val="18"/>
              </w:rPr>
              <w:t>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持有待售的非流动资产、处置组和终止经营</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的通知》（财会</w:t>
            </w:r>
            <w:r>
              <w:rPr>
                <w:rFonts w:ascii="Times New Roman" w:hAnsi="Times New Roman" w:cs="Times New Roman" w:eastAsia="Times New Roman" w:hint="default"/>
                <w:spacing w:val="-3"/>
                <w:sz w:val="18"/>
                <w:szCs w:val="18"/>
              </w:rPr>
              <w:t>[2017]13</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号）的有关规定，本公司自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日期开始执行修订的政府补</w:t>
            </w:r>
          </w:p>
          <w:p>
            <w:pPr>
              <w:pStyle w:val="TableParagraph"/>
              <w:spacing w:line="309" w:lineRule="auto" w:before="13"/>
              <w:ind w:left="24" w:right="17"/>
              <w:jc w:val="both"/>
              <w:rPr>
                <w:rFonts w:ascii="宋体" w:hAnsi="宋体" w:cs="宋体" w:eastAsia="宋体" w:hint="default"/>
                <w:sz w:val="18"/>
                <w:szCs w:val="18"/>
              </w:rPr>
            </w:pPr>
            <w:r>
              <w:rPr>
                <w:rFonts w:ascii="宋体" w:hAnsi="宋体" w:cs="宋体" w:eastAsia="宋体" w:hint="default"/>
                <w:sz w:val="18"/>
                <w:szCs w:val="18"/>
              </w:rPr>
              <w:t>助准则和自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日起执行修订的持有待售的非流动资产、 处置组和终止经营准则，前述准则均自开始实施之日起采用未来适用 法，不对前期进行追述调整。此外，本财务报表还按照财政部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00" w:lineRule="auto" w:before="5"/>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日颁布的《关于修订印发一般企业财务报表格式的通知》（财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[2017]30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以下简称财会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号文）编制。</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日，公司召开第六届 董事会第三次会议，审议通过《关于 </w:t>
            </w:r>
            <w:r>
              <w:rPr>
                <w:rFonts w:ascii="宋体" w:hAnsi="宋体" w:cs="宋体" w:eastAsia="宋体" w:hint="default"/>
                <w:spacing w:val="-11"/>
                <w:sz w:val="18"/>
                <w:szCs w:val="18"/>
              </w:rPr>
              <w:t>公司会计政策变更的议案》，《关于公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司会计政策变更的公告》（</w:t>
            </w:r>
            <w:r>
              <w:rPr>
                <w:rFonts w:ascii="Times New Roman" w:hAnsi="Times New Roman" w:cs="Times New Roman" w:eastAsia="Times New Roman" w:hint="default"/>
                <w:spacing w:val="-5"/>
                <w:sz w:val="18"/>
                <w:szCs w:val="18"/>
              </w:rPr>
              <w:t>2017-65</w:t>
            </w:r>
            <w:r>
              <w:rPr>
                <w:rFonts w:ascii="宋体" w:hAnsi="宋体" w:cs="宋体" w:eastAsia="宋体" w:hint="default"/>
                <w:spacing w:val="-5"/>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日的《中国证券</w:t>
            </w:r>
            <w:r>
              <w:rPr>
                <w:rFonts w:ascii="宋体" w:hAnsi="宋体" w:cs="宋体" w:eastAsia="宋体" w:hint="default"/>
                <w:sz w:val="18"/>
                <w:szCs w:val="18"/>
              </w:rPr>
              <w:t> </w:t>
            </w:r>
            <w:r>
              <w:rPr>
                <w:rFonts w:ascii="宋体" w:hAnsi="宋体" w:cs="宋体" w:eastAsia="宋体" w:hint="default"/>
                <w:spacing w:val="-13"/>
                <w:sz w:val="18"/>
                <w:szCs w:val="18"/>
              </w:rPr>
              <w:t>报》、《证券时报》及巨潮资讯网</w:t>
            </w:r>
            <w:r>
              <w:rPr>
                <w:rFonts w:ascii="宋体" w:hAnsi="宋体" w:cs="宋体" w:eastAsia="宋体" w:hint="default"/>
                <w:spacing w:val="-77"/>
                <w:sz w:val="18"/>
                <w:szCs w:val="18"/>
              </w:rPr>
              <w:t> </w:t>
            </w:r>
            <w:r>
              <w:rPr>
                <w:rFonts w:ascii="宋体" w:hAnsi="宋体" w:cs="宋体" w:eastAsia="宋体" w:hint="default"/>
                <w:spacing w:val="-77"/>
                <w:sz w:val="18"/>
                <w:szCs w:val="18"/>
              </w:rPr>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上述准则的 采用对本财 务报表无重 大影响。</w:t>
            </w:r>
          </w:p>
        </w:tc>
      </w:tr>
      <w:tr>
        <w:trPr>
          <w:trHeight w:val="2276"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23"/>
              <w:jc w:val="left"/>
              <w:rPr>
                <w:rFonts w:ascii="宋体" w:hAnsi="宋体" w:cs="宋体" w:eastAsia="宋体" w:hint="default"/>
                <w:sz w:val="18"/>
                <w:szCs w:val="18"/>
              </w:rPr>
            </w:pPr>
            <w:r>
              <w:rPr>
                <w:rFonts w:ascii="宋体" w:hAnsi="宋体" w:cs="宋体" w:eastAsia="宋体" w:hint="default"/>
                <w:sz w:val="18"/>
                <w:szCs w:val="18"/>
              </w:rPr>
              <w:t>本集团根据财会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号文，对出售划分为持有待售的非流动资产（金融 工具、长期股权投资和投资性房地产除外）或处置组时确认的处置利 得或损失，以及处置未划分为持有待售的固定资产、在建工程及无形 </w:t>
            </w:r>
            <w:r>
              <w:rPr>
                <w:rFonts w:ascii="宋体" w:hAnsi="宋体" w:cs="宋体" w:eastAsia="宋体" w:hint="default"/>
                <w:spacing w:val="-3"/>
                <w:sz w:val="18"/>
                <w:szCs w:val="18"/>
              </w:rPr>
              <w:t>资产而产生的处置利得或损失，在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资产处置收益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项目列报。对于上述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列报项目的变更，本集团采用追溯调整法进行会计处理，并对上年比 较数据进行调整。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日，公司召开第六届 董事会第三次会议，审议通过《关于 </w:t>
            </w:r>
            <w:r>
              <w:rPr>
                <w:rFonts w:ascii="宋体" w:hAnsi="宋体" w:cs="宋体" w:eastAsia="宋体" w:hint="default"/>
                <w:spacing w:val="-11"/>
                <w:sz w:val="18"/>
                <w:szCs w:val="18"/>
              </w:rPr>
              <w:t>公司会计政策变更的议案》，《关于公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司会计政策变更的公告》（</w:t>
            </w:r>
            <w:r>
              <w:rPr>
                <w:rFonts w:ascii="Times New Roman" w:hAnsi="Times New Roman" w:cs="Times New Roman" w:eastAsia="Times New Roman" w:hint="default"/>
                <w:spacing w:val="-5"/>
                <w:sz w:val="18"/>
                <w:szCs w:val="18"/>
              </w:rPr>
              <w:t>2017-65</w:t>
            </w:r>
            <w:r>
              <w:rPr>
                <w:rFonts w:ascii="宋体" w:hAnsi="宋体" w:cs="宋体" w:eastAsia="宋体" w:hint="default"/>
                <w:spacing w:val="-5"/>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日的《中国证券</w:t>
            </w:r>
            <w:r>
              <w:rPr>
                <w:rFonts w:ascii="宋体" w:hAnsi="宋体" w:cs="宋体" w:eastAsia="宋体" w:hint="default"/>
                <w:sz w:val="18"/>
                <w:szCs w:val="18"/>
              </w:rPr>
              <w:t> </w:t>
            </w:r>
            <w:r>
              <w:rPr>
                <w:rFonts w:ascii="宋体" w:hAnsi="宋体" w:cs="宋体" w:eastAsia="宋体" w:hint="default"/>
                <w:spacing w:val="-13"/>
                <w:sz w:val="18"/>
                <w:szCs w:val="18"/>
              </w:rPr>
              <w:t>报》、《证券时报》及巨潮资讯网</w:t>
            </w:r>
            <w:r>
              <w:rPr>
                <w:rFonts w:ascii="宋体" w:hAnsi="宋体" w:cs="宋体" w:eastAsia="宋体" w:hint="default"/>
                <w:spacing w:val="-77"/>
                <w:sz w:val="18"/>
                <w:szCs w:val="18"/>
              </w:rPr>
              <w:t> </w:t>
            </w:r>
            <w:r>
              <w:rPr>
                <w:rFonts w:ascii="宋体" w:hAnsi="宋体" w:cs="宋体" w:eastAsia="宋体" w:hint="default"/>
                <w:spacing w:val="-77"/>
                <w:sz w:val="18"/>
                <w:szCs w:val="18"/>
              </w:rPr>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上述准则的 采用对本财 务报表无重 大影响。</w:t>
            </w:r>
          </w:p>
        </w:tc>
      </w:tr>
    </w:tbl>
    <w:p>
      <w:pPr>
        <w:pStyle w:val="Heading6"/>
        <w:spacing w:line="266" w:lineRule="exact"/>
        <w:ind w:right="153" w:firstLine="0"/>
        <w:jc w:val="left"/>
      </w:pPr>
      <w:r>
        <w:rPr/>
        <w:t>除上述会计政策变更之外，本集团无其他会计政策及会计估计变更事项。</w:t>
      </w:r>
    </w:p>
    <w:p>
      <w:pPr>
        <w:spacing w:line="240" w:lineRule="auto" w:before="6"/>
        <w:rPr>
          <w:rFonts w:ascii="宋体" w:hAnsi="宋体" w:cs="宋体" w:eastAsia="宋体" w:hint="default"/>
          <w:sz w:val="25"/>
          <w:szCs w:val="25"/>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44"/>
        <w:ind w:left="0" w:right="156" w:firstLine="0"/>
        <w:jc w:val="right"/>
        <w:rPr>
          <w:rFonts w:ascii="宋体" w:hAnsi="宋体" w:cs="宋体" w:eastAsia="宋体" w:hint="default"/>
          <w:sz w:val="18"/>
          <w:szCs w:val="18"/>
        </w:rPr>
      </w:pPr>
      <w:r>
        <w:rPr/>
        <w:pict>
          <v:shape style="position:absolute;margin-left:57pt;margin-top:-61.088287pt;width:478.7pt;height:136.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4"/>
                    <w:gridCol w:w="2693"/>
                    <w:gridCol w:w="4182"/>
                  </w:tblGrid>
                  <w:tr>
                    <w:trPr>
                      <w:trHeight w:val="403"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税种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6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2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182"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r>
                          <w:rPr>
                            <w:rFonts w:ascii="Times New Roman" w:hAnsi="Times New Roman" w:cs="Times New Roman" w:eastAsia="Times New Roman" w:hint="default"/>
                            <w:sz w:val="18"/>
                            <w:szCs w:val="18"/>
                          </w:rPr>
                          <w:t>30.18%</w:t>
                        </w:r>
                        <w:r>
                          <w:rPr>
                            <w:rFonts w:ascii="宋体" w:hAnsi="宋体" w:cs="宋体" w:eastAsia="宋体" w:hint="default"/>
                            <w:sz w:val="18"/>
                            <w:szCs w:val="18"/>
                          </w:rPr>
                          <w:t>、</w:t>
                        </w:r>
                        <w:r>
                          <w:rPr>
                            <w:rFonts w:ascii="Times New Roman" w:hAnsi="Times New Roman" w:cs="Times New Roman" w:eastAsia="Times New Roman" w:hint="default"/>
                            <w:sz w:val="18"/>
                            <w:szCs w:val="18"/>
                          </w:rPr>
                          <w:t>32.98%</w:t>
                        </w:r>
                        <w:r>
                          <w:rPr>
                            <w:rFonts w:ascii="宋体" w:hAnsi="宋体" w:cs="宋体" w:eastAsia="宋体" w:hint="default"/>
                            <w:sz w:val="18"/>
                            <w:szCs w:val="18"/>
                          </w:rPr>
                          <w:t>，</w:t>
                        </w:r>
                        <w:r>
                          <w:rPr>
                            <w:rFonts w:ascii="Times New Roman" w:hAnsi="Times New Roman" w:cs="Times New Roman" w:eastAsia="Times New Roman" w:hint="default"/>
                            <w:sz w:val="18"/>
                            <w:szCs w:val="18"/>
                          </w:rPr>
                          <w:t>27.5%</w:t>
                        </w:r>
                        <w:r>
                          <w:rPr>
                            <w:rFonts w:ascii="宋体" w:hAnsi="宋体" w:cs="宋体" w:eastAsia="宋体" w:hint="default"/>
                            <w:sz w:val="18"/>
                            <w:szCs w:val="18"/>
                          </w:rPr>
                          <w:t>，</w:t>
                        </w:r>
                        <w:r>
                          <w:rPr>
                            <w:rFonts w:ascii="Times New Roman" w:hAnsi="Times New Roman" w:cs="Times New Roman" w:eastAsia="Times New Roman" w:hint="default"/>
                            <w:sz w:val="18"/>
                            <w:szCs w:val="18"/>
                          </w:rPr>
                          <w:t>35.00%</w:t>
                        </w:r>
                      </w:p>
                    </w:tc>
                  </w:tr>
                  <w:tr>
                    <w:trPr>
                      <w:trHeight w:val="391" w:hRule="exact"/>
                    </w:trPr>
                    <w:tc>
                      <w:tcPr>
                        <w:tcW w:w="2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693" w:type="dxa"/>
                        <w:vMerge/>
                        <w:tcBorders>
                          <w:left w:val="single" w:sz="10" w:space="0" w:color="D2D2D2"/>
                          <w:right w:val="single" w:sz="4" w:space="0" w:color="000000"/>
                        </w:tcBorders>
                      </w:tcPr>
                      <w:p>
                        <w:pPr/>
                      </w:p>
                    </w:tc>
                    <w:tc>
                      <w:tcPr>
                        <w:tcW w:w="4182" w:type="dxa"/>
                        <w:vMerge/>
                        <w:tcBorders>
                          <w:left w:val="single" w:sz="4" w:space="0" w:color="000000"/>
                          <w:right w:val="single" w:sz="4" w:space="0" w:color="000000"/>
                        </w:tcBorders>
                      </w:tcPr>
                      <w:p>
                        <w:pPr/>
                      </w:p>
                    </w:tc>
                  </w:tr>
                  <w:tr>
                    <w:trPr>
                      <w:trHeight w:val="161" w:hRule="exact"/>
                    </w:trPr>
                    <w:tc>
                      <w:tcPr>
                        <w:tcW w:w="2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3" w:type="dxa"/>
                        <w:vMerge/>
                        <w:tcBorders>
                          <w:left w:val="single" w:sz="10" w:space="0" w:color="D2D2D2"/>
                          <w:bottom w:val="single" w:sz="4" w:space="0" w:color="000000"/>
                          <w:right w:val="single" w:sz="4" w:space="0" w:color="000000"/>
                        </w:tcBorders>
                      </w:tcPr>
                      <w:p>
                        <w:pPr/>
                      </w:p>
                    </w:tc>
                    <w:tc>
                      <w:tcPr>
                        <w:tcW w:w="4182" w:type="dxa"/>
                        <w:vMerge/>
                        <w:tcBorders>
                          <w:left w:val="single" w:sz="4" w:space="0" w:color="000000"/>
                          <w:bottom w:val="single" w:sz="4" w:space="0" w:color="000000"/>
                          <w:right w:val="single" w:sz="4" w:space="0" w:color="000000"/>
                        </w:tcBorders>
                      </w:tcPr>
                      <w:p>
                        <w:pPr/>
                      </w:p>
                    </w:tc>
                  </w:tr>
                  <w:tr>
                    <w:trPr>
                      <w:trHeight w:val="40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389"/>
        <w:gridCol w:w="4182"/>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389"/>
        <w:gridCol w:w="4182"/>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按照当期收入的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简易征收</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深圳万国思迅网络有限公司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上海时运信息技术股份有限公司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9"/>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8"/>
                <w:sz w:val="18"/>
              </w:rPr>
              <w:t> </w:t>
            </w:r>
            <w:r>
              <w:rPr>
                <w:rFonts w:ascii="Times New Roman"/>
                <w:sz w:val="18"/>
              </w:rPr>
              <w:t>Bhd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Armitage Holdings</w:t>
            </w:r>
            <w:r>
              <w:rPr>
                <w:rFonts w:ascii="Times New Roman"/>
                <w:spacing w:val="-13"/>
                <w:sz w:val="18"/>
              </w:rPr>
              <w:t> </w:t>
            </w:r>
            <w:r>
              <w:rPr>
                <w:rFonts w:ascii="Times New Roman"/>
                <w:sz w:val="18"/>
              </w:rPr>
              <w:t>Limited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389"/>
        <w:gridCol w:w="4182"/>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Gmbh</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 USA</w:t>
            </w:r>
            <w:r>
              <w:rPr>
                <w:rFonts w:ascii="Times New Roman"/>
                <w:spacing w:val="-13"/>
                <w:sz w:val="18"/>
              </w:rPr>
              <w:t> </w:t>
            </w:r>
            <w:r>
              <w:rPr>
                <w:rFonts w:ascii="Times New Roman"/>
                <w:sz w:val="18"/>
              </w:rPr>
              <w:t>Inc.</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Snapshot Poland</w:t>
            </w:r>
            <w:r>
              <w:rPr>
                <w:rFonts w:ascii="Times New Roman"/>
                <w:spacing w:val="-7"/>
                <w:sz w:val="18"/>
              </w:rPr>
              <w:t> </w:t>
            </w:r>
            <w:r>
              <w:rPr>
                <w:rFonts w:ascii="Times New Roman"/>
                <w:sz w:val="18"/>
              </w:rPr>
              <w:t>sp.z.o.o</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Straight</w:t>
            </w:r>
            <w:r>
              <w:rPr>
                <w:rFonts w:ascii="Times New Roman"/>
                <w:spacing w:val="-19"/>
                <w:sz w:val="18"/>
              </w:rPr>
              <w:t> </w:t>
            </w:r>
            <w:r>
              <w:rPr>
                <w:rFonts w:ascii="Times New Roman"/>
                <w:sz w:val="18"/>
              </w:rPr>
              <w:t>Shots.r.o</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Snapshot Deutschland</w:t>
            </w:r>
            <w:r>
              <w:rPr>
                <w:rFonts w:ascii="Times New Roman"/>
                <w:spacing w:val="-9"/>
                <w:sz w:val="18"/>
              </w:rPr>
              <w:t> </w:t>
            </w:r>
            <w:r>
              <w:rPr>
                <w:rFonts w:ascii="Times New Roman"/>
                <w:sz w:val="18"/>
              </w:rPr>
              <w:t>GmbH</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Retail Information Technology</w:t>
            </w:r>
            <w:r>
              <w:rPr>
                <w:rFonts w:ascii="Times New Roman"/>
                <w:spacing w:val="-30"/>
                <w:sz w:val="18"/>
              </w:rPr>
              <w:t> </w:t>
            </w:r>
            <w:r>
              <w:rPr>
                <w:rFonts w:ascii="Times New Roman"/>
                <w:sz w:val="18"/>
              </w:rPr>
              <w:t>Co.Ltd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海南富基融通科技有限公司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北京微店互联网服务有限公司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Horwath Consulting Services Asia Pacific</w:t>
            </w:r>
            <w:r>
              <w:rPr>
                <w:rFonts w:ascii="Times New Roman"/>
                <w:spacing w:val="-29"/>
                <w:sz w:val="18"/>
              </w:rPr>
              <w:t> </w:t>
            </w:r>
            <w:r>
              <w:rPr>
                <w:rFonts w:ascii="Times New Roman"/>
                <w:sz w:val="18"/>
              </w:rPr>
              <w:t>Limited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浩华管理顾问（北京）有限公司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Horwath Asia Pacific (Singapore)</w:t>
            </w:r>
            <w:r>
              <w:rPr>
                <w:rFonts w:ascii="Times New Roman"/>
                <w:spacing w:val="-24"/>
                <w:sz w:val="18"/>
              </w:rPr>
              <w:t> </w:t>
            </w:r>
            <w:r>
              <w:rPr>
                <w:rFonts w:ascii="Times New Roman"/>
                <w:sz w:val="18"/>
              </w:rPr>
              <w:t>PreLtd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AC Project</w:t>
            </w:r>
            <w:r>
              <w:rPr>
                <w:rFonts w:ascii="Times New Roman"/>
                <w:spacing w:val="-6"/>
                <w:sz w:val="18"/>
              </w:rPr>
              <w:t> </w:t>
            </w:r>
            <w:r>
              <w:rPr>
                <w:rFonts w:ascii="Times New Roman"/>
                <w:sz w:val="18"/>
              </w:rPr>
              <w:t>GmbH</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AC Software Deutsechland</w:t>
            </w:r>
            <w:r>
              <w:rPr>
                <w:rFonts w:ascii="Times New Roman"/>
                <w:spacing w:val="-11"/>
                <w:sz w:val="18"/>
              </w:rPr>
              <w:t> </w:t>
            </w:r>
            <w:r>
              <w:rPr>
                <w:rFonts w:ascii="Times New Roman"/>
                <w:sz w:val="18"/>
              </w:rPr>
              <w:t>GmbH</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AC Delivery</w:t>
            </w:r>
            <w:r>
              <w:rPr>
                <w:rFonts w:ascii="Times New Roman"/>
                <w:spacing w:val="-9"/>
                <w:sz w:val="18"/>
              </w:rPr>
              <w:t> </w:t>
            </w:r>
            <w:r>
              <w:rPr>
                <w:rFonts w:ascii="Times New Roman"/>
                <w:sz w:val="18"/>
              </w:rPr>
              <w:t>sp.z.o.o</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(Singpore)</w:t>
            </w:r>
            <w:r>
              <w:rPr>
                <w:rFonts w:ascii="Times New Roman"/>
                <w:spacing w:val="-6"/>
                <w:sz w:val="18"/>
              </w:rPr>
              <w:t> </w:t>
            </w:r>
            <w:r>
              <w:rPr>
                <w:rFonts w:ascii="Times New Roman"/>
                <w:sz w:val="18"/>
              </w:rPr>
              <w:t>pte.Ltd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1"/>
                <w:sz w:val="18"/>
              </w:rPr>
              <w:t> </w:t>
            </w:r>
            <w:r>
              <w:rPr>
                <w:rFonts w:ascii="Times New Roman"/>
                <w:sz w:val="18"/>
              </w:rPr>
              <w:t>Inc</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(Australia) Pty</w:t>
            </w:r>
            <w:r>
              <w:rPr>
                <w:rFonts w:ascii="Times New Roman"/>
                <w:spacing w:val="-9"/>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27.50%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Pro</w:t>
            </w:r>
            <w:r>
              <w:rPr>
                <w:rFonts w:ascii="Times New Roman"/>
                <w:spacing w:val="-5"/>
                <w:sz w:val="18"/>
              </w:rPr>
              <w:t> </w:t>
            </w:r>
            <w:r>
              <w:rPr>
                <w:rFonts w:ascii="Times New Roman"/>
                <w:sz w:val="18"/>
              </w:rPr>
              <w:t>Inc</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ProAsia Pacific Pte</w:t>
            </w:r>
            <w:r>
              <w:rPr>
                <w:rFonts w:ascii="Times New Roman"/>
                <w:spacing w:val="-8"/>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Holdings</w:t>
            </w:r>
            <w:r>
              <w:rPr>
                <w:rFonts w:ascii="Times New Roman"/>
                <w:spacing w:val="-9"/>
                <w:sz w:val="18"/>
              </w:rPr>
              <w:t> </w:t>
            </w:r>
            <w:r>
              <w:rPr>
                <w:rFonts w:ascii="Times New Roman"/>
                <w:sz w:val="18"/>
              </w:rPr>
              <w:t>Ltd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(MSC)</w:t>
            </w:r>
            <w:r>
              <w:rPr>
                <w:rFonts w:ascii="Times New Roman"/>
                <w:spacing w:val="-11"/>
                <w:sz w:val="18"/>
              </w:rPr>
              <w:t> </w:t>
            </w:r>
            <w:r>
              <w:rPr>
                <w:rFonts w:ascii="Times New Roman"/>
                <w:sz w:val="18"/>
              </w:rPr>
              <w:t>SdnBhd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Technologies (HK)</w:t>
            </w:r>
            <w:r>
              <w:rPr>
                <w:rFonts w:ascii="Times New Roman"/>
                <w:spacing w:val="-28"/>
                <w:sz w:val="18"/>
              </w:rPr>
              <w:t> </w:t>
            </w:r>
            <w:r>
              <w:rPr>
                <w:rFonts w:ascii="Times New Roman"/>
                <w:sz w:val="18"/>
              </w:rPr>
              <w:t>Limited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w:t>
            </w:r>
            <w:r>
              <w:rPr>
                <w:rFonts w:ascii="Times New Roman"/>
                <w:spacing w:val="-3"/>
                <w:sz w:val="18"/>
              </w:rPr>
              <w:t>GLTSdn</w:t>
            </w:r>
            <w:r>
              <w:rPr>
                <w:rFonts w:ascii="Times New Roman"/>
                <w:spacing w:val="-4"/>
                <w:sz w:val="18"/>
              </w:rPr>
              <w:t> </w:t>
            </w:r>
            <w:r>
              <w:rPr>
                <w:rFonts w:ascii="Times New Roman"/>
                <w:sz w:val="18"/>
              </w:rPr>
              <w:t>Bhd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Galasys Solutions (UK)</w:t>
            </w:r>
            <w:r>
              <w:rPr>
                <w:rFonts w:ascii="Times New Roman"/>
                <w:spacing w:val="-12"/>
                <w:sz w:val="18"/>
              </w:rPr>
              <w:t> </w:t>
            </w:r>
            <w:r>
              <w:rPr>
                <w:rFonts w:ascii="Times New Roman"/>
                <w:sz w:val="18"/>
              </w:rPr>
              <w:t>Limited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 Logic Solutions Sdn</w:t>
            </w:r>
            <w:r>
              <w:rPr>
                <w:rFonts w:ascii="Times New Roman"/>
                <w:spacing w:val="-8"/>
                <w:sz w:val="18"/>
              </w:rPr>
              <w:t> </w:t>
            </w:r>
            <w:r>
              <w:rPr>
                <w:rFonts w:ascii="Times New Roman"/>
                <w:sz w:val="18"/>
              </w:rPr>
              <w:t>Bhd</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Times New Roman" w:hAnsi="Times New Roman" w:cs="Times New Roman" w:eastAsia="Times New Roman" w:hint="default"/>
          <w:sz w:val="23"/>
          <w:szCs w:val="23"/>
        </w:rPr>
      </w:pPr>
    </w:p>
    <w:p>
      <w:pPr>
        <w:pStyle w:val="Heading7"/>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pStyle w:val="Heading6"/>
        <w:spacing w:line="550" w:lineRule="atLeast" w:before="52"/>
        <w:ind w:left="592" w:right="100" w:firstLine="0"/>
        <w:jc w:val="left"/>
      </w:pPr>
      <w:r>
        <w:rPr/>
        <w:t>（</w:t>
      </w:r>
      <w:r>
        <w:rPr>
          <w:rFonts w:ascii="宋体" w:hAnsi="宋体" w:cs="宋体" w:eastAsia="宋体" w:hint="default"/>
        </w:rPr>
        <w:t>1</w:t>
      </w:r>
      <w:r>
        <w:rPr/>
        <w:t>）所得税税率</w:t>
      </w:r>
      <w:r>
        <w:rPr>
          <w:rFonts w:ascii="宋体" w:hAnsi="宋体" w:cs="宋体" w:eastAsia="宋体" w:hint="default"/>
        </w:rPr>
        <w:t>15.00%</w:t>
      </w:r>
      <w:r>
        <w:rPr>
          <w:rFonts w:ascii="宋体" w:hAnsi="宋体" w:cs="宋体" w:eastAsia="宋体" w:hint="default"/>
          <w:spacing w:val="-108"/>
        </w:rPr>
        <w:t> </w:t>
      </w:r>
      <w:r>
        <w:rPr>
          <w:spacing w:val="-5"/>
        </w:rPr>
        <w:t>本公司及银石计算机、银石、现化电脑、石基大商、长益科技、石基昆仑、思迅软件、航信华仪、</w:t>
      </w:r>
    </w:p>
    <w:p>
      <w:pPr>
        <w:pStyle w:val="Heading6"/>
        <w:spacing w:line="240" w:lineRule="auto" w:before="24"/>
        <w:ind w:right="0" w:firstLine="0"/>
        <w:jc w:val="both"/>
      </w:pPr>
      <w:r>
        <w:rPr/>
        <w:t>西软信息、上海时运、苏州环企为高新技术企业，适用企业所得税税率为</w:t>
      </w:r>
      <w:r>
        <w:rPr>
          <w:rFonts w:ascii="宋体" w:hAnsi="宋体" w:cs="宋体" w:eastAsia="宋体" w:hint="default"/>
        </w:rPr>
        <w:t>15.00%</w:t>
      </w:r>
      <w:r>
        <w:rPr/>
        <w:t>。</w:t>
      </w:r>
    </w:p>
    <w:p>
      <w:pPr>
        <w:pStyle w:val="Heading6"/>
        <w:spacing w:line="552" w:lineRule="exact" w:before="79"/>
        <w:ind w:left="592" w:right="208" w:firstLine="0"/>
        <w:jc w:val="left"/>
      </w:pPr>
      <w:r>
        <w:rPr/>
        <w:t>（</w:t>
      </w:r>
      <w:r>
        <w:rPr>
          <w:rFonts w:ascii="宋体" w:hAnsi="宋体" w:cs="宋体" w:eastAsia="宋体" w:hint="default"/>
        </w:rPr>
        <w:t>2</w:t>
      </w:r>
      <w:r>
        <w:rPr/>
        <w:t>）实际执行所得税税率</w:t>
      </w:r>
      <w:r>
        <w:rPr>
          <w:rFonts w:ascii="宋体" w:hAnsi="宋体" w:cs="宋体" w:eastAsia="宋体" w:hint="default"/>
        </w:rPr>
        <w:t>0.00%</w:t>
      </w:r>
      <w:r>
        <w:rPr/>
        <w:t>、</w:t>
      </w:r>
      <w:r>
        <w:rPr>
          <w:rFonts w:ascii="宋体" w:hAnsi="宋体" w:cs="宋体" w:eastAsia="宋体" w:hint="default"/>
        </w:rPr>
        <w:t>12.50%</w:t>
      </w:r>
      <w:r>
        <w:rPr>
          <w:rFonts w:ascii="宋体" w:hAnsi="宋体" w:cs="宋体" w:eastAsia="宋体" w:hint="default"/>
          <w:spacing w:val="-108"/>
        </w:rPr>
        <w:t> </w:t>
      </w:r>
      <w:r>
        <w:rPr>
          <w:spacing w:val="-1"/>
        </w:rPr>
        <w:t>百望金税、银石科技、石基商用、现化信息系为软件企业，根据</w:t>
      </w:r>
      <w:r>
        <w:rPr>
          <w:rFonts w:ascii="Calibri" w:hAnsi="Calibri" w:cs="Calibri" w:eastAsia="Calibri" w:hint="default"/>
          <w:spacing w:val="-1"/>
        </w:rPr>
        <w:t>“</w:t>
      </w:r>
      <w:r>
        <w:rPr>
          <w:spacing w:val="-1"/>
        </w:rPr>
        <w:t>财税</w:t>
      </w:r>
      <w:r>
        <w:rPr>
          <w:rFonts w:ascii="宋体" w:hAnsi="宋体" w:cs="宋体" w:eastAsia="宋体" w:hint="default"/>
          <w:spacing w:val="-1"/>
        </w:rPr>
        <w:t>[2012]27</w:t>
      </w:r>
      <w:r>
        <w:rPr>
          <w:spacing w:val="-1"/>
        </w:rPr>
        <w:t>号</w:t>
      </w:r>
      <w:r>
        <w:rPr>
          <w:rFonts w:ascii="Calibri" w:hAnsi="Calibri" w:cs="Calibri" w:eastAsia="Calibri" w:hint="default"/>
          <w:spacing w:val="-1"/>
        </w:rPr>
        <w:t>”</w:t>
      </w:r>
      <w:r>
        <w:rPr>
          <w:spacing w:val="-1"/>
        </w:rPr>
        <w:t>文《关于进一</w:t>
      </w:r>
    </w:p>
    <w:p>
      <w:pPr>
        <w:pStyle w:val="Heading6"/>
        <w:spacing w:line="259" w:lineRule="exact"/>
        <w:ind w:right="0" w:firstLine="0"/>
        <w:jc w:val="both"/>
      </w:pPr>
      <w:r>
        <w:rPr/>
        <w:t>步鼓励软件产业和集成电路产业发展企业所得税政策的通知》的规定：</w:t>
      </w:r>
      <w:r>
        <w:rPr>
          <w:rFonts w:ascii="Calibri" w:hAnsi="Calibri" w:cs="Calibri" w:eastAsia="Calibri" w:hint="default"/>
        </w:rPr>
        <w:t>“</w:t>
      </w:r>
      <w:r>
        <w:rPr/>
        <w:t>在</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日前自获利</w:t>
      </w:r>
    </w:p>
    <w:p>
      <w:pPr>
        <w:pStyle w:val="Heading6"/>
        <w:spacing w:line="252" w:lineRule="auto"/>
        <w:ind w:right="207" w:firstLine="0"/>
        <w:jc w:val="both"/>
      </w:pPr>
      <w:r>
        <w:rPr/>
        <w:t>年度起计算优惠期，第一年至第二年免征企业所得税，第三年至第五年按照</w:t>
      </w:r>
      <w:r>
        <w:rPr>
          <w:rFonts w:ascii="宋体" w:hAnsi="宋体" w:cs="宋体" w:eastAsia="宋体" w:hint="default"/>
        </w:rPr>
        <w:t>25%</w:t>
      </w:r>
      <w:r>
        <w:rPr/>
        <w:t>的法定税率减半征收</w:t>
      </w:r>
      <w:r>
        <w:rPr>
          <w:spacing w:val="-41"/>
        </w:rPr>
        <w:t> </w:t>
      </w:r>
      <w:r>
        <w:rPr>
          <w:spacing w:val="-41"/>
        </w:rPr>
      </w:r>
      <w:r>
        <w:rPr/>
        <w:t>企业所得税，并享受至期满为止。</w:t>
      </w:r>
      <w:r>
        <w:rPr>
          <w:rFonts w:ascii="Calibri" w:hAnsi="Calibri" w:cs="Calibri" w:eastAsia="Calibri" w:hint="default"/>
        </w:rPr>
        <w:t>”</w:t>
      </w:r>
      <w:r>
        <w:rPr/>
        <w:t>其中百望金税、银石科技、石基商用均属于第一年免征企业所得</w:t>
      </w:r>
      <w:r>
        <w:rPr>
          <w:spacing w:val="-27"/>
        </w:rPr>
        <w:t> </w:t>
      </w:r>
      <w:r>
        <w:rPr>
          <w:spacing w:val="-27"/>
        </w:rPr>
      </w:r>
      <w:r>
        <w:rPr/>
        <w:t>税，实际执行的企业所得税税率为</w:t>
      </w:r>
      <w:r>
        <w:rPr>
          <w:rFonts w:ascii="宋体" w:hAnsi="宋体" w:cs="宋体" w:eastAsia="宋体" w:hint="default"/>
        </w:rPr>
        <w:t>0.00%</w:t>
      </w:r>
      <w:r>
        <w:rPr/>
        <w:t>，现化信息本年属于减半征收期的第二年，实际执行的企业</w:t>
      </w:r>
      <w:r>
        <w:rPr>
          <w:spacing w:val="-45"/>
        </w:rPr>
        <w:t> </w:t>
      </w:r>
      <w:r>
        <w:rPr>
          <w:spacing w:val="-45"/>
        </w:rPr>
      </w:r>
      <w:r>
        <w:rPr/>
        <w:t>所得税税率为</w:t>
      </w:r>
      <w:r>
        <w:rPr>
          <w:rFonts w:ascii="宋体" w:hAnsi="宋体" w:cs="宋体" w:eastAsia="宋体" w:hint="default"/>
        </w:rPr>
        <w:t>12.50%</w:t>
      </w:r>
      <w:r>
        <w:rPr/>
        <w:t>。</w:t>
      </w:r>
    </w:p>
    <w:p>
      <w:pPr>
        <w:spacing w:line="240" w:lineRule="auto" w:before="4"/>
        <w:rPr>
          <w:rFonts w:ascii="宋体" w:hAnsi="宋体" w:cs="宋体" w:eastAsia="宋体" w:hint="default"/>
          <w:sz w:val="19"/>
          <w:szCs w:val="19"/>
        </w:rPr>
      </w:pPr>
    </w:p>
    <w:p>
      <w:pPr>
        <w:pStyle w:val="Heading6"/>
        <w:spacing w:line="259" w:lineRule="auto"/>
        <w:ind w:right="201"/>
        <w:jc w:val="left"/>
        <w:rPr>
          <w:rFonts w:ascii="宋体" w:hAnsi="宋体" w:cs="宋体" w:eastAsia="宋体" w:hint="default"/>
        </w:rPr>
      </w:pPr>
      <w:r>
        <w:rPr>
          <w:rFonts w:ascii="宋体" w:hAnsi="宋体" w:cs="宋体" w:eastAsia="宋体" w:hint="default"/>
        </w:rPr>
        <w:t>Shiji Retail</w:t>
      </w:r>
      <w:r>
        <w:rPr/>
        <w:t>系在英属开曼群岛的公司，</w:t>
      </w:r>
      <w:r>
        <w:rPr>
          <w:rFonts w:ascii="宋体" w:hAnsi="宋体" w:cs="宋体" w:eastAsia="宋体" w:hint="default"/>
        </w:rPr>
        <w:t>Galasys</w:t>
      </w:r>
      <w:r>
        <w:rPr>
          <w:rFonts w:ascii="宋体" w:hAnsi="宋体" w:cs="宋体" w:eastAsia="宋体" w:hint="default"/>
          <w:spacing w:val="-46"/>
        </w:rPr>
        <w:t> </w:t>
      </w:r>
      <w:r>
        <w:rPr>
          <w:rFonts w:ascii="宋体" w:hAnsi="宋体" w:cs="宋体" w:eastAsia="宋体" w:hint="default"/>
        </w:rPr>
        <w:t>Holdings</w:t>
      </w:r>
      <w:r>
        <w:rPr/>
        <w:t>系在英属维尔京群岛的公司，本年度</w:t>
      </w:r>
      <w:r>
        <w:rPr>
          <w:w w:val="100"/>
        </w:rPr>
        <w:t> </w:t>
      </w:r>
      <w:r>
        <w:rPr/>
        <w:t>收益免征所得税，实际执行的所得税税率为</w:t>
      </w:r>
      <w:r>
        <w:rPr>
          <w:rFonts w:ascii="宋体" w:hAnsi="宋体" w:cs="宋体" w:eastAsia="宋体" w:hint="default"/>
        </w:rPr>
        <w:t>0.00%</w:t>
      </w:r>
    </w:p>
    <w:p>
      <w:pPr>
        <w:spacing w:line="240" w:lineRule="auto" w:before="11"/>
        <w:rPr>
          <w:rFonts w:ascii="宋体" w:hAnsi="宋体" w:cs="宋体" w:eastAsia="宋体" w:hint="default"/>
          <w:sz w:val="18"/>
          <w:szCs w:val="18"/>
        </w:rPr>
      </w:pPr>
    </w:p>
    <w:p>
      <w:pPr>
        <w:pStyle w:val="Heading6"/>
        <w:spacing w:line="240" w:lineRule="auto"/>
        <w:ind w:left="592" w:right="208" w:firstLine="0"/>
        <w:jc w:val="left"/>
        <w:rPr>
          <w:rFonts w:ascii="宋体" w:hAnsi="宋体" w:cs="宋体" w:eastAsia="宋体" w:hint="default"/>
        </w:rPr>
      </w:pPr>
      <w:r>
        <w:rPr/>
        <w:t>（</w:t>
      </w:r>
      <w:r>
        <w:rPr>
          <w:rFonts w:ascii="宋体" w:hAnsi="宋体" w:cs="宋体" w:eastAsia="宋体" w:hint="default"/>
        </w:rPr>
        <w:t>3</w:t>
      </w:r>
      <w:r>
        <w:rPr/>
        <w:t>）实际执行所得税税率</w:t>
      </w:r>
      <w:r>
        <w:rPr>
          <w:rFonts w:ascii="宋体" w:hAnsi="宋体" w:cs="宋体" w:eastAsia="宋体" w:hint="default"/>
        </w:rPr>
        <w:t>10.00%</w:t>
      </w:r>
    </w:p>
    <w:p>
      <w:pPr>
        <w:spacing w:line="240" w:lineRule="auto" w:before="2"/>
        <w:rPr>
          <w:rFonts w:ascii="宋体" w:hAnsi="宋体" w:cs="宋体" w:eastAsia="宋体" w:hint="default"/>
          <w:sz w:val="20"/>
          <w:szCs w:val="20"/>
        </w:rPr>
      </w:pPr>
    </w:p>
    <w:p>
      <w:pPr>
        <w:pStyle w:val="Heading6"/>
        <w:spacing w:line="244" w:lineRule="auto"/>
        <w:ind w:right="204"/>
        <w:jc w:val="both"/>
      </w:pPr>
      <w:r>
        <w:rPr/>
        <w:t>北海乐宿系小型微利企业，根据</w:t>
      </w:r>
      <w:r>
        <w:rPr>
          <w:spacing w:val="84"/>
        </w:rPr>
        <w:t> </w:t>
      </w:r>
      <w:r>
        <w:rPr>
          <w:rFonts w:ascii="Calibri" w:hAnsi="Calibri" w:cs="Calibri" w:eastAsia="Calibri" w:hint="default"/>
        </w:rPr>
        <w:t>“</w:t>
      </w:r>
      <w:r>
        <w:rPr/>
        <w:t>财税〔</w:t>
      </w:r>
      <w:r>
        <w:rPr>
          <w:rFonts w:ascii="宋体" w:hAnsi="宋体" w:cs="宋体" w:eastAsia="宋体" w:hint="default"/>
        </w:rPr>
        <w:t>2017</w:t>
      </w:r>
      <w:r>
        <w:rPr/>
        <w:t>〕</w:t>
      </w:r>
      <w:r>
        <w:rPr>
          <w:rFonts w:ascii="宋体" w:hAnsi="宋体" w:cs="宋体" w:eastAsia="宋体" w:hint="default"/>
        </w:rPr>
        <w:t>43</w:t>
      </w:r>
      <w:r>
        <w:rPr/>
        <w:t>号</w:t>
      </w:r>
      <w:r>
        <w:rPr>
          <w:rFonts w:ascii="Calibri" w:hAnsi="Calibri" w:cs="Calibri" w:eastAsia="Calibri" w:hint="default"/>
        </w:rPr>
        <w:t>”</w:t>
      </w:r>
      <w:r>
        <w:rPr/>
        <w:t>《关于扩大小型微利企业所得税优惠政策</w:t>
      </w:r>
      <w:r>
        <w:rPr>
          <w:w w:val="100"/>
        </w:rPr>
        <w:t> </w:t>
      </w:r>
      <w:r>
        <w:rPr/>
        <w:t>范围的通知》的规定：</w:t>
      </w:r>
      <w:r>
        <w:rPr>
          <w:rFonts w:ascii="Calibri" w:hAnsi="Calibri" w:cs="Calibri" w:eastAsia="Calibri" w:hint="default"/>
        </w:rPr>
        <w:t>“</w:t>
      </w:r>
      <w:r>
        <w:rPr/>
        <w:t>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日，符合条件的小型微利企业，无论采取查</w:t>
      </w:r>
      <w:r>
        <w:rPr>
          <w:spacing w:val="-31"/>
        </w:rPr>
        <w:t> </w:t>
      </w:r>
      <w:r>
        <w:rPr>
          <w:spacing w:val="-31"/>
        </w:rPr>
      </w:r>
      <w:r>
        <w:rPr/>
        <w:t>账征收方式还是核定征收方式，其年应纳税所得额低于</w:t>
      </w:r>
      <w:r>
        <w:rPr>
          <w:rFonts w:ascii="宋体" w:hAnsi="宋体" w:cs="宋体" w:eastAsia="宋体" w:hint="default"/>
        </w:rPr>
        <w:t>50</w:t>
      </w:r>
      <w:r>
        <w:rPr/>
        <w:t>万元（含</w:t>
      </w:r>
      <w:r>
        <w:rPr>
          <w:rFonts w:ascii="宋体" w:hAnsi="宋体" w:cs="宋体" w:eastAsia="宋体" w:hint="default"/>
        </w:rPr>
        <w:t>50</w:t>
      </w:r>
      <w:r>
        <w:rPr/>
        <w:t>万元）的，其所得减按</w:t>
      </w:r>
      <w:r>
        <w:rPr>
          <w:rFonts w:ascii="宋体" w:hAnsi="宋体" w:cs="宋体" w:eastAsia="宋体" w:hint="default"/>
        </w:rPr>
        <w:t>50%</w:t>
      </w:r>
      <w:r>
        <w:rPr/>
        <w:t>计入</w:t>
      </w:r>
      <w:r>
        <w:rPr>
          <w:spacing w:val="-38"/>
        </w:rPr>
        <w:t> </w:t>
      </w:r>
      <w:r>
        <w:rPr/>
        <w:t>应纳税所得额，按</w:t>
      </w:r>
      <w:r>
        <w:rPr>
          <w:rFonts w:ascii="宋体" w:hAnsi="宋体" w:cs="宋体" w:eastAsia="宋体" w:hint="default"/>
        </w:rPr>
        <w:t>20%</w:t>
      </w:r>
      <w:r>
        <w:rPr/>
        <w:t>的税率缴纳企业所得税</w:t>
      </w:r>
      <w:r>
        <w:rPr>
          <w:rFonts w:ascii="Calibri" w:hAnsi="Calibri" w:cs="Calibri" w:eastAsia="Calibri" w:hint="default"/>
        </w:rPr>
        <w:t>”</w:t>
      </w:r>
      <w:r>
        <w:rPr/>
        <w:t>，</w:t>
      </w:r>
      <w:r>
        <w:rPr>
          <w:rFonts w:ascii="宋体" w:hAnsi="宋体" w:cs="宋体" w:eastAsia="宋体" w:hint="default"/>
        </w:rPr>
        <w:t>2017</w:t>
      </w:r>
      <w:r>
        <w:rPr/>
        <w:t>年实际执行的企业所得税税率为</w:t>
      </w:r>
      <w:r>
        <w:rPr>
          <w:rFonts w:ascii="宋体" w:hAnsi="宋体" w:cs="宋体" w:eastAsia="宋体" w:hint="default"/>
        </w:rPr>
        <w:t>10.00%</w:t>
      </w:r>
      <w:r>
        <w:rPr/>
        <w:t>。</w:t>
      </w:r>
    </w:p>
    <w:p>
      <w:pPr>
        <w:pStyle w:val="Heading6"/>
        <w:spacing w:line="552" w:lineRule="exact" w:before="46"/>
        <w:ind w:left="592" w:right="208" w:firstLine="0"/>
        <w:jc w:val="left"/>
      </w:pPr>
      <w:r>
        <w:rPr/>
        <w:t>（</w:t>
      </w:r>
      <w:r>
        <w:rPr>
          <w:rFonts w:ascii="宋体" w:hAnsi="宋体" w:cs="宋体" w:eastAsia="宋体" w:hint="default"/>
        </w:rPr>
        <w:t>4</w:t>
      </w:r>
      <w:r>
        <w:rPr/>
        <w:t>）所得税税率实际执行</w:t>
      </w:r>
      <w:r>
        <w:rPr>
          <w:rFonts w:ascii="宋体" w:hAnsi="宋体" w:cs="宋体" w:eastAsia="宋体" w:hint="default"/>
        </w:rPr>
        <w:t>6.00%</w:t>
      </w:r>
      <w:r>
        <w:rPr>
          <w:rFonts w:ascii="宋体" w:hAnsi="宋体" w:cs="宋体" w:eastAsia="宋体" w:hint="default"/>
          <w:spacing w:val="-108"/>
        </w:rPr>
        <w:t> </w:t>
      </w:r>
      <w:r>
        <w:rPr>
          <w:spacing w:val="-1"/>
        </w:rPr>
        <w:t>北海石基为国家重点软件企业，根据</w:t>
      </w:r>
      <w:r>
        <w:rPr>
          <w:rFonts w:ascii="Calibri" w:hAnsi="Calibri" w:cs="Calibri" w:eastAsia="Calibri" w:hint="default"/>
          <w:spacing w:val="-1"/>
        </w:rPr>
        <w:t>“</w:t>
      </w:r>
      <w:r>
        <w:rPr>
          <w:spacing w:val="-1"/>
        </w:rPr>
        <w:t>财税</w:t>
      </w:r>
      <w:r>
        <w:rPr>
          <w:rFonts w:ascii="宋体" w:hAnsi="宋体" w:cs="宋体" w:eastAsia="宋体" w:hint="default"/>
          <w:spacing w:val="-1"/>
        </w:rPr>
        <w:t>[2012]27</w:t>
      </w:r>
      <w:r>
        <w:rPr>
          <w:spacing w:val="-1"/>
        </w:rPr>
        <w:t>号</w:t>
      </w:r>
      <w:r>
        <w:rPr>
          <w:rFonts w:ascii="Calibri" w:hAnsi="Calibri" w:cs="Calibri" w:eastAsia="Calibri" w:hint="default"/>
          <w:spacing w:val="-1"/>
        </w:rPr>
        <w:t>”</w:t>
      </w:r>
      <w:r>
        <w:rPr>
          <w:spacing w:val="-1"/>
        </w:rPr>
        <w:t>文《关于进一步鼓励软件产业和集成电路</w:t>
      </w:r>
    </w:p>
    <w:p>
      <w:pPr>
        <w:pStyle w:val="Heading6"/>
        <w:spacing w:line="259" w:lineRule="exact"/>
        <w:ind w:right="0" w:firstLine="0"/>
        <w:jc w:val="both"/>
        <w:rPr>
          <w:rFonts w:ascii="宋体" w:hAnsi="宋体" w:cs="宋体" w:eastAsia="宋体" w:hint="default"/>
        </w:rPr>
      </w:pPr>
      <w:r>
        <w:rPr>
          <w:spacing w:val="-4"/>
        </w:rPr>
        <w:t>产业发展企业所得税政策的通知》第四条的规定，减按</w:t>
      </w:r>
      <w:r>
        <w:rPr>
          <w:rFonts w:ascii="宋体" w:hAnsi="宋体" w:cs="宋体" w:eastAsia="宋体" w:hint="default"/>
          <w:spacing w:val="-4"/>
        </w:rPr>
        <w:t>10%</w:t>
      </w:r>
      <w:r>
        <w:rPr>
          <w:spacing w:val="-4"/>
        </w:rPr>
        <w:t>征收企业所得税，同时根据</w:t>
      </w:r>
      <w:r>
        <w:rPr>
          <w:rFonts w:ascii="Calibri" w:hAnsi="Calibri" w:cs="Calibri" w:eastAsia="Calibri" w:hint="default"/>
          <w:spacing w:val="-4"/>
        </w:rPr>
        <w:t>“</w:t>
      </w:r>
      <w:r>
        <w:rPr>
          <w:spacing w:val="-4"/>
        </w:rPr>
        <w:t>桂政发</w:t>
      </w:r>
      <w:r>
        <w:rPr>
          <w:rFonts w:ascii="宋体" w:hAnsi="宋体" w:cs="宋体" w:eastAsia="宋体" w:hint="default"/>
          <w:spacing w:val="-4"/>
        </w:rPr>
        <w:t>[2014]5</w:t>
      </w:r>
    </w:p>
    <w:p>
      <w:pPr>
        <w:pStyle w:val="Heading6"/>
        <w:spacing w:line="249" w:lineRule="auto"/>
        <w:ind w:right="209" w:firstLine="0"/>
        <w:jc w:val="both"/>
      </w:pPr>
      <w:r>
        <w:rPr/>
        <w:t>号</w:t>
      </w:r>
      <w:r>
        <w:rPr>
          <w:rFonts w:ascii="Calibri" w:hAnsi="Calibri" w:cs="Calibri" w:eastAsia="Calibri" w:hint="default"/>
        </w:rPr>
        <w:t>”</w:t>
      </w:r>
      <w:r>
        <w:rPr/>
        <w:t>文《广西壮族自治区人民政府关于延续和修订促进广西北部湾</w:t>
      </w:r>
      <w:r>
        <w:rPr>
          <w:spacing w:val="-27"/>
        </w:rPr>
        <w:t> </w:t>
      </w:r>
      <w:r>
        <w:rPr/>
        <w:t>经济区开放开发若干政策规定的通</w:t>
      </w:r>
      <w:r>
        <w:rPr>
          <w:w w:val="100"/>
        </w:rPr>
        <w:t> </w:t>
      </w:r>
      <w:r>
        <w:rPr>
          <w:spacing w:val="-2"/>
        </w:rPr>
        <w:t>知》第六条第二项，减免公司</w:t>
      </w:r>
      <w:r>
        <w:rPr>
          <w:rFonts w:ascii="宋体" w:hAnsi="宋体" w:cs="宋体" w:eastAsia="宋体" w:hint="default"/>
          <w:spacing w:val="-2"/>
        </w:rPr>
        <w:t>2017</w:t>
      </w:r>
      <w:r>
        <w:rPr>
          <w:spacing w:val="-2"/>
        </w:rPr>
        <w:t>年度地方分享企业所得税部分，北海石基</w:t>
      </w:r>
      <w:r>
        <w:rPr>
          <w:rFonts w:ascii="宋体" w:hAnsi="宋体" w:cs="宋体" w:eastAsia="宋体" w:hint="default"/>
          <w:spacing w:val="-2"/>
        </w:rPr>
        <w:t>2017</w:t>
      </w:r>
      <w:r>
        <w:rPr>
          <w:spacing w:val="-2"/>
        </w:rPr>
        <w:t>年度实际执行的企业</w:t>
      </w:r>
      <w:r>
        <w:rPr>
          <w:spacing w:val="-61"/>
        </w:rPr>
        <w:t> </w:t>
      </w:r>
      <w:r>
        <w:rPr>
          <w:spacing w:val="-61"/>
        </w:rPr>
      </w:r>
      <w:r>
        <w:rPr/>
        <w:t>所得税税率为</w:t>
      </w:r>
      <w:r>
        <w:rPr>
          <w:rFonts w:ascii="宋体" w:hAnsi="宋体" w:cs="宋体" w:eastAsia="宋体" w:hint="default"/>
        </w:rPr>
        <w:t>6.00%</w:t>
      </w:r>
      <w:r>
        <w:rPr>
          <w:rFonts w:ascii="宋体" w:hAnsi="宋体" w:cs="宋体" w:eastAsia="宋体" w:hint="default"/>
          <w:spacing w:val="1"/>
        </w:rPr>
        <w:t> </w:t>
      </w:r>
      <w:r>
        <w:rPr/>
        <w:t>。</w:t>
      </w:r>
    </w:p>
    <w:p>
      <w:pPr>
        <w:pStyle w:val="Heading6"/>
        <w:spacing w:line="552" w:lineRule="exact" w:before="70"/>
        <w:ind w:left="592" w:right="100" w:firstLine="0"/>
        <w:jc w:val="left"/>
      </w:pPr>
      <w:r>
        <w:rPr/>
        <w:t>（</w:t>
      </w:r>
      <w:r>
        <w:rPr>
          <w:rFonts w:ascii="宋体" w:hAnsi="宋体" w:cs="宋体" w:eastAsia="宋体" w:hint="default"/>
        </w:rPr>
        <w:t>5</w:t>
      </w:r>
      <w:r>
        <w:rPr/>
        <w:t>）按照当期营业收入</w:t>
      </w:r>
      <w:r>
        <w:rPr>
          <w:rFonts w:ascii="宋体" w:hAnsi="宋体" w:cs="宋体" w:eastAsia="宋体" w:hint="default"/>
        </w:rPr>
        <w:t>1.00%</w:t>
      </w:r>
      <w:r>
        <w:rPr/>
        <w:t>简易征收</w:t>
      </w:r>
      <w:r>
        <w:rPr>
          <w:w w:val="100"/>
        </w:rPr>
        <w:t> </w:t>
      </w:r>
      <w:r>
        <w:rPr>
          <w:spacing w:val="-1"/>
        </w:rPr>
        <w:t>连边科技属于税务局核定征收企业，根据《国家税务总局关于印发《企业所得税核定征收办法》</w:t>
      </w:r>
    </w:p>
    <w:p>
      <w:pPr>
        <w:pStyle w:val="Heading6"/>
        <w:spacing w:line="259" w:lineRule="exact"/>
        <w:ind w:right="0" w:firstLine="0"/>
        <w:jc w:val="both"/>
      </w:pPr>
      <w:r>
        <w:rPr/>
        <w:t>（试行）的通知》（国税发〔</w:t>
      </w:r>
      <w:r>
        <w:rPr>
          <w:rFonts w:ascii="宋体" w:hAnsi="宋体" w:cs="宋体" w:eastAsia="宋体" w:hint="default"/>
        </w:rPr>
        <w:t>2008</w:t>
      </w:r>
      <w:r>
        <w:rPr/>
        <w:t>〕</w:t>
      </w:r>
      <w:r>
        <w:rPr>
          <w:rFonts w:ascii="宋体" w:hAnsi="宋体" w:cs="宋体" w:eastAsia="宋体" w:hint="default"/>
        </w:rPr>
        <w:t>30</w:t>
      </w:r>
      <w:r>
        <w:rPr/>
        <w:t>号），第四条、第一款的规定</w:t>
      </w:r>
      <w:r>
        <w:rPr>
          <w:rFonts w:ascii="Calibri" w:hAnsi="Calibri" w:cs="Calibri" w:eastAsia="Calibri" w:hint="default"/>
        </w:rPr>
        <w:t>“</w:t>
      </w:r>
      <w:r>
        <w:rPr/>
        <w:t>税务机关应根据纳税人具体情</w:t>
      </w:r>
    </w:p>
    <w:p>
      <w:pPr>
        <w:pStyle w:val="Heading6"/>
        <w:spacing w:line="249" w:lineRule="auto"/>
        <w:ind w:right="100" w:firstLine="0"/>
        <w:jc w:val="both"/>
      </w:pPr>
      <w:r>
        <w:rPr>
          <w:spacing w:val="-5"/>
        </w:rPr>
        <w:t>况，对核定征收企业所得税的纳税人，核定应税所得率或者核定应纳所得税额。具有下列情形之一的，</w:t>
      </w:r>
      <w:r>
        <w:rPr>
          <w:spacing w:val="-50"/>
        </w:rPr>
        <w:t> </w:t>
      </w:r>
      <w:r>
        <w:rPr>
          <w:spacing w:val="-50"/>
        </w:rPr>
      </w:r>
      <w:r>
        <w:rPr>
          <w:spacing w:val="-7"/>
        </w:rPr>
        <w:t>核定其应税所得率：（一）能正确核算（查实）收入总额，但不能正确核算（查实）成本费用总额的</w:t>
      </w:r>
      <w:r>
        <w:rPr>
          <w:rFonts w:ascii="Calibri" w:hAnsi="Calibri" w:cs="Calibri" w:eastAsia="Calibri" w:hint="default"/>
          <w:spacing w:val="-7"/>
        </w:rPr>
        <w:t>”</w:t>
      </w:r>
      <w:r>
        <w:rPr>
          <w:spacing w:val="-7"/>
        </w:rPr>
        <w:t>，</w:t>
      </w:r>
      <w:r>
        <w:rPr>
          <w:spacing w:val="-41"/>
        </w:rPr>
        <w:t> </w:t>
      </w:r>
      <w:r>
        <w:rPr/>
        <w:t>本年经浙江省杭州市江干区国家税务局认定，连边科技的所得税按当期营业收入</w:t>
      </w:r>
      <w:r>
        <w:rPr>
          <w:rFonts w:ascii="宋体" w:hAnsi="宋体" w:cs="宋体" w:eastAsia="宋体" w:hint="default"/>
        </w:rPr>
        <w:t>1%</w:t>
      </w:r>
      <w:r>
        <w:rPr/>
        <w:t>征收。</w:t>
      </w:r>
    </w:p>
    <w:p>
      <w:pPr>
        <w:spacing w:line="240" w:lineRule="auto" w:before="7"/>
        <w:rPr>
          <w:rFonts w:ascii="宋体" w:hAnsi="宋体" w:cs="宋体" w:eastAsia="宋体" w:hint="default"/>
          <w:sz w:val="19"/>
          <w:szCs w:val="19"/>
        </w:rPr>
      </w:pPr>
    </w:p>
    <w:p>
      <w:pPr>
        <w:pStyle w:val="Heading6"/>
        <w:spacing w:line="240" w:lineRule="auto"/>
        <w:ind w:left="592" w:right="208" w:firstLine="0"/>
        <w:jc w:val="left"/>
        <w:rPr>
          <w:rFonts w:ascii="宋体" w:hAnsi="宋体" w:cs="宋体" w:eastAsia="宋体" w:hint="default"/>
        </w:rPr>
      </w:pPr>
      <w:r>
        <w:rPr/>
        <w:t>（</w:t>
      </w:r>
      <w:r>
        <w:rPr>
          <w:rFonts w:ascii="宋体" w:hAnsi="宋体" w:cs="宋体" w:eastAsia="宋体" w:hint="default"/>
        </w:rPr>
        <w:t>6</w:t>
      </w:r>
      <w:r>
        <w:rPr/>
        <w:t>）境外所得税税率</w:t>
      </w:r>
      <w:r>
        <w:rPr>
          <w:rFonts w:ascii="宋体" w:hAnsi="宋体" w:cs="宋体" w:eastAsia="宋体" w:hint="default"/>
        </w:rPr>
        <w:t>16.50%</w:t>
      </w:r>
    </w:p>
    <w:p>
      <w:pPr>
        <w:spacing w:line="240" w:lineRule="auto" w:before="2"/>
        <w:rPr>
          <w:rFonts w:ascii="宋体" w:hAnsi="宋体" w:cs="宋体" w:eastAsia="宋体" w:hint="default"/>
          <w:sz w:val="20"/>
          <w:szCs w:val="20"/>
        </w:rPr>
      </w:pPr>
    </w:p>
    <w:p>
      <w:pPr>
        <w:pStyle w:val="Heading6"/>
        <w:spacing w:line="259" w:lineRule="auto"/>
        <w:ind w:right="97"/>
        <w:jc w:val="left"/>
      </w:pPr>
      <w:r>
        <w:rPr>
          <w:spacing w:val="-8"/>
          <w:w w:val="100"/>
        </w:rPr>
        <w:t>石基香港、</w:t>
      </w:r>
      <w:r>
        <w:rPr>
          <w:rFonts w:ascii="宋体" w:hAnsi="宋体" w:cs="宋体" w:eastAsia="宋体" w:hint="default"/>
          <w:spacing w:val="-8"/>
          <w:w w:val="100"/>
        </w:rPr>
        <w:t>Infrasys</w:t>
      </w:r>
      <w:r>
        <w:rPr>
          <w:rFonts w:ascii="宋体" w:hAnsi="宋体" w:cs="宋体" w:eastAsia="宋体" w:hint="default"/>
          <w:spacing w:val="-46"/>
          <w:w w:val="100"/>
        </w:rPr>
        <w:t> </w:t>
      </w:r>
      <w:r>
        <w:rPr>
          <w:rFonts w:ascii="宋体" w:hAnsi="宋体" w:cs="宋体" w:eastAsia="宋体" w:hint="default"/>
          <w:spacing w:val="-5"/>
          <w:w w:val="100"/>
        </w:rPr>
        <w:t>International</w:t>
      </w:r>
      <w:r>
        <w:rPr>
          <w:spacing w:val="-5"/>
          <w:w w:val="100"/>
        </w:rPr>
        <w:t>、</w:t>
      </w:r>
      <w:r>
        <w:rPr>
          <w:rFonts w:ascii="宋体" w:hAnsi="宋体" w:cs="宋体" w:eastAsia="宋体" w:hint="default"/>
          <w:spacing w:val="-5"/>
          <w:w w:val="100"/>
        </w:rPr>
        <w:t>Infrasys</w:t>
      </w:r>
      <w:r>
        <w:rPr>
          <w:rFonts w:ascii="宋体" w:hAnsi="宋体" w:cs="宋体" w:eastAsia="宋体" w:hint="default"/>
          <w:spacing w:val="-46"/>
          <w:w w:val="100"/>
        </w:rPr>
        <w:t> </w:t>
      </w:r>
      <w:r>
        <w:rPr>
          <w:rFonts w:ascii="宋体" w:hAnsi="宋体" w:cs="宋体" w:eastAsia="宋体" w:hint="default"/>
          <w:spacing w:val="-13"/>
          <w:w w:val="100"/>
        </w:rPr>
        <w:t>(HK)</w:t>
      </w:r>
      <w:r>
        <w:rPr>
          <w:spacing w:val="-13"/>
          <w:w w:val="100"/>
        </w:rPr>
        <w:t>、香港精模、</w:t>
      </w:r>
      <w:r>
        <w:rPr>
          <w:rFonts w:ascii="宋体" w:hAnsi="宋体" w:cs="宋体" w:eastAsia="宋体" w:hint="default"/>
          <w:spacing w:val="-13"/>
          <w:w w:val="100"/>
        </w:rPr>
        <w:t>Armitage</w:t>
      </w:r>
      <w:r>
        <w:rPr>
          <w:spacing w:val="-13"/>
          <w:w w:val="100"/>
        </w:rPr>
        <w:t>、</w:t>
      </w:r>
      <w:r>
        <w:rPr>
          <w:rFonts w:ascii="宋体" w:hAnsi="宋体" w:cs="宋体" w:eastAsia="宋体" w:hint="default"/>
          <w:spacing w:val="-13"/>
          <w:w w:val="100"/>
        </w:rPr>
        <w:t>Pos</w:t>
      </w:r>
      <w:r>
        <w:rPr>
          <w:rFonts w:ascii="宋体" w:hAnsi="宋体" w:cs="宋体" w:eastAsia="宋体" w:hint="default"/>
          <w:spacing w:val="-46"/>
          <w:w w:val="100"/>
        </w:rPr>
        <w:t> </w:t>
      </w:r>
      <w:r>
        <w:rPr>
          <w:rFonts w:ascii="宋体" w:hAnsi="宋体" w:cs="宋体" w:eastAsia="宋体" w:hint="default"/>
          <w:w w:val="100"/>
        </w:rPr>
        <w:t>Master</w:t>
      </w:r>
      <w:r>
        <w:rPr>
          <w:w w:val="100"/>
        </w:rPr>
        <w:t>、</w:t>
      </w:r>
      <w:r>
        <w:rPr>
          <w:rFonts w:ascii="宋体" w:hAnsi="宋体" w:cs="宋体" w:eastAsia="宋体" w:hint="default"/>
          <w:w w:val="100"/>
        </w:rPr>
        <w:t>Horwath</w:t>
      </w:r>
      <w:r>
        <w:rPr>
          <w:w w:val="100"/>
        </w:rPr>
        <w:t>、 </w:t>
      </w:r>
      <w:r>
        <w:rPr>
          <w:rFonts w:ascii="宋体" w:hAnsi="宋体" w:cs="宋体" w:eastAsia="宋体" w:hint="default"/>
        </w:rPr>
        <w:t>Galasys</w:t>
      </w:r>
      <w:r>
        <w:rPr>
          <w:rFonts w:ascii="宋体" w:hAnsi="宋体" w:cs="宋体" w:eastAsia="宋体" w:hint="default"/>
          <w:spacing w:val="-6"/>
        </w:rPr>
        <w:t> </w:t>
      </w:r>
      <w:r>
        <w:rPr>
          <w:rFonts w:ascii="宋体" w:hAnsi="宋体" w:cs="宋体" w:eastAsia="宋体" w:hint="default"/>
        </w:rPr>
        <w:t>HK</w:t>
      </w:r>
      <w:r>
        <w:rPr/>
        <w:t>系在香港境内设立的公司，适用企业所得税税率为</w:t>
      </w:r>
      <w:r>
        <w:rPr>
          <w:rFonts w:ascii="宋体" w:hAnsi="宋体" w:cs="宋体" w:eastAsia="宋体" w:hint="default"/>
        </w:rPr>
        <w:t>16.50%</w:t>
      </w:r>
      <w:r>
        <w:rPr/>
        <w:t>。</w:t>
      </w:r>
    </w:p>
    <w:p>
      <w:pPr>
        <w:spacing w:after="0" w:line="259" w:lineRule="auto"/>
        <w:jc w:val="left"/>
        <w:sectPr>
          <w:pgSz w:w="11910" w:h="16840"/>
          <w:pgMar w:header="877" w:footer="980" w:top="1100" w:bottom="1160" w:left="980" w:right="920"/>
        </w:sectPr>
      </w:pPr>
    </w:p>
    <w:p>
      <w:pPr>
        <w:spacing w:line="240" w:lineRule="auto" w:before="5"/>
        <w:rPr>
          <w:rFonts w:ascii="宋体" w:hAnsi="宋体" w:cs="宋体" w:eastAsia="宋体" w:hint="default"/>
          <w:sz w:val="20"/>
          <w:szCs w:val="20"/>
        </w:rPr>
      </w:pPr>
    </w:p>
    <w:p>
      <w:pPr>
        <w:pStyle w:val="Heading6"/>
        <w:spacing w:line="240" w:lineRule="auto" w:before="32"/>
        <w:ind w:left="592" w:right="153" w:firstLine="0"/>
        <w:jc w:val="left"/>
        <w:rPr>
          <w:rFonts w:ascii="宋体" w:hAnsi="宋体" w:cs="宋体" w:eastAsia="宋体" w:hint="default"/>
        </w:rPr>
      </w:pPr>
      <w:r>
        <w:rPr/>
        <w:t>（</w:t>
      </w:r>
      <w:r>
        <w:rPr>
          <w:rFonts w:ascii="宋体" w:hAnsi="宋体" w:cs="宋体" w:eastAsia="宋体" w:hint="default"/>
        </w:rPr>
        <w:t>7</w:t>
      </w:r>
      <w:r>
        <w:rPr/>
        <w:t>）境外所得税税率</w:t>
      </w:r>
      <w:r>
        <w:rPr>
          <w:rFonts w:ascii="宋体" w:hAnsi="宋体" w:cs="宋体" w:eastAsia="宋体" w:hint="default"/>
        </w:rPr>
        <w:t>17.00%</w:t>
      </w:r>
    </w:p>
    <w:p>
      <w:pPr>
        <w:spacing w:line="240" w:lineRule="auto" w:before="3"/>
        <w:rPr>
          <w:rFonts w:ascii="宋体" w:hAnsi="宋体" w:cs="宋体" w:eastAsia="宋体" w:hint="default"/>
          <w:sz w:val="20"/>
          <w:szCs w:val="20"/>
        </w:rPr>
      </w:pPr>
    </w:p>
    <w:p>
      <w:pPr>
        <w:pStyle w:val="Heading6"/>
        <w:spacing w:line="259" w:lineRule="auto"/>
        <w:ind w:right="146"/>
        <w:jc w:val="left"/>
      </w:pPr>
      <w:r>
        <w:rPr>
          <w:rFonts w:ascii="宋体" w:hAnsi="宋体" w:cs="宋体" w:eastAsia="宋体" w:hint="default"/>
        </w:rPr>
        <w:t>Infrasys Singapore</w:t>
      </w:r>
      <w:r>
        <w:rPr/>
        <w:t>、 </w:t>
      </w:r>
      <w:r>
        <w:rPr>
          <w:rFonts w:ascii="宋体" w:hAnsi="宋体" w:cs="宋体" w:eastAsia="宋体" w:hint="default"/>
        </w:rPr>
        <w:t>Shiji ( Singapore )</w:t>
      </w:r>
      <w:r>
        <w:rPr/>
        <w:t>、 </w:t>
      </w:r>
      <w:r>
        <w:rPr>
          <w:rFonts w:ascii="宋体" w:hAnsi="宋体" w:cs="宋体" w:eastAsia="宋体" w:hint="default"/>
        </w:rPr>
        <w:t>Horwath Asia </w:t>
      </w:r>
      <w:r>
        <w:rPr/>
        <w:t>、</w:t>
      </w:r>
      <w:r>
        <w:rPr>
          <w:rFonts w:ascii="宋体" w:hAnsi="宋体" w:cs="宋体" w:eastAsia="宋体" w:hint="default"/>
        </w:rPr>
        <w:t>ReviewPro</w:t>
      </w:r>
      <w:r>
        <w:rPr>
          <w:rFonts w:ascii="宋体" w:hAnsi="宋体" w:cs="宋体" w:eastAsia="宋体" w:hint="default"/>
          <w:spacing w:val="-51"/>
        </w:rPr>
        <w:t> </w:t>
      </w:r>
      <w:r>
        <w:rPr>
          <w:rFonts w:ascii="宋体" w:hAnsi="宋体" w:cs="宋体" w:eastAsia="宋体" w:hint="default"/>
        </w:rPr>
        <w:t>Asia</w:t>
      </w:r>
      <w:r>
        <w:rPr/>
        <w:t>系在新加坡设</w:t>
      </w:r>
      <w:r>
        <w:rPr>
          <w:w w:val="100"/>
        </w:rPr>
        <w:t> </w:t>
      </w:r>
      <w:r>
        <w:rPr/>
        <w:t>立的公司，适用企业所得税税率为</w:t>
      </w:r>
      <w:r>
        <w:rPr>
          <w:rFonts w:ascii="宋体" w:hAnsi="宋体" w:cs="宋体" w:eastAsia="宋体" w:hint="default"/>
        </w:rPr>
        <w:t>17.00%</w:t>
      </w:r>
      <w:r>
        <w:rPr/>
        <w:t>。</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rPr>
          <w:rFonts w:ascii="宋体" w:hAnsi="宋体" w:cs="宋体" w:eastAsia="宋体" w:hint="default"/>
        </w:rPr>
      </w:pPr>
      <w:r>
        <w:rPr/>
        <w:t>（</w:t>
      </w:r>
      <w:r>
        <w:rPr>
          <w:rFonts w:ascii="宋体" w:hAnsi="宋体" w:cs="宋体" w:eastAsia="宋体" w:hint="default"/>
        </w:rPr>
        <w:t>8</w:t>
      </w:r>
      <w:r>
        <w:rPr/>
        <w:t>）境外所得税税率</w:t>
      </w:r>
      <w:r>
        <w:rPr>
          <w:rFonts w:ascii="宋体" w:hAnsi="宋体" w:cs="宋体" w:eastAsia="宋体" w:hint="default"/>
        </w:rPr>
        <w:t>19.00%</w:t>
      </w:r>
    </w:p>
    <w:p>
      <w:pPr>
        <w:spacing w:line="240" w:lineRule="auto" w:before="2"/>
        <w:rPr>
          <w:rFonts w:ascii="宋体" w:hAnsi="宋体" w:cs="宋体" w:eastAsia="宋体" w:hint="default"/>
          <w:sz w:val="20"/>
          <w:szCs w:val="20"/>
        </w:rPr>
      </w:pPr>
    </w:p>
    <w:p>
      <w:pPr>
        <w:pStyle w:val="Heading6"/>
        <w:spacing w:line="259" w:lineRule="auto"/>
        <w:ind w:right="147"/>
        <w:jc w:val="left"/>
      </w:pPr>
      <w:r>
        <w:rPr>
          <w:rFonts w:ascii="宋体" w:hAnsi="宋体" w:cs="宋体" w:eastAsia="宋体" w:hint="default"/>
        </w:rPr>
        <w:t>AC Delivery</w:t>
      </w:r>
      <w:r>
        <w:rPr/>
        <w:t>、</w:t>
      </w:r>
      <w:r>
        <w:rPr>
          <w:rFonts w:ascii="宋体" w:hAnsi="宋体" w:cs="宋体" w:eastAsia="宋体" w:hint="default"/>
        </w:rPr>
        <w:t>Snapshot Poland</w:t>
      </w:r>
      <w:r>
        <w:rPr/>
        <w:t>、</w:t>
      </w:r>
      <w:r>
        <w:rPr>
          <w:spacing w:val="58"/>
        </w:rPr>
        <w:t> </w:t>
      </w:r>
      <w:r>
        <w:rPr>
          <w:rFonts w:ascii="宋体" w:hAnsi="宋体" w:cs="宋体" w:eastAsia="宋体" w:hint="default"/>
        </w:rPr>
        <w:t>Straight</w:t>
      </w:r>
      <w:r>
        <w:rPr/>
        <w:t>分别为在波兰、捷克设立的公司，适用企业所得税</w:t>
      </w:r>
      <w:r>
        <w:rPr>
          <w:w w:val="100"/>
        </w:rPr>
        <w:t> </w:t>
      </w:r>
      <w:r>
        <w:rPr/>
        <w:t>税率为</w:t>
      </w:r>
      <w:r>
        <w:rPr>
          <w:rFonts w:ascii="宋体" w:hAnsi="宋体" w:cs="宋体" w:eastAsia="宋体" w:hint="default"/>
        </w:rPr>
        <w:t>19.00%</w:t>
      </w:r>
      <w:r>
        <w:rPr/>
        <w:t>。</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rPr>
          <w:rFonts w:ascii="宋体" w:hAnsi="宋体" w:cs="宋体" w:eastAsia="宋体" w:hint="default"/>
        </w:rPr>
      </w:pPr>
      <w:r>
        <w:rPr/>
        <w:t>（</w:t>
      </w:r>
      <w:r>
        <w:rPr>
          <w:rFonts w:ascii="宋体" w:hAnsi="宋体" w:cs="宋体" w:eastAsia="宋体" w:hint="default"/>
        </w:rPr>
        <w:t>9</w:t>
      </w:r>
      <w:r>
        <w:rPr/>
        <w:t>）境外所得税税率</w:t>
      </w:r>
      <w:r>
        <w:rPr>
          <w:rFonts w:ascii="宋体" w:hAnsi="宋体" w:cs="宋体" w:eastAsia="宋体" w:hint="default"/>
        </w:rPr>
        <w:t>20.00%</w:t>
      </w:r>
    </w:p>
    <w:p>
      <w:pPr>
        <w:spacing w:line="240" w:lineRule="auto" w:before="2"/>
        <w:rPr>
          <w:rFonts w:ascii="宋体" w:hAnsi="宋体" w:cs="宋体" w:eastAsia="宋体" w:hint="default"/>
          <w:sz w:val="20"/>
          <w:szCs w:val="20"/>
        </w:rPr>
      </w:pPr>
    </w:p>
    <w:p>
      <w:pPr>
        <w:pStyle w:val="Heading6"/>
        <w:spacing w:line="259" w:lineRule="auto"/>
        <w:ind w:right="142"/>
        <w:jc w:val="left"/>
      </w:pPr>
      <w:r>
        <w:rPr>
          <w:rFonts w:ascii="宋体" w:hAnsi="宋体" w:cs="宋体" w:eastAsia="宋体" w:hint="default"/>
        </w:rPr>
        <w:t>Infrasys Malaysia</w:t>
      </w:r>
      <w:r>
        <w:rPr/>
        <w:t>、</w:t>
      </w:r>
      <w:r>
        <w:rPr>
          <w:rFonts w:ascii="宋体" w:hAnsi="宋体" w:cs="宋体" w:eastAsia="宋体" w:hint="default"/>
        </w:rPr>
        <w:t>PLC</w:t>
      </w:r>
      <w:r>
        <w:rPr/>
        <w:t>、</w:t>
      </w:r>
      <w:r>
        <w:rPr>
          <w:rFonts w:ascii="宋体" w:hAnsi="宋体" w:cs="宋体" w:eastAsia="宋体" w:hint="default"/>
        </w:rPr>
        <w:t>Galasys Solutions</w:t>
      </w:r>
      <w:r>
        <w:rPr/>
        <w:t>、</w:t>
      </w:r>
      <w:r>
        <w:rPr>
          <w:rFonts w:ascii="宋体" w:hAnsi="宋体" w:cs="宋体" w:eastAsia="宋体" w:hint="default"/>
        </w:rPr>
        <w:t>Galasys GLTSdn</w:t>
      </w:r>
      <w:r>
        <w:rPr/>
        <w:t>、</w:t>
      </w:r>
      <w:r>
        <w:rPr>
          <w:rFonts w:ascii="宋体" w:hAnsi="宋体" w:cs="宋体" w:eastAsia="宋体" w:hint="default"/>
        </w:rPr>
        <w:t>I</w:t>
      </w:r>
      <w:r>
        <w:rPr>
          <w:rFonts w:ascii="宋体" w:hAnsi="宋体" w:cs="宋体" w:eastAsia="宋体" w:hint="default"/>
          <w:spacing w:val="-47"/>
        </w:rPr>
        <w:t> </w:t>
      </w:r>
      <w:r>
        <w:rPr>
          <w:rFonts w:ascii="宋体" w:hAnsi="宋体" w:cs="宋体" w:eastAsia="宋体" w:hint="default"/>
        </w:rPr>
        <w:t>Logic</w:t>
      </w:r>
      <w:r>
        <w:rPr/>
        <w:t>系在马来西亚境内设</w:t>
      </w:r>
      <w:r>
        <w:rPr>
          <w:w w:val="100"/>
        </w:rPr>
        <w:t> </w:t>
      </w:r>
      <w:r>
        <w:rPr/>
        <w:t>立的公司，适用企业所得税税率为</w:t>
      </w:r>
      <w:r>
        <w:rPr>
          <w:rFonts w:ascii="宋体" w:hAnsi="宋体" w:cs="宋体" w:eastAsia="宋体" w:hint="default"/>
        </w:rPr>
        <w:t>20%</w:t>
      </w:r>
      <w:r>
        <w:rPr/>
        <w:t>。</w:t>
      </w:r>
    </w:p>
    <w:p>
      <w:pPr>
        <w:spacing w:line="240" w:lineRule="auto" w:before="12"/>
        <w:rPr>
          <w:rFonts w:ascii="宋体" w:hAnsi="宋体" w:cs="宋体" w:eastAsia="宋体" w:hint="default"/>
          <w:sz w:val="18"/>
          <w:szCs w:val="18"/>
        </w:rPr>
      </w:pPr>
    </w:p>
    <w:p>
      <w:pPr>
        <w:pStyle w:val="Heading6"/>
        <w:spacing w:line="240" w:lineRule="auto"/>
        <w:ind w:left="592" w:right="153" w:firstLine="0"/>
        <w:jc w:val="left"/>
        <w:rPr>
          <w:rFonts w:ascii="宋体" w:hAnsi="宋体" w:cs="宋体" w:eastAsia="宋体" w:hint="default"/>
        </w:rPr>
      </w:pPr>
      <w:r>
        <w:rPr/>
        <w:t>（</w:t>
      </w:r>
      <w:r>
        <w:rPr>
          <w:rFonts w:ascii="宋体" w:hAnsi="宋体" w:cs="宋体" w:eastAsia="宋体" w:hint="default"/>
        </w:rPr>
        <w:t>10</w:t>
      </w:r>
      <w:r>
        <w:rPr/>
        <w:t>）境外所得税税率</w:t>
      </w:r>
      <w:r>
        <w:rPr>
          <w:rFonts w:ascii="宋体" w:hAnsi="宋体" w:cs="宋体" w:eastAsia="宋体" w:hint="default"/>
        </w:rPr>
        <w:t>27.50%</w:t>
      </w:r>
    </w:p>
    <w:p>
      <w:pPr>
        <w:spacing w:line="240" w:lineRule="auto" w:before="2"/>
        <w:rPr>
          <w:rFonts w:ascii="宋体" w:hAnsi="宋体" w:cs="宋体" w:eastAsia="宋体" w:hint="default"/>
          <w:sz w:val="20"/>
          <w:szCs w:val="20"/>
        </w:rPr>
      </w:pPr>
    </w:p>
    <w:p>
      <w:pPr>
        <w:pStyle w:val="Heading6"/>
        <w:spacing w:line="240" w:lineRule="auto"/>
        <w:ind w:left="592" w:right="153" w:firstLine="0"/>
        <w:jc w:val="left"/>
      </w:pPr>
      <w:r>
        <w:rPr>
          <w:rFonts w:ascii="宋体" w:hAnsi="宋体" w:cs="宋体" w:eastAsia="宋体" w:hint="default"/>
        </w:rPr>
        <w:t>Shiji</w:t>
      </w:r>
      <w:r>
        <w:rPr>
          <w:rFonts w:ascii="宋体" w:hAnsi="宋体" w:cs="宋体" w:eastAsia="宋体" w:hint="default"/>
          <w:spacing w:val="-5"/>
        </w:rPr>
        <w:t> </w:t>
      </w:r>
      <w:r>
        <w:rPr/>
        <w:t>（</w:t>
      </w:r>
      <w:r>
        <w:rPr>
          <w:rFonts w:ascii="宋体" w:hAnsi="宋体" w:cs="宋体" w:eastAsia="宋体" w:hint="default"/>
        </w:rPr>
        <w:t>Australia</w:t>
      </w:r>
      <w:r>
        <w:rPr/>
        <w:t>）系在澳大利亚境内设立的公司，适用企业所得税税率为</w:t>
      </w:r>
      <w:r>
        <w:rPr>
          <w:rFonts w:ascii="宋体" w:hAnsi="宋体" w:cs="宋体" w:eastAsia="宋体" w:hint="default"/>
        </w:rPr>
        <w:t>27.50%</w:t>
      </w:r>
      <w:r>
        <w:rPr/>
        <w:t>。</w:t>
      </w:r>
    </w:p>
    <w:p>
      <w:pPr>
        <w:spacing w:line="240" w:lineRule="auto" w:before="2"/>
        <w:rPr>
          <w:rFonts w:ascii="宋体" w:hAnsi="宋体" w:cs="宋体" w:eastAsia="宋体" w:hint="default"/>
          <w:sz w:val="20"/>
          <w:szCs w:val="20"/>
        </w:rPr>
      </w:pPr>
    </w:p>
    <w:p>
      <w:pPr>
        <w:pStyle w:val="Heading6"/>
        <w:spacing w:line="240" w:lineRule="auto"/>
        <w:ind w:left="592" w:right="153" w:firstLine="0"/>
        <w:jc w:val="left"/>
        <w:rPr>
          <w:rFonts w:ascii="宋体" w:hAnsi="宋体" w:cs="宋体" w:eastAsia="宋体" w:hint="default"/>
        </w:rPr>
      </w:pPr>
      <w:r>
        <w:rPr/>
        <w:t>（</w:t>
      </w:r>
      <w:r>
        <w:rPr>
          <w:rFonts w:ascii="宋体" w:hAnsi="宋体" w:cs="宋体" w:eastAsia="宋体" w:hint="default"/>
        </w:rPr>
        <w:t>11</w:t>
      </w:r>
      <w:r>
        <w:rPr/>
        <w:t>）境外所得税税率</w:t>
      </w:r>
      <w:r>
        <w:rPr>
          <w:rFonts w:ascii="宋体" w:hAnsi="宋体" w:cs="宋体" w:eastAsia="宋体" w:hint="default"/>
        </w:rPr>
        <w:t>30.18%</w:t>
      </w:r>
      <w:r>
        <w:rPr/>
        <w:t>、</w:t>
      </w:r>
      <w:r>
        <w:rPr>
          <w:rFonts w:ascii="宋体" w:hAnsi="宋体" w:cs="宋体" w:eastAsia="宋体" w:hint="default"/>
        </w:rPr>
        <w:t>32.98%</w:t>
      </w:r>
    </w:p>
    <w:p>
      <w:pPr>
        <w:spacing w:line="240" w:lineRule="auto" w:before="2"/>
        <w:rPr>
          <w:rFonts w:ascii="宋体" w:hAnsi="宋体" w:cs="宋体" w:eastAsia="宋体" w:hint="default"/>
          <w:sz w:val="20"/>
          <w:szCs w:val="20"/>
        </w:rPr>
      </w:pPr>
    </w:p>
    <w:p>
      <w:pPr>
        <w:pStyle w:val="Heading6"/>
        <w:spacing w:line="259" w:lineRule="auto"/>
        <w:ind w:right="140"/>
        <w:jc w:val="left"/>
      </w:pPr>
      <w:r>
        <w:rPr>
          <w:rFonts w:ascii="宋体" w:hAnsi="宋体" w:cs="宋体" w:eastAsia="宋体" w:hint="default"/>
        </w:rPr>
        <w:t>Snapshot Deutschland</w:t>
      </w:r>
      <w:r>
        <w:rPr/>
        <w:t>、</w:t>
      </w:r>
      <w:r>
        <w:rPr>
          <w:rFonts w:ascii="宋体" w:hAnsi="宋体" w:cs="宋体" w:eastAsia="宋体" w:hint="default"/>
        </w:rPr>
        <w:t>AC Software</w:t>
      </w:r>
      <w:r>
        <w:rPr/>
        <w:t>、</w:t>
      </w:r>
      <w:r>
        <w:rPr>
          <w:rFonts w:ascii="宋体" w:hAnsi="宋体" w:cs="宋体" w:eastAsia="宋体" w:hint="default"/>
        </w:rPr>
        <w:t>Shiji</w:t>
      </w:r>
      <w:r>
        <w:rPr>
          <w:rFonts w:ascii="宋体" w:hAnsi="宋体" w:cs="宋体" w:eastAsia="宋体" w:hint="default"/>
          <w:spacing w:val="-45"/>
        </w:rPr>
        <w:t> </w:t>
      </w:r>
      <w:r>
        <w:rPr>
          <w:rFonts w:ascii="宋体" w:hAnsi="宋体" w:cs="宋体" w:eastAsia="宋体" w:hint="default"/>
        </w:rPr>
        <w:t>Deutschland</w:t>
      </w:r>
      <w:r>
        <w:rPr/>
        <w:t>系在德国境内设立的公司，适用企业</w:t>
      </w:r>
      <w:r>
        <w:rPr>
          <w:w w:val="100"/>
        </w:rPr>
        <w:t> </w:t>
      </w:r>
      <w:r>
        <w:rPr/>
        <w:t>所得税税率分别为</w:t>
      </w:r>
      <w:r>
        <w:rPr>
          <w:rFonts w:ascii="宋体" w:hAnsi="宋体" w:cs="宋体" w:eastAsia="宋体" w:hint="default"/>
        </w:rPr>
        <w:t>30.18%</w:t>
      </w:r>
      <w:r>
        <w:rPr/>
        <w:t>、</w:t>
      </w:r>
      <w:r>
        <w:rPr>
          <w:rFonts w:ascii="宋体" w:hAnsi="宋体" w:cs="宋体" w:eastAsia="宋体" w:hint="default"/>
        </w:rPr>
        <w:t>32.98%</w:t>
      </w:r>
      <w:r>
        <w:rPr/>
        <w:t>。</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rPr>
          <w:rFonts w:ascii="宋体" w:hAnsi="宋体" w:cs="宋体" w:eastAsia="宋体" w:hint="default"/>
        </w:rPr>
      </w:pPr>
      <w:r>
        <w:rPr/>
        <w:t>（</w:t>
      </w:r>
      <w:r>
        <w:rPr>
          <w:rFonts w:ascii="宋体" w:hAnsi="宋体" w:cs="宋体" w:eastAsia="宋体" w:hint="default"/>
        </w:rPr>
        <w:t>12</w:t>
      </w:r>
      <w:r>
        <w:rPr/>
        <w:t>）境外所得税税率</w:t>
      </w:r>
      <w:r>
        <w:rPr>
          <w:rFonts w:ascii="宋体" w:hAnsi="宋体" w:cs="宋体" w:eastAsia="宋体" w:hint="default"/>
        </w:rPr>
        <w:t>35.00%</w:t>
      </w:r>
    </w:p>
    <w:p>
      <w:pPr>
        <w:spacing w:line="240" w:lineRule="auto" w:before="2"/>
        <w:rPr>
          <w:rFonts w:ascii="宋体" w:hAnsi="宋体" w:cs="宋体" w:eastAsia="宋体" w:hint="default"/>
          <w:sz w:val="20"/>
          <w:szCs w:val="20"/>
        </w:rPr>
      </w:pPr>
    </w:p>
    <w:p>
      <w:pPr>
        <w:pStyle w:val="Heading6"/>
        <w:spacing w:line="259" w:lineRule="auto"/>
        <w:ind w:right="141"/>
        <w:jc w:val="left"/>
      </w:pPr>
      <w:r>
        <w:rPr>
          <w:rFonts w:ascii="宋体" w:hAnsi="宋体" w:cs="宋体" w:eastAsia="宋体" w:hint="default"/>
        </w:rPr>
        <w:t>Snapshot USA</w:t>
      </w:r>
      <w:r>
        <w:rPr/>
        <w:t>、</w:t>
      </w:r>
      <w:r>
        <w:rPr>
          <w:rFonts w:ascii="宋体" w:hAnsi="宋体" w:cs="宋体" w:eastAsia="宋体" w:hint="default"/>
        </w:rPr>
        <w:t>Shiji US </w:t>
      </w:r>
      <w:r>
        <w:rPr/>
        <w:t>、 </w:t>
      </w:r>
      <w:r>
        <w:rPr>
          <w:rFonts w:ascii="宋体" w:hAnsi="宋体" w:cs="宋体" w:eastAsia="宋体" w:hint="default"/>
        </w:rPr>
        <w:t>Review</w:t>
      </w:r>
      <w:r>
        <w:rPr>
          <w:rFonts w:ascii="宋体" w:hAnsi="宋体" w:cs="宋体" w:eastAsia="宋体" w:hint="default"/>
          <w:spacing w:val="-46"/>
        </w:rPr>
        <w:t> </w:t>
      </w:r>
      <w:r>
        <w:rPr>
          <w:rFonts w:ascii="宋体" w:hAnsi="宋体" w:cs="宋体" w:eastAsia="宋体" w:hint="default"/>
        </w:rPr>
        <w:t>Pro</w:t>
      </w:r>
      <w:r>
        <w:rPr/>
        <w:t>系在美国境内设立的公司，适用企业所得税税率分别为</w:t>
      </w:r>
      <w:r>
        <w:rPr>
          <w:w w:val="100"/>
        </w:rPr>
        <w:t> </w:t>
      </w:r>
      <w:r>
        <w:rPr>
          <w:rFonts w:ascii="宋体" w:hAnsi="宋体" w:cs="宋体" w:eastAsia="宋体" w:hint="default"/>
        </w:rPr>
        <w:t>35.00%</w:t>
      </w:r>
      <w:r>
        <w:rPr/>
        <w:t>。</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rPr>
          <w:rFonts w:ascii="宋体" w:hAnsi="宋体" w:cs="宋体" w:eastAsia="宋体" w:hint="default"/>
        </w:rPr>
      </w:pPr>
      <w:r>
        <w:rPr/>
        <w:t>（</w:t>
      </w:r>
      <w:r>
        <w:rPr>
          <w:rFonts w:ascii="宋体" w:hAnsi="宋体" w:cs="宋体" w:eastAsia="宋体" w:hint="default"/>
        </w:rPr>
        <w:t>13</w:t>
      </w:r>
      <w:r>
        <w:rPr/>
        <w:t>）所得税税率</w:t>
      </w:r>
      <w:r>
        <w:rPr>
          <w:rFonts w:ascii="宋体" w:hAnsi="宋体" w:cs="宋体" w:eastAsia="宋体" w:hint="default"/>
        </w:rPr>
        <w:t>25.00%</w:t>
      </w:r>
    </w:p>
    <w:p>
      <w:pPr>
        <w:spacing w:line="240" w:lineRule="auto" w:before="2"/>
        <w:rPr>
          <w:rFonts w:ascii="宋体" w:hAnsi="宋体" w:cs="宋体" w:eastAsia="宋体" w:hint="default"/>
          <w:sz w:val="20"/>
          <w:szCs w:val="20"/>
        </w:rPr>
      </w:pPr>
    </w:p>
    <w:p>
      <w:pPr>
        <w:pStyle w:val="Heading6"/>
        <w:spacing w:line="259" w:lineRule="auto"/>
        <w:ind w:right="149"/>
        <w:jc w:val="left"/>
      </w:pPr>
      <w:r>
        <w:rPr/>
        <w:t>除此以外其他公司（包括设立于奥地利的控股子公司</w:t>
      </w:r>
      <w:r>
        <w:rPr>
          <w:rFonts w:ascii="宋体" w:hAnsi="宋体" w:cs="宋体" w:eastAsia="宋体" w:hint="default"/>
        </w:rPr>
        <w:t>AC Project</w:t>
      </w:r>
      <w:r>
        <w:rPr/>
        <w:t>和</w:t>
      </w:r>
      <w:r>
        <w:rPr>
          <w:spacing w:val="56"/>
        </w:rPr>
        <w:t> </w:t>
      </w:r>
      <w:r>
        <w:rPr>
          <w:rFonts w:ascii="宋体" w:hAnsi="宋体" w:cs="宋体" w:eastAsia="宋体" w:hint="default"/>
        </w:rPr>
        <w:t>Snapshot</w:t>
      </w:r>
      <w:r>
        <w:rPr/>
        <w:t>及设立于西班牙的</w:t>
      </w:r>
      <w:r>
        <w:rPr>
          <w:w w:val="100"/>
        </w:rPr>
        <w:t> </w:t>
      </w:r>
      <w:r>
        <w:rPr/>
        <w:t>控股子公司</w:t>
      </w:r>
      <w:r>
        <w:rPr>
          <w:rFonts w:ascii="宋体" w:hAnsi="宋体" w:cs="宋体" w:eastAsia="宋体" w:hint="default"/>
        </w:rPr>
        <w:t>Review Rank</w:t>
      </w:r>
      <w:r>
        <w:rPr>
          <w:rFonts w:ascii="宋体" w:hAnsi="宋体" w:cs="宋体" w:eastAsia="宋体" w:hint="default"/>
          <w:spacing w:val="-2"/>
        </w:rPr>
        <w:t> </w:t>
      </w:r>
      <w:r>
        <w:rPr>
          <w:rFonts w:ascii="宋体" w:hAnsi="宋体" w:cs="宋体" w:eastAsia="宋体" w:hint="default"/>
        </w:rPr>
        <w:t>S.A</w:t>
      </w:r>
      <w:r>
        <w:rPr/>
        <w:t>）均执行</w:t>
      </w:r>
      <w:r>
        <w:rPr>
          <w:rFonts w:ascii="宋体" w:hAnsi="宋体" w:cs="宋体" w:eastAsia="宋体" w:hint="default"/>
        </w:rPr>
        <w:t>25.00%</w:t>
      </w:r>
      <w:r>
        <w:rPr/>
        <w:t>的企业所得税税率</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49"/>
        <w:jc w:val="both"/>
      </w:pPr>
      <w:r>
        <w:rPr/>
        <w:t>注</w:t>
      </w:r>
      <w:r>
        <w:rPr>
          <w:rFonts w:ascii="宋体" w:hAnsi="宋体" w:cs="宋体" w:eastAsia="宋体" w:hint="default"/>
        </w:rPr>
        <w:t>1</w:t>
      </w:r>
      <w:r>
        <w:rPr/>
        <w:t>：安装及技术支持与维护收入增值税销项税税率为</w:t>
      </w:r>
      <w:r>
        <w:rPr>
          <w:rFonts w:ascii="宋体" w:hAnsi="宋体" w:cs="宋体" w:eastAsia="宋体" w:hint="default"/>
        </w:rPr>
        <w:t>6%</w:t>
      </w:r>
      <w:r>
        <w:rPr/>
        <w:t>，不动产租赁业务增值税销项税税率为</w:t>
      </w:r>
      <w:r>
        <w:rPr>
          <w:w w:val="100"/>
        </w:rPr>
        <w:t> </w:t>
      </w:r>
      <w:r>
        <w:rPr>
          <w:rFonts w:ascii="宋体" w:hAnsi="宋体" w:cs="宋体" w:eastAsia="宋体" w:hint="default"/>
          <w:spacing w:val="-2"/>
        </w:rPr>
        <w:t>11%</w:t>
      </w:r>
      <w:r>
        <w:rPr>
          <w:spacing w:val="-2"/>
        </w:rPr>
        <w:t>，其他增值税销项税税率均为</w:t>
      </w:r>
      <w:r>
        <w:rPr>
          <w:rFonts w:ascii="宋体" w:hAnsi="宋体" w:cs="宋体" w:eastAsia="宋体" w:hint="default"/>
          <w:spacing w:val="-2"/>
        </w:rPr>
        <w:t>17%</w:t>
      </w:r>
      <w:r>
        <w:rPr>
          <w:spacing w:val="-2"/>
        </w:rPr>
        <w:t>，其中连边科技为小规模纳税人增值税税率为</w:t>
      </w:r>
      <w:r>
        <w:rPr>
          <w:rFonts w:ascii="宋体" w:hAnsi="宋体" w:cs="宋体" w:eastAsia="宋体" w:hint="default"/>
          <w:spacing w:val="-2"/>
        </w:rPr>
        <w:t>3%</w:t>
      </w:r>
      <w:r>
        <w:rPr>
          <w:spacing w:val="-2"/>
        </w:rPr>
        <w:t>；本集团根据增</w:t>
      </w:r>
      <w:r>
        <w:rPr>
          <w:spacing w:val="-63"/>
        </w:rPr>
        <w:t> </w:t>
      </w:r>
      <w:r>
        <w:rPr>
          <w:spacing w:val="-63"/>
        </w:rPr>
      </w:r>
      <w:r>
        <w:rPr>
          <w:spacing w:val="-2"/>
        </w:rPr>
        <w:t>值税不同业务适用的税率计算的增值税销项税额，扣除可抵扣的进项税后的差额计算缴纳增值税，当</w:t>
      </w:r>
      <w:r>
        <w:rPr>
          <w:spacing w:val="-70"/>
        </w:rPr>
        <w:t> </w:t>
      </w:r>
      <w:r>
        <w:rPr>
          <w:spacing w:val="-70"/>
        </w:rPr>
      </w:r>
      <w:r>
        <w:rPr>
          <w:spacing w:val="-2"/>
        </w:rPr>
        <w:t>销项税额小于可抵扣的进项税额时结转至留底税额，并根据预计的可留底税额及预交的增值税可抵扣</w:t>
      </w:r>
      <w:r>
        <w:rPr>
          <w:spacing w:val="-73"/>
        </w:rPr>
        <w:t> </w:t>
      </w:r>
      <w:r>
        <w:rPr>
          <w:spacing w:val="-73"/>
        </w:rPr>
      </w:r>
      <w:r>
        <w:rPr/>
        <w:t>的时间长短重分类至“其他流动资产”或“其他非流动资产”列报。</w:t>
      </w:r>
    </w:p>
    <w:p>
      <w:pPr>
        <w:spacing w:line="240" w:lineRule="auto" w:before="12"/>
        <w:rPr>
          <w:rFonts w:ascii="宋体" w:hAnsi="宋体" w:cs="宋体" w:eastAsia="宋体" w:hint="default"/>
          <w:sz w:val="18"/>
          <w:szCs w:val="18"/>
        </w:rPr>
      </w:pPr>
    </w:p>
    <w:p>
      <w:pPr>
        <w:pStyle w:val="Heading6"/>
        <w:spacing w:line="259" w:lineRule="auto"/>
        <w:ind w:right="153"/>
        <w:jc w:val="left"/>
      </w:pPr>
      <w:r>
        <w:rPr>
          <w:spacing w:val="-1"/>
        </w:rPr>
        <w:t>注</w:t>
      </w:r>
      <w:r>
        <w:rPr>
          <w:rFonts w:ascii="宋体" w:hAnsi="宋体" w:cs="宋体" w:eastAsia="宋体" w:hint="default"/>
          <w:spacing w:val="-1"/>
        </w:rPr>
        <w:t>2</w:t>
      </w:r>
      <w:r>
        <w:rPr>
          <w:spacing w:val="-1"/>
        </w:rPr>
        <w:t>：上海石基按照</w:t>
      </w:r>
      <w:r>
        <w:rPr>
          <w:rFonts w:ascii="宋体" w:hAnsi="宋体" w:cs="宋体" w:eastAsia="宋体" w:hint="default"/>
          <w:spacing w:val="-1"/>
        </w:rPr>
        <w:t>1%</w:t>
      </w:r>
      <w:r>
        <w:rPr>
          <w:spacing w:val="-1"/>
        </w:rPr>
        <w:t>的税率缴纳城市建设维护税，其他境内子公司按照</w:t>
      </w:r>
      <w:r>
        <w:rPr>
          <w:rFonts w:ascii="宋体" w:hAnsi="宋体" w:cs="宋体" w:eastAsia="宋体" w:hint="default"/>
          <w:spacing w:val="-1"/>
        </w:rPr>
        <w:t>7%</w:t>
      </w:r>
      <w:r>
        <w:rPr>
          <w:spacing w:val="-1"/>
        </w:rPr>
        <w:t>的税率缴纳城市建设</w:t>
      </w:r>
      <w:r>
        <w:rPr>
          <w:w w:val="100"/>
        </w:rPr>
        <w:t> </w:t>
      </w:r>
      <w:r>
        <w:rPr/>
        <w:t>维护税。</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pPr>
      <w:r>
        <w:rPr/>
        <w:t>注</w:t>
      </w:r>
      <w:r>
        <w:rPr>
          <w:rFonts w:ascii="宋体" w:hAnsi="宋体" w:cs="宋体" w:eastAsia="宋体" w:hint="default"/>
        </w:rPr>
        <w:t>3</w:t>
      </w:r>
      <w:r>
        <w:rPr/>
        <w:t>：前述主要税率中除企业所得税外均为本集团境内子公司适用，不含境外子公司。</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254,112.44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411,045.38</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1,451,125,536.45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2,623,781,310.82</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263,581,438.93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20,573,125.61</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1,714,961,087.82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2,644,765,481.81</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356,482,187.70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272,894,495.92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53"/>
        <w:jc w:val="left"/>
      </w:pPr>
      <w:r>
        <w:rPr>
          <w:spacing w:val="-3"/>
        </w:rPr>
        <w:t>注：期末所有权或使用权受到限制的货币资金余额为</w:t>
      </w:r>
      <w:r>
        <w:rPr>
          <w:rFonts w:ascii="Times New Roman" w:hAnsi="Times New Roman" w:cs="Times New Roman" w:eastAsia="Times New Roman" w:hint="default"/>
          <w:spacing w:val="-3"/>
        </w:rPr>
        <w:t>261,118,744.35</w:t>
      </w:r>
      <w:r>
        <w:rPr>
          <w:spacing w:val="-3"/>
        </w:rPr>
        <w:t>元。公司存放于支付宝账户上</w:t>
      </w:r>
      <w:r>
        <w:rPr>
          <w:w w:val="100"/>
        </w:rPr>
        <w:t> </w:t>
      </w:r>
      <w:r>
        <w:rPr/>
        <w:t>的资金款项</w:t>
      </w:r>
      <w:r>
        <w:rPr>
          <w:rFonts w:ascii="Times New Roman" w:hAnsi="Times New Roman" w:cs="Times New Roman" w:eastAsia="Times New Roman" w:hint="default"/>
        </w:rPr>
        <w:t>2,328,940.74</w:t>
      </w:r>
      <w:r>
        <w:rPr/>
        <w:t>元，其使用不受限制。</w:t>
      </w:r>
    </w:p>
    <w:p>
      <w:pPr>
        <w:spacing w:line="240" w:lineRule="auto" w:before="11"/>
        <w:rPr>
          <w:rFonts w:ascii="宋体" w:hAnsi="宋体" w:cs="宋体" w:eastAsia="宋体" w:hint="default"/>
          <w:sz w:val="23"/>
          <w:szCs w:val="23"/>
        </w:rPr>
      </w:pPr>
    </w:p>
    <w:p>
      <w:pPr>
        <w:pStyle w:val="Heading7"/>
        <w:spacing w:line="240" w:lineRule="auto"/>
        <w:ind w:right="15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1,276,380.00</w:t>
            </w:r>
          </w:p>
        </w:tc>
      </w:tr>
      <w:tr>
        <w:trPr>
          <w:trHeight w:val="4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51,358.65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778,850.00</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701,358.65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2,055,230.00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4"/>
          <w:szCs w:val="24"/>
        </w:rPr>
      </w:pPr>
    </w:p>
    <w:p>
      <w:pPr>
        <w:pStyle w:val="Heading7"/>
        <w:spacing w:line="240" w:lineRule="auto"/>
        <w:ind w:left="140" w:right="-7"/>
        <w:jc w:val="left"/>
        <w:rPr>
          <w:b w:val="0"/>
          <w:bCs w:val="0"/>
        </w:rPr>
      </w:pPr>
      <w:r>
        <w:rPr/>
        <w:pict>
          <v:group style="position:absolute;margin-left:70.559998pt;margin-top:-.476309pt;width:700.9pt;height:.1pt;mso-position-horizontal-relative:page;mso-position-vertical-relative:paragraph;z-index:1768"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40" w:right="-7"/>
        <w:jc w:val="left"/>
        <w:rPr>
          <w:b w:val="0"/>
          <w:bCs w:val="0"/>
        </w:rPr>
      </w:pPr>
      <w:r>
        <w:rPr>
          <w:spacing w:val="-1"/>
        </w:rPr>
        <w:t>（</w:t>
      </w:r>
      <w:r>
        <w:rPr>
          <w:rFonts w:ascii="Times New Roman" w:hAnsi="Times New Roman" w:cs="Times New Roman" w:eastAsia="Times New Roman" w:hint="default"/>
          <w:spacing w:val="-1"/>
        </w:rPr>
        <w:t>1</w:t>
      </w:r>
      <w:r>
        <w:rPr>
          <w:spacing w:val="-1"/>
        </w:rPr>
        <w:t>）应收账款分类披露</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40"/>
          <w:footerReference w:type="default" r:id="rId41"/>
          <w:pgSz w:w="16840" w:h="11910" w:orient="landscape"/>
          <w:pgMar w:header="0" w:footer="0" w:top="800" w:bottom="280" w:left="1300" w:right="1300"/>
          <w:cols w:num="2" w:equalWidth="0">
            <w:col w:w="2356" w:space="7013"/>
            <w:col w:w="4871"/>
          </w:cols>
        </w:sectPr>
      </w:pPr>
    </w:p>
    <w:p>
      <w:pPr>
        <w:spacing w:line="240" w:lineRule="auto" w:before="12"/>
        <w:rPr>
          <w:rFonts w:ascii="宋体" w:hAnsi="宋体" w:cs="宋体" w:eastAsia="宋体" w:hint="default"/>
          <w:sz w:val="22"/>
          <w:szCs w:val="22"/>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44"/>
        <w:gridCol w:w="1373"/>
        <w:gridCol w:w="881"/>
        <w:gridCol w:w="1272"/>
        <w:gridCol w:w="763"/>
        <w:gridCol w:w="1361"/>
        <w:gridCol w:w="1361"/>
        <w:gridCol w:w="881"/>
        <w:gridCol w:w="1272"/>
        <w:gridCol w:w="956"/>
        <w:gridCol w:w="1361"/>
      </w:tblGrid>
      <w:tr>
        <w:trPr>
          <w:trHeight w:val="398" w:hRule="exact"/>
        </w:trPr>
        <w:tc>
          <w:tcPr>
            <w:tcW w:w="2244" w:type="dxa"/>
            <w:vMerge w:val="restart"/>
            <w:tcBorders>
              <w:top w:val="single" w:sz="4" w:space="0" w:color="000000"/>
              <w:left w:val="single" w:sz="4" w:space="0" w:color="000000"/>
              <w:right w:val="single" w:sz="4" w:space="0" w:color="000000"/>
            </w:tcBorders>
            <w:shd w:val="clear" w:color="auto" w:fill="D2D2D2"/>
          </w:tcPr>
          <w:p>
            <w:pPr/>
          </w:p>
        </w:tc>
        <w:tc>
          <w:tcPr>
            <w:tcW w:w="56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2244" w:type="dxa"/>
            <w:vMerge/>
            <w:tcBorders>
              <w:left w:val="single" w:sz="4" w:space="0" w:color="000000"/>
              <w:bottom w:val="nil" w:sz="6" w:space="0" w:color="auto"/>
              <w:right w:val="single" w:sz="4" w:space="0" w:color="000000"/>
            </w:tcBorders>
            <w:shd w:val="clear" w:color="auto" w:fill="D2D2D2"/>
          </w:tcPr>
          <w:p>
            <w:pPr/>
          </w:p>
        </w:tc>
        <w:tc>
          <w:tcPr>
            <w:tcW w:w="22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22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22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54" w:type="dxa"/>
            <w:gridSpan w:val="2"/>
            <w:vMerge/>
            <w:tcBorders>
              <w:left w:val="single" w:sz="4" w:space="0" w:color="000000"/>
              <w:bottom w:val="single" w:sz="4" w:space="0" w:color="000000"/>
              <w:right w:val="single" w:sz="4" w:space="0" w:color="000000"/>
            </w:tcBorders>
            <w:shd w:val="clear" w:color="auto" w:fill="D2D2D2"/>
          </w:tcPr>
          <w:p>
            <w:pPr/>
          </w:p>
        </w:tc>
        <w:tc>
          <w:tcPr>
            <w:tcW w:w="2035" w:type="dxa"/>
            <w:gridSpan w:val="2"/>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2242" w:type="dxa"/>
            <w:gridSpan w:val="2"/>
            <w:vMerge/>
            <w:tcBorders>
              <w:left w:val="single" w:sz="4" w:space="0" w:color="000000"/>
              <w:bottom w:val="single" w:sz="4" w:space="0" w:color="000000"/>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44" w:type="dxa"/>
            <w:vMerge/>
            <w:tcBorders>
              <w:left w:val="single" w:sz="4" w:space="0" w:color="000000"/>
              <w:bottom w:val="single" w:sz="4" w:space="0" w:color="FFFFFF"/>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8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27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2244" w:type="dxa"/>
            <w:vMerge w:val="restart"/>
            <w:tcBorders>
              <w:top w:val="single" w:sz="4" w:space="0" w:color="FFFFFF"/>
              <w:left w:val="single" w:sz="4" w:space="0" w:color="000000"/>
              <w:right w:val="single" w:sz="4" w:space="0" w:color="000000"/>
            </w:tcBorders>
            <w:shd w:val="clear" w:color="auto" w:fill="D2D2D2"/>
          </w:tcPr>
          <w:p>
            <w:pPr/>
          </w:p>
        </w:tc>
        <w:tc>
          <w:tcPr>
            <w:tcW w:w="137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5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244" w:type="dxa"/>
            <w:vMerge/>
            <w:tcBorders>
              <w:left w:val="single" w:sz="4" w:space="0" w:color="000000"/>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127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1272"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44" w:type="dxa"/>
            <w:vMerge/>
            <w:tcBorders>
              <w:left w:val="single" w:sz="4" w:space="0" w:color="000000"/>
              <w:bottom w:val="single" w:sz="4" w:space="0" w:color="000000"/>
              <w:right w:val="single" w:sz="4" w:space="0" w:color="000000"/>
            </w:tcBorders>
            <w:shd w:val="clear" w:color="auto" w:fill="D2D2D2"/>
          </w:tcPr>
          <w:p>
            <w:pPr/>
          </w:p>
        </w:tc>
        <w:tc>
          <w:tcPr>
            <w:tcW w:w="13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6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496,815,668.42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55,581,286.20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441,234,382.22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387,842,384.62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45,501,120.40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342,341,264.22</w:t>
            </w:r>
          </w:p>
        </w:tc>
      </w:tr>
      <w:tr>
        <w:trPr>
          <w:trHeight w:val="715"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60"/>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33,503,597.37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33,503,597.37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16,216,990.51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15,981,814.94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98.55%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235,175.57</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530,319,265.79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89,084,883.57</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441,234,382.22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404,059,375.13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61,482,935.34</w:t>
            </w:r>
          </w:p>
        </w:tc>
        <w:tc>
          <w:tcPr>
            <w:tcW w:w="9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342,576,439.79</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130</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42"/>
          <w:pgSz w:w="11910" w:h="16840"/>
          <w:pgMar w:footer="980" w:header="0" w:top="1100" w:bottom="1160" w:left="980" w:right="980"/>
          <w:pgNumType w:start="131"/>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410"/>
        <w:gridCol w:w="2127"/>
        <w:gridCol w:w="2199"/>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290,995,756.82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14,542,138.77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105,497,351.21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1,053,341.18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396,493,108.03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15,595,479.95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35,778,162.87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3,852,119.75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10.77%</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29,711,913.72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7,907,215.65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26.61%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12,873,912.51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7,365,454.25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57.21%</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5,487,775.66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4,390,220.96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16,470,795.63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16,470,795.64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496,815,668.42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55,581,286.20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11.19%</w:t>
            </w:r>
          </w:p>
        </w:tc>
      </w:tr>
    </w:tbl>
    <w:p>
      <w:pPr>
        <w:spacing w:line="357" w:lineRule="auto" w:before="49"/>
        <w:ind w:left="152" w:right="779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组合依据的说明：</w:t>
      </w:r>
    </w:p>
    <w:p>
      <w:pPr>
        <w:spacing w:before="29"/>
        <w:ind w:left="633" w:right="153" w:firstLine="0"/>
        <w:jc w:val="left"/>
        <w:rPr>
          <w:rFonts w:ascii="宋体" w:hAnsi="宋体" w:cs="宋体" w:eastAsia="宋体" w:hint="default"/>
          <w:sz w:val="18"/>
          <w:szCs w:val="18"/>
        </w:rPr>
      </w:pPr>
      <w:r>
        <w:rPr>
          <w:rFonts w:ascii="宋体" w:hAnsi="宋体" w:cs="宋体" w:eastAsia="宋体" w:hint="default"/>
          <w:sz w:val="18"/>
          <w:szCs w:val="18"/>
        </w:rPr>
        <w:t>不同组合的确定依据：</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852"/>
        <w:gridCol w:w="8798"/>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根据以前年度与之相同或类似的、按账龄段划分的具有类似信用风险特征的应收款项组合的实际损失率为基础， 结合现实情况分析法对计算机及服务行业确定坏账准备计提的比例。</w:t>
            </w:r>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根据以前年度与之相同或类似的、按账龄段划分的具有类似信用风险特征的应收款项组合的实际损失率为基础， 结合现实情况分析法对商品批发行业确定坏账准备计提的比例。</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不存在减值风险，不计提坏账准备的应收款项组合。</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0"/>
        <w:rPr>
          <w:rFonts w:ascii="宋体" w:hAnsi="宋体" w:cs="宋体" w:eastAsia="宋体" w:hint="default"/>
          <w:sz w:val="21"/>
          <w:szCs w:val="21"/>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33,455,954.67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5175"/>
      </w:tblGrid>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11,533,115.31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spacing w:line="360" w:lineRule="auto" w:before="44"/>
        <w:ind w:left="152" w:right="815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854"/>
        <w:gridCol w:w="1234"/>
        <w:gridCol w:w="2938"/>
        <w:gridCol w:w="1342"/>
        <w:gridCol w:w="1282"/>
      </w:tblGrid>
      <w:tr>
        <w:trPr>
          <w:trHeight w:val="972"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 w:right="3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453" w:right="89" w:hanging="363"/>
              <w:jc w:val="left"/>
              <w:rPr>
                <w:rFonts w:ascii="宋体" w:hAnsi="宋体" w:cs="宋体" w:eastAsia="宋体" w:hint="default"/>
                <w:sz w:val="18"/>
                <w:szCs w:val="18"/>
              </w:rPr>
            </w:pPr>
            <w:r>
              <w:rPr>
                <w:rFonts w:ascii="宋体" w:hAnsi="宋体" w:cs="宋体" w:eastAsia="宋体" w:hint="default"/>
                <w:b/>
                <w:bCs/>
                <w:sz w:val="18"/>
                <w:szCs w:val="18"/>
              </w:rPr>
              <w:t>坏账准备年末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46"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1"/>
              <w:jc w:val="right"/>
              <w:rPr>
                <w:rFonts w:ascii="Times New Roman" w:hAnsi="Times New Roman" w:cs="Times New Roman" w:eastAsia="Times New Roman" w:hint="default"/>
                <w:sz w:val="18"/>
                <w:szCs w:val="18"/>
              </w:rPr>
            </w:pPr>
            <w:r>
              <w:rPr>
                <w:rFonts w:ascii="Times New Roman"/>
                <w:spacing w:val="-1"/>
                <w:sz w:val="18"/>
              </w:rPr>
              <w:t>15,929,053.40</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6" w:right="0"/>
              <w:jc w:val="left"/>
              <w:rPr>
                <w:rFonts w:ascii="Times New Roman" w:hAnsi="Times New Roman" w:cs="Times New Roman" w:eastAsia="Times New Roman" w:hint="default"/>
                <w:sz w:val="18"/>
                <w:szCs w:val="18"/>
              </w:rPr>
            </w:pPr>
            <w:r>
              <w:rPr>
                <w:rFonts w:ascii="Times New Roman"/>
                <w:sz w:val="18"/>
              </w:rPr>
              <w:t>3.00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796,452.67</w:t>
            </w:r>
          </w:p>
        </w:tc>
      </w:tr>
      <w:tr>
        <w:trPr>
          <w:trHeight w:val="348"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1"/>
              <w:jc w:val="right"/>
              <w:rPr>
                <w:rFonts w:ascii="Times New Roman" w:hAnsi="Times New Roman" w:cs="Times New Roman" w:eastAsia="Times New Roman" w:hint="default"/>
                <w:sz w:val="18"/>
                <w:szCs w:val="18"/>
              </w:rPr>
            </w:pPr>
            <w:r>
              <w:rPr>
                <w:rFonts w:ascii="Times New Roman"/>
                <w:spacing w:val="-1"/>
                <w:sz w:val="18"/>
              </w:rPr>
              <w:t>11,705,087.00</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6" w:right="0"/>
              <w:jc w:val="left"/>
              <w:rPr>
                <w:rFonts w:ascii="Times New Roman" w:hAnsi="Times New Roman" w:cs="Times New Roman" w:eastAsia="Times New Roman" w:hint="default"/>
                <w:sz w:val="18"/>
                <w:szCs w:val="18"/>
              </w:rPr>
            </w:pPr>
            <w:r>
              <w:rPr>
                <w:rFonts w:ascii="Times New Roman"/>
                <w:sz w:val="18"/>
              </w:rPr>
              <w:t>2.21</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117,050.87</w:t>
            </w:r>
          </w:p>
        </w:tc>
      </w:tr>
      <w:tr>
        <w:trPr>
          <w:trHeight w:val="972"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星巴克企业管理（中国）有限公司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69"/>
              <w:jc w:val="right"/>
              <w:rPr>
                <w:rFonts w:ascii="Times New Roman" w:hAnsi="Times New Roman" w:cs="Times New Roman" w:eastAsia="Times New Roman" w:hint="default"/>
                <w:sz w:val="18"/>
                <w:szCs w:val="18"/>
              </w:rPr>
            </w:pPr>
            <w:r>
              <w:rPr>
                <w:rFonts w:ascii="Times New Roman"/>
                <w:spacing w:val="-1"/>
                <w:sz w:val="18"/>
              </w:rPr>
              <w:t>8,283,079.06</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7,659,423.51;1-2</w:t>
            </w:r>
            <w:r>
              <w:rPr>
                <w:rFonts w:ascii="宋体" w:hAnsi="宋体" w:cs="宋体" w:eastAsia="宋体" w:hint="default"/>
                <w:sz w:val="18"/>
                <w:szCs w:val="18"/>
              </w:rPr>
              <w:t>年</w:t>
            </w:r>
          </w:p>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560,633;2-3</w:t>
            </w:r>
            <w:r>
              <w:rPr>
                <w:rFonts w:ascii="宋体" w:hAnsi="宋体" w:cs="宋体" w:eastAsia="宋体" w:hint="default"/>
                <w:sz w:val="18"/>
                <w:szCs w:val="18"/>
              </w:rPr>
              <w:t>年</w:t>
            </w:r>
            <w:r>
              <w:rPr>
                <w:rFonts w:ascii="Times New Roman" w:hAnsi="Times New Roman" w:cs="Times New Roman" w:eastAsia="Times New Roman" w:hint="default"/>
                <w:sz w:val="18"/>
                <w:szCs w:val="18"/>
              </w:rPr>
              <w:t>19,228;3-4</w:t>
            </w:r>
            <w:r>
              <w:rPr>
                <w:rFonts w:ascii="宋体" w:hAnsi="宋体" w:cs="宋体" w:eastAsia="宋体" w:hint="default"/>
                <w:sz w:val="18"/>
                <w:szCs w:val="18"/>
              </w:rPr>
              <w:t>年</w:t>
            </w:r>
            <w:r>
              <w:rPr>
                <w:rFonts w:ascii="Times New Roman" w:hAnsi="Times New Roman" w:cs="Times New Roman" w:eastAsia="Times New Roman" w:hint="default"/>
                <w:sz w:val="18"/>
                <w:szCs w:val="18"/>
              </w:rPr>
              <w:t>22,246;4-5</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5,927;5</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15,621.55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506" w:right="0"/>
              <w:jc w:val="left"/>
              <w:rPr>
                <w:rFonts w:ascii="Times New Roman" w:hAnsi="Times New Roman" w:cs="Times New Roman" w:eastAsia="Times New Roman" w:hint="default"/>
                <w:sz w:val="18"/>
                <w:szCs w:val="18"/>
              </w:rPr>
            </w:pPr>
            <w:r>
              <w:rPr>
                <w:rFonts w:ascii="Times New Roman"/>
                <w:sz w:val="18"/>
              </w:rPr>
              <w:t>1.56</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474,366.23</w:t>
            </w:r>
          </w:p>
        </w:tc>
      </w:tr>
      <w:tr>
        <w:trPr>
          <w:trHeight w:val="346"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9"/>
              <w:jc w:val="right"/>
              <w:rPr>
                <w:rFonts w:ascii="Times New Roman" w:hAnsi="Times New Roman" w:cs="Times New Roman" w:eastAsia="Times New Roman" w:hint="default"/>
                <w:sz w:val="18"/>
                <w:szCs w:val="18"/>
              </w:rPr>
            </w:pPr>
            <w:r>
              <w:rPr>
                <w:rFonts w:ascii="Times New Roman"/>
                <w:spacing w:val="-1"/>
                <w:sz w:val="18"/>
              </w:rPr>
              <w:t>5,645,546.25</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6" w:right="0"/>
              <w:jc w:val="left"/>
              <w:rPr>
                <w:rFonts w:ascii="Times New Roman" w:hAnsi="Times New Roman" w:cs="Times New Roman" w:eastAsia="Times New Roman" w:hint="default"/>
                <w:sz w:val="18"/>
                <w:szCs w:val="18"/>
              </w:rPr>
            </w:pPr>
            <w:r>
              <w:rPr>
                <w:rFonts w:ascii="Times New Roman"/>
                <w:sz w:val="18"/>
              </w:rPr>
              <w:t>1.06</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56,455.46</w:t>
            </w:r>
          </w:p>
        </w:tc>
      </w:tr>
      <w:tr>
        <w:trPr>
          <w:trHeight w:val="348"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北京益心康达投资管理有限公司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9"/>
              <w:jc w:val="right"/>
              <w:rPr>
                <w:rFonts w:ascii="Times New Roman" w:hAnsi="Times New Roman" w:cs="Times New Roman" w:eastAsia="Times New Roman" w:hint="default"/>
                <w:sz w:val="18"/>
                <w:szCs w:val="18"/>
              </w:rPr>
            </w:pPr>
            <w:r>
              <w:rPr>
                <w:rFonts w:ascii="Times New Roman"/>
                <w:spacing w:val="-1"/>
                <w:sz w:val="18"/>
              </w:rPr>
              <w:t>5,600,000.00</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6" w:right="0"/>
              <w:jc w:val="left"/>
              <w:rPr>
                <w:rFonts w:ascii="Times New Roman" w:hAnsi="Times New Roman" w:cs="Times New Roman" w:eastAsia="Times New Roman" w:hint="default"/>
                <w:sz w:val="18"/>
                <w:szCs w:val="18"/>
              </w:rPr>
            </w:pPr>
            <w:r>
              <w:rPr>
                <w:rFonts w:ascii="Times New Roman"/>
                <w:sz w:val="18"/>
              </w:rPr>
              <w:t>1.06</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2,800,000.00</w:t>
            </w:r>
          </w:p>
        </w:tc>
      </w:tr>
      <w:tr>
        <w:trPr>
          <w:trHeight w:val="348"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1"/>
              <w:jc w:val="right"/>
              <w:rPr>
                <w:rFonts w:ascii="Times New Roman" w:hAnsi="Times New Roman" w:cs="Times New Roman" w:eastAsia="Times New Roman" w:hint="default"/>
                <w:sz w:val="18"/>
                <w:szCs w:val="18"/>
              </w:rPr>
            </w:pPr>
            <w:r>
              <w:rPr>
                <w:rFonts w:ascii="Times New Roman"/>
                <w:b/>
                <w:spacing w:val="-1"/>
                <w:sz w:val="18"/>
              </w:rPr>
              <w:t>47,162,765.71</w:t>
            </w:r>
            <w:r>
              <w:rPr>
                <w:rFonts w:ascii="Times New Roman"/>
                <w:spacing w:val="-1"/>
                <w:sz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06" w:right="0"/>
              <w:jc w:val="left"/>
              <w:rPr>
                <w:rFonts w:ascii="Times New Roman" w:hAnsi="Times New Roman" w:cs="Times New Roman" w:eastAsia="Times New Roman" w:hint="default"/>
                <w:sz w:val="18"/>
                <w:szCs w:val="18"/>
              </w:rPr>
            </w:pPr>
            <w:r>
              <w:rPr>
                <w:rFonts w:ascii="Times New Roman"/>
                <w:b/>
                <w:sz w:val="18"/>
              </w:rPr>
              <w:t>8.89</w:t>
            </w:r>
            <w:r>
              <w:rPr>
                <w:rFonts w:ascii="Times New Roman"/>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4,244,325.23</w:t>
            </w:r>
            <w:r>
              <w:rPr>
                <w:rFonts w:ascii="Times New Roman"/>
                <w:sz w:val="18"/>
              </w:rPr>
            </w:r>
          </w:p>
        </w:tc>
      </w:tr>
    </w:tbl>
    <w:p>
      <w:pPr>
        <w:spacing w:line="240" w:lineRule="auto" w:before="3"/>
        <w:rPr>
          <w:rFonts w:ascii="宋体" w:hAnsi="宋体" w:cs="宋体" w:eastAsia="宋体" w:hint="default"/>
          <w:b/>
          <w:bCs/>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48,319,657.07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42,758,322.75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74.62%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7,362,398.09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14,346,832.33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220,179.33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162,393.16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32,311.03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56,015,619.49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57,299,859.27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491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7"/>
        <w:rPr>
          <w:rFonts w:ascii="宋体" w:hAnsi="宋体" w:cs="宋体" w:eastAsia="宋体" w:hint="default"/>
          <w:sz w:val="21"/>
          <w:szCs w:val="21"/>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2813"/>
        <w:gridCol w:w="1551"/>
        <w:gridCol w:w="3149"/>
        <w:gridCol w:w="2137"/>
      </w:tblGrid>
      <w:tr>
        <w:trPr>
          <w:trHeight w:val="65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49" w:right="66" w:hanging="48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北京银河泰克软件科技有限公司</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13,733,209.20</w:t>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9,006,254.15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4,726,955.05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24.52</w:t>
            </w:r>
          </w:p>
        </w:tc>
      </w:tr>
      <w:tr>
        <w:trPr>
          <w:trHeight w:val="34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联想图像（天津）科技有限公司</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13,460,560.97</w:t>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24.03</w:t>
            </w:r>
          </w:p>
        </w:tc>
      </w:tr>
      <w:tr>
        <w:trPr>
          <w:trHeight w:val="346"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JOY CHINA</w:t>
            </w:r>
            <w:r>
              <w:rPr>
                <w:rFonts w:ascii="Times New Roman"/>
                <w:spacing w:val="-8"/>
                <w:sz w:val="18"/>
              </w:rPr>
              <w:t> </w:t>
            </w:r>
            <w:r>
              <w:rPr>
                <w:rFonts w:ascii="Times New Roman"/>
                <w:sz w:val="18"/>
              </w:rPr>
              <w:t>(HONGKONG)</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7,083,948.00</w:t>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2813"/>
        <w:gridCol w:w="1551"/>
        <w:gridCol w:w="3149"/>
        <w:gridCol w:w="2137"/>
      </w:tblGrid>
      <w:tr>
        <w:trPr>
          <w:trHeight w:val="34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LIMITED</w:t>
            </w:r>
          </w:p>
        </w:tc>
        <w:tc>
          <w:tcPr>
            <w:tcW w:w="1551" w:type="dxa"/>
            <w:tcBorders>
              <w:top w:val="single" w:sz="6" w:space="0" w:color="000000"/>
              <w:left w:val="single" w:sz="6" w:space="0" w:color="000000"/>
              <w:bottom w:val="single" w:sz="6" w:space="0" w:color="000000"/>
              <w:right w:val="single" w:sz="6" w:space="0" w:color="000000"/>
            </w:tcBorders>
          </w:tcPr>
          <w:p>
            <w:pPr/>
          </w:p>
        </w:tc>
        <w:tc>
          <w:tcPr>
            <w:tcW w:w="314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2,321,559.18</w:t>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4.14</w:t>
            </w:r>
          </w:p>
        </w:tc>
      </w:tr>
      <w:tr>
        <w:trPr>
          <w:trHeight w:val="34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上海纬邑科技有限公司</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1,602,000.00</w:t>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2.86</w:t>
            </w:r>
          </w:p>
        </w:tc>
      </w:tr>
      <w:tr>
        <w:trPr>
          <w:trHeight w:val="34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38,201,277.35</w:t>
            </w:r>
            <w:r>
              <w:rPr>
                <w:rFonts w:ascii="Times New Roman"/>
                <w:spacing w:val="-1"/>
                <w:sz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68.20</w:t>
            </w:r>
            <w:r>
              <w:rPr>
                <w:rFonts w:ascii="Times New Roman"/>
                <w:sz w:val="18"/>
              </w:rPr>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3190"/>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4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单位协定存款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70,700,5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42.75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10,954,2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59,746,33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2.89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69,116,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010.82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9,544,884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59,571,126.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11,792,9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29.97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11,792,9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29.97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10,974,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452.16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10,974,45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2.16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82,493,4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72.72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22,747,1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39.83</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59,746,33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2.89</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80,090,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462.98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20,519,33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6.84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59,571,126.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835"/>
        <w:gridCol w:w="2269"/>
        <w:gridCol w:w="2268"/>
        <w:gridCol w:w="2199"/>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47,854,318.72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2,392,703.80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4,232,705.48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42,327.05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52,087,024.20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2,435,030.85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6,193,712.03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789,828.19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2,361,187.92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536,600.97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5,007,948.09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4,372,165.17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87.30%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469,728.40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375,782.72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2,444,801.96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2,444,801.96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68,564,402.60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10,954,209.86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15.98%</w:t>
            </w:r>
          </w:p>
        </w:tc>
      </w:tr>
    </w:tbl>
    <w:p>
      <w:pPr>
        <w:spacing w:line="348" w:lineRule="auto" w:before="49"/>
        <w:ind w:left="152" w:right="6714" w:firstLine="0"/>
        <w:jc w:val="left"/>
        <w:rPr>
          <w:rFonts w:ascii="宋体" w:hAnsi="宋体" w:cs="宋体" w:eastAsia="宋体" w:hint="default"/>
          <w:sz w:val="21"/>
          <w:szCs w:val="21"/>
        </w:rPr>
      </w:pPr>
      <w:r>
        <w:rPr/>
        <w:pict>
          <v:shape style="position:absolute;margin-left:56.279999pt;margin-top:52.801701pt;width:483.6pt;height:101.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8798"/>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根据以前年度与之相同或类似的、按账龄段划分的具有类似信用风险特征的应收款项组合的实际损失率为基础， 结合现实情况分析法对计算机及服务行业确定坏账准备计提的比例。</w:t>
                        </w:r>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根据以前年度与之相同或类似的、按账龄段划分的具有类似信用风险特征的应收款项组合的实际损失率为基础， 结合现实情况分析法对商品批发行业确定坏账准备计提的比例。</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8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不存在减值风险，不计提坏账准备的应收款项组合。</w:t>
                        </w:r>
                      </w:p>
                    </w:tc>
                  </w:tr>
                </w:tbl>
                <w:p>
                  <w:pPr/>
                </w:p>
              </w:txbxContent>
            </v:textbox>
            <w10:wrap type="none"/>
          </v:shape>
        </w:pict>
      </w:r>
      <w:r>
        <w:rPr>
          <w:rFonts w:ascii="宋体" w:hAnsi="宋体" w:cs="宋体" w:eastAsia="宋体" w:hint="default"/>
          <w:sz w:val="18"/>
          <w:szCs w:val="18"/>
        </w:rPr>
        <w:t>确定该组合依据的说明： 组合依据的说明： </w:t>
      </w:r>
      <w:r>
        <w:rPr>
          <w:rFonts w:ascii="宋体" w:hAnsi="宋体" w:cs="宋体" w:eastAsia="宋体" w:hint="default"/>
          <w:spacing w:val="-2"/>
          <w:sz w:val="21"/>
          <w:szCs w:val="21"/>
        </w:rPr>
        <w:t>不同组合的确定依据：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BodyText"/>
        <w:spacing w:line="240" w:lineRule="auto"/>
        <w:ind w:right="153"/>
        <w:jc w:val="left"/>
      </w:pPr>
      <w:r>
        <w:rPr/>
        <w:t>组合</w:t>
      </w:r>
      <w:r>
        <w:rPr>
          <w:rFonts w:ascii="Times New Roman" w:hAnsi="Times New Roman" w:cs="Times New Roman" w:eastAsia="Times New Roman" w:hint="default"/>
        </w:rPr>
        <w:t>3</w:t>
      </w:r>
      <w:r>
        <w:rPr/>
        <w:t>，采用其他方法计提坏账准备的其他应收款</w:t>
      </w:r>
    </w:p>
    <w:p>
      <w:pPr>
        <w:spacing w:line="240" w:lineRule="auto" w:before="7"/>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263"/>
        <w:gridCol w:w="2126"/>
        <w:gridCol w:w="2124"/>
        <w:gridCol w:w="1988"/>
      </w:tblGrid>
      <w:tr>
        <w:trPr>
          <w:trHeight w:val="348"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2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8" w:hRule="exact"/>
        </w:trPr>
        <w:tc>
          <w:tcPr>
            <w:tcW w:w="3263" w:type="dxa"/>
            <w:vMerge/>
            <w:tcBorders>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备用金组合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63" w:right="0"/>
              <w:jc w:val="left"/>
              <w:rPr>
                <w:rFonts w:ascii="Times New Roman" w:hAnsi="Times New Roman" w:cs="Times New Roman" w:eastAsia="Times New Roman" w:hint="default"/>
                <w:sz w:val="18"/>
                <w:szCs w:val="18"/>
              </w:rPr>
            </w:pPr>
            <w:r>
              <w:rPr>
                <w:rFonts w:ascii="Times New Roman"/>
                <w:sz w:val="18"/>
              </w:rPr>
              <w:t>2,136,140.15</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1,155,151.91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2835"/>
        <w:gridCol w:w="2754"/>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28,217,331.75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22,440,588.01</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备用金、押金、保证金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20,833,003.58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19,346,238.66</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14,774,567.33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12,650,729.82</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18,668,570.06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25,652,906.49</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82,493,472.72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80,090,462.98</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76"/>
        <w:gridCol w:w="1395"/>
        <w:gridCol w:w="1274"/>
        <w:gridCol w:w="994"/>
        <w:gridCol w:w="1834"/>
        <w:gridCol w:w="1597"/>
      </w:tblGrid>
      <w:tr>
        <w:trPr>
          <w:trHeight w:val="71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98"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18,668,570.06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22.63%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933,428.50</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海淀区人民法院（南京汇贤）</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2,212,392.00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22,123.92</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中钢招标有限责任公司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25,920,962.06</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4,065,952.42</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558"/>
        <w:gridCol w:w="1136"/>
        <w:gridCol w:w="1133"/>
        <w:gridCol w:w="4849"/>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96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58"/>
              <w:jc w:val="left"/>
              <w:rPr>
                <w:rFonts w:ascii="宋体" w:hAnsi="宋体" w:cs="宋体" w:eastAsia="宋体" w:hint="default"/>
                <w:sz w:val="18"/>
                <w:szCs w:val="18"/>
              </w:rPr>
            </w:pPr>
            <w:r>
              <w:rPr>
                <w:rFonts w:ascii="宋体" w:hAnsi="宋体" w:cs="宋体" w:eastAsia="宋体" w:hint="default"/>
                <w:sz w:val="18"/>
                <w:szCs w:val="18"/>
              </w:rPr>
              <w:t>应收税务机 关退税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18,668,570.06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1"/>
              <w:jc w:val="both"/>
              <w:rPr>
                <w:rFonts w:ascii="宋体" w:hAnsi="宋体" w:cs="宋体" w:eastAsia="宋体" w:hint="default"/>
                <w:sz w:val="18"/>
                <w:szCs w:val="18"/>
              </w:rPr>
            </w:pPr>
            <w:r>
              <w:rPr>
                <w:rFonts w:ascii="宋体" w:hAnsi="宋体" w:cs="宋体" w:eastAsia="宋体" w:hint="default"/>
                <w:spacing w:val="-3"/>
                <w:sz w:val="18"/>
                <w:szCs w:val="18"/>
              </w:rPr>
              <w:t>预计收取时间：</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日之前，金额：</w:t>
            </w:r>
            <w:r>
              <w:rPr>
                <w:rFonts w:ascii="Times New Roman" w:hAnsi="Times New Roman" w:cs="Times New Roman" w:eastAsia="Times New Roman" w:hint="default"/>
                <w:spacing w:val="-3"/>
                <w:sz w:val="18"/>
                <w:szCs w:val="18"/>
              </w:rPr>
              <w:t>18,668,570.06</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元。依据：增值税返还系公司根据国务院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国发</w:t>
            </w:r>
            <w:r>
              <w:rPr>
                <w:rFonts w:ascii="Times New Roman" w:hAnsi="Times New Roman" w:cs="Times New Roman" w:eastAsia="Times New Roman" w:hint="default"/>
                <w:spacing w:val="-5"/>
                <w:sz w:val="18"/>
                <w:szCs w:val="18"/>
              </w:rPr>
              <w:t>[2000]18</w:t>
            </w:r>
            <w:r>
              <w:rPr>
                <w:rFonts w:ascii="Times New Roman" w:hAnsi="Times New Roman" w:cs="Times New Roman" w:eastAsia="Times New Roman" w:hint="default"/>
                <w:spacing w:val="7"/>
                <w:sz w:val="18"/>
                <w:szCs w:val="18"/>
              </w:rPr>
              <w:t> </w:t>
            </w:r>
            <w:r>
              <w:rPr>
                <w:rFonts w:ascii="宋体" w:hAnsi="宋体" w:cs="宋体" w:eastAsia="宋体" w:hint="default"/>
                <w:spacing w:val="-18"/>
                <w:sz w:val="18"/>
                <w:szCs w:val="18"/>
              </w:rPr>
              <w:t>号</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《鼓</w:t>
            </w:r>
            <w:r>
              <w:rPr>
                <w:rFonts w:ascii="宋体" w:hAnsi="宋体" w:cs="宋体" w:eastAsia="宋体" w:hint="default"/>
                <w:spacing w:val="-88"/>
                <w:sz w:val="18"/>
                <w:szCs w:val="18"/>
              </w:rPr>
              <w:t> </w:t>
            </w:r>
            <w:r>
              <w:rPr>
                <w:rFonts w:ascii="宋体" w:hAnsi="宋体" w:cs="宋体" w:eastAsia="宋体" w:hint="default"/>
                <w:sz w:val="18"/>
                <w:szCs w:val="18"/>
              </w:rPr>
              <w:t>励软件产业和集成电路产业发展的若干政策》及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《关于印发进一步鼓励软件产业和集成电路产业发展若干 </w:t>
            </w:r>
            <w:r>
              <w:rPr>
                <w:rFonts w:ascii="宋体" w:hAnsi="宋体" w:cs="宋体" w:eastAsia="宋体" w:hint="default"/>
                <w:spacing w:val="-3"/>
                <w:sz w:val="18"/>
                <w:szCs w:val="18"/>
              </w:rPr>
              <w:t>政策的通知》的规定，报告期内应收到的自行开发软件销售增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值税退税收入。</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18,668,570.06</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2"/>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9"/>
        <w:gridCol w:w="3903"/>
        <w:gridCol w:w="3893"/>
      </w:tblGrid>
      <w:tr>
        <w:trPr>
          <w:trHeight w:val="401" w:hRule="exact"/>
        </w:trPr>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60"/>
        <w:gridCol w:w="1361"/>
        <w:gridCol w:w="1181"/>
        <w:gridCol w:w="1361"/>
        <w:gridCol w:w="1361"/>
        <w:gridCol w:w="1181"/>
        <w:gridCol w:w="1363"/>
      </w:tblGrid>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156,721,440.40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6,908,639.77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149,812,800.63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152,941,702.08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3,152,204.85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149,789,497.23</w:t>
            </w: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4,225.32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4,225.32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1,369.20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1,369.20</w:t>
            </w: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17,735,672.32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1,412,076.44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16,323,595.88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33,713,650.22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2,451,956.61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31,261,693.61</w:t>
            </w: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105,416,891.88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105,416,891.88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81,391,666.10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81,391,666.10</w:t>
            </w: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279,878,229.92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8,320,716.21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271,557,513.71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268,048,387.60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5,604,161.46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262,444,226.14</w:t>
            </w:r>
          </w:p>
        </w:tc>
      </w:tr>
    </w:tbl>
    <w:p>
      <w:pPr>
        <w:spacing w:line="338" w:lineRule="auto" w:before="49"/>
        <w:ind w:left="152" w:right="14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7"/>
        <w:rPr>
          <w:rFonts w:ascii="宋体" w:hAnsi="宋体" w:cs="宋体" w:eastAsia="宋体" w:hint="default"/>
          <w:sz w:val="21"/>
          <w:szCs w:val="21"/>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36"/>
        <w:gridCol w:w="1369"/>
        <w:gridCol w:w="1274"/>
        <w:gridCol w:w="994"/>
        <w:gridCol w:w="1274"/>
        <w:gridCol w:w="994"/>
        <w:gridCol w:w="1417"/>
      </w:tblGrid>
      <w:tr>
        <w:trPr>
          <w:trHeight w:val="206" w:hRule="exact"/>
        </w:trPr>
        <w:tc>
          <w:tcPr>
            <w:tcW w:w="2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203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3,152,204.85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4,775,289.20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1,018,854.28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6,908,639.77</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2,451,956.61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833,612.23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1,873,492.40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1,412,076.44</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5,604,161.46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5,608,901.43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2,892,346.68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8,320,716.21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404"/>
        <w:gridCol w:w="2835"/>
        <w:gridCol w:w="2977"/>
      </w:tblGrid>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对外销售</w:t>
            </w:r>
          </w:p>
        </w:tc>
      </w:tr>
      <w:tr>
        <w:trPr>
          <w:trHeight w:val="346"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对外销售</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153"/>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1,467,680,000.00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235,010,000.00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16,256,794.34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4,321,804.19</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3,493,007.95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3,476,186.89</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31,175,912.67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5,798,409.32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600,638.78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1,519,206,353.74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248,606,400.40</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8"/>
        <w:gridCol w:w="1366"/>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66,158,914.48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63,144,486.17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33,566,444.64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33,099,737.03</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66,158,914.48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63,144,486.17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33,566,444.64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33,099,737.03</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66,158,914.48</w:t>
            </w:r>
            <w:r>
              <w:rPr>
                <w:rFonts w:ascii="Times New Roman"/>
                <w:color w:val="FF0000"/>
                <w:spacing w:val="-1"/>
                <w:position w:val="8"/>
                <w:sz w:val="12"/>
              </w:rPr>
              <w:t>1</w:t>
            </w:r>
            <w:r>
              <w:rPr>
                <w:rFonts w:ascii="Times New Roman"/>
                <w:spacing w:val="-1"/>
                <w:sz w:val="12"/>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63,144,486.17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33,566,444.64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33,099,737.03</w:t>
            </w:r>
          </w:p>
        </w:tc>
      </w:tr>
    </w:tbl>
    <w:p>
      <w:pPr>
        <w:spacing w:before="49"/>
        <w:ind w:left="152" w:right="15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p>
      <w:pPr>
        <w:spacing w:line="300" w:lineRule="auto" w:before="103"/>
        <w:ind w:left="152" w:right="14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：中电器件按照对被投资单位汕头华汕电子器件有限公司的持股比例享有的权益金额低于账面的投资成本差，计提可供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出售金融资产减值准备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2,547,720.70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元，同时确认本年资产减值损失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2,547,720.70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0" w:lineRule="auto"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日上海石基对上海鸿鹊信息科技有限公司进行投资，投资额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万，持股比例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。因公司并未参与 被投资单位任何经营，未在被投资单位派驻董事，故将此笔投资计入可供出售金融资产。</w:t>
      </w:r>
    </w:p>
    <w:p>
      <w:pPr>
        <w:spacing w:line="300" w:lineRule="auto" w:before="72"/>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：石基香港分别于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1.3550 </w:t>
      </w:r>
      <w:r>
        <w:rPr>
          <w:rFonts w:ascii="宋体" w:hAnsi="宋体" w:cs="宋体" w:eastAsia="宋体" w:hint="default"/>
          <w:sz w:val="18"/>
          <w:szCs w:val="18"/>
        </w:rPr>
        <w:t>美元购买被投资单位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Stay</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NTouch</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738,006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股，新增投资 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万美元（折合人民币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6,527,083.08</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元），持股比例由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增加至</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18.32%</w:t>
      </w:r>
      <w:r>
        <w:rPr>
          <w:rFonts w:ascii="宋体" w:hAnsi="宋体" w:cs="宋体" w:eastAsia="宋体" w:hint="default"/>
          <w:spacing w:val="-1"/>
          <w:sz w:val="18"/>
          <w:szCs w:val="18"/>
        </w:rPr>
        <w:t>。</w:t>
      </w:r>
    </w:p>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22"/>
          <w:sz w:val="18"/>
          <w:szCs w:val="18"/>
        </w:rPr>
        <w:t>：</w:t>
      </w:r>
      <w:r>
        <w:rPr>
          <w:rFonts w:ascii="宋体" w:hAnsi="宋体" w:cs="宋体" w:eastAsia="宋体" w:hint="default"/>
          <w:sz w:val="18"/>
          <w:szCs w:val="18"/>
        </w:rPr>
        <w:t>石基香港于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K</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ri </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宋体" w:hAnsi="宋体" w:cs="宋体" w:eastAsia="宋体" w:hint="default"/>
          <w:sz w:val="18"/>
          <w:szCs w:val="18"/>
        </w:rPr>
        <w:t>投资</w:t>
      </w:r>
      <w:r>
        <w:rPr>
          <w:rFonts w:ascii="宋体" w:hAnsi="宋体" w:cs="宋体" w:eastAsia="宋体" w:hint="default"/>
          <w:spacing w:val="-22"/>
          <w:sz w:val="18"/>
          <w:szCs w:val="18"/>
        </w:rPr>
        <w:t>，</w:t>
      </w:r>
      <w:r>
        <w:rPr>
          <w:rFonts w:ascii="宋体" w:hAnsi="宋体" w:cs="宋体" w:eastAsia="宋体" w:hint="default"/>
          <w:spacing w:val="-3"/>
          <w:sz w:val="18"/>
          <w:szCs w:val="18"/>
        </w:rPr>
        <w:t>投</w:t>
      </w:r>
      <w:r>
        <w:rPr>
          <w:rFonts w:ascii="宋体" w:hAnsi="宋体" w:cs="宋体" w:eastAsia="宋体" w:hint="default"/>
          <w:sz w:val="18"/>
          <w:szCs w:val="18"/>
        </w:rPr>
        <w:t>资额为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w:t>
      </w:r>
      <w:r>
        <w:rPr>
          <w:rFonts w:ascii="宋体" w:hAnsi="宋体" w:cs="宋体" w:eastAsia="宋体" w:hint="default"/>
          <w:spacing w:val="-22"/>
          <w:sz w:val="18"/>
          <w:szCs w:val="18"/>
        </w:rPr>
        <w:t>元</w:t>
      </w:r>
      <w:r>
        <w:rPr>
          <w:rFonts w:ascii="宋体" w:hAnsi="宋体" w:cs="宋体" w:eastAsia="宋体" w:hint="default"/>
          <w:sz w:val="18"/>
          <w:szCs w:val="18"/>
        </w:rPr>
        <w:t>（折合人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持股比</w:t>
      </w:r>
      <w:r>
        <w:rPr>
          <w:rFonts w:ascii="宋体" w:hAnsi="宋体" w:cs="宋体" w:eastAsia="宋体" w:hint="default"/>
          <w:spacing w:val="-3"/>
          <w:sz w:val="18"/>
          <w:szCs w:val="18"/>
        </w:rPr>
        <w:t>例</w:t>
      </w:r>
      <w:r>
        <w:rPr>
          <w:rFonts w:ascii="宋体" w:hAnsi="宋体" w:cs="宋体" w:eastAsia="宋体" w:hint="default"/>
          <w:sz w:val="18"/>
          <w:szCs w:val="18"/>
        </w:rPr>
        <w:t>为</w:t>
      </w:r>
    </w:p>
    <w:p>
      <w:pPr>
        <w:spacing w:before="6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1102"/>
        <w:gridCol w:w="994"/>
        <w:gridCol w:w="1135"/>
        <w:gridCol w:w="992"/>
        <w:gridCol w:w="991"/>
        <w:gridCol w:w="425"/>
        <w:gridCol w:w="994"/>
        <w:gridCol w:w="708"/>
        <w:gridCol w:w="492"/>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1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60"/>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35"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0"/>
              <w:ind w:left="28" w:right="2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08" w:type="dxa"/>
            <w:vMerge/>
            <w:tcBorders>
              <w:left w:val="single" w:sz="4" w:space="0" w:color="000000"/>
              <w:bottom w:val="single" w:sz="4" w:space="0" w:color="000000"/>
              <w:right w:val="single" w:sz="4" w:space="0" w:color="000000"/>
            </w:tcBorders>
            <w:shd w:val="clear" w:color="auto" w:fill="D2D2D2"/>
          </w:tcPr>
          <w:p>
            <w:pPr/>
          </w:p>
        </w:tc>
        <w:tc>
          <w:tcPr>
            <w:tcW w:w="49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汕头华汕 电子器件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3,759,690.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3,759,690.85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2,547,720.7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2,547,720.7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1.85%</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深圳京宝 实业有限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59.96%</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天津市房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166,707.61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166,707.61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166,707.61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166,707.61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0.01%</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1102"/>
        <w:gridCol w:w="994"/>
        <w:gridCol w:w="1135"/>
        <w:gridCol w:w="992"/>
        <w:gridCol w:w="991"/>
        <w:gridCol w:w="425"/>
        <w:gridCol w:w="994"/>
        <w:gridCol w:w="708"/>
        <w:gridCol w:w="492"/>
      </w:tblGrid>
      <w:tr>
        <w:trPr>
          <w:trHeight w:val="129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地产发展</w:t>
            </w:r>
          </w:p>
          <w:p>
            <w:pPr>
              <w:pStyle w:val="TableParagraph"/>
              <w:spacing w:line="316" w:lineRule="auto" w:before="77"/>
              <w:ind w:left="24" w:right="108"/>
              <w:jc w:val="both"/>
              <w:rPr>
                <w:rFonts w:ascii="宋体" w:hAnsi="宋体" w:cs="宋体" w:eastAsia="宋体" w:hint="default"/>
                <w:sz w:val="18"/>
                <w:szCs w:val="18"/>
              </w:rPr>
            </w:pPr>
            <w:r>
              <w:rPr>
                <w:rFonts w:ascii="宋体" w:hAnsi="宋体" w:cs="宋体" w:eastAsia="宋体" w:hint="default"/>
                <w:sz w:val="18"/>
                <w:szCs w:val="18"/>
              </w:rPr>
              <w:t>（集团）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上海鸿鹊 信息科技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1"/>
              <w:jc w:val="left"/>
              <w:rPr>
                <w:rFonts w:ascii="Times New Roman" w:hAnsi="Times New Roman" w:cs="Times New Roman" w:eastAsia="Times New Roman" w:hint="default"/>
                <w:sz w:val="18"/>
                <w:szCs w:val="18"/>
              </w:rPr>
            </w:pPr>
            <w:r>
              <w:rPr>
                <w:rFonts w:ascii="Times New Roman"/>
                <w:sz w:val="18"/>
              </w:rPr>
              <w:t>Stay </w:t>
            </w:r>
            <w:r>
              <w:rPr>
                <w:rFonts w:ascii="Times New Roman"/>
                <w:spacing w:val="-3"/>
                <w:sz w:val="18"/>
              </w:rPr>
              <w:t>NTouch</w:t>
            </w:r>
            <w:r>
              <w:rPr>
                <w:rFonts w:ascii="Times New Roman"/>
                <w:spacing w:val="-42"/>
                <w:sz w:val="18"/>
              </w:rPr>
              <w:t> </w:t>
            </w:r>
            <w:r>
              <w:rPr>
                <w:rFonts w:ascii="Times New Roman"/>
                <w:spacing w:val="-42"/>
                <w:sz w:val="18"/>
              </w:rPr>
            </w: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27,040,046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6,527,083.08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1,771,413.2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31,795,716.02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15.00%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8"/>
              <w:jc w:val="left"/>
              <w:rPr>
                <w:rFonts w:ascii="Times New Roman" w:hAnsi="Times New Roman" w:cs="Times New Roman" w:eastAsia="Times New Roman" w:hint="default"/>
                <w:sz w:val="18"/>
                <w:szCs w:val="18"/>
              </w:rPr>
            </w:pPr>
            <w:r>
              <w:rPr>
                <w:rFonts w:ascii="Times New Roman"/>
                <w:sz w:val="18"/>
              </w:rPr>
              <w:t>Kalibri Labs</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26,136,800.00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26,136,800.00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12.00%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33,566,444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34,363,883.08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1,771,413.2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66,158,914.48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466,707.61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2,547,720.7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3,014,428.3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1983"/>
        <w:gridCol w:w="2129"/>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466,707.61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466,707.61</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2,547,720.70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2,547,720.70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3,014,428.31</w:t>
            </w:r>
          </w:p>
        </w:tc>
        <w:tc>
          <w:tcPr>
            <w:tcW w:w="198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3,014,428.31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797"/>
        <w:gridCol w:w="1188"/>
        <w:gridCol w:w="1158"/>
        <w:gridCol w:w="1252"/>
        <w:gridCol w:w="1560"/>
        <w:gridCol w:w="142"/>
        <w:gridCol w:w="1135"/>
        <w:gridCol w:w="1133"/>
        <w:gridCol w:w="1274"/>
        <w:gridCol w:w="852"/>
        <w:gridCol w:w="1277"/>
        <w:gridCol w:w="1363"/>
        <w:gridCol w:w="799"/>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2" w:right="33"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78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449"/>
              <w:jc w:val="left"/>
              <w:rPr>
                <w:rFonts w:ascii="宋体" w:hAnsi="宋体" w:cs="宋体" w:eastAsia="宋体" w:hint="default"/>
                <w:sz w:val="18"/>
                <w:szCs w:val="18"/>
              </w:rPr>
            </w:pPr>
            <w:r>
              <w:rPr>
                <w:rFonts w:ascii="宋体" w:hAnsi="宋体" w:cs="宋体" w:eastAsia="宋体" w:hint="default"/>
                <w:sz w:val="18"/>
                <w:szCs w:val="18"/>
              </w:rPr>
              <w:t>权益法下确认的投 资损益</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1" w:right="95"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0" w:right="111"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9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139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浙江未来 酒店网络 技术有限 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9,824,827.44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-2,387,080.30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7,437,747.14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环迅（上 海）商业 保理有限 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11,277,539.47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8" w:right="0"/>
              <w:jc w:val="left"/>
              <w:rPr>
                <w:rFonts w:ascii="Times New Roman" w:hAnsi="Times New Roman" w:cs="Times New Roman" w:eastAsia="Times New Roman" w:hint="default"/>
                <w:sz w:val="18"/>
                <w:szCs w:val="18"/>
              </w:rPr>
            </w:pPr>
            <w:r>
              <w:rPr>
                <w:rFonts w:ascii="Times New Roman"/>
                <w:sz w:val="18"/>
              </w:rPr>
              <w:t>14,965.39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11,292,504.86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迅付信息 科技有限 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59,350,773.96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-417,910.20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-295,326.65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58,637,537.11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5"/>
              <w:jc w:val="left"/>
              <w:rPr>
                <w:rFonts w:ascii="Times New Roman" w:hAnsi="Times New Roman" w:cs="Times New Roman" w:eastAsia="Times New Roman" w:hint="default"/>
                <w:sz w:val="18"/>
                <w:szCs w:val="18"/>
              </w:rPr>
            </w:pPr>
            <w:r>
              <w:rPr>
                <w:rFonts w:ascii="Times New Roman"/>
                <w:sz w:val="18"/>
              </w:rPr>
              <w:t>Galasys</w:t>
            </w:r>
            <w:r>
              <w:rPr>
                <w:rFonts w:ascii="Times New Roman"/>
                <w:w w:val="99"/>
                <w:sz w:val="18"/>
              </w:rPr>
              <w:t> </w:t>
            </w:r>
            <w:r>
              <w:rPr>
                <w:rFonts w:ascii="Times New Roman"/>
                <w:sz w:val="18"/>
              </w:rPr>
              <w:t>Plc</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48,919,962.03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-340,761.23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-48,579,200.80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科传计算 机科技控 股有限公 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111,296,142.16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4,431,256.68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1,219,940.91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-7,482,466.74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109,464,873.01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7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青岛海信 智能商用</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150,462,762.68</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9,155,241.03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2,728,240.00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156,889,763.71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43"/>
          <w:footerReference w:type="default" r:id="rId44"/>
          <w:pgSz w:w="16840" w:h="11910" w:orient="landscape"/>
          <w:pgMar w:header="867" w:footer="980" w:top="1060" w:bottom="1160" w:left="1300" w:right="1300"/>
          <w:pgNumType w:start="139"/>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797"/>
        <w:gridCol w:w="1188"/>
        <w:gridCol w:w="1135"/>
        <w:gridCol w:w="1275"/>
        <w:gridCol w:w="1702"/>
        <w:gridCol w:w="1135"/>
        <w:gridCol w:w="1133"/>
        <w:gridCol w:w="1274"/>
        <w:gridCol w:w="852"/>
        <w:gridCol w:w="1277"/>
        <w:gridCol w:w="1363"/>
        <w:gridCol w:w="799"/>
      </w:tblGrid>
      <w:tr>
        <w:trPr>
          <w:trHeight w:val="689" w:hRule="exact"/>
        </w:trPr>
        <w:tc>
          <w:tcPr>
            <w:tcW w:w="79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41"/>
              <w:jc w:val="left"/>
              <w:rPr>
                <w:rFonts w:ascii="宋体" w:hAnsi="宋体" w:cs="宋体" w:eastAsia="宋体" w:hint="default"/>
                <w:sz w:val="18"/>
                <w:szCs w:val="18"/>
              </w:rPr>
            </w:pPr>
            <w:r>
              <w:rPr>
                <w:rFonts w:ascii="宋体" w:hAnsi="宋体" w:cs="宋体" w:eastAsia="宋体" w:hint="default"/>
                <w:sz w:val="18"/>
                <w:szCs w:val="18"/>
              </w:rPr>
              <w:t>系统股份 有限公司</w:t>
            </w:r>
          </w:p>
        </w:tc>
        <w:tc>
          <w:tcPr>
            <w:tcW w:w="1188"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363"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1"/>
              <w:jc w:val="left"/>
              <w:rPr>
                <w:rFonts w:ascii="Times New Roman" w:hAnsi="Times New Roman" w:cs="Times New Roman" w:eastAsia="Times New Roman" w:hint="default"/>
                <w:sz w:val="18"/>
                <w:szCs w:val="18"/>
              </w:rPr>
            </w:pPr>
            <w:r>
              <w:rPr>
                <w:rFonts w:ascii="Times New Roman"/>
                <w:sz w:val="18"/>
              </w:rPr>
              <w:t>H</w:t>
            </w:r>
            <w:r>
              <w:rPr>
                <w:rFonts w:ascii="Times New Roman"/>
                <w:spacing w:val="43"/>
                <w:sz w:val="18"/>
              </w:rPr>
              <w:t> </w:t>
            </w:r>
            <w:r>
              <w:rPr>
                <w:rFonts w:ascii="Times New Roman"/>
                <w:sz w:val="18"/>
              </w:rPr>
              <w:t>and</w:t>
            </w:r>
            <w:r>
              <w:rPr>
                <w:rFonts w:ascii="Times New Roman"/>
                <w:sz w:val="18"/>
              </w:rPr>
              <w:t> R</w:t>
            </w:r>
          </w:p>
          <w:p>
            <w:pPr>
              <w:pStyle w:val="TableParagraph"/>
              <w:spacing w:line="362" w:lineRule="auto" w:before="3"/>
              <w:ind w:left="23" w:right="302"/>
              <w:jc w:val="left"/>
              <w:rPr>
                <w:rFonts w:ascii="Times New Roman" w:hAnsi="Times New Roman" w:cs="Times New Roman" w:eastAsia="Times New Roman" w:hint="default"/>
                <w:sz w:val="18"/>
                <w:szCs w:val="18"/>
              </w:rPr>
            </w:pPr>
            <w:r>
              <w:rPr>
                <w:rFonts w:ascii="Times New Roman"/>
                <w:sz w:val="18"/>
              </w:rPr>
              <w:t>Group</w:t>
            </w:r>
            <w:r>
              <w:rPr>
                <w:rFonts w:ascii="Times New Roman"/>
                <w:w w:val="99"/>
                <w:sz w:val="18"/>
              </w:rPr>
              <w:t> </w:t>
            </w:r>
            <w:r>
              <w:rPr>
                <w:rFonts w:ascii="Times New Roman"/>
                <w:sz w:val="18"/>
              </w:rPr>
              <w:t>Ltd</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166,175,059.85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154,823,332.37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-11,351,727.4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3"/>
              <w:jc w:val="left"/>
              <w:rPr>
                <w:rFonts w:ascii="Times New Roman" w:hAnsi="Times New Roman" w:cs="Times New Roman" w:eastAsia="Times New Roman" w:hint="default"/>
                <w:sz w:val="18"/>
                <w:szCs w:val="18"/>
              </w:rPr>
            </w:pPr>
            <w:r>
              <w:rPr>
                <w:rFonts w:ascii="Times New Roman"/>
                <w:spacing w:val="-2"/>
                <w:sz w:val="18"/>
              </w:rPr>
              <w:t>Touchpea</w:t>
            </w:r>
            <w:r>
              <w:rPr>
                <w:rFonts w:ascii="Times New Roman"/>
                <w:spacing w:val="-41"/>
                <w:sz w:val="18"/>
              </w:rPr>
              <w:t> </w:t>
            </w:r>
            <w:r>
              <w:rPr>
                <w:rFonts w:ascii="Times New Roman"/>
                <w:spacing w:val="-41"/>
                <w:sz w:val="18"/>
              </w:rPr>
            </w:r>
            <w:r>
              <w:rPr>
                <w:rFonts w:ascii="Times New Roman"/>
                <w:sz w:val="18"/>
              </w:rPr>
              <w:t>k Software</w:t>
            </w:r>
            <w:r>
              <w:rPr>
                <w:rFonts w:ascii="Times New Roman"/>
                <w:sz w:val="18"/>
              </w:rPr>
              <w:t> Inc</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9,801,347.35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-362,856.96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12,288.01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9,450,778.40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557,307,067.59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9,801,347.35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154,823,332.37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10,092,854.41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924,614.26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-18,821,906.2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2,728,240.00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-48,579,200.80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353,173,204.23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557,307,067.59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9,801,347.35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154,823,332.37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10,092,854.41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924,614.26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-18,821,906.2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2,728,240.00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-48,579,200.80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353,173,204.23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20" w:right="10818" w:firstLine="0"/>
        <w:jc w:val="left"/>
        <w:rPr>
          <w:rFonts w:ascii="宋体" w:hAnsi="宋体" w:cs="宋体" w:eastAsia="宋体" w:hint="default"/>
          <w:sz w:val="18"/>
          <w:szCs w:val="18"/>
        </w:rPr>
      </w:pPr>
      <w:r>
        <w:rPr>
          <w:rFonts w:ascii="宋体" w:hAnsi="宋体" w:cs="宋体" w:eastAsia="宋体" w:hint="default"/>
          <w:sz w:val="18"/>
          <w:szCs w:val="18"/>
        </w:rPr>
        <w:t>其他说明 其他权益变动系报表折算汇率变动影响。</w:t>
      </w:r>
    </w:p>
    <w:p>
      <w:pPr>
        <w:spacing w:after="0" w:line="360" w:lineRule="auto"/>
        <w:jc w:val="left"/>
        <w:rPr>
          <w:rFonts w:ascii="宋体" w:hAnsi="宋体" w:cs="宋体" w:eastAsia="宋体" w:hint="default"/>
          <w:sz w:val="18"/>
          <w:szCs w:val="18"/>
        </w:rPr>
        <w:sectPr>
          <w:pgSz w:w="16840" w:h="11910" w:orient="landscape"/>
          <w:pgMar w:header="867" w:footer="980" w:top="1060" w:bottom="1160" w:left="1320" w:right="132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8"/>
        <w:gridCol w:w="1656"/>
        <w:gridCol w:w="1620"/>
        <w:gridCol w:w="1356"/>
        <w:gridCol w:w="1561"/>
      </w:tblGrid>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56" w:type="dxa"/>
            <w:tcBorders>
              <w:top w:val="single" w:sz="4" w:space="0" w:color="000000"/>
              <w:left w:val="single" w:sz="12" w:space="0" w:color="D2D2D2"/>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152,847,281.69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5,370,704.11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158,217,985.80</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810,810.81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15,229,189.38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16,040,000.19</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6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810,810.81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810,810.81</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）房屋、建筑物拆分</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15,229,189.38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15,229,189.38</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92,028,235.07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92,028,235.07</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92,021,610.54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92,021,610.54</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6,624.53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6,624.53</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61,629,857.43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20,599,893.49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82,229,750.92</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51,438,820.49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535,401.12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51,974,221.61</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1,050,067.04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5,400,611.61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6,450,678.65</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1,050,067.04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133,850.28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1,183,917.32</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）房屋、建筑物拆分摊销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5,266,761.33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5,266,761.33</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32,523,497.92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32,523,497.92</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32,512,490.56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32,512,490.56</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11,007.36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11,007.36</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19,965,389.61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5,936,012.73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25,901,402.34</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45"/>
          <w:footerReference w:type="default" r:id="rId46"/>
          <w:pgSz w:w="11910" w:h="16840"/>
          <w:pgMar w:header="877" w:footer="980" w:top="1100" w:bottom="1160" w:left="980" w:right="980"/>
          <w:pgNumType w:start="14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08"/>
        <w:gridCol w:w="1656"/>
        <w:gridCol w:w="1620"/>
        <w:gridCol w:w="1356"/>
        <w:gridCol w:w="1561"/>
      </w:tblGrid>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41,664,467.82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14,663,880.76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11"/>
              <w:jc w:val="right"/>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56,328,348.58</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101,408,461.20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4,835,302.99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106,243,764.19</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07"/>
        <w:gridCol w:w="1522"/>
        <w:gridCol w:w="1416"/>
        <w:gridCol w:w="1560"/>
        <w:gridCol w:w="1419"/>
        <w:gridCol w:w="1416"/>
      </w:tblGrid>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办公设备及家具</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421,236,762.85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11,925,163.42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33,254,563.10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33,764,577.31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500,181,066.68</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27,794,626.77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143,380.13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11,113,601.24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1,168,446.93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40,220,055.07</w:t>
            </w: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1,722,337.44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143,380.13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8,015,288.80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1,168,446.93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11,049,453.30</w:t>
            </w:r>
          </w:p>
        </w:tc>
      </w:tr>
      <w:tr>
        <w:trPr>
          <w:trHeight w:val="404"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2,830,975.78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2,830,975.78</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267,336.66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267,336.66</w:t>
            </w: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）投资性房地产转入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26,072,289.33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26,072,289.33</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27,911,235.64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768,473.54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2,785,264.11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1,790,921.52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33,255,894.81</w:t>
            </w: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26,517,432.83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745,674.00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2,785,264.11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1,790,921.52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31,839,292.46</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810,810.81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810,810.81</w:t>
            </w: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582,992.00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22,799.54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605,791.54</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421,120,153.98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11,300,070.01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41,582,900.23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33,142,102.72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507,145,226.94</w:t>
            </w: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89,247,867.18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9,016,516.30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22,988,912.54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27,482,943.38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148,736,239.40</w:t>
            </w:r>
          </w:p>
        </w:tc>
      </w:tr>
      <w:tr>
        <w:trPr>
          <w:trHeight w:val="401"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35,398,783.14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479,848.03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9,562,155.22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2,363,583.87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47,804,370.26</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24,276,523.89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479,848.03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7,382,734.97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2,363,583.87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34,502,690.76</w:t>
            </w:r>
          </w:p>
        </w:tc>
      </w:tr>
      <w:tr>
        <w:trPr>
          <w:trHeight w:val="403" w:hRule="exact"/>
        </w:trPr>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2,179,420.25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2,179,420.25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06"/>
        <w:gridCol w:w="1522"/>
        <w:gridCol w:w="1416"/>
        <w:gridCol w:w="1560"/>
        <w:gridCol w:w="1419"/>
        <w:gridCol w:w="1416"/>
      </w:tblGrid>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）投资性房地产转入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11,122,259.25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11,122,259.25</w:t>
            </w:r>
          </w:p>
        </w:tc>
      </w:tr>
      <w:tr>
        <w:trPr>
          <w:trHeight w:val="404" w:hRule="exact"/>
        </w:trPr>
        <w:tc>
          <w:tcPr>
            <w:tcW w:w="2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13,361,083.07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527,952.18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2,818,700.57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1,589,645.41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18,297,381.23</w:t>
            </w:r>
          </w:p>
        </w:tc>
      </w:tr>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13,146,738.23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490,900.90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2,610,902.12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1,589,645.41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17,838,186.66</w:t>
            </w: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214,344.84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37,051.28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207,798.45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459,194.57</w:t>
            </w:r>
          </w:p>
        </w:tc>
      </w:tr>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111,285,567.25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8,968,412.15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29,732,367.19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28,256,881.84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178,243,228.43</w:t>
            </w: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59,460.72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377,276.13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99,958.27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612,511.98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1,149,207.10</w:t>
            </w: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227,039.01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6,112.82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119,227.02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352,378.85</w:t>
            </w:r>
          </w:p>
        </w:tc>
      </w:tr>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227,039.01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119,227.02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352,378.85</w:t>
            </w: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59,460.72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150,237.12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93,845.45</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493,284.96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796,828.25</w:t>
            </w:r>
          </w:p>
        </w:tc>
      </w:tr>
      <w:tr>
        <w:trPr>
          <w:trHeight w:val="401"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309,775,126.01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2,181,420.74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11,756,687.59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4,391,935.92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328,105,170.26</w:t>
            </w:r>
          </w:p>
        </w:tc>
      </w:tr>
      <w:tr>
        <w:trPr>
          <w:trHeight w:val="403" w:hRule="exact"/>
        </w:trPr>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331,929,434.95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2,531,370.99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10,165,692.29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5,669,121.95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350,295,620.18</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983"/>
        <w:gridCol w:w="4892"/>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客户技术支持服务中心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5,203,068.67</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一、二期同时申请，目前二期尚未施工，故未能取得房产证</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双铁兴苑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1-2714 </w:t>
            </w:r>
            <w:r>
              <w:rPr>
                <w:rFonts w:ascii="宋体" w:hAnsi="宋体" w:cs="宋体" w:eastAsia="宋体" w:hint="default"/>
                <w:sz w:val="18"/>
                <w:szCs w:val="18"/>
              </w:rPr>
              <w:t>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1-2721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11,909,586.67</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目前正在办理</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恒生科技园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39,534,017.00</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目前正在办理</w:t>
            </w:r>
          </w:p>
        </w:tc>
      </w:tr>
    </w:tbl>
    <w:p>
      <w:pPr>
        <w:spacing w:line="357" w:lineRule="auto" w:before="49"/>
        <w:ind w:left="152" w:right="90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办公楼改造项目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52,062,798.61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52,062,798.61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13,540,623.15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13,540,623.15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52,062,798.61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52,062,798.61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13,540,623.15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13,540,623.15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4"/>
          <w:szCs w:val="24"/>
        </w:rPr>
      </w:pPr>
    </w:p>
    <w:p>
      <w:pPr>
        <w:pStyle w:val="Heading7"/>
        <w:spacing w:line="240" w:lineRule="auto"/>
        <w:ind w:left="140" w:right="-1"/>
        <w:jc w:val="left"/>
        <w:rPr>
          <w:b w:val="0"/>
          <w:bCs w:val="0"/>
        </w:rPr>
      </w:pPr>
      <w:r>
        <w:rPr/>
        <w:pict>
          <v:group style="position:absolute;margin-left:70.559998pt;margin-top:-.476309pt;width:700.9pt;height:.1pt;mso-position-horizontal-relative:page;mso-position-vertical-relative:paragraph;z-index:1840" coordorigin="1411,-10" coordsize="14018,2">
            <v:shape style="position:absolute;left:1411;top:-10;width:14018;height:2" coordorigin="1411,-10" coordsize="14018,0" path="m1411,-10l15429,-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2</w:t>
      </w:r>
      <w:r>
        <w:rPr>
          <w:spacing w:val="-1"/>
        </w:rPr>
        <w:t>）重要在建工程项目本期变动情况</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47"/>
          <w:footerReference w:type="default" r:id="rId48"/>
          <w:pgSz w:w="16840" w:h="11910" w:orient="landscape"/>
          <w:pgMar w:header="0" w:footer="0" w:top="800" w:bottom="280" w:left="1300" w:right="1220"/>
          <w:cols w:num="2" w:equalWidth="0">
            <w:col w:w="3621" w:space="5748"/>
            <w:col w:w="4951"/>
          </w:cols>
        </w:sectPr>
      </w:pPr>
    </w:p>
    <w:p>
      <w:pPr>
        <w:spacing w:line="240" w:lineRule="auto" w:before="12"/>
        <w:rPr>
          <w:rFonts w:ascii="宋体" w:hAnsi="宋体" w:cs="宋体" w:eastAsia="宋体" w:hint="default"/>
          <w:sz w:val="22"/>
          <w:szCs w:val="22"/>
        </w:rPr>
      </w:pPr>
    </w:p>
    <w:p>
      <w:pPr>
        <w:spacing w:before="44"/>
        <w:ind w:left="0" w:right="31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852"/>
        <w:gridCol w:w="1274"/>
        <w:gridCol w:w="1135"/>
        <w:gridCol w:w="1275"/>
        <w:gridCol w:w="852"/>
        <w:gridCol w:w="708"/>
        <w:gridCol w:w="1135"/>
        <w:gridCol w:w="850"/>
        <w:gridCol w:w="2834"/>
        <w:gridCol w:w="708"/>
        <w:gridCol w:w="853"/>
        <w:gridCol w:w="775"/>
        <w:gridCol w:w="499"/>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60"/>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z w:val="18"/>
                <w:szCs w:val="18"/>
              </w:rPr>
              <w:t>本期利息 资本化率</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5"/>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65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办公楼改 造项目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13,540,623.15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38,522,175.46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52,062,798.61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23.66%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4"/>
              <w:jc w:val="both"/>
              <w:rPr>
                <w:rFonts w:ascii="Times New Roman" w:hAnsi="Times New Roman" w:cs="Times New Roman" w:eastAsia="Times New Roman" w:hint="default"/>
                <w:sz w:val="18"/>
                <w:szCs w:val="18"/>
              </w:rPr>
            </w:pPr>
            <w:r>
              <w:rPr>
                <w:rFonts w:ascii="宋体" w:hAnsi="宋体" w:cs="宋体" w:eastAsia="宋体" w:hint="default"/>
                <w:sz w:val="18"/>
                <w:szCs w:val="18"/>
              </w:rPr>
              <w:t>工程进度一标段办公楼装修工程主 体拆除工程已完工，二标段已取得 建筑工程规划许可证，尚未正式开 始施工，预计项目完工时间为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6" w:lineRule="exact"/>
              <w:ind w:left="2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220,000,000.00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13,540,623.15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38,522,175.46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52,062,798.61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59" w:lineRule="auto"/>
        <w:ind w:left="140" w:right="94"/>
        <w:jc w:val="left"/>
      </w:pPr>
      <w:r>
        <w:rPr>
          <w:spacing w:val="-6"/>
          <w:w w:val="100"/>
        </w:rPr>
        <w:t>注</w:t>
      </w:r>
      <w:r>
        <w:rPr>
          <w:rFonts w:ascii="宋体" w:hAnsi="宋体" w:cs="宋体" w:eastAsia="宋体" w:hint="default"/>
          <w:spacing w:val="-6"/>
          <w:w w:val="100"/>
        </w:rPr>
        <w:t>:</w:t>
      </w:r>
      <w:r>
        <w:rPr>
          <w:spacing w:val="-6"/>
          <w:w w:val="100"/>
        </w:rPr>
        <w:t>根据本公司</w:t>
      </w:r>
      <w:r>
        <w:rPr>
          <w:rFonts w:ascii="宋体" w:hAnsi="宋体" w:cs="宋体" w:eastAsia="宋体" w:hint="default"/>
          <w:spacing w:val="-6"/>
          <w:w w:val="100"/>
        </w:rPr>
        <w:t>2016</w:t>
      </w:r>
      <w:r>
        <w:rPr>
          <w:spacing w:val="-6"/>
          <w:w w:val="100"/>
        </w:rPr>
        <w:t>年第二次总裁办公会审议通过《关于修改中电器件办公大楼改造方案的议案》和《关于办公大楼改造项目相关事项的议案》，</w:t>
      </w:r>
      <w:r>
        <w:rPr>
          <w:w w:val="100"/>
        </w:rPr>
        <w:t> </w:t>
      </w:r>
      <w:r>
        <w:rPr/>
        <w:t>本公司授权全资子公司中电器件董事会办理办公大楼改造过程中相关事项。在投资额不超过</w:t>
      </w:r>
      <w:r>
        <w:rPr>
          <w:rFonts w:ascii="宋体" w:hAnsi="宋体" w:cs="宋体" w:eastAsia="宋体" w:hint="default"/>
        </w:rPr>
        <w:t>1</w:t>
      </w:r>
      <w:r>
        <w:rPr/>
        <w:t>亿元人民币情况下，根据中电器件公司制度设置审批</w:t>
      </w:r>
      <w:r>
        <w:rPr>
          <w:w w:val="100"/>
        </w:rPr>
        <w:t> </w:t>
      </w:r>
      <w:r>
        <w:rPr/>
        <w:t>权限；如投资额超过</w:t>
      </w:r>
      <w:r>
        <w:rPr>
          <w:rFonts w:ascii="宋体" w:hAnsi="宋体" w:cs="宋体" w:eastAsia="宋体" w:hint="default"/>
        </w:rPr>
        <w:t>1</w:t>
      </w:r>
      <w:r>
        <w:rPr/>
        <w:t>亿元人民币，需申请另行审批。</w:t>
      </w:r>
    </w:p>
    <w:p>
      <w:pPr>
        <w:spacing w:line="240" w:lineRule="auto" w:before="11"/>
        <w:rPr>
          <w:rFonts w:ascii="宋体" w:hAnsi="宋体" w:cs="宋体" w:eastAsia="宋体" w:hint="default"/>
          <w:sz w:val="18"/>
          <w:szCs w:val="18"/>
        </w:rPr>
      </w:pPr>
    </w:p>
    <w:p>
      <w:pPr>
        <w:pStyle w:val="Heading6"/>
        <w:spacing w:line="259" w:lineRule="auto"/>
        <w:ind w:left="140" w:right="94"/>
        <w:jc w:val="left"/>
      </w:pPr>
      <w:r>
        <w:rPr>
          <w:spacing w:val="-3"/>
        </w:rPr>
        <w:t>根据该项目已签订合同情况，预计项目总预算</w:t>
      </w:r>
      <w:r>
        <w:rPr>
          <w:rFonts w:ascii="宋体" w:hAnsi="宋体" w:cs="宋体" w:eastAsia="宋体" w:hint="default"/>
          <w:spacing w:val="-3"/>
        </w:rPr>
        <w:t>2.2</w:t>
      </w:r>
      <w:r>
        <w:rPr>
          <w:spacing w:val="-3"/>
        </w:rPr>
        <w:t>亿元，工程进度一标段办公楼装修工程拆除工程已完工，二标段已取得建筑工程规划许可证，</w:t>
      </w:r>
      <w:r>
        <w:rPr>
          <w:w w:val="100"/>
        </w:rPr>
        <w:t> </w:t>
      </w:r>
      <w:r>
        <w:rPr/>
        <w:t>尚未正式开始施工，预计项目完工时间为</w:t>
      </w:r>
      <w:r>
        <w:rPr>
          <w:rFonts w:ascii="宋体" w:hAnsi="宋体" w:cs="宋体" w:eastAsia="宋体" w:hint="default"/>
        </w:rPr>
        <w:t>2019</w:t>
      </w:r>
      <w:r>
        <w:rPr/>
        <w:t>年</w:t>
      </w:r>
      <w:r>
        <w:rPr>
          <w:rFonts w:ascii="宋体" w:hAnsi="宋体" w:cs="宋体" w:eastAsia="宋体" w:hint="default"/>
        </w:rPr>
        <w:t>5</w:t>
      </w:r>
      <w:r>
        <w:rPr/>
        <w:t>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76"/>
        <w:ind w:left="0" w:right="213" w:firstLine="0"/>
        <w:jc w:val="right"/>
        <w:rPr>
          <w:rFonts w:ascii="Times New Roman" w:hAnsi="Times New Roman" w:cs="Times New Roman" w:eastAsia="Times New Roman" w:hint="default"/>
          <w:sz w:val="18"/>
          <w:szCs w:val="18"/>
        </w:rPr>
      </w:pPr>
      <w:r>
        <w:rPr>
          <w:rFonts w:ascii="Times New Roman"/>
          <w:sz w:val="18"/>
        </w:rPr>
        <w:t>144</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7"/>
        <w:spacing w:line="240" w:lineRule="auto" w:before="36"/>
        <w:ind w:right="15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1277"/>
        <w:gridCol w:w="708"/>
        <w:gridCol w:w="672"/>
        <w:gridCol w:w="1198"/>
        <w:gridCol w:w="1195"/>
        <w:gridCol w:w="1196"/>
        <w:gridCol w:w="1198"/>
      </w:tblGrid>
      <w:tr>
        <w:trPr>
          <w:trHeight w:val="161" w:hRule="exact"/>
        </w:trPr>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1" w:right="59" w:hanging="89"/>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198" w:type="dxa"/>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1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2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672" w:type="dxa"/>
            <w:vMerge/>
            <w:tcBorders>
              <w:left w:val="single" w:sz="4" w:space="0" w:color="000000"/>
              <w:right w:val="single" w:sz="4" w:space="0" w:color="000000"/>
            </w:tcBorders>
            <w:shd w:val="clear" w:color="auto" w:fill="D2D2D2"/>
          </w:tcPr>
          <w:p>
            <w:pPr/>
          </w:p>
        </w:tc>
        <w:tc>
          <w:tcPr>
            <w:tcW w:w="1198" w:type="dxa"/>
            <w:vMerge/>
            <w:tcBorders>
              <w:left w:val="single" w:sz="10" w:space="0" w:color="D2D2D2"/>
              <w:right w:val="single" w:sz="4" w:space="0" w:color="000000"/>
            </w:tcBorders>
            <w:shd w:val="clear" w:color="auto" w:fill="D9D9D9"/>
          </w:tcPr>
          <w:p>
            <w:pPr/>
          </w:p>
        </w:tc>
        <w:tc>
          <w:tcPr>
            <w:tcW w:w="1195" w:type="dxa"/>
            <w:vMerge/>
            <w:tcBorders>
              <w:left w:val="single" w:sz="4" w:space="0" w:color="000000"/>
              <w:right w:val="single" w:sz="4" w:space="0" w:color="000000"/>
            </w:tcBorders>
            <w:shd w:val="clear" w:color="auto" w:fill="D9D9D9"/>
          </w:tcPr>
          <w:p>
            <w:pPr/>
          </w:p>
        </w:tc>
        <w:tc>
          <w:tcPr>
            <w:tcW w:w="1196" w:type="dxa"/>
            <w:vMerge/>
            <w:tcBorders>
              <w:left w:val="single" w:sz="4" w:space="0" w:color="000000"/>
              <w:right w:val="single" w:sz="4" w:space="0" w:color="000000"/>
            </w:tcBorders>
            <w:shd w:val="clear" w:color="auto" w:fill="D9D9D9"/>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shd w:val="clear" w:color="auto" w:fill="D9D9D9"/>
          </w:tcPr>
          <w:p>
            <w:pPr/>
          </w:p>
        </w:tc>
        <w:tc>
          <w:tcPr>
            <w:tcW w:w="1195" w:type="dxa"/>
            <w:vMerge/>
            <w:tcBorders>
              <w:left w:val="single" w:sz="4" w:space="0" w:color="000000"/>
              <w:bottom w:val="single" w:sz="4" w:space="0" w:color="000000"/>
              <w:right w:val="single" w:sz="4" w:space="0" w:color="000000"/>
            </w:tcBorders>
            <w:shd w:val="clear" w:color="auto" w:fill="D9D9D9"/>
          </w:tcPr>
          <w:p>
            <w:pPr/>
          </w:p>
        </w:tc>
        <w:tc>
          <w:tcPr>
            <w:tcW w:w="1196" w:type="dxa"/>
            <w:vMerge/>
            <w:tcBorders>
              <w:left w:val="single" w:sz="4" w:space="0" w:color="000000"/>
              <w:bottom w:val="single" w:sz="4" w:space="0" w:color="000000"/>
              <w:right w:val="single" w:sz="4" w:space="0" w:color="000000"/>
            </w:tcBorders>
            <w:shd w:val="clear" w:color="auto" w:fill="D9D9D9"/>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7"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68,025,023.58</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58,701,387.73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371,828,157.49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501,004,568.80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54,205,595.18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242,226,782.29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296,432,377.47</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3,485,463.35</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9,588,406.58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13,073,869.93</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55,536,095.42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55,536,095.42</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177,102,280.29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177,102,280.29</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投资性房地产转入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50,720,131.83</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50,720,131.83</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3,335,854.78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2,276,467.69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5,612,322.47</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3,335,854.78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2,276,467.69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5,612,322.47</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122,230,618.76</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55,365,532.95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611,778,472.09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791,824,623.80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12,105,982.59</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12,446,553.08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231,182,150.85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255,734,686.52</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23,552,709.69</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4,215,235.33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80,598,229.31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108,366,174.33</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7,429,239.71</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4,215,235.33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50,022,155.57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61,666,630.61</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30,576,073.74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30,576,073.74</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）投资性房地产转入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16,123,469.98</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16,123,469.98</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445,155.66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6,054,537.74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6,499,693.40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445,155.66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6,054,537.74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6,499,693.40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35,658,692.28</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16,216,632.75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305,725,842.42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357,601,167.45</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12,129,362.85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14,203,362.85</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9"/>
          <w:pgSz w:w="11910" w:h="16840"/>
          <w:pgMar w:footer="980" w:header="0" w:top="1100" w:bottom="1160" w:left="980" w:right="980"/>
          <w:pgNumType w:start="145"/>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277"/>
        <w:gridCol w:w="708"/>
        <w:gridCol w:w="672"/>
        <w:gridCol w:w="1198"/>
        <w:gridCol w:w="1195"/>
        <w:gridCol w:w="1196"/>
        <w:gridCol w:w="1198"/>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2,074,000.00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12,129,362.85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14,203,362.85</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86,571,926.48</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39,148,900.20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293,923,266.82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420,020,093.50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55,919,040.99</w:t>
            </w: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46,254,834.65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128,516,643.79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231,066,519.43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79.30%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shape style="position:absolute;margin-left:458.709991pt;margin-top:39.951733pt;width:17.520178pt;height:35.25pt;mso-position-horizontal-relative:page;mso-position-vertical-relative:paragraph;z-index:1864" type="#_x0000_t75" stroked="false">
            <v:imagedata r:id="rId50" o:titl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04"/>
        <w:gridCol w:w="1075"/>
        <w:gridCol w:w="1361"/>
        <w:gridCol w:w="595"/>
        <w:gridCol w:w="1064"/>
        <w:gridCol w:w="1063"/>
        <w:gridCol w:w="1063"/>
        <w:gridCol w:w="361"/>
        <w:gridCol w:w="1272"/>
      </w:tblGrid>
      <w:tr>
        <w:trPr>
          <w:trHeight w:val="401" w:hRule="exact"/>
        </w:trPr>
        <w:tc>
          <w:tcPr>
            <w:tcW w:w="1804" w:type="dxa"/>
            <w:tcBorders>
              <w:top w:val="single" w:sz="4" w:space="0" w:color="000000"/>
              <w:left w:val="single" w:sz="4" w:space="0" w:color="000000"/>
              <w:bottom w:val="nil" w:sz="6" w:space="0" w:color="auto"/>
              <w:right w:val="single" w:sz="4" w:space="0" w:color="000000"/>
            </w:tcBorders>
            <w:shd w:val="clear" w:color="auto" w:fill="D9D9D9"/>
          </w:tcPr>
          <w:p>
            <w:pPr/>
          </w:p>
        </w:tc>
        <w:tc>
          <w:tcPr>
            <w:tcW w:w="1075" w:type="dxa"/>
            <w:tcBorders>
              <w:top w:val="single" w:sz="4" w:space="0" w:color="000000"/>
              <w:left w:val="single" w:sz="4" w:space="0" w:color="000000"/>
              <w:bottom w:val="nil" w:sz="6" w:space="0" w:color="auto"/>
              <w:right w:val="single" w:sz="4" w:space="0" w:color="000000"/>
            </w:tcBorders>
            <w:shd w:val="clear" w:color="auto" w:fill="D9D9D9"/>
          </w:tcPr>
          <w:p>
            <w:pPr/>
          </w:p>
        </w:tc>
        <w:tc>
          <w:tcPr>
            <w:tcW w:w="302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96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8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72" w:type="dxa"/>
            <w:vMerge w:val="restart"/>
            <w:tcBorders>
              <w:top w:val="single" w:sz="4" w:space="0" w:color="000000"/>
              <w:left w:val="single" w:sz="9" w:space="0" w:color="D9D9D9"/>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1804"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1" w:type="dxa"/>
            <w:tcBorders>
              <w:top w:val="single" w:sz="4" w:space="0" w:color="000000"/>
              <w:left w:val="single" w:sz="4" w:space="0" w:color="000000"/>
              <w:bottom w:val="nil" w:sz="6" w:space="0" w:color="auto"/>
              <w:right w:val="single" w:sz="4" w:space="0" w:color="000000"/>
            </w:tcBorders>
            <w:shd w:val="clear" w:color="auto" w:fill="D9D9D9"/>
          </w:tcPr>
          <w:p>
            <w:pPr/>
          </w:p>
        </w:tc>
        <w:tc>
          <w:tcPr>
            <w:tcW w:w="595"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4"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49"/>
              <w:ind w:left="348"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361" w:type="dxa"/>
            <w:vMerge w:val="restart"/>
            <w:tcBorders>
              <w:top w:val="single" w:sz="4" w:space="0" w:color="000000"/>
              <w:left w:val="single" w:sz="12" w:space="0" w:color="D9D9D9"/>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tc>
        <w:tc>
          <w:tcPr>
            <w:tcW w:w="1272" w:type="dxa"/>
            <w:vMerge/>
            <w:tcBorders>
              <w:left w:val="single" w:sz="9" w:space="0" w:color="D9D9D9"/>
              <w:right w:val="single" w:sz="4" w:space="0" w:color="000000"/>
            </w:tcBorders>
            <w:shd w:val="clear" w:color="auto" w:fill="D2D2D2"/>
          </w:tcPr>
          <w:p>
            <w:pPr/>
          </w:p>
        </w:tc>
      </w:tr>
      <w:tr>
        <w:trPr>
          <w:trHeight w:val="193" w:hRule="exact"/>
        </w:trPr>
        <w:tc>
          <w:tcPr>
            <w:tcW w:w="1804" w:type="dxa"/>
            <w:vMerge/>
            <w:tcBorders>
              <w:left w:val="single" w:sz="4" w:space="0" w:color="000000"/>
              <w:bottom w:val="nil" w:sz="6" w:space="0" w:color="auto"/>
              <w:right w:val="single" w:sz="4" w:space="0" w:color="000000"/>
            </w:tcBorders>
            <w:shd w:val="clear" w:color="auto" w:fill="D9D9D9"/>
          </w:tcPr>
          <w:p>
            <w:pPr/>
          </w:p>
        </w:tc>
        <w:tc>
          <w:tcPr>
            <w:tcW w:w="1075" w:type="dxa"/>
            <w:vMerge/>
            <w:tcBorders>
              <w:left w:val="single" w:sz="4" w:space="0" w:color="000000"/>
              <w:bottom w:val="nil" w:sz="6" w:space="0" w:color="auto"/>
              <w:right w:val="single" w:sz="4" w:space="0" w:color="000000"/>
            </w:tcBorders>
            <w:shd w:val="clear" w:color="auto" w:fill="D9D9D9"/>
          </w:tcPr>
          <w:p>
            <w:pPr/>
          </w:p>
        </w:tc>
        <w:tc>
          <w:tcPr>
            <w:tcW w:w="1361"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9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361" w:type="dxa"/>
            <w:vMerge/>
            <w:tcBorders>
              <w:left w:val="single" w:sz="12" w:space="0" w:color="D9D9D9"/>
              <w:right w:val="single" w:sz="4" w:space="0" w:color="000000"/>
            </w:tcBorders>
          </w:tcPr>
          <w:p>
            <w:pPr/>
          </w:p>
        </w:tc>
        <w:tc>
          <w:tcPr>
            <w:tcW w:w="1272" w:type="dxa"/>
            <w:vMerge/>
            <w:tcBorders>
              <w:left w:val="single" w:sz="9" w:space="0" w:color="D9D9D9"/>
              <w:right w:val="single" w:sz="4" w:space="0" w:color="000000"/>
            </w:tcBorders>
            <w:shd w:val="clear" w:color="auto" w:fill="D2D2D2"/>
          </w:tcPr>
          <w:p>
            <w:pPr/>
          </w:p>
        </w:tc>
      </w:tr>
      <w:tr>
        <w:trPr>
          <w:trHeight w:val="202" w:hRule="exact"/>
        </w:trPr>
        <w:tc>
          <w:tcPr>
            <w:tcW w:w="1804" w:type="dxa"/>
            <w:vMerge w:val="restart"/>
            <w:tcBorders>
              <w:top w:val="nil" w:sz="6" w:space="0" w:color="auto"/>
              <w:left w:val="single" w:sz="4" w:space="0" w:color="000000"/>
              <w:right w:val="single" w:sz="4" w:space="0" w:color="000000"/>
            </w:tcBorders>
            <w:shd w:val="clear" w:color="auto" w:fill="D9D9D9"/>
          </w:tcPr>
          <w:p>
            <w:pPr/>
          </w:p>
        </w:tc>
        <w:tc>
          <w:tcPr>
            <w:tcW w:w="1075" w:type="dxa"/>
            <w:vMerge w:val="restart"/>
            <w:tcBorders>
              <w:top w:val="nil" w:sz="6" w:space="0" w:color="auto"/>
              <w:left w:val="single" w:sz="4" w:space="0" w:color="000000"/>
              <w:right w:val="single" w:sz="4" w:space="0" w:color="000000"/>
            </w:tcBorders>
            <w:shd w:val="clear" w:color="auto" w:fill="D9D9D9"/>
          </w:tcPr>
          <w:p>
            <w:pPr/>
          </w:p>
        </w:tc>
        <w:tc>
          <w:tcPr>
            <w:tcW w:w="1361" w:type="dxa"/>
            <w:vMerge/>
            <w:tcBorders>
              <w:left w:val="single" w:sz="4" w:space="0" w:color="000000"/>
              <w:bottom w:val="nil" w:sz="6" w:space="0" w:color="auto"/>
              <w:right w:val="single" w:sz="4" w:space="0" w:color="000000"/>
            </w:tcBorders>
            <w:shd w:val="clear" w:color="auto" w:fill="D9D9D9"/>
          </w:tcPr>
          <w:p>
            <w:pPr/>
          </w:p>
        </w:tc>
        <w:tc>
          <w:tcPr>
            <w:tcW w:w="595" w:type="dxa"/>
            <w:vMerge/>
            <w:tcBorders>
              <w:left w:val="single" w:sz="4" w:space="0" w:color="000000"/>
              <w:bottom w:val="nil" w:sz="6" w:space="0" w:color="auto"/>
              <w:right w:val="single" w:sz="4" w:space="0" w:color="000000"/>
            </w:tcBorders>
            <w:shd w:val="clear" w:color="auto" w:fill="D9D9D9"/>
          </w:tcPr>
          <w:p>
            <w:pPr/>
          </w:p>
        </w:tc>
        <w:tc>
          <w:tcPr>
            <w:tcW w:w="1064" w:type="dxa"/>
            <w:vMerge/>
            <w:tcBorders>
              <w:left w:val="single" w:sz="4" w:space="0" w:color="000000"/>
              <w:bottom w:val="nil" w:sz="6" w:space="0" w:color="auto"/>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361" w:type="dxa"/>
            <w:vMerge/>
            <w:tcBorders>
              <w:left w:val="single" w:sz="12" w:space="0" w:color="D9D9D9"/>
              <w:right w:val="single" w:sz="4" w:space="0" w:color="000000"/>
            </w:tcBorders>
          </w:tcPr>
          <w:p>
            <w:pPr/>
          </w:p>
        </w:tc>
        <w:tc>
          <w:tcPr>
            <w:tcW w:w="1272" w:type="dxa"/>
            <w:vMerge/>
            <w:tcBorders>
              <w:left w:val="single" w:sz="9" w:space="0" w:color="D9D9D9"/>
              <w:right w:val="single" w:sz="4" w:space="0" w:color="000000"/>
            </w:tcBorders>
            <w:shd w:val="clear" w:color="auto" w:fill="D2D2D2"/>
          </w:tcPr>
          <w:p>
            <w:pPr/>
          </w:p>
        </w:tc>
      </w:tr>
      <w:tr>
        <w:trPr>
          <w:trHeight w:val="161" w:hRule="exact"/>
        </w:trPr>
        <w:tc>
          <w:tcPr>
            <w:tcW w:w="1804" w:type="dxa"/>
            <w:vMerge/>
            <w:tcBorders>
              <w:left w:val="single" w:sz="4" w:space="0" w:color="000000"/>
              <w:bottom w:val="single" w:sz="4" w:space="0" w:color="000000"/>
              <w:right w:val="single" w:sz="4" w:space="0" w:color="000000"/>
            </w:tcBorders>
            <w:shd w:val="clear" w:color="auto" w:fill="D9D9D9"/>
          </w:tcPr>
          <w:p>
            <w:pPr/>
          </w:p>
        </w:tc>
        <w:tc>
          <w:tcPr>
            <w:tcW w:w="1075" w:type="dxa"/>
            <w:vMerge/>
            <w:tcBorders>
              <w:left w:val="single" w:sz="4" w:space="0" w:color="000000"/>
              <w:bottom w:val="single" w:sz="4" w:space="0" w:color="000000"/>
              <w:right w:val="single" w:sz="4" w:space="0" w:color="000000"/>
            </w:tcBorders>
            <w:shd w:val="clear" w:color="auto" w:fill="D9D9D9"/>
          </w:tcPr>
          <w:p>
            <w:pPr/>
          </w:p>
        </w:tc>
        <w:tc>
          <w:tcPr>
            <w:tcW w:w="1361" w:type="dxa"/>
            <w:tcBorders>
              <w:top w:val="nil" w:sz="6" w:space="0" w:color="auto"/>
              <w:left w:val="single" w:sz="4" w:space="0" w:color="000000"/>
              <w:bottom w:val="single" w:sz="4" w:space="0" w:color="000000"/>
              <w:right w:val="single" w:sz="4" w:space="0" w:color="000000"/>
            </w:tcBorders>
            <w:shd w:val="clear" w:color="auto" w:fill="D9D9D9"/>
          </w:tcPr>
          <w:p>
            <w:pPr/>
          </w:p>
        </w:tc>
        <w:tc>
          <w:tcPr>
            <w:tcW w:w="595"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4"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361" w:type="dxa"/>
            <w:vMerge/>
            <w:tcBorders>
              <w:left w:val="single" w:sz="12" w:space="0" w:color="D9D9D9"/>
              <w:bottom w:val="single" w:sz="4" w:space="0" w:color="000000"/>
              <w:right w:val="single" w:sz="4" w:space="0" w:color="000000"/>
            </w:tcBorders>
          </w:tcPr>
          <w:p>
            <w:pPr/>
          </w:p>
        </w:tc>
        <w:tc>
          <w:tcPr>
            <w:tcW w:w="1272" w:type="dxa"/>
            <w:vMerge/>
            <w:tcBorders>
              <w:left w:val="single" w:sz="9" w:space="0" w:color="D9D9D9"/>
              <w:bottom w:val="single" w:sz="4" w:space="0" w:color="000000"/>
              <w:right w:val="single" w:sz="4" w:space="0" w:color="000000"/>
            </w:tcBorders>
            <w:shd w:val="clear" w:color="auto" w:fill="D2D2D2"/>
          </w:tcPr>
          <w:p>
            <w:pPr/>
          </w:p>
        </w:tc>
      </w:tr>
      <w:tr>
        <w:trPr>
          <w:trHeight w:val="401"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Above</w:t>
            </w:r>
            <w:r>
              <w:rPr>
                <w:rFonts w:ascii="Times New Roman"/>
                <w:spacing w:val="-3"/>
                <w:sz w:val="18"/>
              </w:rPr>
              <w:t> </w:t>
            </w:r>
            <w:r>
              <w:rPr>
                <w:rFonts w:ascii="Times New Roman"/>
                <w:sz w:val="18"/>
              </w:rPr>
              <w:t>Cloud</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40,697,139.43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40,697,139.43</w:t>
            </w:r>
          </w:p>
        </w:tc>
      </w:tr>
      <w:tr>
        <w:trPr>
          <w:trHeight w:val="403"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Hetras</w:t>
            </w:r>
            <w:r>
              <w:rPr>
                <w:rFonts w:ascii="Times New Roman"/>
                <w:spacing w:val="-1"/>
                <w:sz w:val="18"/>
              </w:rPr>
              <w:t> </w:t>
            </w:r>
            <w:r>
              <w:rPr>
                <w:rFonts w:ascii="Times New Roman"/>
                <w:sz w:val="18"/>
              </w:rPr>
              <w:t>2017</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19,972,316.26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19,972,316.26</w:t>
            </w:r>
          </w:p>
        </w:tc>
      </w:tr>
      <w:tr>
        <w:trPr>
          <w:trHeight w:val="713"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91"/>
              <w:ind w:left="12" w:right="577"/>
              <w:jc w:val="left"/>
              <w:rPr>
                <w:rFonts w:ascii="Times New Roman" w:hAnsi="Times New Roman" w:cs="Times New Roman" w:eastAsia="Times New Roman" w:hint="default"/>
                <w:sz w:val="18"/>
                <w:szCs w:val="18"/>
              </w:rPr>
            </w:pPr>
            <w:r>
              <w:rPr>
                <w:rFonts w:ascii="Times New Roman"/>
                <w:spacing w:val="-5"/>
                <w:sz w:val="18"/>
              </w:rPr>
              <w:t>SWD-DATA</w:t>
            </w:r>
            <w:r>
              <w:rPr>
                <w:rFonts w:ascii="Times New Roman"/>
                <w:spacing w:val="-43"/>
                <w:sz w:val="18"/>
              </w:rPr>
              <w:t> </w:t>
            </w:r>
            <w:r>
              <w:rPr>
                <w:rFonts w:ascii="Times New Roman"/>
                <w:spacing w:val="-43"/>
                <w:sz w:val="18"/>
              </w:rPr>
            </w:r>
            <w:r>
              <w:rPr>
                <w:rFonts w:ascii="Times New Roman"/>
                <w:spacing w:val="-3"/>
                <w:sz w:val="18"/>
              </w:rPr>
              <w:t>PLATFORM</w:t>
            </w:r>
            <w:r>
              <w:rPr>
                <w:rFonts w:ascii="Times New Roman"/>
                <w:spacing w:val="-2"/>
                <w:sz w:val="18"/>
              </w:rPr>
              <w:t> </w:t>
            </w:r>
            <w:r>
              <w:rPr>
                <w:rFonts w:ascii="Times New Roman"/>
                <w:sz w:val="18"/>
              </w:rPr>
              <w:t>V2</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9,293,326.91</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9,293,326.91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12" w:right="16"/>
              <w:jc w:val="left"/>
              <w:rPr>
                <w:rFonts w:ascii="Times New Roman" w:hAnsi="Times New Roman" w:cs="Times New Roman" w:eastAsia="Times New Roman" w:hint="default"/>
                <w:sz w:val="18"/>
                <w:szCs w:val="18"/>
              </w:rPr>
            </w:pPr>
            <w:r>
              <w:rPr>
                <w:rFonts w:ascii="Times New Roman"/>
                <w:spacing w:val="-4"/>
                <w:sz w:val="18"/>
              </w:rPr>
              <w:t>SWD-DATA-PLATFOR</w:t>
            </w:r>
            <w:r>
              <w:rPr>
                <w:rFonts w:ascii="Times New Roman"/>
                <w:spacing w:val="-42"/>
                <w:sz w:val="18"/>
              </w:rPr>
              <w:t> </w:t>
            </w:r>
            <w:r>
              <w:rPr>
                <w:rFonts w:ascii="Times New Roman"/>
                <w:spacing w:val="-42"/>
                <w:sz w:val="18"/>
              </w:rPr>
            </w:r>
            <w:r>
              <w:rPr>
                <w:rFonts w:ascii="Times New Roman"/>
                <w:sz w:val="18"/>
              </w:rPr>
              <w:t>M</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8,651,107.54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8,651,107.54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苏州中心支付项目</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7,686,959.72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7,686,959.72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60"/>
              <w:jc w:val="left"/>
              <w:rPr>
                <w:rFonts w:ascii="宋体" w:hAnsi="宋体" w:cs="宋体" w:eastAsia="宋体" w:hint="default"/>
                <w:sz w:val="18"/>
                <w:szCs w:val="18"/>
              </w:rPr>
            </w:pPr>
            <w:r>
              <w:rPr>
                <w:rFonts w:ascii="宋体" w:hAnsi="宋体" w:cs="宋体" w:eastAsia="宋体" w:hint="default"/>
                <w:sz w:val="18"/>
                <w:szCs w:val="18"/>
              </w:rPr>
              <w:t>兴业银行成都分行万 象城项目</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6,731,868.02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6,731,868.02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Sinfonia</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6,275,000.70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6,275,000.70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恒隆泰项目</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5,286,959.72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5,286,959.72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XMS OpenAPI</w:t>
            </w:r>
            <w:r>
              <w:rPr>
                <w:rFonts w:ascii="Times New Roman"/>
                <w:spacing w:val="-11"/>
                <w:sz w:val="18"/>
              </w:rPr>
              <w:t> </w:t>
            </w:r>
            <w:r>
              <w:rPr>
                <w:rFonts w:ascii="Times New Roman"/>
                <w:sz w:val="18"/>
              </w:rPr>
              <w:t>V1.0</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5,061,040.32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5,061,040.32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60"/>
              <w:jc w:val="left"/>
              <w:rPr>
                <w:rFonts w:ascii="宋体" w:hAnsi="宋体" w:cs="宋体" w:eastAsia="宋体" w:hint="default"/>
                <w:sz w:val="18"/>
                <w:szCs w:val="18"/>
              </w:rPr>
            </w:pPr>
            <w:r>
              <w:rPr>
                <w:rFonts w:ascii="宋体" w:hAnsi="宋体" w:cs="宋体" w:eastAsia="宋体" w:hint="default"/>
                <w:sz w:val="18"/>
                <w:szCs w:val="18"/>
              </w:rPr>
              <w:t>常熟农商行银医通项 目</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4,731,868.03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4,731,868.03</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酒店分析师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4,618,027.67</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4,618,027.67</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60"/>
              <w:jc w:val="left"/>
              <w:rPr>
                <w:rFonts w:ascii="Times New Roman" w:hAnsi="Times New Roman" w:cs="Times New Roman" w:eastAsia="Times New Roman" w:hint="default"/>
                <w:sz w:val="18"/>
                <w:szCs w:val="18"/>
              </w:rPr>
            </w:pPr>
            <w:r>
              <w:rPr>
                <w:rFonts w:ascii="宋体" w:hAnsi="宋体" w:cs="宋体" w:eastAsia="宋体" w:hint="default"/>
                <w:sz w:val="18"/>
                <w:szCs w:val="18"/>
              </w:rPr>
              <w:t>美食联网通云平台预 订</w:t>
            </w:r>
            <w:r>
              <w:rPr>
                <w:rFonts w:ascii="Times New Roman" w:hAnsi="Times New Roman" w:cs="Times New Roman" w:eastAsia="Times New Roman" w:hint="default"/>
                <w:sz w:val="18"/>
                <w:szCs w:val="18"/>
              </w:rPr>
              <w:t>[Hero</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Table]V1</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4,386,638.39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4,386,638.39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49"/>
              <w:ind w:left="1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Hotel IFC </w:t>
            </w:r>
            <w:r>
              <w:rPr>
                <w:rFonts w:ascii="宋体" w:hAnsi="宋体" w:cs="宋体" w:eastAsia="宋体" w:hint="default"/>
                <w:sz w:val="18"/>
                <w:szCs w:val="18"/>
              </w:rPr>
              <w:t>接口管理系 统</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4,229,677.94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4,229,677.94</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12" w:right="1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ALLVPay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支付营销平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3,967,604.16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3,694,991.86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272,612.30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12" w:right="160"/>
              <w:jc w:val="left"/>
              <w:rPr>
                <w:rFonts w:ascii="Times New Roman" w:hAnsi="Times New Roman" w:cs="Times New Roman" w:eastAsia="Times New Roman" w:hint="default"/>
                <w:sz w:val="18"/>
                <w:szCs w:val="18"/>
              </w:rPr>
            </w:pPr>
            <w:r>
              <w:rPr>
                <w:rFonts w:ascii="宋体" w:hAnsi="宋体" w:cs="宋体" w:eastAsia="宋体" w:hint="default"/>
                <w:sz w:val="18"/>
                <w:szCs w:val="18"/>
              </w:rPr>
              <w:t>美食联网通云平台客 户</w:t>
            </w:r>
            <w:r>
              <w:rPr>
                <w:rFonts w:ascii="Times New Roman" w:hAnsi="Times New Roman" w:cs="Times New Roman" w:eastAsia="Times New Roman" w:hint="default"/>
                <w:sz w:val="18"/>
                <w:szCs w:val="18"/>
              </w:rPr>
              <w:t>[Hero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Loyalty]V1</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3,825,631.17</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3,825,631.17</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易全通餐饮管理系统</w:t>
            </w:r>
          </w:p>
        </w:tc>
        <w:tc>
          <w:tcPr>
            <w:tcW w:w="107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3,726,895.85</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3,726,895.85</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26"/>
        <w:gridCol w:w="1064"/>
        <w:gridCol w:w="1361"/>
        <w:gridCol w:w="595"/>
        <w:gridCol w:w="1064"/>
        <w:gridCol w:w="1063"/>
        <w:gridCol w:w="1063"/>
        <w:gridCol w:w="361"/>
        <w:gridCol w:w="1272"/>
      </w:tblGrid>
      <w:tr>
        <w:trPr>
          <w:trHeight w:val="362"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V1.0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会员营销系统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3,712,406.12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3,712,406.12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71"/>
              <w:jc w:val="left"/>
              <w:rPr>
                <w:rFonts w:ascii="Times New Roman" w:hAnsi="Times New Roman" w:cs="Times New Roman" w:eastAsia="Times New Roman" w:hint="default"/>
                <w:sz w:val="18"/>
                <w:szCs w:val="18"/>
              </w:rPr>
            </w:pPr>
            <w:r>
              <w:rPr>
                <w:rFonts w:ascii="宋体" w:hAnsi="宋体" w:cs="宋体" w:eastAsia="宋体" w:hint="default"/>
                <w:sz w:val="18"/>
                <w:szCs w:val="18"/>
              </w:rPr>
              <w:t>美食联网通智能分析 系统 </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BI]V1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3,432,589.68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3,432,589.68</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186"/>
              <w:jc w:val="left"/>
              <w:rPr>
                <w:rFonts w:ascii="Times New Roman" w:hAnsi="Times New Roman" w:cs="Times New Roman" w:eastAsia="Times New Roman" w:hint="default"/>
                <w:sz w:val="18"/>
                <w:szCs w:val="18"/>
              </w:rPr>
            </w:pPr>
            <w:r>
              <w:rPr>
                <w:rFonts w:ascii="Times New Roman"/>
                <w:spacing w:val="-5"/>
                <w:sz w:val="18"/>
              </w:rPr>
              <w:t>SWD-DATA</w:t>
            </w:r>
            <w:r>
              <w:rPr>
                <w:rFonts w:ascii="Times New Roman"/>
                <w:spacing w:val="-43"/>
                <w:sz w:val="18"/>
              </w:rPr>
              <w:t> </w:t>
            </w:r>
            <w:r>
              <w:rPr>
                <w:rFonts w:ascii="Times New Roman"/>
                <w:spacing w:val="-43"/>
                <w:sz w:val="18"/>
              </w:rPr>
            </w:r>
            <w:r>
              <w:rPr>
                <w:rFonts w:ascii="Times New Roman"/>
                <w:spacing w:val="-3"/>
                <w:sz w:val="18"/>
              </w:rPr>
              <w:t>INTEGRATION</w:t>
            </w:r>
            <w:r>
              <w:rPr>
                <w:rFonts w:ascii="Times New Roman"/>
                <w:spacing w:val="6"/>
                <w:sz w:val="18"/>
              </w:rPr>
              <w:t> </w:t>
            </w:r>
            <w:r>
              <w:rPr>
                <w:rFonts w:ascii="Times New Roman"/>
                <w:sz w:val="18"/>
              </w:rPr>
              <w:t>(plus</w:t>
            </w:r>
            <w:r>
              <w:rPr>
                <w:rFonts w:ascii="Times New Roman"/>
                <w:spacing w:val="-43"/>
                <w:sz w:val="18"/>
              </w:rPr>
              <w:t> </w:t>
            </w:r>
            <w:r>
              <w:rPr>
                <w:rFonts w:ascii="Times New Roman"/>
                <w:spacing w:val="-43"/>
                <w:sz w:val="18"/>
              </w:rPr>
            </w:r>
            <w:r>
              <w:rPr>
                <w:rFonts w:ascii="Times New Roman"/>
                <w:sz w:val="18"/>
              </w:rPr>
              <w:t>5260)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3,416,066.42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3,416,066.42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昆仑扫码付系统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3,243,973.47</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3,243,973.47</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Glory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中央预订系统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3,140,224.83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3,140,224.83</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329"/>
              <w:jc w:val="left"/>
              <w:rPr>
                <w:rFonts w:ascii="Times New Roman" w:hAnsi="Times New Roman" w:cs="Times New Roman" w:eastAsia="Times New Roman" w:hint="default"/>
                <w:sz w:val="18"/>
                <w:szCs w:val="18"/>
              </w:rPr>
            </w:pPr>
            <w:r>
              <w:rPr>
                <w:rFonts w:ascii="Times New Roman"/>
                <w:spacing w:val="-5"/>
                <w:sz w:val="18"/>
              </w:rPr>
              <w:t>SWD-DATA</w:t>
            </w:r>
            <w:r>
              <w:rPr>
                <w:rFonts w:ascii="Times New Roman"/>
                <w:spacing w:val="-43"/>
                <w:sz w:val="18"/>
              </w:rPr>
              <w:t> </w:t>
            </w:r>
            <w:r>
              <w:rPr>
                <w:rFonts w:ascii="Times New Roman"/>
                <w:spacing w:val="-43"/>
                <w:sz w:val="18"/>
              </w:rPr>
            </w:r>
            <w:r>
              <w:rPr>
                <w:rFonts w:ascii="Times New Roman"/>
                <w:spacing w:val="-3"/>
                <w:sz w:val="18"/>
              </w:rPr>
              <w:t>INTEGRATION</w:t>
            </w:r>
            <w:r>
              <w:rPr>
                <w:rFonts w:ascii="Times New Roman"/>
                <w:spacing w:val="6"/>
                <w:sz w:val="18"/>
              </w:rPr>
              <w:t> </w:t>
            </w:r>
            <w:r>
              <w:rPr>
                <w:rFonts w:ascii="Times New Roman"/>
                <w:sz w:val="18"/>
              </w:rPr>
              <w:t>V2</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(plus</w:t>
            </w:r>
            <w:r>
              <w:rPr>
                <w:rFonts w:ascii="Times New Roman"/>
                <w:spacing w:val="-1"/>
                <w:sz w:val="18"/>
              </w:rPr>
              <w:t> </w:t>
            </w:r>
            <w:r>
              <w:rPr>
                <w:rFonts w:ascii="Times New Roman"/>
                <w:sz w:val="18"/>
              </w:rPr>
              <w:t>5262)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3,133,703.11</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3,133,703.11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71"/>
              <w:jc w:val="left"/>
              <w:rPr>
                <w:rFonts w:ascii="Times New Roman" w:hAnsi="Times New Roman" w:cs="Times New Roman" w:eastAsia="Times New Roman" w:hint="default"/>
                <w:sz w:val="18"/>
                <w:szCs w:val="18"/>
              </w:rPr>
            </w:pPr>
            <w:r>
              <w:rPr>
                <w:rFonts w:ascii="宋体" w:hAnsi="宋体" w:cs="宋体" w:eastAsia="宋体" w:hint="default"/>
                <w:sz w:val="18"/>
                <w:szCs w:val="18"/>
              </w:rPr>
              <w:t>美食联网通电子发票 管理</w:t>
            </w:r>
            <w:r>
              <w:rPr>
                <w:rFonts w:ascii="Times New Roman" w:hAnsi="Times New Roman" w:cs="Times New Roman" w:eastAsia="Times New Roman" w:hint="default"/>
                <w:sz w:val="18"/>
                <w:szCs w:val="18"/>
              </w:rPr>
              <w:t>[Einvoice]V1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2,955,693.98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2,955,693.98</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PMS</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2,819,785.29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2,819,785.29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2,748,513.62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193,746.49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2,554,767.13</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老板助手微信版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2,509,092.87</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2,509,092.87</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软件维护升级开发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2,480,206.36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2,480,206.36</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富基融通现场宝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2,452,981.43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2,452,981.43</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71"/>
              <w:jc w:val="left"/>
              <w:rPr>
                <w:rFonts w:ascii="宋体" w:hAnsi="宋体" w:cs="宋体" w:eastAsia="宋体" w:hint="default"/>
                <w:sz w:val="18"/>
                <w:szCs w:val="18"/>
              </w:rPr>
            </w:pPr>
            <w:r>
              <w:rPr>
                <w:rFonts w:ascii="宋体" w:hAnsi="宋体" w:cs="宋体" w:eastAsia="宋体" w:hint="default"/>
                <w:sz w:val="18"/>
                <w:szCs w:val="18"/>
              </w:rPr>
              <w:t>思迅餐饮业软件产品 升级开发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2,452,279.61</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2,452,279.61</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71"/>
              <w:jc w:val="left"/>
              <w:rPr>
                <w:rFonts w:ascii="宋体" w:hAnsi="宋体" w:cs="宋体" w:eastAsia="宋体" w:hint="default"/>
                <w:sz w:val="18"/>
                <w:szCs w:val="18"/>
              </w:rPr>
            </w:pPr>
            <w:r>
              <w:rPr>
                <w:rFonts w:ascii="宋体" w:hAnsi="宋体" w:cs="宋体" w:eastAsia="宋体" w:hint="default"/>
                <w:sz w:val="18"/>
                <w:szCs w:val="18"/>
              </w:rPr>
              <w:t>思迅商业零售业软件 产品升级开发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2,417,643.82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2,417,643.82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SWD-APP </w:t>
            </w:r>
            <w:r>
              <w:rPr>
                <w:rFonts w:ascii="Times New Roman"/>
                <w:spacing w:val="-3"/>
                <w:sz w:val="18"/>
              </w:rPr>
              <w:t>FABRIC</w:t>
            </w:r>
            <w:r>
              <w:rPr>
                <w:rFonts w:ascii="Times New Roman"/>
                <w:spacing w:val="-8"/>
                <w:sz w:val="18"/>
              </w:rPr>
              <w:t> </w:t>
            </w:r>
            <w:r>
              <w:rPr>
                <w:rFonts w:ascii="Times New Roman"/>
                <w:sz w:val="18"/>
              </w:rPr>
              <w:t>V2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2,369,181.08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2,369,181.08</w:t>
            </w:r>
          </w:p>
        </w:tc>
      </w:tr>
      <w:tr>
        <w:trPr>
          <w:trHeight w:val="71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7"/>
              <w:jc w:val="left"/>
              <w:rPr>
                <w:rFonts w:ascii="宋体" w:hAnsi="宋体" w:cs="宋体" w:eastAsia="宋体" w:hint="default"/>
                <w:sz w:val="18"/>
                <w:szCs w:val="18"/>
              </w:rPr>
            </w:pPr>
            <w:r>
              <w:rPr>
                <w:rFonts w:ascii="宋体" w:hAnsi="宋体" w:cs="宋体" w:eastAsia="宋体" w:hint="default"/>
                <w:sz w:val="18"/>
                <w:szCs w:val="18"/>
              </w:rPr>
              <w:t>思迅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eshop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商业软件升 级开发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2,358,319.35</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2,358,319.35</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SWD-APP STORE</w:t>
            </w:r>
            <w:r>
              <w:rPr>
                <w:rFonts w:ascii="Times New Roman"/>
                <w:spacing w:val="-18"/>
                <w:sz w:val="18"/>
              </w:rPr>
              <w:t> </w:t>
            </w:r>
            <w:r>
              <w:rPr>
                <w:rFonts w:ascii="Times New Roman"/>
                <w:sz w:val="18"/>
              </w:rPr>
              <w:t>V2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2,344,832.00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2,344,832.00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移动销售管理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2,300,641.41</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2,300,641.41</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秤心管家</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农贸版开发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2,250,483.09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2,250,483.09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WEB-IPMS</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2,233,181.54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2,233,181.54</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171"/>
              <w:jc w:val="left"/>
              <w:rPr>
                <w:rFonts w:ascii="宋体" w:hAnsi="宋体" w:cs="宋体" w:eastAsia="宋体" w:hint="default"/>
                <w:sz w:val="18"/>
                <w:szCs w:val="18"/>
              </w:rPr>
            </w:pPr>
            <w:r>
              <w:rPr>
                <w:rFonts w:ascii="宋体" w:hAnsi="宋体" w:cs="宋体" w:eastAsia="宋体" w:hint="default"/>
                <w:sz w:val="18"/>
                <w:szCs w:val="18"/>
              </w:rPr>
              <w:t>微餐厅微商店在线产 品升级开发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2,232,271.05</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2,232,271.05</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零售供应链系统平台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2,140,886.76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2,140,886.76</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石基酒店微信预订引 </w:t>
            </w:r>
            <w:r>
              <w:rPr>
                <w:rFonts w:ascii="宋体" w:hAnsi="宋体" w:cs="宋体" w:eastAsia="宋体" w:hint="default"/>
                <w:spacing w:val="-16"/>
                <w:sz w:val="18"/>
                <w:szCs w:val="18"/>
              </w:rPr>
              <w:t>擎（简称</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KWeBE</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V2.0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2,072,443.21</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2,072,443.21</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71"/>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石基酒店前台电子签 名系统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2,069,587.64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2,069,587.64</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26"/>
        <w:gridCol w:w="1064"/>
        <w:gridCol w:w="1361"/>
        <w:gridCol w:w="595"/>
        <w:gridCol w:w="1064"/>
        <w:gridCol w:w="1063"/>
        <w:gridCol w:w="1063"/>
        <w:gridCol w:w="361"/>
        <w:gridCol w:w="1272"/>
      </w:tblGrid>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石基酒店数据处理</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2,046,510.35</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2,046,510.35</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pastoral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2,019,245.52</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2,019,245.52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专业款机端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1,977,119.26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129,938.11</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1,847,181.15</w:t>
            </w:r>
          </w:p>
        </w:tc>
      </w:tr>
      <w:tr>
        <w:trPr>
          <w:trHeight w:val="71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71"/>
              <w:jc w:val="left"/>
              <w:rPr>
                <w:rFonts w:ascii="Times New Roman" w:hAnsi="Times New Roman" w:cs="Times New Roman" w:eastAsia="Times New Roman" w:hint="default"/>
                <w:sz w:val="18"/>
                <w:szCs w:val="18"/>
              </w:rPr>
            </w:pPr>
            <w:r>
              <w:rPr>
                <w:rFonts w:ascii="宋体" w:hAnsi="宋体" w:cs="宋体" w:eastAsia="宋体" w:hint="default"/>
                <w:sz w:val="18"/>
                <w:szCs w:val="18"/>
              </w:rPr>
              <w:t>物流信息综合管理系 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1,975,771.36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1,975,771.36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GO </w:t>
            </w:r>
            <w:r>
              <w:rPr>
                <w:rFonts w:ascii="宋体" w:hAnsi="宋体" w:cs="宋体" w:eastAsia="宋体" w:hint="default"/>
                <w:sz w:val="18"/>
                <w:szCs w:val="18"/>
              </w:rPr>
              <w:t>顾客运营台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1,967,444.53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1,967,444.53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商友手机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APP</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777,209.50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1,917,591.04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2,694,800.54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顾客运营平台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1,887,471.94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1,789,510.64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97,961.30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云门店系统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1,831,995.05</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1,669,543.33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162,451.72</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富基融通工作流平台</w:t>
            </w: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sz w:val="18"/>
              </w:rPr>
              <w:t>V2.0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1,807,256.80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1,611,983.49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195,273.31</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架构商友超市系统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421,490.33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1,779,282.88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2,200,773.21</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1,686,298.39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199,425.98</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1,486,872.41</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电子发票云平台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1,633,290.19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1,532,948.32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100,341.87</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SWD-ANALYTICS</w:t>
            </w:r>
            <w:r>
              <w:rPr>
                <w:rFonts w:ascii="Times New Roman"/>
                <w:spacing w:val="-27"/>
                <w:sz w:val="18"/>
              </w:rPr>
              <w:t> </w:t>
            </w:r>
            <w:r>
              <w:rPr>
                <w:rFonts w:ascii="Times New Roman"/>
                <w:sz w:val="18"/>
              </w:rPr>
              <w:t>V3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1,626,543.48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1,626,543.48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SWD-FABRIC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1,415,437.89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1,415,437.89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SWD-APPs</w:t>
            </w:r>
            <w:r>
              <w:rPr>
                <w:rFonts w:ascii="Times New Roman"/>
                <w:spacing w:val="-6"/>
                <w:sz w:val="18"/>
              </w:rPr>
              <w:t> </w:t>
            </w:r>
            <w:r>
              <w:rPr>
                <w:rFonts w:ascii="Times New Roman"/>
                <w:sz w:val="18"/>
              </w:rPr>
              <w:t>V2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1,388,751.56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1,388,751.56</w:t>
            </w:r>
          </w:p>
        </w:tc>
      </w:tr>
      <w:tr>
        <w:trPr>
          <w:trHeight w:val="71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供应商服务系统移动 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1,159,883.49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1,029,504.10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130,379.39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SWD-APPS</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1,064,853.00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1,064,853.00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MSS </w:t>
            </w:r>
            <w:r>
              <w:rPr>
                <w:rFonts w:ascii="宋体" w:hAnsi="宋体" w:cs="宋体" w:eastAsia="宋体" w:hint="default"/>
                <w:sz w:val="18"/>
                <w:szCs w:val="18"/>
              </w:rPr>
              <w:t>购物中心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987,101.63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874,338.24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112,763.39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电子发票管理平台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974,697.37</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974,697.37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SWD-APP-STORE</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906,680.55</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906,680.55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 </w:t>
            </w:r>
            <w:r>
              <w:rPr>
                <w:rFonts w:ascii="Times New Roman"/>
                <w:spacing w:val="-3"/>
                <w:sz w:val="18"/>
              </w:rPr>
              <w:t>ANALYTICS</w:t>
            </w:r>
            <w:r>
              <w:rPr>
                <w:rFonts w:ascii="Times New Roman"/>
                <w:spacing w:val="-8"/>
                <w:sz w:val="18"/>
              </w:rPr>
              <w:t> </w:t>
            </w:r>
            <w:r>
              <w:rPr>
                <w:rFonts w:ascii="Times New Roman"/>
                <w:sz w:val="18"/>
              </w:rPr>
              <w:t>V2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854,201.53</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854,201.53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A8Y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787,008.99</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699,558.36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87,450.63</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支付及营销平台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702,167.88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702,167.88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发券宝项目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655,648.40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448,212.61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207,435.79</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自助购物系统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603,773.58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477,826.42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125,947.16</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数据分析系统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558,196.41</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427,399.94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130,796.47</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SWD-DMA-V2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258,644.00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258,644.00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销售中台服务项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217,835.68</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217,835.68</w:t>
            </w:r>
          </w:p>
        </w:tc>
      </w:tr>
      <w:tr>
        <w:trPr>
          <w:trHeight w:val="713" w:hRule="exact"/>
        </w:trPr>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其他小项目合计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48,290,192.44</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48,290,192.4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1,198,699.83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287,409,944.76</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55,536,095.4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160,337,731.</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72,734,817.91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26"/>
        <w:gridCol w:w="1064"/>
        <w:gridCol w:w="1361"/>
        <w:gridCol w:w="595"/>
        <w:gridCol w:w="1064"/>
        <w:gridCol w:w="1063"/>
        <w:gridCol w:w="1063"/>
        <w:gridCol w:w="361"/>
        <w:gridCol w:w="1272"/>
      </w:tblGrid>
      <w:tr>
        <w:trPr>
          <w:trHeight w:val="362" w:hRule="exact"/>
        </w:trPr>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26</w:t>
            </w:r>
          </w:p>
        </w:tc>
        <w:tc>
          <w:tcPr>
            <w:tcW w:w="3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59" w:lineRule="auto"/>
        <w:ind w:right="153"/>
        <w:jc w:val="left"/>
      </w:pPr>
      <w:r>
        <w:rPr>
          <w:spacing w:val="-2"/>
        </w:rPr>
        <w:t>注：本公司开发支出分为研究阶段和开发阶段，研发项目进入开发阶段开始资本化，本年末公司</w:t>
      </w:r>
      <w:r>
        <w:rPr>
          <w:w w:val="100"/>
        </w:rPr>
        <w:t> </w:t>
      </w:r>
      <w:r>
        <w:rPr/>
        <w:t>资本化的项目均已进入开发阶段。</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4"/>
        <w:gridCol w:w="1369"/>
        <w:gridCol w:w="1366"/>
        <w:gridCol w:w="552"/>
        <w:gridCol w:w="1366"/>
        <w:gridCol w:w="1273"/>
        <w:gridCol w:w="1368"/>
      </w:tblGrid>
      <w:tr>
        <w:trPr>
          <w:trHeight w:val="206" w:hRule="exact"/>
        </w:trPr>
        <w:tc>
          <w:tcPr>
            <w:tcW w:w="236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902" w:right="101" w:hanging="812"/>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369" w:type="dxa"/>
            <w:tcBorders>
              <w:top w:val="single" w:sz="4" w:space="0" w:color="000000"/>
              <w:left w:val="single" w:sz="4" w:space="0" w:color="000000"/>
              <w:bottom w:val="nil" w:sz="6" w:space="0" w:color="auto"/>
              <w:right w:val="single" w:sz="4" w:space="0" w:color="000000"/>
            </w:tcBorders>
            <w:shd w:val="clear" w:color="auto" w:fill="D9D9D9"/>
          </w:tcPr>
          <w:p>
            <w:pPr/>
          </w:p>
        </w:tc>
        <w:tc>
          <w:tcPr>
            <w:tcW w:w="191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3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12" w:space="0" w:color="D9D9D9"/>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64" w:type="dxa"/>
            <w:vMerge/>
            <w:tcBorders>
              <w:left w:val="single" w:sz="4" w:space="0" w:color="000000"/>
              <w:right w:val="single" w:sz="4" w:space="0" w:color="000000"/>
            </w:tcBorders>
            <w:shd w:val="clear" w:color="auto" w:fill="D9D9D9"/>
          </w:tcPr>
          <w:p>
            <w:pPr/>
          </w:p>
        </w:tc>
        <w:tc>
          <w:tcPr>
            <w:tcW w:w="136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8" w:type="dxa"/>
            <w:gridSpan w:val="2"/>
            <w:vMerge/>
            <w:tcBorders>
              <w:left w:val="single" w:sz="4" w:space="0" w:color="000000"/>
              <w:bottom w:val="single" w:sz="4" w:space="0" w:color="000000"/>
              <w:right w:val="single" w:sz="4" w:space="0" w:color="000000"/>
            </w:tcBorders>
            <w:shd w:val="clear" w:color="auto" w:fill="D9D9D9"/>
          </w:tcPr>
          <w:p>
            <w:pPr/>
          </w:p>
        </w:tc>
        <w:tc>
          <w:tcPr>
            <w:tcW w:w="2638" w:type="dxa"/>
            <w:gridSpan w:val="2"/>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12" w:space="0" w:color="D9D9D9"/>
              <w:right w:val="single" w:sz="4" w:space="0" w:color="000000"/>
            </w:tcBorders>
            <w:shd w:val="clear" w:color="auto" w:fill="D2D2D2"/>
          </w:tcPr>
          <w:p>
            <w:pPr/>
          </w:p>
        </w:tc>
      </w:tr>
      <w:tr>
        <w:trPr>
          <w:trHeight w:val="197" w:hRule="exact"/>
        </w:trPr>
        <w:tc>
          <w:tcPr>
            <w:tcW w:w="2364" w:type="dxa"/>
            <w:vMerge/>
            <w:tcBorders>
              <w:left w:val="single" w:sz="4" w:space="0" w:color="000000"/>
              <w:right w:val="single" w:sz="4" w:space="0" w:color="000000"/>
            </w:tcBorders>
            <w:shd w:val="clear" w:color="auto" w:fill="D9D9D9"/>
          </w:tcPr>
          <w:p>
            <w:pPr/>
          </w:p>
        </w:tc>
        <w:tc>
          <w:tcPr>
            <w:tcW w:w="1369" w:type="dxa"/>
            <w:vMerge/>
            <w:tcBorders>
              <w:left w:val="single" w:sz="4" w:space="0" w:color="000000"/>
              <w:bottom w:val="nil" w:sz="6" w:space="0" w:color="auto"/>
              <w:right w:val="single" w:sz="4" w:space="0" w:color="000000"/>
            </w:tcBorders>
            <w:shd w:val="clear" w:color="auto" w:fill="D9D9D9"/>
          </w:tcPr>
          <w:p>
            <w:pP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52" w:type="dxa"/>
            <w:vMerge w:val="restart"/>
            <w:tcBorders>
              <w:top w:val="single" w:sz="4" w:space="0" w:color="000000"/>
              <w:left w:val="single" w:sz="4" w:space="0" w:color="000000"/>
              <w:right w:val="single" w:sz="4" w:space="0" w:color="000000"/>
            </w:tcBorders>
            <w:shd w:val="clear" w:color="auto" w:fill="D9D9D9"/>
          </w:tcPr>
          <w:p>
            <w:pPr/>
          </w:p>
        </w:tc>
        <w:tc>
          <w:tcPr>
            <w:tcW w:w="1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2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12" w:space="0" w:color="D9D9D9"/>
              <w:right w:val="single" w:sz="4" w:space="0" w:color="000000"/>
            </w:tcBorders>
            <w:shd w:val="clear" w:color="auto" w:fill="D2D2D2"/>
          </w:tcPr>
          <w:p>
            <w:pPr/>
          </w:p>
        </w:tc>
      </w:tr>
      <w:tr>
        <w:trPr>
          <w:trHeight w:val="205" w:hRule="exact"/>
        </w:trPr>
        <w:tc>
          <w:tcPr>
            <w:tcW w:w="2364" w:type="dxa"/>
            <w:vMerge/>
            <w:tcBorders>
              <w:left w:val="single" w:sz="4" w:space="0" w:color="000000"/>
              <w:bottom w:val="single" w:sz="4" w:space="0" w:color="000000"/>
              <w:right w:val="single" w:sz="4" w:space="0" w:color="000000"/>
            </w:tcBorders>
            <w:shd w:val="clear" w:color="auto" w:fill="D9D9D9"/>
          </w:tcPr>
          <w:p>
            <w:pPr/>
          </w:p>
        </w:tc>
        <w:tc>
          <w:tcPr>
            <w:tcW w:w="1369" w:type="dxa"/>
            <w:tcBorders>
              <w:top w:val="nil" w:sz="6" w:space="0" w:color="auto"/>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552"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4" w:space="0" w:color="000000"/>
              <w:bottom w:val="single" w:sz="4" w:space="0" w:color="000000"/>
              <w:right w:val="single" w:sz="4" w:space="0" w:color="000000"/>
            </w:tcBorders>
            <w:shd w:val="clear" w:color="auto" w:fill="D9D9D9"/>
          </w:tcPr>
          <w:p>
            <w:pPr/>
          </w:p>
        </w:tc>
        <w:tc>
          <w:tcPr>
            <w:tcW w:w="1273"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12" w:space="0" w:color="D9D9D9"/>
              <w:bottom w:val="single" w:sz="4" w:space="0" w:color="000000"/>
              <w:right w:val="single" w:sz="4" w:space="0" w:color="000000"/>
            </w:tcBorders>
            <w:shd w:val="clear" w:color="auto" w:fill="D2D2D2"/>
          </w:tcPr>
          <w:p>
            <w:pP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41,079,739.22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41,079,739.22</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9"/>
                <w:sz w:val="18"/>
              </w:rPr>
              <w:t> </w:t>
            </w:r>
            <w:r>
              <w:rPr>
                <w:rFonts w:ascii="Times New Roman"/>
                <w:sz w:val="18"/>
              </w:rPr>
              <w:t>Ltd</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20,407,902.16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1,336,936.50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19,070,965.66</w:t>
            </w:r>
          </w:p>
        </w:tc>
      </w:tr>
      <w:tr>
        <w:trPr>
          <w:trHeight w:val="715"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12" w:right="180"/>
              <w:jc w:val="left"/>
              <w:rPr>
                <w:rFonts w:ascii="宋体" w:hAnsi="宋体" w:cs="宋体" w:eastAsia="宋体" w:hint="default"/>
                <w:sz w:val="18"/>
                <w:szCs w:val="18"/>
              </w:rPr>
            </w:pPr>
            <w:r>
              <w:rPr>
                <w:rFonts w:ascii="宋体" w:hAnsi="宋体" w:cs="宋体" w:eastAsia="宋体" w:hint="default"/>
                <w:sz w:val="18"/>
                <w:szCs w:val="18"/>
              </w:rPr>
              <w:t>南京银石计算机系统有限公 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47,742,187.30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47,742,187.30</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19,522,150.61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715"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12" w:right="180"/>
              <w:jc w:val="left"/>
              <w:rPr>
                <w:rFonts w:ascii="宋体" w:hAnsi="宋体" w:cs="宋体" w:eastAsia="宋体" w:hint="default"/>
                <w:sz w:val="18"/>
                <w:szCs w:val="18"/>
              </w:rPr>
            </w:pPr>
            <w:r>
              <w:rPr>
                <w:rFonts w:ascii="宋体" w:hAnsi="宋体" w:cs="宋体" w:eastAsia="宋体" w:hint="default"/>
                <w:sz w:val="18"/>
                <w:szCs w:val="18"/>
              </w:rPr>
              <w:t>深圳市思迅软件股份有限公 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155,906,824.65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155,906,824.65</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520,173.45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520,173.45</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85,510,680.63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4,209,763.87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81,300,916.76</w:t>
            </w:r>
          </w:p>
        </w:tc>
      </w:tr>
      <w:tr>
        <w:trPr>
          <w:trHeight w:val="71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浩华管理顾问（亚太）有限公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60,353,304.74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2,590,445.30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57,354,924.90</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1,333,142.76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1,333,142.76</w:t>
            </w:r>
          </w:p>
        </w:tc>
      </w:tr>
      <w:tr>
        <w:trPr>
          <w:trHeight w:val="71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80"/>
              <w:jc w:val="left"/>
              <w:rPr>
                <w:rFonts w:ascii="宋体" w:hAnsi="宋体" w:cs="宋体" w:eastAsia="宋体" w:hint="default"/>
                <w:sz w:val="18"/>
                <w:szCs w:val="18"/>
              </w:rPr>
            </w:pPr>
            <w:r>
              <w:rPr>
                <w:rFonts w:ascii="宋体" w:hAnsi="宋体" w:cs="宋体" w:eastAsia="宋体" w:hint="default"/>
                <w:sz w:val="18"/>
                <w:szCs w:val="18"/>
              </w:rPr>
              <w:t>北京商用星联信息科技有限 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64,769.98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64,769.98</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9,251,741.81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9,251,741.81</w:t>
            </w:r>
          </w:p>
        </w:tc>
      </w:tr>
      <w:tr>
        <w:trPr>
          <w:trHeight w:val="71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80"/>
              <w:jc w:val="left"/>
              <w:rPr>
                <w:rFonts w:ascii="宋体" w:hAnsi="宋体" w:cs="宋体" w:eastAsia="宋体" w:hint="default"/>
                <w:sz w:val="18"/>
                <w:szCs w:val="18"/>
              </w:rPr>
            </w:pPr>
            <w:r>
              <w:rPr>
                <w:rFonts w:ascii="宋体" w:hAnsi="宋体" w:cs="宋体" w:eastAsia="宋体" w:hint="default"/>
                <w:sz w:val="18"/>
                <w:szCs w:val="18"/>
              </w:rPr>
              <w:t>北京长京益康信息科技有限 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518,792,424.49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518,792,424.49</w:t>
            </w:r>
          </w:p>
        </w:tc>
      </w:tr>
      <w:tr>
        <w:trPr>
          <w:trHeight w:val="715"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93"/>
              <w:ind w:left="12" w:right="622"/>
              <w:jc w:val="left"/>
              <w:rPr>
                <w:rFonts w:ascii="Times New Roman" w:hAnsi="Times New Roman" w:cs="Times New Roman" w:eastAsia="Times New Roman" w:hint="default"/>
                <w:sz w:val="18"/>
                <w:szCs w:val="18"/>
              </w:rPr>
            </w:pPr>
            <w:r>
              <w:rPr>
                <w:rFonts w:ascii="Times New Roman"/>
                <w:sz w:val="18"/>
              </w:rPr>
              <w:t>Shiji Retail</w:t>
            </w:r>
            <w:r>
              <w:rPr>
                <w:rFonts w:ascii="Times New Roman"/>
                <w:spacing w:val="-7"/>
                <w:sz w:val="18"/>
              </w:rPr>
              <w:t> </w:t>
            </w:r>
            <w:r>
              <w:rPr>
                <w:rFonts w:ascii="Times New Roman"/>
                <w:sz w:val="18"/>
              </w:rPr>
              <w:t>Information</w:t>
            </w:r>
            <w:r>
              <w:rPr>
                <w:rFonts w:ascii="Times New Roman"/>
                <w:sz w:val="18"/>
              </w:rPr>
              <w:t> Technology Co.</w:t>
            </w:r>
            <w:r>
              <w:rPr>
                <w:rFonts w:ascii="Times New Roman"/>
                <w:spacing w:val="-20"/>
                <w:sz w:val="18"/>
              </w:rPr>
              <w:t> </w:t>
            </w:r>
            <w:r>
              <w:rPr>
                <w:rFonts w:ascii="Times New Roman"/>
                <w:sz w:val="18"/>
              </w:rPr>
              <w:t>Ltd</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131,824,610.79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8,636,300.42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123,188,310.37</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124,035.18</w:t>
            </w:r>
          </w:p>
        </w:tc>
      </w:tr>
      <w:tr>
        <w:trPr>
          <w:trHeight w:val="715"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12" w:right="180"/>
              <w:jc w:val="left"/>
              <w:rPr>
                <w:rFonts w:ascii="宋体" w:hAnsi="宋体" w:cs="宋体" w:eastAsia="宋体" w:hint="default"/>
                <w:sz w:val="18"/>
                <w:szCs w:val="18"/>
              </w:rPr>
            </w:pPr>
            <w:r>
              <w:rPr>
                <w:rFonts w:ascii="宋体" w:hAnsi="宋体" w:cs="宋体" w:eastAsia="宋体" w:hint="default"/>
                <w:sz w:val="18"/>
                <w:szCs w:val="18"/>
              </w:rPr>
              <w:t>北京航信华仪软件技术有限 公司</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5,846,357.23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5,846,357.23</w:t>
            </w:r>
          </w:p>
        </w:tc>
      </w:tr>
      <w:tr>
        <w:trPr>
          <w:trHeight w:val="401"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5"/>
                <w:sz w:val="18"/>
              </w:rPr>
              <w:t> </w:t>
            </w:r>
            <w:r>
              <w:rPr>
                <w:rFonts w:ascii="Times New Roman"/>
                <w:sz w:val="18"/>
              </w:rPr>
              <w:t>GmbH</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56,293,888.17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3,687,853.51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52,606,034.66</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58,934,119.79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3,860,817.00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55,073,302.79</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6"/>
                <w:sz w:val="18"/>
              </w:rPr>
              <w:t> </w:t>
            </w:r>
            <w:r>
              <w:rPr>
                <w:rFonts w:ascii="Times New Roman"/>
                <w:sz w:val="18"/>
              </w:rPr>
              <w:t>PLC</w:t>
            </w:r>
          </w:p>
        </w:tc>
        <w:tc>
          <w:tcPr>
            <w:tcW w:w="136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162,209,340.12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1,770,656.14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160,846,618.52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75"/>
        <w:gridCol w:w="1369"/>
        <w:gridCol w:w="1366"/>
        <w:gridCol w:w="552"/>
        <w:gridCol w:w="1366"/>
        <w:gridCol w:w="1273"/>
        <w:gridCol w:w="1370"/>
      </w:tblGrid>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1,154,573,933.17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221,143,459.91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26,092,772.74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1,349,624,620.34</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16"/>
        <w:gridCol w:w="1562"/>
        <w:gridCol w:w="852"/>
        <w:gridCol w:w="850"/>
        <w:gridCol w:w="852"/>
        <w:gridCol w:w="850"/>
        <w:gridCol w:w="1558"/>
      </w:tblGrid>
      <w:tr>
        <w:trPr>
          <w:trHeight w:val="401"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1" w:hRule="exact"/>
        </w:trPr>
        <w:tc>
          <w:tcPr>
            <w:tcW w:w="3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浩华管理顾问（亚太）服务有限公司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20,811,000.00</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41,171,774.78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41,171,774.78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9"/>
        <w:rPr>
          <w:rFonts w:ascii="宋体" w:hAnsi="宋体" w:cs="宋体" w:eastAsia="宋体" w:hint="default"/>
          <w:sz w:val="22"/>
          <w:szCs w:val="22"/>
        </w:rPr>
      </w:pPr>
    </w:p>
    <w:p>
      <w:pPr>
        <w:pStyle w:val="BodyText"/>
        <w:spacing w:line="240" w:lineRule="auto"/>
        <w:ind w:left="592" w:right="153"/>
        <w:jc w:val="left"/>
      </w:pPr>
      <w:r>
        <w:rPr/>
        <w:t>注：其他减少系外币报表折算汇率变动所致。</w:t>
      </w:r>
    </w:p>
    <w:p>
      <w:pPr>
        <w:spacing w:line="240" w:lineRule="auto" w:before="8"/>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5,232,479.44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635,712.01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2,309,490.90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3,558,700.55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5,232,479.44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635,712.01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2,309,490.90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3,558,700.55</w:t>
            </w:r>
          </w:p>
        </w:tc>
      </w:tr>
    </w:tbl>
    <w:p>
      <w:pPr>
        <w:spacing w:line="357" w:lineRule="auto" w:before="49"/>
        <w:ind w:left="152" w:right="90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93,726,607.81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15,540,009.93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55,881,498.23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11,269,176.87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9,064,301.13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1,359,645.17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12,380.65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126,687,765.84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31,153,161.25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60,571,007.88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15,142,751.97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3,665,692.09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776,752.89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2,958,150.90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739,537.73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233,144,366.87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48,829,569.24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119,493,194.65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27,163,847.22</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36"/>
        <w:gridCol w:w="1678"/>
        <w:gridCol w:w="1625"/>
        <w:gridCol w:w="1702"/>
        <w:gridCol w:w="1700"/>
      </w:tblGrid>
      <w:tr>
        <w:trPr>
          <w:trHeight w:val="206" w:hRule="exact"/>
        </w:trPr>
        <w:tc>
          <w:tcPr>
            <w:tcW w:w="2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gridSpan w:val="2"/>
            <w:vMerge/>
            <w:tcBorders>
              <w:left w:val="single" w:sz="4" w:space="0" w:color="000000"/>
              <w:bottom w:val="single" w:sz="4" w:space="0" w:color="000000"/>
              <w:right w:val="single" w:sz="4" w:space="0" w:color="000000"/>
            </w:tcBorders>
            <w:shd w:val="clear" w:color="auto" w:fill="D2D2D2"/>
          </w:tcPr>
          <w:p>
            <w:pPr/>
          </w:p>
        </w:tc>
        <w:tc>
          <w:tcPr>
            <w:tcW w:w="340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936" w:type="dxa"/>
            <w:vMerge/>
            <w:tcBorders>
              <w:left w:val="single" w:sz="4" w:space="0" w:color="000000"/>
              <w:bottom w:val="nil" w:sz="6" w:space="0" w:color="auto"/>
              <w:right w:val="single" w:sz="4" w:space="0" w:color="000000"/>
            </w:tcBorders>
            <w:shd w:val="clear" w:color="auto" w:fill="D2D2D2"/>
          </w:tcPr>
          <w:p>
            <w:pPr/>
          </w:p>
        </w:tc>
        <w:tc>
          <w:tcPr>
            <w:tcW w:w="1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78" w:type="dxa"/>
            <w:vMerge/>
            <w:tcBorders>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6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162,950,676.64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40,888,366.88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194,683,185.64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48,670,796.41</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境外股东分配股利应交的税金</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6,544,338.18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1,079,815.80</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162,950,676.64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40,888,366.88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201,227,523.82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49,750,612.21</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85"/>
        <w:gridCol w:w="1917"/>
        <w:gridCol w:w="2259"/>
        <w:gridCol w:w="1985"/>
        <w:gridCol w:w="2012"/>
      </w:tblGrid>
      <w:tr>
        <w:trPr>
          <w:trHeight w:val="161" w:hRule="exact"/>
        </w:trPr>
        <w:tc>
          <w:tcPr>
            <w:tcW w:w="1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1"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2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74" w:right="41" w:hanging="629"/>
              <w:jc w:val="left"/>
              <w:rPr>
                <w:rFonts w:ascii="宋体" w:hAnsi="宋体" w:cs="宋体" w:eastAsia="宋体" w:hint="default"/>
                <w:sz w:val="18"/>
                <w:szCs w:val="18"/>
              </w:rPr>
            </w:pPr>
            <w:r>
              <w:rPr>
                <w:rFonts w:ascii="宋体" w:hAnsi="宋体" w:cs="宋体" w:eastAsia="宋体" w:hint="default"/>
                <w:sz w:val="18"/>
                <w:szCs w:val="18"/>
              </w:rPr>
              <w:t>抵销后递延所得税资产或负 债期末余额</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48" w:right="84"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20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1" w:right="99"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2259"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2012" w:type="dxa"/>
            <w:vMerge/>
            <w:tcBorders>
              <w:left w:val="single" w:sz="4" w:space="0" w:color="000000"/>
              <w:right w:val="single" w:sz="4" w:space="0" w:color="000000"/>
            </w:tcBorders>
            <w:shd w:val="clear" w:color="auto" w:fill="D2D2D2"/>
          </w:tcPr>
          <w:p>
            <w:pPr/>
          </w:p>
        </w:tc>
      </w:tr>
      <w:tr>
        <w:trPr>
          <w:trHeight w:val="161" w:hRule="exact"/>
        </w:trPr>
        <w:tc>
          <w:tcPr>
            <w:tcW w:w="1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2259"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201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0"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48,829,569.24</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27,163,847.22</w:t>
            </w:r>
          </w:p>
        </w:tc>
      </w:tr>
      <w:tr>
        <w:trPr>
          <w:trHeight w:val="403"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0"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40,888,366.88</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49,750,612.21</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44,440,751.21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54,295,972.91</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67,368,175.76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40,923,670.90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111,808,926.97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95,219,643.81</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586,959.21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1,533,652.62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2,987,203.10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1,582,125.48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1,582,125.48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3,224,703.93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3,966,010.58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25,018,582.24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31,801,372.53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36,009,111.49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67,368,175.76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40,923,670.90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2976"/>
        <w:gridCol w:w="2765"/>
      </w:tblGrid>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预付畅联接口技术购买款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87" w:type="dxa"/>
            <w:tcBorders>
              <w:top w:val="single" w:sz="4" w:space="0" w:color="000000"/>
              <w:left w:val="single" w:sz="9" w:space="0" w:color="D2D2D2"/>
              <w:bottom w:val="single" w:sz="4" w:space="0" w:color="000000"/>
              <w:right w:val="single" w:sz="4" w:space="0" w:color="FFFFFF"/>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16,384,830.73</w:t>
            </w:r>
          </w:p>
        </w:tc>
        <w:tc>
          <w:tcPr>
            <w:tcW w:w="27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16,384,830.73</w:t>
            </w:r>
          </w:p>
        </w:tc>
        <w:tc>
          <w:tcPr>
            <w:tcW w:w="2765" w:type="dxa"/>
            <w:tcBorders>
              <w:top w:val="single" w:sz="4" w:space="0" w:color="000000"/>
              <w:left w:val="single" w:sz="4" w:space="0" w:color="FFFFFF"/>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21"/>
          <w:szCs w:val="21"/>
        </w:rPr>
      </w:pPr>
    </w:p>
    <w:p>
      <w:pPr>
        <w:pStyle w:val="Heading6"/>
        <w:spacing w:line="244" w:lineRule="auto"/>
        <w:ind w:right="146"/>
        <w:jc w:val="both"/>
      </w:pPr>
      <w:r>
        <w:rPr>
          <w:spacing w:val="-5"/>
        </w:rPr>
        <w:t>注：本集团的抵押借款系石基香港与中国银行（香港）有限公司签订的最高授信金额为</w:t>
      </w:r>
      <w:r>
        <w:rPr>
          <w:rFonts w:ascii="Times New Roman" w:hAnsi="Times New Roman" w:cs="Times New Roman" w:eastAsia="Times New Roman" w:hint="default"/>
          <w:spacing w:val="-5"/>
        </w:rPr>
        <w:t>35,000,000</w:t>
      </w:r>
      <w:r>
        <w:rPr>
          <w:rFonts w:ascii="Times New Roman" w:hAnsi="Times New Roman" w:cs="Times New Roman" w:eastAsia="Times New Roman" w:hint="default"/>
          <w:w w:val="100"/>
        </w:rPr>
        <w:t> </w:t>
      </w:r>
      <w:r>
        <w:rPr>
          <w:spacing w:val="6"/>
        </w:rPr>
        <w:t>港币的流动资金循环贷款抵押借款合同，合同期限为</w:t>
      </w:r>
      <w:r>
        <w:rPr>
          <w:rFonts w:ascii="Times New Roman" w:hAnsi="Times New Roman" w:cs="Times New Roman" w:eastAsia="Times New Roman" w:hint="default"/>
          <w:spacing w:val="6"/>
        </w:rPr>
        <w:t>1</w:t>
      </w:r>
      <w:r>
        <w:rPr>
          <w:spacing w:val="6"/>
        </w:rPr>
        <w:t>个月，石基香港于</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w:t>
      </w:r>
      <w:r>
        <w:rPr>
          <w:spacing w:val="6"/>
        </w:rPr>
        <w:t>日取得借款</w:t>
      </w:r>
      <w:r>
        <w:rPr>
          <w:spacing w:val="2"/>
        </w:rPr>
        <w:t> </w:t>
      </w:r>
      <w:r>
        <w:rPr>
          <w:spacing w:val="2"/>
        </w:rPr>
      </w:r>
      <w:r>
        <w:rPr>
          <w:rFonts w:ascii="Times New Roman" w:hAnsi="Times New Roman" w:cs="Times New Roman" w:eastAsia="Times New Roman" w:hint="default"/>
          <w:spacing w:val="-3"/>
        </w:rPr>
        <w:t>2,100,000</w:t>
      </w:r>
      <w:r>
        <w:rPr>
          <w:spacing w:val="-3"/>
        </w:rPr>
        <w:t>欧元，年利率为</w:t>
      </w:r>
      <w:r>
        <w:rPr>
          <w:rFonts w:ascii="Times New Roman" w:hAnsi="Times New Roman" w:cs="Times New Roman" w:eastAsia="Times New Roman" w:hint="default"/>
          <w:spacing w:val="-3"/>
        </w:rPr>
        <w:t>1.5%</w:t>
      </w:r>
      <w:r>
        <w:rPr>
          <w:spacing w:val="-3"/>
        </w:rPr>
        <w:t>。上述借款的抵押物为：</w:t>
      </w:r>
      <w:r>
        <w:rPr>
          <w:rFonts w:ascii="Times New Roman" w:hAnsi="Times New Roman" w:cs="Times New Roman" w:eastAsia="Times New Roman" w:hint="default"/>
          <w:spacing w:val="-3"/>
        </w:rPr>
        <w:t>1</w:t>
      </w:r>
      <w:r>
        <w:rPr>
          <w:spacing w:val="-3"/>
        </w:rPr>
        <w:t>）评估价值不低于</w:t>
      </w:r>
      <w:r>
        <w:rPr>
          <w:rFonts w:ascii="Times New Roman" w:hAnsi="Times New Roman" w:cs="Times New Roman" w:eastAsia="Times New Roman" w:hint="default"/>
          <w:spacing w:val="-3"/>
        </w:rPr>
        <w:t>40,000,000</w:t>
      </w:r>
      <w:r>
        <w:rPr>
          <w:spacing w:val="-3"/>
        </w:rPr>
        <w:t>港币，位于</w:t>
      </w:r>
      <w:r>
        <w:rPr>
          <w:rFonts w:ascii="Times New Roman" w:hAnsi="Times New Roman" w:cs="Times New Roman" w:eastAsia="Times New Roman" w:hint="default"/>
          <w:spacing w:val="-3"/>
        </w:rPr>
        <w:t>Great</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rFonts w:ascii="Times New Roman" w:hAnsi="Times New Roman" w:cs="Times New Roman" w:eastAsia="Times New Roman" w:hint="default"/>
        </w:rPr>
        <w:t>Eagle</w:t>
      </w:r>
      <w:r>
        <w:rPr>
          <w:rFonts w:ascii="Times New Roman" w:hAnsi="Times New Roman" w:cs="Times New Roman" w:eastAsia="Times New Roman" w:hint="default"/>
          <w:spacing w:val="-17"/>
        </w:rPr>
        <w:t> </w:t>
      </w:r>
      <w:r>
        <w:rPr>
          <w:rFonts w:ascii="Times New Roman" w:hAnsi="Times New Roman" w:cs="Times New Roman" w:eastAsia="Times New Roman" w:hint="default"/>
        </w:rPr>
        <w:t>Centre</w:t>
      </w:r>
      <w:r>
        <w:rPr>
          <w:rFonts w:ascii="Times New Roman" w:hAnsi="Times New Roman" w:cs="Times New Roman" w:eastAsia="Times New Roman" w:hint="default"/>
          <w:spacing w:val="-17"/>
        </w:rPr>
        <w:t> </w:t>
      </w:r>
      <w:r>
        <w:rPr>
          <w:rFonts w:ascii="Times New Roman" w:hAnsi="Times New Roman" w:cs="Times New Roman" w:eastAsia="Times New Roman" w:hint="default"/>
        </w:rPr>
        <w:t>,23</w:t>
      </w:r>
      <w:r>
        <w:rPr>
          <w:rFonts w:ascii="Times New Roman" w:hAnsi="Times New Roman" w:cs="Times New Roman" w:eastAsia="Times New Roman" w:hint="default"/>
          <w:spacing w:val="-17"/>
        </w:rPr>
        <w:t> </w:t>
      </w:r>
      <w:r>
        <w:rPr>
          <w:rFonts w:ascii="Times New Roman" w:hAnsi="Times New Roman" w:cs="Times New Roman" w:eastAsia="Times New Roman" w:hint="default"/>
        </w:rPr>
        <w:t>Harbour</w:t>
      </w:r>
      <w:r>
        <w:rPr>
          <w:rFonts w:ascii="Times New Roman" w:hAnsi="Times New Roman" w:cs="Times New Roman" w:eastAsia="Times New Roman" w:hint="default"/>
          <w:spacing w:val="-17"/>
        </w:rPr>
        <w:t> </w:t>
      </w:r>
      <w:r>
        <w:rPr>
          <w:rFonts w:ascii="Times New Roman" w:hAnsi="Times New Roman" w:cs="Times New Roman" w:eastAsia="Times New Roman" w:hint="default"/>
        </w:rPr>
        <w:t>Road,Wan</w:t>
      </w:r>
      <w:r>
        <w:rPr>
          <w:rFonts w:ascii="Times New Roman" w:hAnsi="Times New Roman" w:cs="Times New Roman" w:eastAsia="Times New Roman" w:hint="default"/>
          <w:spacing w:val="-17"/>
        </w:rPr>
        <w:t> </w:t>
      </w:r>
      <w:r>
        <w:rPr>
          <w:rFonts w:ascii="Times New Roman" w:hAnsi="Times New Roman" w:cs="Times New Roman" w:eastAsia="Times New Roman" w:hint="default"/>
        </w:rPr>
        <w:t>Chai</w:t>
      </w:r>
      <w:r>
        <w:rPr>
          <w:rFonts w:ascii="Times New Roman" w:hAnsi="Times New Roman" w:cs="Times New Roman" w:eastAsia="Times New Roman" w:hint="default"/>
          <w:spacing w:val="-16"/>
        </w:rPr>
        <w:t> </w:t>
      </w:r>
      <w:r>
        <w:rPr>
          <w:rFonts w:ascii="Times New Roman" w:hAnsi="Times New Roman" w:cs="Times New Roman" w:eastAsia="Times New Roman" w:hint="default"/>
        </w:rPr>
        <w:t>Hong</w:t>
      </w:r>
      <w:r>
        <w:rPr>
          <w:rFonts w:ascii="Times New Roman" w:hAnsi="Times New Roman" w:cs="Times New Roman" w:eastAsia="Times New Roman" w:hint="default"/>
          <w:spacing w:val="-19"/>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7"/>
        </w:rPr>
        <w:t> </w:t>
      </w:r>
      <w:r>
        <w:rPr>
          <w:rFonts w:ascii="Times New Roman" w:hAnsi="Times New Roman" w:cs="Times New Roman" w:eastAsia="Times New Roman" w:hint="default"/>
        </w:rPr>
        <w:t>18</w:t>
      </w:r>
      <w:r>
        <w:rPr/>
        <w:t>层的单位办公室；</w:t>
      </w:r>
      <w:r>
        <w:rPr>
          <w:rFonts w:ascii="Times New Roman" w:hAnsi="Times New Roman" w:cs="Times New Roman" w:eastAsia="Times New Roman" w:hint="default"/>
        </w:rPr>
        <w:t>2</w:t>
      </w:r>
      <w:r>
        <w:rPr/>
        <w:t>）评估价值不低于</w:t>
      </w:r>
      <w:r>
        <w:rPr>
          <w:rFonts w:ascii="Times New Roman" w:hAnsi="Times New Roman" w:cs="Times New Roman" w:eastAsia="Times New Roman" w:hint="default"/>
        </w:rPr>
        <w:t>11,000,000</w:t>
      </w:r>
      <w:r>
        <w:rPr>
          <w:rFonts w:ascii="Times New Roman" w:hAnsi="Times New Roman" w:cs="Times New Roman" w:eastAsia="Times New Roman" w:hint="default"/>
          <w:w w:val="100"/>
        </w:rPr>
        <w:t> </w:t>
      </w:r>
      <w:r>
        <w:rPr/>
        <w:t>港币，位于</w:t>
      </w:r>
      <w:r>
        <w:rPr>
          <w:rFonts w:ascii="Times New Roman" w:hAnsi="Times New Roman" w:cs="Times New Roman" w:eastAsia="Times New Roman" w:hint="default"/>
        </w:rPr>
        <w:t>Tung Shan Mansion, Kao Shan Terrace,No.11 Taikoo Shing,Hong Kong</w:t>
      </w:r>
      <w:r>
        <w:rPr>
          <w:rFonts w:ascii="Times New Roman" w:hAnsi="Times New Roman" w:cs="Times New Roman" w:eastAsia="Times New Roman" w:hint="default"/>
          <w:spacing w:val="29"/>
        </w:rPr>
        <w:t> </w:t>
      </w:r>
      <w:r>
        <w:rPr>
          <w:rFonts w:ascii="Times New Roman" w:hAnsi="Times New Roman" w:cs="Times New Roman" w:eastAsia="Times New Roman" w:hint="default"/>
        </w:rPr>
        <w:t>5</w:t>
      </w:r>
      <w:r>
        <w:rPr/>
        <w:t>层的公寓</w:t>
      </w:r>
      <w:r>
        <w:rPr>
          <w:rFonts w:ascii="Times New Roman" w:hAnsi="Times New Roman" w:cs="Times New Roman" w:eastAsia="Times New Roman" w:hint="default"/>
        </w:rPr>
        <w:t>G</w:t>
      </w:r>
      <w:r>
        <w:rPr/>
        <w:t>，抵押人</w:t>
      </w:r>
      <w:r>
        <w:rPr>
          <w:w w:val="100"/>
        </w:rPr>
        <w:t> </w:t>
      </w:r>
      <w:r>
        <w:rPr/>
        <w:t>为香港精模。</w:t>
      </w:r>
    </w:p>
    <w:p>
      <w:pPr>
        <w:spacing w:line="240" w:lineRule="auto" w:before="2"/>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84,077,205.31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60,459,186.91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84,077,205.31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60,459,186.91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6"/>
          <w:szCs w:val="26"/>
        </w:rPr>
      </w:pPr>
    </w:p>
    <w:p>
      <w:pPr>
        <w:pStyle w:val="Heading7"/>
        <w:spacing w:line="240" w:lineRule="auto"/>
        <w:ind w:right="153"/>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2976"/>
        <w:gridCol w:w="2613"/>
      </w:tblGrid>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71"/>
        <w:gridCol w:w="2976"/>
        <w:gridCol w:w="2624"/>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170,166,470.21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121,617,453.52</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应付供应商服务款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4,872,370.81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175,038,841.02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121,617,453.52</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976"/>
        <w:gridCol w:w="2624"/>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北京科码先锋互联网技术股份有限公司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1,487,963.22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上海阳程科技有限公司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不符合付款条件</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武汉合智天成信息科技有限公司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中智建设技术工程有限责任公司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897,163.44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北京中科商信科技有限公司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775,282.85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北京胜龙科技股份有限公司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628,640.63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爱鸥自动化系统（上海）有限公司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565,904.19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武汉道远商业管理咨询工作室</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广州市汇朗信息技术有限公司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380,566.05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万载县淡湾设计咨询服务部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对方未催款</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杭州贰拾叁度建筑装饰工程有限公司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259,429.88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对方未催款</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南京市建邺区融昀信息技术中心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258,175.00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对方未催款</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杭州恒通云信息科技股份有限公司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249,678.00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不符合付款条件</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上海上尚自动化技术有限公司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247,564.63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石家庄百合友路科技有限公司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243,960.97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上海朝蓬信息科技有限公司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243,107.56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MICROS-FIDELO</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238,062.08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上海润祥科技有限公司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236,893.20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北京育盟天下科技有限公司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226,400.00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合肥富佳信息科技有限公司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9,903,191.70</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502,620,831.46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367,868,124.56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21,806,904.16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46,702,912.42</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524,427,735.62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414,571,036.98</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中国农业银行股份有限公司靖江市支行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2,470,314.50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中国建设银行股份有限公司青岛市分行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2,223,335.00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湖南鑫盛房地产开发有限公司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长沙华晨豪生酒店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1,883,581.00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Six Continents Hotels</w:t>
            </w:r>
            <w:r>
              <w:rPr>
                <w:rFonts w:ascii="Times New Roman"/>
                <w:spacing w:val="-3"/>
                <w:sz w:val="18"/>
              </w:rPr>
              <w:t> </w:t>
            </w:r>
            <w:r>
              <w:rPr>
                <w:rFonts w:ascii="Times New Roman"/>
                <w:sz w:val="18"/>
              </w:rPr>
              <w:t>Inc</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1,710,943.94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家乐福（中国）管理咨询服务有限公司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1,590,150.00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中国银行股份有限公司无锡分行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1,558,040.01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中山市大信通智能科技有限公司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1,499,282.06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中国银行股份有限公司四川省分行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1,359,484.98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深圳市筑恒盛企业管理咨询有限公司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中国银行股份有限公司北京市分行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1,295,972.96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郑州茂丰置业有限公司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安德阿镆贸易（上海）有限公司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1,249,396.00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MILLENNIUMCOPTHORNEINTLLTD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1,211,031.85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北京奥伦达集团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21,697,532.30</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38"/>
        <w:gridCol w:w="1689"/>
        <w:gridCol w:w="1844"/>
        <w:gridCol w:w="1843"/>
        <w:gridCol w:w="1844"/>
      </w:tblGrid>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75,143,195.56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603,869,914.22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582,608,855.68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96,404,254.10</w:t>
            </w: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991,258.70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37,488,302.97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37,153,240.52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1,326,321.15</w:t>
            </w:r>
          </w:p>
        </w:tc>
      </w:tr>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608,760.00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76,134,454.26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641,966,977.19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620,370,856.20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97,730,575.25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713"/>
        <w:gridCol w:w="1844"/>
        <w:gridCol w:w="1843"/>
        <w:gridCol w:w="1700"/>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56,384,082.91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552,846,166.21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532,659,643.49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76,570,605.63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200,275.00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4,943,185.63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4,935,625.63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207,835.00</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819,057.89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21,390,311.27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21,200,896.02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1,008,473.14</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775,192.53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18,907,221.01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18,732,105.51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950,308.03</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11,650.49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628,762.40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623,603.21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16,809.68</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32,214.87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1,854,327.86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1,845,187.30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41,355.43</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174,549.12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22,834,159.71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22,410,081.92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598,626.91</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17,565,230.64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1,856,091.40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1,402,608.62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18,018,713.42</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75,143,195.56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603,869,914.22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582,608,855.68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96,404,254.10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713"/>
        <w:gridCol w:w="1844"/>
        <w:gridCol w:w="1843"/>
        <w:gridCol w:w="1700"/>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935,848.03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36,078,105.99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35,749,151.03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1,264,802.99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55,410.67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1,410,196.98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1,404,089.49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61,518.16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991,258.70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37,488,302.97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37,153,240.52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1,326,321.15</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59"/>
        <w:gridCol w:w="2976"/>
        <w:gridCol w:w="2624"/>
      </w:tblGrid>
      <w:tr>
        <w:trPr>
          <w:trHeight w:val="403"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23,983,413.48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14,185,946.41</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55,043,538.69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61,737,441.86</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5,359,369.49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2,332,368.72</w:t>
            </w:r>
          </w:p>
        </w:tc>
      </w:tr>
      <w:tr>
        <w:trPr>
          <w:trHeight w:val="404"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1,542,357.48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1,758,908.78</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119,248.93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1,283,016.10</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4,975.17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334,190.60</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1,099,819.58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381,982.16</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296,880.21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20,407.48</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8,483.64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65,568.48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71"/>
        <w:gridCol w:w="2976"/>
        <w:gridCol w:w="2624"/>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69,625.87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15,121.76</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2,974.50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35,125.97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87,565,813.01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82,114,952.35</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976"/>
        <w:gridCol w:w="2624"/>
      </w:tblGrid>
      <w:tr>
        <w:trPr>
          <w:trHeight w:val="40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66,653,686.26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13,678,137.66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15,736,948.77</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10,923,589.36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8,930,880.40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北京广夏世纪房地产开发有限责任公司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4,792,800.00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4,792,800.00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处置股权意向金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国家机关维修基金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2,646,191.10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2,839,907.24</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1,506,782.85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5,771,967.94</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代离退休人员费用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606,292.26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1,928,874.88</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保修期维护费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728,970.69</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8,693,375.71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11,378,258.89</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114,200,855.20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52,108,608.81</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2127"/>
        <w:gridCol w:w="555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北京广夏世纪房地产开 发有限责任公司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4,792,800.00</w:t>
            </w:r>
          </w:p>
        </w:tc>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系为中电器件的中央级基本建设经营性基金，由于双方对债务金额存在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争议，故一直未进行偿还</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4,792,800.00</w:t>
            </w:r>
          </w:p>
        </w:tc>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left="592" w:right="153" w:firstLine="0"/>
        <w:jc w:val="left"/>
      </w:pPr>
      <w:r>
        <w:rPr/>
        <w:t>注：预提费用为石基香港计提的应付审计费用、行政费用、保险费用等。</w:t>
      </w:r>
    </w:p>
    <w:p>
      <w:pPr>
        <w:spacing w:line="240" w:lineRule="auto" w:before="4"/>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27</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00"/>
        <w:gridCol w:w="2846"/>
        <w:gridCol w:w="2624"/>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2,373,958.82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2,373,958.82</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89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28</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预估股权收购款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38,750,000.00</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0" w:lineRule="auto"/>
        <w:ind w:left="592" w:right="0" w:firstLine="0"/>
        <w:jc w:val="left"/>
      </w:pPr>
      <w:r>
        <w:rPr/>
        <w:t>注：预估股权收购款系公司预估的期后一年以内根据股权转让协议约定预计需要支付的对价。</w:t>
      </w:r>
    </w:p>
    <w:p>
      <w:pPr>
        <w:spacing w:line="240" w:lineRule="auto" w:before="6"/>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29</w:t>
      </w:r>
      <w:r>
        <w:rPr/>
        <w:t>、长期借款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spacing w:before="0"/>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207,894,742.44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572,872.19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208,467,614.63</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
        <w:rPr>
          <w:rFonts w:ascii="宋体" w:hAnsi="宋体" w:cs="宋体" w:eastAsia="宋体" w:hint="default"/>
          <w:sz w:val="22"/>
          <w:szCs w:val="22"/>
        </w:rPr>
      </w:pPr>
    </w:p>
    <w:p>
      <w:pPr>
        <w:pStyle w:val="Heading6"/>
        <w:spacing w:line="240" w:lineRule="auto"/>
        <w:ind w:left="592" w:right="0" w:firstLine="0"/>
        <w:jc w:val="left"/>
      </w:pPr>
      <w:r>
        <w:rPr/>
        <w:t>注：本公司长期借款年末有</w:t>
      </w:r>
      <w:r>
        <w:rPr>
          <w:rFonts w:ascii="Times New Roman" w:hAnsi="Times New Roman" w:cs="Times New Roman" w:eastAsia="Times New Roman" w:hint="default"/>
        </w:rPr>
        <w:t>3</w:t>
      </w:r>
      <w:r>
        <w:rPr/>
        <w:t>份未履行完毕的借款合同，包括：</w:t>
      </w:r>
    </w:p>
    <w:p>
      <w:pPr>
        <w:spacing w:line="240" w:lineRule="auto" w:before="10"/>
        <w:rPr>
          <w:rFonts w:ascii="宋体" w:hAnsi="宋体" w:cs="宋体" w:eastAsia="宋体" w:hint="default"/>
          <w:sz w:val="18"/>
          <w:szCs w:val="18"/>
        </w:rPr>
      </w:pPr>
    </w:p>
    <w:p>
      <w:pPr>
        <w:pStyle w:val="Heading6"/>
        <w:spacing w:line="244" w:lineRule="auto"/>
        <w:ind w:right="168"/>
        <w:jc w:val="both"/>
      </w:pPr>
      <w:r>
        <w:rPr>
          <w:rFonts w:ascii="Times New Roman" w:hAnsi="Times New Roman" w:cs="Times New Roman" w:eastAsia="Times New Roman" w:hint="default"/>
        </w:rPr>
        <w:t>1</w:t>
      </w:r>
      <w:r>
        <w:rPr/>
        <w:t>）石基香港与招商银行股份有限公司卢森堡支行签订的授信金额为</w:t>
      </w:r>
      <w:r>
        <w:rPr>
          <w:rFonts w:ascii="Times New Roman" w:hAnsi="Times New Roman" w:cs="Times New Roman" w:eastAsia="Times New Roman" w:hint="default"/>
        </w:rPr>
        <w:t>55,000,000.00</w:t>
      </w:r>
      <w:r>
        <w:rPr/>
        <w:t>欧元的授信协</w:t>
      </w:r>
      <w:r>
        <w:rPr>
          <w:spacing w:val="2"/>
          <w:w w:val="100"/>
        </w:rPr>
        <w:t> </w:t>
      </w:r>
      <w:r>
        <w:rPr>
          <w:spacing w:val="-1"/>
        </w:rPr>
        <w:t>议，石基香港于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日取得按期付息还本借款</w:t>
      </w:r>
      <w:r>
        <w:rPr>
          <w:rFonts w:ascii="Times New Roman" w:hAnsi="Times New Roman" w:cs="Times New Roman" w:eastAsia="Times New Roman" w:hint="default"/>
          <w:spacing w:val="-1"/>
        </w:rPr>
        <w:t>26,390,000.00</w:t>
      </w:r>
      <w:r>
        <w:rPr>
          <w:spacing w:val="-1"/>
        </w:rPr>
        <w:t>欧元，借款期限为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w:t>
      </w:r>
      <w:r>
        <w:rPr>
          <w:spacing w:val="-43"/>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日，计息期为三个月，计息方式为浮动利率（按</w:t>
      </w:r>
      <w:r>
        <w:rPr>
          <w:rFonts w:ascii="Times New Roman" w:hAnsi="Times New Roman" w:cs="Times New Roman" w:eastAsia="Times New Roman" w:hint="default"/>
        </w:rPr>
        <w:t>LIBOR</w:t>
      </w:r>
      <w:r>
        <w:rPr/>
        <w:t>年化利率上浮</w:t>
      </w:r>
      <w:r>
        <w:rPr>
          <w:rFonts w:ascii="Times New Roman" w:hAnsi="Times New Roman" w:cs="Times New Roman" w:eastAsia="Times New Roman" w:hint="default"/>
        </w:rPr>
        <w:t>1%</w:t>
      </w:r>
      <w:r>
        <w:rPr/>
        <w:t>，首次年化</w:t>
      </w:r>
      <w:r>
        <w:rPr>
          <w:spacing w:val="-14"/>
        </w:rPr>
        <w:t> </w:t>
      </w:r>
      <w:r>
        <w:rPr>
          <w:spacing w:val="-14"/>
        </w:rPr>
      </w:r>
      <w:r>
        <w:rPr>
          <w:spacing w:val="-2"/>
        </w:rPr>
        <w:t>利率为</w:t>
      </w:r>
      <w:r>
        <w:rPr>
          <w:rFonts w:ascii="Times New Roman" w:hAnsi="Times New Roman" w:cs="Times New Roman" w:eastAsia="Times New Roman" w:hint="default"/>
          <w:spacing w:val="-2"/>
        </w:rPr>
        <w:t>1%</w:t>
      </w:r>
      <w:r>
        <w:rPr>
          <w:spacing w:val="-2"/>
        </w:rPr>
        <w:t>，首次计息期利率</w:t>
      </w:r>
      <w:r>
        <w:rPr>
          <w:rFonts w:ascii="Times New Roman" w:hAnsi="Times New Roman" w:cs="Times New Roman" w:eastAsia="Times New Roman" w:hint="default"/>
          <w:spacing w:val="-2"/>
        </w:rPr>
        <w:t>0.25%</w:t>
      </w:r>
      <w:r>
        <w:rPr>
          <w:spacing w:val="-2"/>
        </w:rPr>
        <w:t>），上述借款由本公司与招商银行股份有限公司北京万寿路支行签</w:t>
      </w:r>
      <w:r>
        <w:rPr>
          <w:spacing w:val="-51"/>
        </w:rPr>
        <w:t> </w:t>
      </w:r>
      <w:r>
        <w:rPr>
          <w:spacing w:val="-51"/>
        </w:rPr>
      </w:r>
      <w:r>
        <w:rPr/>
        <w:t>订担保协议，开具融资性保函，在</w:t>
      </w:r>
      <w:r>
        <w:rPr>
          <w:rFonts w:ascii="Times New Roman" w:hAnsi="Times New Roman" w:cs="Times New Roman" w:eastAsia="Times New Roman" w:hint="default"/>
        </w:rPr>
        <w:t>26,500,000.00</w:t>
      </w:r>
      <w:r>
        <w:rPr/>
        <w:t>欧元的限额内承担保证责任；</w:t>
      </w:r>
    </w:p>
    <w:p>
      <w:pPr>
        <w:spacing w:line="240" w:lineRule="auto" w:before="8"/>
        <w:rPr>
          <w:rFonts w:ascii="宋体" w:hAnsi="宋体" w:cs="宋体" w:eastAsia="宋体" w:hint="default"/>
          <w:sz w:val="18"/>
          <w:szCs w:val="18"/>
        </w:rPr>
      </w:pPr>
    </w:p>
    <w:p>
      <w:pPr>
        <w:pStyle w:val="Heading6"/>
        <w:spacing w:line="240" w:lineRule="auto"/>
        <w:ind w:left="592" w:right="0" w:firstLine="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Review Rank</w:t>
      </w:r>
      <w:r>
        <w:rPr/>
        <w:t>与</w:t>
      </w:r>
      <w:r>
        <w:rPr>
          <w:rFonts w:ascii="Times New Roman" w:hAnsi="Times New Roman" w:cs="Times New Roman" w:eastAsia="Times New Roman" w:hint="default"/>
        </w:rPr>
        <w:t>CENTRO PARA ELDESARROLLO TECNOLOGICO</w:t>
      </w:r>
      <w:r>
        <w:rPr>
          <w:rFonts w:ascii="Times New Roman" w:hAnsi="Times New Roman" w:cs="Times New Roman" w:eastAsia="Times New Roman" w:hint="default"/>
          <w:spacing w:val="46"/>
        </w:rPr>
        <w:t> </w:t>
      </w:r>
      <w:r>
        <w:rPr>
          <w:rFonts w:ascii="Times New Roman" w:hAnsi="Times New Roman" w:cs="Times New Roman" w:eastAsia="Times New Roman" w:hint="default"/>
        </w:rPr>
        <w:t>INDUSTRIAL</w:t>
      </w:r>
      <w:r>
        <w:rPr/>
        <w:t>签订的总金</w:t>
      </w:r>
    </w:p>
    <w:p>
      <w:pPr>
        <w:pStyle w:val="Heading6"/>
        <w:spacing w:line="244" w:lineRule="auto" w:before="7"/>
        <w:ind w:right="108" w:firstLine="0"/>
        <w:jc w:val="both"/>
      </w:pPr>
      <w:r>
        <w:rPr>
          <w:spacing w:val="-1"/>
        </w:rPr>
        <w:t>额为</w:t>
      </w:r>
      <w:r>
        <w:rPr>
          <w:rFonts w:ascii="Times New Roman" w:hAnsi="Times New Roman" w:cs="Times New Roman" w:eastAsia="Times New Roman" w:hint="default"/>
          <w:spacing w:val="-1"/>
        </w:rPr>
        <w:t>367,123.50</w:t>
      </w:r>
      <w:r>
        <w:rPr>
          <w:spacing w:val="-1"/>
        </w:rPr>
        <w:t>欧元的信用借款协议，借款期限为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日，借款利率为</w:t>
      </w:r>
      <w:r>
        <w:rPr>
          <w:rFonts w:ascii="Times New Roman" w:hAnsi="Times New Roman" w:cs="Times New Roman" w:eastAsia="Times New Roman" w:hint="default"/>
          <w:spacing w:val="-1"/>
        </w:rPr>
        <w:t>0.00%</w:t>
      </w:r>
      <w:r>
        <w:rPr>
          <w:spacing w:val="-1"/>
        </w:rPr>
        <w:t>，</w:t>
      </w:r>
      <w:r>
        <w:rPr>
          <w:spacing w:val="-57"/>
        </w:rPr>
        <w:t> </w:t>
      </w:r>
      <w:r>
        <w:rPr/>
        <w:t>还款方式为每</w:t>
      </w:r>
      <w:r>
        <w:rPr>
          <w:rFonts w:ascii="Times New Roman" w:hAnsi="Times New Roman" w:cs="Times New Roman" w:eastAsia="Times New Roman" w:hint="default"/>
        </w:rPr>
        <w:t>6</w:t>
      </w:r>
      <w:r>
        <w:rPr/>
        <w:t>个月为一期，每期还款</w:t>
      </w:r>
      <w:r>
        <w:rPr>
          <w:rFonts w:ascii="Times New Roman" w:hAnsi="Times New Roman" w:cs="Times New Roman" w:eastAsia="Times New Roman" w:hint="default"/>
        </w:rPr>
        <w:t>24,475.00</w:t>
      </w:r>
      <w:r>
        <w:rPr/>
        <w:t>欧元，最后一期还款</w:t>
      </w:r>
      <w:r>
        <w:rPr>
          <w:rFonts w:ascii="Times New Roman" w:hAnsi="Times New Roman" w:cs="Times New Roman" w:eastAsia="Times New Roman" w:hint="default"/>
        </w:rPr>
        <w:t>24,473.50</w:t>
      </w:r>
      <w:r>
        <w:rPr/>
        <w:t>欧元，年末长期借款余</w:t>
      </w:r>
      <w:r>
        <w:rPr>
          <w:spacing w:val="-44"/>
        </w:rPr>
        <w:t> </w:t>
      </w:r>
      <w:r>
        <w:rPr>
          <w:spacing w:val="-44"/>
        </w:rPr>
      </w:r>
      <w:r>
        <w:rPr/>
        <w:t>额为</w:t>
      </w:r>
      <w:r>
        <w:rPr>
          <w:rFonts w:ascii="Times New Roman" w:hAnsi="Times New Roman" w:cs="Times New Roman" w:eastAsia="Times New Roman" w:hint="default"/>
        </w:rPr>
        <w:t>73,423.50</w:t>
      </w:r>
      <w:r>
        <w:rPr/>
        <w:t>欧元。</w:t>
      </w:r>
    </w:p>
    <w:p>
      <w:pPr>
        <w:spacing w:line="240" w:lineRule="auto" w:before="7"/>
        <w:rPr>
          <w:rFonts w:ascii="宋体" w:hAnsi="宋体" w:cs="宋体" w:eastAsia="宋体" w:hint="default"/>
          <w:sz w:val="18"/>
          <w:szCs w:val="18"/>
        </w:rPr>
      </w:pPr>
    </w:p>
    <w:p>
      <w:pPr>
        <w:pStyle w:val="Heading6"/>
        <w:spacing w:line="244" w:lineRule="auto"/>
        <w:ind w:right="171"/>
        <w:jc w:val="both"/>
        <w:rPr>
          <w:rFonts w:ascii="Times New Roman" w:hAnsi="Times New Roman" w:cs="Times New Roman" w:eastAsia="Times New Roman" w:hint="default"/>
        </w:rPr>
      </w:pPr>
      <w:r>
        <w:rPr>
          <w:rFonts w:ascii="Times New Roman" w:hAnsi="Times New Roman" w:cs="Times New Roman" w:eastAsia="Times New Roman" w:hint="default"/>
          <w:spacing w:val="-13"/>
          <w:w w:val="100"/>
        </w:rPr>
        <w:t>3</w:t>
      </w:r>
      <w:r>
        <w:rPr>
          <w:spacing w:val="-13"/>
          <w:w w:val="100"/>
        </w:rPr>
        <w:t>）</w:t>
      </w:r>
      <w:r>
        <w:rPr>
          <w:rFonts w:ascii="Times New Roman" w:hAnsi="Times New Roman" w:cs="Times New Roman" w:eastAsia="Times New Roman" w:hint="default"/>
          <w:spacing w:val="-13"/>
          <w:w w:val="100"/>
        </w:rPr>
        <w:t>Review</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Rank</w:t>
      </w:r>
      <w:r>
        <w:rPr>
          <w:spacing w:val="-1"/>
          <w:w w:val="100"/>
        </w:rPr>
        <w:t>与</w:t>
      </w:r>
      <w:r>
        <w:rPr>
          <w:rFonts w:ascii="Times New Roman" w:hAnsi="Times New Roman" w:cs="Times New Roman" w:eastAsia="Times New Roman" w:hint="default"/>
          <w:spacing w:val="-1"/>
          <w:w w:val="100"/>
        </w:rPr>
        <w:t>EMPRENDETUR</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4"/>
          <w:w w:val="100"/>
        </w:rPr>
        <w:t>RDI</w:t>
      </w:r>
      <w:r>
        <w:rPr>
          <w:spacing w:val="-4"/>
          <w:w w:val="100"/>
        </w:rPr>
        <w:t>签订的授信金额为</w:t>
      </w:r>
      <w:r>
        <w:rPr>
          <w:rFonts w:ascii="Times New Roman" w:hAnsi="Times New Roman" w:cs="Times New Roman" w:eastAsia="Times New Roman" w:hint="default"/>
          <w:spacing w:val="-4"/>
          <w:w w:val="100"/>
        </w:rPr>
        <w:t>765,492.00</w:t>
      </w:r>
      <w:r>
        <w:rPr>
          <w:spacing w:val="-4"/>
          <w:w w:val="100"/>
        </w:rPr>
        <w:t>欧元的保证借款协议，由</w:t>
      </w:r>
      <w:r>
        <w:rPr>
          <w:rFonts w:ascii="Times New Roman" w:hAnsi="Times New Roman" w:cs="Times New Roman" w:eastAsia="Times New Roman" w:hint="default"/>
          <w:spacing w:val="-4"/>
          <w:w w:val="100"/>
        </w:rPr>
        <w:t>Banc</w:t>
      </w:r>
      <w:r>
        <w:rPr>
          <w:rFonts w:ascii="Times New Roman" w:hAnsi="Times New Roman" w:cs="Times New Roman" w:eastAsia="Times New Roman" w:hint="default"/>
          <w:w w:val="100"/>
        </w:rPr>
        <w:t> </w:t>
      </w:r>
      <w:r>
        <w:rPr>
          <w:rFonts w:ascii="Times New Roman" w:hAnsi="Times New Roman" w:cs="Times New Roman" w:eastAsia="Times New Roman" w:hint="default"/>
          <w:spacing w:val="-3"/>
        </w:rPr>
        <w:t>Sabadell</w:t>
      </w:r>
      <w:r>
        <w:rPr>
          <w:spacing w:val="-3"/>
        </w:rPr>
        <w:t>以</w:t>
      </w:r>
      <w:r>
        <w:rPr>
          <w:rFonts w:ascii="Times New Roman" w:hAnsi="Times New Roman" w:cs="Times New Roman" w:eastAsia="Times New Roman" w:hint="default"/>
          <w:spacing w:val="-3"/>
        </w:rPr>
        <w:t>140,000.00</w:t>
      </w:r>
      <w:r>
        <w:rPr>
          <w:spacing w:val="-3"/>
        </w:rPr>
        <w:t>欧元存款，在</w:t>
      </w:r>
      <w:r>
        <w:rPr>
          <w:rFonts w:ascii="Times New Roman" w:hAnsi="Times New Roman" w:cs="Times New Roman" w:eastAsia="Times New Roman" w:hint="default"/>
          <w:spacing w:val="-3"/>
        </w:rPr>
        <w:t>275,739.12</w:t>
      </w:r>
      <w:r>
        <w:rPr>
          <w:spacing w:val="-3"/>
        </w:rPr>
        <w:t>欧元限额内提供担保。借款期限为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年</w:t>
      </w:r>
      <w:r>
        <w:rPr>
          <w:rFonts w:ascii="Times New Roman" w:hAnsi="Times New Roman" w:cs="Times New Roman" w:eastAsia="Times New Roman" w:hint="default"/>
          <w:spacing w:val="-3"/>
        </w:rPr>
        <w:t>29</w:t>
      </w:r>
      <w:r>
        <w:rPr>
          <w:spacing w:val="-3"/>
        </w:rPr>
        <w:t>日至</w:t>
      </w:r>
      <w:r>
        <w:rPr>
          <w:rFonts w:ascii="Times New Roman" w:hAnsi="Times New Roman" w:cs="Times New Roman" w:eastAsia="Times New Roman" w:hint="default"/>
          <w:spacing w:val="-3"/>
        </w:rPr>
        <w:t>2019</w:t>
      </w:r>
    </w:p>
    <w:p>
      <w:pPr>
        <w:spacing w:after="0" w:line="244" w:lineRule="auto"/>
        <w:jc w:val="both"/>
        <w:rPr>
          <w:rFonts w:ascii="Times New Roman" w:hAnsi="Times New Roman" w:cs="Times New Roman" w:eastAsia="Times New Roman" w:hint="default"/>
        </w:rPr>
        <w:sectPr>
          <w:pgSz w:w="11910" w:h="16840"/>
          <w:pgMar w:header="0" w:footer="980" w:top="1100" w:bottom="1160" w:left="980" w:right="960"/>
        </w:sectPr>
      </w:pPr>
    </w:p>
    <w:p>
      <w:pPr>
        <w:spacing w:line="240" w:lineRule="auto" w:before="3"/>
        <w:rPr>
          <w:rFonts w:ascii="Times New Roman" w:hAnsi="Times New Roman" w:cs="Times New Roman" w:eastAsia="Times New Roman" w:hint="default"/>
          <w:sz w:val="23"/>
          <w:szCs w:val="23"/>
        </w:rPr>
      </w:pPr>
    </w:p>
    <w:p>
      <w:pPr>
        <w:pStyle w:val="Heading6"/>
        <w:spacing w:line="247" w:lineRule="auto" w:before="32"/>
        <w:ind w:right="153" w:firstLine="0"/>
        <w:jc w:val="left"/>
      </w:pP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日，从</w:t>
      </w:r>
      <w:r>
        <w:rPr>
          <w:rFonts w:ascii="Times New Roman" w:hAnsi="Times New Roman" w:cs="Times New Roman" w:eastAsia="Times New Roman" w:hint="default"/>
          <w:spacing w:val="-2"/>
        </w:rPr>
        <w:t>2017</w:t>
      </w:r>
      <w:r>
        <w:rPr>
          <w:spacing w:val="-2"/>
        </w:rPr>
        <w:t>年起每年还款</w:t>
      </w:r>
      <w:r>
        <w:rPr>
          <w:rFonts w:ascii="Times New Roman" w:hAnsi="Times New Roman" w:cs="Times New Roman" w:eastAsia="Times New Roman" w:hint="default"/>
          <w:spacing w:val="-2"/>
        </w:rPr>
        <w:t>255,314.00</w:t>
      </w:r>
      <w:r>
        <w:rPr>
          <w:spacing w:val="-2"/>
        </w:rPr>
        <w:t>欧元，按年计息，年利息率为</w:t>
      </w:r>
      <w:r>
        <w:rPr>
          <w:rFonts w:ascii="Times New Roman" w:hAnsi="Times New Roman" w:cs="Times New Roman" w:eastAsia="Times New Roman" w:hint="default"/>
          <w:spacing w:val="-2"/>
        </w:rPr>
        <w:t>3.74%</w:t>
      </w:r>
      <w:r>
        <w:rPr>
          <w:spacing w:val="-2"/>
        </w:rPr>
        <w:t>，年末长期借款余额</w:t>
      </w:r>
      <w:r>
        <w:rPr>
          <w:spacing w:val="-65"/>
        </w:rPr>
        <w:t> </w:t>
      </w:r>
      <w:r>
        <w:rPr>
          <w:spacing w:val="-65"/>
        </w:rPr>
      </w:r>
      <w:r>
        <w:rPr/>
        <w:t>为</w:t>
      </w:r>
      <w:r>
        <w:rPr>
          <w:rFonts w:ascii="Times New Roman" w:hAnsi="Times New Roman" w:cs="Times New Roman" w:eastAsia="Times New Roman" w:hint="default"/>
        </w:rPr>
        <w:t>255,314.00</w:t>
      </w:r>
      <w:r>
        <w:rPr/>
        <w:t>欧元。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5"/>
          <w:szCs w:val="25"/>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30</w:t>
      </w:r>
      <w:r>
        <w:rPr/>
        <w:t>、长期应付款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2976"/>
        <w:gridCol w:w="2765"/>
      </w:tblGrid>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预估股权收购款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9" w:right="0"/>
              <w:jc w:val="left"/>
              <w:rPr>
                <w:rFonts w:ascii="Times New Roman" w:hAnsi="Times New Roman" w:cs="Times New Roman" w:eastAsia="Times New Roman" w:hint="default"/>
                <w:sz w:val="18"/>
                <w:szCs w:val="18"/>
              </w:rPr>
            </w:pPr>
            <w:r>
              <w:rPr>
                <w:rFonts w:ascii="Times New Roman"/>
                <w:sz w:val="18"/>
              </w:rPr>
              <w:t>33,581,250.00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left="592" w:right="153" w:firstLine="0"/>
        <w:jc w:val="left"/>
      </w:pPr>
      <w:r>
        <w:rPr/>
        <w:t>注：预估股权收购款系公司预估的期后一年以上根据协议约定可能需要支付的股权转让款。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7"/>
        <w:spacing w:line="240" w:lineRule="auto"/>
        <w:ind w:right="153"/>
        <w:jc w:val="left"/>
        <w:rPr>
          <w:b w:val="0"/>
          <w:bCs w:val="0"/>
        </w:rPr>
      </w:pPr>
      <w:r>
        <w:rPr>
          <w:rFonts w:ascii="Times New Roman" w:hAnsi="Times New Roman" w:cs="Times New Roman" w:eastAsia="Times New Roman" w:hint="default"/>
        </w:rPr>
        <w:t>31</w:t>
      </w:r>
      <w:r>
        <w:rPr/>
        <w:t>、专项应付款</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958"/>
        <w:gridCol w:w="1045"/>
        <w:gridCol w:w="958"/>
        <w:gridCol w:w="1047"/>
        <w:gridCol w:w="4069"/>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北海组织部人才发 展基金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3,840.00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196,160.00</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根据《关于实施北海领航人才计划、大力服务产业 </w:t>
            </w:r>
            <w:r>
              <w:rPr>
                <w:rFonts w:ascii="宋体" w:hAnsi="宋体" w:cs="宋体" w:eastAsia="宋体" w:hint="default"/>
                <w:spacing w:val="-6"/>
                <w:sz w:val="18"/>
                <w:szCs w:val="18"/>
              </w:rPr>
              <w:t>发展的意见》（北发</w:t>
            </w:r>
            <w:r>
              <w:rPr>
                <w:rFonts w:ascii="Times New Roman" w:hAnsi="Times New Roman" w:cs="Times New Roman" w:eastAsia="Times New Roman" w:hint="default"/>
                <w:spacing w:val="-6"/>
                <w:sz w:val="18"/>
                <w:szCs w:val="18"/>
              </w:rPr>
              <w:t>[2015]8</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号），拨付经费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作为人才培训所需经费开支。</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3,840.00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196,160.00</w:t>
            </w:r>
          </w:p>
        </w:tc>
        <w:tc>
          <w:tcPr>
            <w:tcW w:w="4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32</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4"/>
        <w:gridCol w:w="2021"/>
        <w:gridCol w:w="1843"/>
        <w:gridCol w:w="4849"/>
      </w:tblGrid>
      <w:tr>
        <w:trPr>
          <w:trHeight w:val="403"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1,396,700.29</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484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33"/>
              <w:jc w:val="left"/>
              <w:rPr>
                <w:rFonts w:ascii="宋体" w:hAnsi="宋体" w:cs="宋体" w:eastAsia="宋体" w:hint="default"/>
                <w:sz w:val="18"/>
                <w:szCs w:val="18"/>
              </w:rPr>
            </w:pPr>
            <w:r>
              <w:rPr>
                <w:rFonts w:ascii="宋体" w:hAnsi="宋体" w:cs="宋体" w:eastAsia="宋体" w:hint="default"/>
                <w:sz w:val="18"/>
                <w:szCs w:val="18"/>
              </w:rPr>
              <w:t>预计负债系石基大商根据律师出具法律意见书确认的上海阳 程科技有限公司诉讼案的逾期付款违约金及利息。</w:t>
            </w:r>
          </w:p>
        </w:tc>
      </w:tr>
      <w:tr>
        <w:trPr>
          <w:trHeight w:val="392" w:hRule="exact"/>
        </w:trPr>
        <w:tc>
          <w:tcPr>
            <w:tcW w:w="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021" w:type="dxa"/>
            <w:vMerge/>
            <w:tcBorders>
              <w:left w:val="single" w:sz="10" w:space="0" w:color="D2D2D2"/>
              <w:right w:val="single" w:sz="4" w:space="0" w:color="000000"/>
            </w:tcBorders>
          </w:tcPr>
          <w:p>
            <w:pPr/>
          </w:p>
        </w:tc>
        <w:tc>
          <w:tcPr>
            <w:tcW w:w="1843" w:type="dxa"/>
            <w:vMerge/>
            <w:tcBorders>
              <w:left w:val="single" w:sz="4" w:space="0" w:color="000000"/>
              <w:right w:val="single" w:sz="4" w:space="0" w:color="000000"/>
            </w:tcBorders>
          </w:tcPr>
          <w:p>
            <w:pPr/>
          </w:p>
        </w:tc>
        <w:tc>
          <w:tcPr>
            <w:tcW w:w="4849" w:type="dxa"/>
            <w:vMerge/>
            <w:tcBorders>
              <w:left w:val="single" w:sz="4" w:space="0" w:color="000000"/>
              <w:right w:val="single" w:sz="4" w:space="0" w:color="000000"/>
            </w:tcBorders>
          </w:tcPr>
          <w:p>
            <w:pPr/>
          </w:p>
        </w:tc>
      </w:tr>
      <w:tr>
        <w:trPr>
          <w:trHeight w:val="161" w:hRule="exact"/>
        </w:trPr>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vMerge/>
            <w:tcBorders>
              <w:left w:val="single" w:sz="10" w:space="0" w:color="D2D2D2"/>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4849" w:type="dxa"/>
            <w:vMerge/>
            <w:tcBorders>
              <w:left w:val="single" w:sz="4" w:space="0" w:color="000000"/>
              <w:bottom w:val="single" w:sz="4" w:space="0" w:color="000000"/>
              <w:right w:val="single" w:sz="4" w:space="0" w:color="000000"/>
            </w:tcBorders>
          </w:tcPr>
          <w:p>
            <w:pPr/>
          </w:p>
        </w:tc>
      </w:tr>
      <w:tr>
        <w:trPr>
          <w:trHeight w:val="403"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1,396,700.29</w:t>
            </w:r>
          </w:p>
        </w:tc>
        <w:tc>
          <w:tcPr>
            <w:tcW w:w="1843" w:type="dxa"/>
            <w:tcBorders>
              <w:top w:val="single" w:sz="4" w:space="0" w:color="000000"/>
              <w:left w:val="single" w:sz="4" w:space="0" w:color="000000"/>
              <w:bottom w:val="single" w:sz="4" w:space="0" w:color="000000"/>
              <w:right w:val="single" w:sz="13" w:space="0" w:color="D2D2D2"/>
            </w:tcBorders>
          </w:tcPr>
          <w:p>
            <w:pP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Heading4"/>
        <w:spacing w:line="240" w:lineRule="auto" w:before="66"/>
        <w:ind w:right="153"/>
        <w:jc w:val="left"/>
      </w:pPr>
      <w:r>
        <w:rPr/>
        <w:t>详见本报告第十一节财务报告附注“十三、承诺及或有事项”相关内容。</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456,666.67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136"/>
        <w:gridCol w:w="991"/>
        <w:gridCol w:w="1159"/>
        <w:gridCol w:w="783"/>
        <w:gridCol w:w="778"/>
        <w:gridCol w:w="569"/>
        <w:gridCol w:w="1133"/>
        <w:gridCol w:w="1135"/>
      </w:tblGrid>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31"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12" w:right="87"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石基信用卡收单系统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百货商业信息管理系统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246,666.67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206,666.67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sinfonia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酒店前台管理</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V3.0 </w:t>
            </w:r>
            <w:r>
              <w:rPr>
                <w:rFonts w:ascii="宋体" w:hAnsi="宋体" w:cs="宋体" w:eastAsia="宋体" w:hint="default"/>
                <w:sz w:val="18"/>
                <w:szCs w:val="18"/>
              </w:rPr>
              <w:t>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366,666.67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456,666.67</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53"/>
        <w:jc w:val="both"/>
      </w:pPr>
      <w:r>
        <w:rPr/>
        <w:t>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w:t>
      </w:r>
      <w:r>
        <w:rPr/>
        <w:t>北财教</w:t>
      </w:r>
      <w:r>
        <w:rPr>
          <w:rFonts w:ascii="Times New Roman" w:hAnsi="Times New Roman" w:cs="Times New Roman" w:eastAsia="Times New Roman" w:hint="default"/>
        </w:rPr>
        <w:t>[2017]47</w:t>
      </w:r>
      <w:r>
        <w:rPr/>
        <w:t>号</w:t>
      </w:r>
      <w:r>
        <w:rPr>
          <w:rFonts w:ascii="Times New Roman" w:hAnsi="Times New Roman" w:cs="Times New Roman" w:eastAsia="Times New Roman" w:hint="default"/>
        </w:rPr>
        <w:t>”</w:t>
      </w:r>
      <w:r>
        <w:rPr/>
        <w:t>文，本集团之子公司北海石基信息技术有限公司收到</w:t>
      </w:r>
      <w:r>
        <w:rPr>
          <w:w w:val="100"/>
        </w:rPr>
        <w:t> </w:t>
      </w:r>
      <w:r>
        <w:rPr>
          <w:rFonts w:ascii="Times New Roman" w:hAnsi="Times New Roman" w:cs="Times New Roman" w:eastAsia="Times New Roman" w:hint="default"/>
        </w:rPr>
        <w:t>“sinfonia</w:t>
      </w:r>
      <w:r>
        <w:rPr/>
        <w:t>酒店前台管理</w:t>
      </w:r>
      <w:r>
        <w:rPr>
          <w:rFonts w:ascii="Times New Roman" w:hAnsi="Times New Roman" w:cs="Times New Roman" w:eastAsia="Times New Roman" w:hint="default"/>
        </w:rPr>
        <w:t>V3.0”</w:t>
      </w:r>
      <w:r>
        <w:rPr/>
        <w:t>项目的补助资金</w:t>
      </w:r>
      <w:r>
        <w:rPr>
          <w:rFonts w:ascii="Times New Roman" w:hAnsi="Times New Roman" w:cs="Times New Roman" w:eastAsia="Times New Roman" w:hint="default"/>
        </w:rPr>
        <w:t>13.00</w:t>
      </w:r>
      <w:r>
        <w:rPr/>
        <w:t>万元，用于多酒店、多语言、多平台的酒店项目开</w:t>
      </w:r>
      <w:r>
        <w:rPr>
          <w:spacing w:val="-22"/>
        </w:rPr>
        <w:t> </w:t>
      </w:r>
      <w:r>
        <w:rPr>
          <w:spacing w:val="-22"/>
        </w:rPr>
      </w:r>
      <w:r>
        <w:rPr/>
        <w:t>发。</w:t>
      </w:r>
    </w:p>
    <w:p>
      <w:pPr>
        <w:spacing w:line="240" w:lineRule="auto" w:before="2"/>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784"/>
        <w:gridCol w:w="991"/>
        <w:gridCol w:w="994"/>
        <w:gridCol w:w="992"/>
        <w:gridCol w:w="991"/>
        <w:gridCol w:w="982"/>
        <w:gridCol w:w="15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2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7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49" w:type="dxa"/>
            <w:gridSpan w:val="5"/>
            <w:vMerge/>
            <w:tcBorders>
              <w:left w:val="single" w:sz="4" w:space="0" w:color="000000"/>
              <w:bottom w:val="single" w:sz="4" w:space="0" w:color="000000"/>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78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478" w:right="0"/>
              <w:jc w:val="left"/>
              <w:rPr>
                <w:rFonts w:ascii="Times New Roman" w:hAnsi="Times New Roman" w:cs="Times New Roman" w:eastAsia="Times New Roman" w:hint="default"/>
                <w:sz w:val="18"/>
                <w:szCs w:val="18"/>
              </w:rPr>
            </w:pPr>
            <w:r>
              <w:rPr>
                <w:rFonts w:ascii="Times New Roman"/>
                <w:sz w:val="18"/>
              </w:rPr>
              <w:t>1,066,788,753.00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1,066,788,753.00</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55"/>
        <w:gridCol w:w="1844"/>
        <w:gridCol w:w="1843"/>
        <w:gridCol w:w="163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1,610,606,101.67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11,503,351.97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1,622,109,453.64</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7,114,900.00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29,350,400.00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534,207.40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35,931,092.60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1,617,721,001.67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40,853,751.97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534,207.40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1,658,040,546.24</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0"/>
        <w:rPr>
          <w:rFonts w:ascii="宋体" w:hAnsi="宋体" w:cs="宋体" w:eastAsia="宋体" w:hint="default"/>
          <w:sz w:val="21"/>
          <w:szCs w:val="21"/>
        </w:rPr>
      </w:pPr>
    </w:p>
    <w:p>
      <w:pPr>
        <w:pStyle w:val="BodyText"/>
        <w:spacing w:line="271" w:lineRule="auto" w:before="36"/>
        <w:ind w:right="151" w:firstLine="439"/>
        <w:jc w:val="both"/>
      </w:pPr>
      <w:r>
        <w:rPr/>
        <w:t>注</w:t>
      </w:r>
      <w:r>
        <w:rPr>
          <w:rFonts w:ascii="宋体" w:hAnsi="宋体" w:cs="宋体" w:eastAsia="宋体" w:hint="default"/>
        </w:rPr>
        <w:t>1</w:t>
      </w:r>
      <w:r>
        <w:rPr/>
        <w:t>：股本溢价本年增加系思迅软件的少数股东增资，本集团按照增资前的本公司股权比例计算其在</w:t>
      </w:r>
      <w:r>
        <w:rPr>
          <w:w w:val="100"/>
        </w:rPr>
        <w:t> </w:t>
      </w:r>
      <w:r>
        <w:rPr>
          <w:spacing w:val="2"/>
        </w:rPr>
        <w:t>增资前享有的自购买日开始持续计算的净资产份额之间份额与增资后按本集团持股比例计算的其在增资</w:t>
      </w:r>
      <w:r>
        <w:rPr>
          <w:spacing w:val="-30"/>
        </w:rPr>
        <w:t> </w:t>
      </w:r>
      <w:r>
        <w:rPr>
          <w:spacing w:val="-30"/>
        </w:rPr>
      </w:r>
      <w:r>
        <w:rPr/>
        <w:t>后子公司享有的自购买日开始持续计算的净资产份额之间的差额调增资本公积</w:t>
      </w:r>
      <w:r>
        <w:rPr>
          <w:rFonts w:ascii="宋体" w:hAnsi="宋体" w:cs="宋体" w:eastAsia="宋体" w:hint="default"/>
        </w:rPr>
        <w:t>11,503,351.97</w:t>
      </w:r>
      <w:r>
        <w:rPr/>
        <w:t>元。</w:t>
      </w:r>
    </w:p>
    <w:p>
      <w:pPr>
        <w:spacing w:line="240" w:lineRule="auto" w:before="1"/>
        <w:rPr>
          <w:rFonts w:ascii="宋体" w:hAnsi="宋体" w:cs="宋体" w:eastAsia="宋体" w:hint="default"/>
          <w:sz w:val="19"/>
          <w:szCs w:val="19"/>
        </w:rPr>
      </w:pPr>
    </w:p>
    <w:p>
      <w:pPr>
        <w:pStyle w:val="BodyText"/>
        <w:spacing w:line="273" w:lineRule="auto"/>
        <w:ind w:right="148" w:firstLine="439"/>
        <w:jc w:val="both"/>
      </w:pPr>
      <w:r>
        <w:rPr/>
        <w:t>注</w:t>
      </w:r>
      <w:r>
        <w:rPr>
          <w:rFonts w:ascii="宋体" w:hAnsi="宋体" w:cs="宋体" w:eastAsia="宋体" w:hint="default"/>
        </w:rPr>
        <w:t>2</w:t>
      </w:r>
      <w:r>
        <w:rPr/>
        <w:t>：其他资本公积本年增加系根据第五届董事会</w:t>
      </w:r>
      <w:r>
        <w:rPr>
          <w:rFonts w:ascii="宋体" w:hAnsi="宋体" w:cs="宋体" w:eastAsia="宋体" w:hint="default"/>
        </w:rPr>
        <w:t>2016</w:t>
      </w:r>
      <w:r>
        <w:rPr/>
        <w:t>年第十四次临时会议审议通过《关于公司</w:t>
      </w:r>
      <w:r>
        <w:rPr>
          <w:rFonts w:ascii="宋体" w:hAnsi="宋体" w:cs="宋体" w:eastAsia="宋体" w:hint="default"/>
        </w:rPr>
        <w:t>2016</w:t>
      </w:r>
      <w:r>
        <w:rPr>
          <w:rFonts w:ascii="宋体" w:hAnsi="宋体" w:cs="宋体" w:eastAsia="宋体" w:hint="default"/>
          <w:w w:val="100"/>
        </w:rPr>
        <w:t> </w:t>
      </w:r>
      <w:r>
        <w:rPr/>
        <w:t>年股票期权激励计划首次授予事项的议案》，本公司向</w:t>
      </w:r>
      <w:r>
        <w:rPr>
          <w:rFonts w:ascii="宋体" w:hAnsi="宋体" w:cs="宋体" w:eastAsia="宋体" w:hint="default"/>
        </w:rPr>
        <w:t>506</w:t>
      </w:r>
      <w:r>
        <w:rPr/>
        <w:t>名激励对象首次授予</w:t>
      </w:r>
      <w:r>
        <w:rPr>
          <w:rFonts w:ascii="宋体" w:hAnsi="宋体" w:cs="宋体" w:eastAsia="宋体" w:hint="default"/>
        </w:rPr>
        <w:t>735.78</w:t>
      </w:r>
      <w:r>
        <w:rPr/>
        <w:t>万股股票期权的条</w:t>
      </w:r>
      <w:r>
        <w:rPr>
          <w:spacing w:val="-23"/>
        </w:rPr>
        <w:t> </w:t>
      </w:r>
      <w:r>
        <w:rPr>
          <w:spacing w:val="-23"/>
        </w:rPr>
      </w:r>
      <w:r>
        <w:rPr/>
        <w:t>件已经成就，本公司董事会确定</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18</w:t>
      </w:r>
      <w:r>
        <w:rPr/>
        <w:t>日为本公司</w:t>
      </w:r>
      <w:r>
        <w:rPr>
          <w:rFonts w:ascii="宋体" w:hAnsi="宋体" w:cs="宋体" w:eastAsia="宋体" w:hint="default"/>
        </w:rPr>
        <w:t>2016</w:t>
      </w:r>
      <w:r>
        <w:rPr/>
        <w:t>年股票期权激励计划首次授予期权的授予</w:t>
      </w:r>
      <w:r>
        <w:rPr>
          <w:spacing w:val="62"/>
        </w:rPr>
        <w:t> </w:t>
      </w:r>
      <w:r>
        <w:rPr>
          <w:spacing w:val="62"/>
        </w:rPr>
      </w:r>
      <w:r>
        <w:rPr>
          <w:spacing w:val="-2"/>
        </w:rPr>
        <w:t>日。本公司选用国际通行的</w:t>
      </w:r>
      <w:r>
        <w:rPr>
          <w:rFonts w:ascii="宋体" w:hAnsi="宋体" w:cs="宋体" w:eastAsia="宋体" w:hint="default"/>
          <w:spacing w:val="-2"/>
        </w:rPr>
        <w:t>B-S</w:t>
      </w:r>
      <w:r>
        <w:rPr>
          <w:spacing w:val="-2"/>
        </w:rPr>
        <w:t>（布莱克</w:t>
      </w:r>
      <w:r>
        <w:rPr>
          <w:rFonts w:ascii="宋体" w:hAnsi="宋体" w:cs="宋体" w:eastAsia="宋体" w:hint="default"/>
          <w:spacing w:val="-2"/>
        </w:rPr>
        <w:t>-</w:t>
      </w:r>
      <w:r>
        <w:rPr>
          <w:spacing w:val="-2"/>
        </w:rPr>
        <w:t>舒尔斯）期权定价模型对</w:t>
      </w:r>
      <w:r>
        <w:rPr>
          <w:rFonts w:ascii="宋体" w:hAnsi="宋体" w:cs="宋体" w:eastAsia="宋体" w:hint="default"/>
          <w:spacing w:val="-2"/>
        </w:rPr>
        <w:t>2016</w:t>
      </w:r>
      <w:r>
        <w:rPr>
          <w:spacing w:val="-2"/>
        </w:rPr>
        <w:t>年股权激励计划首次授予的</w:t>
      </w:r>
      <w:r>
        <w:rPr>
          <w:rFonts w:ascii="宋体" w:hAnsi="宋体" w:cs="宋体" w:eastAsia="宋体" w:hint="default"/>
          <w:spacing w:val="-2"/>
        </w:rPr>
        <w:t>735.78</w:t>
      </w:r>
      <w:r>
        <w:rPr>
          <w:rFonts w:ascii="宋体" w:hAnsi="宋体" w:cs="宋体" w:eastAsia="宋体" w:hint="default"/>
          <w:spacing w:val="-30"/>
        </w:rPr>
        <w:t> </w:t>
      </w:r>
      <w:r>
        <w:rPr>
          <w:rFonts w:ascii="宋体" w:hAnsi="宋体" w:cs="宋体" w:eastAsia="宋体" w:hint="default"/>
          <w:spacing w:val="-30"/>
        </w:rPr>
      </w:r>
      <w:r>
        <w:rPr>
          <w:spacing w:val="2"/>
        </w:rPr>
        <w:t>万份股票期权的公允价值进行估计。将当期取得的服务计入相关成本费用和资本公积，使资本公积增加</w:t>
      </w:r>
      <w:r>
        <w:rPr>
          <w:spacing w:val="-30"/>
        </w:rPr>
        <w:t> </w:t>
      </w:r>
      <w:r>
        <w:rPr>
          <w:spacing w:val="-30"/>
        </w:rPr>
      </w:r>
      <w:r>
        <w:rPr>
          <w:rFonts w:ascii="宋体" w:hAnsi="宋体" w:cs="宋体" w:eastAsia="宋体" w:hint="default"/>
        </w:rPr>
        <w:t>28,459,400.00</w:t>
      </w:r>
      <w:r>
        <w:rPr/>
        <w:t>元。</w:t>
      </w:r>
    </w:p>
    <w:p>
      <w:pPr>
        <w:spacing w:line="240" w:lineRule="auto" w:before="12"/>
        <w:rPr>
          <w:rFonts w:ascii="宋体" w:hAnsi="宋体" w:cs="宋体" w:eastAsia="宋体" w:hint="default"/>
          <w:sz w:val="18"/>
          <w:szCs w:val="18"/>
        </w:rPr>
      </w:pPr>
    </w:p>
    <w:p>
      <w:pPr>
        <w:pStyle w:val="BodyText"/>
        <w:spacing w:line="273" w:lineRule="auto"/>
        <w:ind w:right="124" w:firstLine="439"/>
        <w:jc w:val="both"/>
      </w:pP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日，根据公司第六届董事会</w:t>
      </w:r>
      <w:r>
        <w:rPr>
          <w:rFonts w:ascii="宋体" w:hAnsi="宋体" w:cs="宋体" w:eastAsia="宋体" w:hint="default"/>
          <w:spacing w:val="-2"/>
        </w:rPr>
        <w:t>2017</w:t>
      </w:r>
      <w:r>
        <w:rPr>
          <w:spacing w:val="-2"/>
        </w:rPr>
        <w:t>年第七次临时会议审议通过《关于调整</w:t>
      </w:r>
      <w:r>
        <w:rPr>
          <w:rFonts w:ascii="宋体" w:hAnsi="宋体" w:cs="宋体" w:eastAsia="宋体" w:hint="default"/>
          <w:spacing w:val="-2"/>
        </w:rPr>
        <w:t>2016</w:t>
      </w:r>
      <w:r>
        <w:rPr>
          <w:spacing w:val="-2"/>
        </w:rPr>
        <w:t>年股票期权激</w:t>
      </w:r>
      <w:r>
        <w:rPr>
          <w:w w:val="100"/>
        </w:rPr>
        <w:t> </w:t>
      </w:r>
      <w:r>
        <w:rPr>
          <w:spacing w:val="-2"/>
        </w:rPr>
        <w:t>励计划首次授予对象、授予数量及注销部分期权的议案》及《关于公司</w:t>
      </w:r>
      <w:r>
        <w:rPr>
          <w:rFonts w:ascii="宋体" w:hAnsi="宋体" w:cs="宋体" w:eastAsia="宋体" w:hint="default"/>
          <w:spacing w:val="-2"/>
        </w:rPr>
        <w:t>2016</w:t>
      </w:r>
      <w:r>
        <w:rPr>
          <w:spacing w:val="-2"/>
        </w:rPr>
        <w:t>年股票期权激励计划预留股票</w:t>
      </w:r>
      <w:r>
        <w:rPr>
          <w:spacing w:val="-40"/>
        </w:rPr>
        <w:t> </w:t>
      </w:r>
      <w:r>
        <w:rPr>
          <w:spacing w:val="-40"/>
        </w:rPr>
      </w:r>
      <w:r>
        <w:rPr>
          <w:spacing w:val="-2"/>
        </w:rPr>
        <w:t>期权授予相关事项的议案》，将本公司激励计划首次授予的激励对象人数由</w:t>
      </w:r>
      <w:r>
        <w:rPr>
          <w:rFonts w:ascii="宋体" w:hAnsi="宋体" w:cs="宋体" w:eastAsia="宋体" w:hint="default"/>
          <w:spacing w:val="-2"/>
        </w:rPr>
        <w:t>506</w:t>
      </w:r>
      <w:r>
        <w:rPr>
          <w:spacing w:val="-2"/>
        </w:rPr>
        <w:t>名调整为</w:t>
      </w:r>
      <w:r>
        <w:rPr>
          <w:rFonts w:ascii="宋体" w:hAnsi="宋体" w:cs="宋体" w:eastAsia="宋体" w:hint="default"/>
          <w:spacing w:val="-2"/>
        </w:rPr>
        <w:t>494</w:t>
      </w:r>
      <w:r>
        <w:rPr>
          <w:spacing w:val="-2"/>
        </w:rPr>
        <w:t>名，授予的股</w:t>
      </w:r>
      <w:r>
        <w:rPr>
          <w:spacing w:val="-43"/>
        </w:rPr>
        <w:t> </w:t>
      </w:r>
      <w:r>
        <w:rPr>
          <w:spacing w:val="-43"/>
        </w:rPr>
      </w:r>
      <w:r>
        <w:rPr>
          <w:spacing w:val="-2"/>
        </w:rPr>
        <w:t>票期权数量由</w:t>
      </w:r>
      <w:r>
        <w:rPr>
          <w:rFonts w:ascii="宋体" w:hAnsi="宋体" w:cs="宋体" w:eastAsia="宋体" w:hint="default"/>
          <w:spacing w:val="-2"/>
        </w:rPr>
        <w:t>797.28</w:t>
      </w:r>
      <w:r>
        <w:rPr>
          <w:spacing w:val="-2"/>
        </w:rPr>
        <w:t>万股（其中首次授予</w:t>
      </w:r>
      <w:r>
        <w:rPr>
          <w:rFonts w:ascii="宋体" w:hAnsi="宋体" w:cs="宋体" w:eastAsia="宋体" w:hint="default"/>
          <w:spacing w:val="-2"/>
        </w:rPr>
        <w:t>735.78</w:t>
      </w:r>
      <w:r>
        <w:rPr>
          <w:spacing w:val="-2"/>
        </w:rPr>
        <w:t>万股，预留</w:t>
      </w:r>
      <w:r>
        <w:rPr>
          <w:rFonts w:ascii="宋体" w:hAnsi="宋体" w:cs="宋体" w:eastAsia="宋体" w:hint="default"/>
          <w:spacing w:val="-2"/>
        </w:rPr>
        <w:t>61.5</w:t>
      </w:r>
      <w:r>
        <w:rPr>
          <w:spacing w:val="-2"/>
        </w:rPr>
        <w:t>万股）调整为</w:t>
      </w:r>
      <w:r>
        <w:rPr>
          <w:rFonts w:ascii="宋体" w:hAnsi="宋体" w:cs="宋体" w:eastAsia="宋体" w:hint="default"/>
          <w:spacing w:val="-2"/>
        </w:rPr>
        <w:t>786.23</w:t>
      </w:r>
      <w:r>
        <w:rPr>
          <w:spacing w:val="-2"/>
        </w:rPr>
        <w:t>万股（其中首次授予</w:t>
      </w:r>
      <w:r>
        <w:rPr>
          <w:spacing w:val="-26"/>
        </w:rPr>
        <w:t> </w:t>
      </w:r>
      <w:r>
        <w:rPr>
          <w:spacing w:val="-26"/>
        </w:rPr>
      </w:r>
      <w:r>
        <w:rPr>
          <w:rFonts w:ascii="宋体" w:hAnsi="宋体" w:cs="宋体" w:eastAsia="宋体" w:hint="default"/>
          <w:spacing w:val="-2"/>
        </w:rPr>
        <w:t>724.73</w:t>
      </w:r>
      <w:r>
        <w:rPr>
          <w:spacing w:val="-2"/>
        </w:rPr>
        <w:t>万股，预留</w:t>
      </w:r>
      <w:r>
        <w:rPr>
          <w:rFonts w:ascii="宋体" w:hAnsi="宋体" w:cs="宋体" w:eastAsia="宋体" w:hint="default"/>
          <w:spacing w:val="-2"/>
        </w:rPr>
        <w:t>61.5</w:t>
      </w:r>
      <w:r>
        <w:rPr>
          <w:spacing w:val="-2"/>
        </w:rPr>
        <w:t>万股），同时同意向</w:t>
      </w:r>
      <w:r>
        <w:rPr>
          <w:rFonts w:ascii="宋体" w:hAnsi="宋体" w:cs="宋体" w:eastAsia="宋体" w:hint="default"/>
          <w:spacing w:val="-2"/>
        </w:rPr>
        <w:t>32</w:t>
      </w:r>
      <w:r>
        <w:rPr>
          <w:spacing w:val="-2"/>
        </w:rPr>
        <w:t>名股权激励对象授予预留的</w:t>
      </w:r>
      <w:r>
        <w:rPr>
          <w:rFonts w:ascii="宋体" w:hAnsi="宋体" w:cs="宋体" w:eastAsia="宋体" w:hint="default"/>
          <w:spacing w:val="-2"/>
        </w:rPr>
        <w:t>61.5</w:t>
      </w:r>
      <w:r>
        <w:rPr>
          <w:spacing w:val="-2"/>
        </w:rPr>
        <w:t>万股股票期权，据此确认相</w:t>
      </w:r>
      <w:r>
        <w:rPr>
          <w:spacing w:val="-35"/>
        </w:rPr>
        <w:t> </w:t>
      </w:r>
      <w:r>
        <w:rPr>
          <w:spacing w:val="-35"/>
        </w:rPr>
      </w:r>
      <w:r>
        <w:rPr>
          <w:spacing w:val="-2"/>
        </w:rPr>
        <w:t>应服务成本费用同时确认资本公积，使资本公积增加</w:t>
      </w:r>
      <w:r>
        <w:rPr>
          <w:rFonts w:ascii="宋体" w:hAnsi="宋体" w:cs="宋体" w:eastAsia="宋体" w:hint="default"/>
          <w:spacing w:val="-2"/>
        </w:rPr>
        <w:t>891,000.00</w:t>
      </w:r>
      <w:r>
        <w:rPr>
          <w:spacing w:val="-2"/>
        </w:rPr>
        <w:t>元；另由于首次授予股票期权数量调整，</w:t>
      </w:r>
      <w:r>
        <w:rPr>
          <w:spacing w:val="-11"/>
        </w:rPr>
        <w:t> </w:t>
      </w:r>
      <w:r>
        <w:rPr>
          <w:spacing w:val="-11"/>
        </w:rPr>
      </w:r>
      <w:r>
        <w:rPr/>
        <w:t>相应调整减少股份支付费用</w:t>
      </w:r>
      <w:r>
        <w:rPr>
          <w:rFonts w:ascii="宋体" w:hAnsi="宋体" w:cs="宋体" w:eastAsia="宋体" w:hint="default"/>
        </w:rPr>
        <w:t>534,207.40</w:t>
      </w:r>
      <w:r>
        <w:rPr/>
        <w:t>元，使资本公积减少。</w:t>
      </w:r>
    </w:p>
    <w:p>
      <w:pPr>
        <w:spacing w:line="240" w:lineRule="auto" w:before="7"/>
        <w:rPr>
          <w:rFonts w:ascii="宋体" w:hAnsi="宋体" w:cs="宋体" w:eastAsia="宋体" w:hint="default"/>
          <w:sz w:val="23"/>
          <w:szCs w:val="23"/>
        </w:rPr>
      </w:pPr>
    </w:p>
    <w:p>
      <w:pPr>
        <w:pStyle w:val="Heading7"/>
        <w:spacing w:line="240" w:lineRule="auto"/>
        <w:ind w:right="153"/>
        <w:jc w:val="left"/>
        <w:rPr>
          <w:b w:val="0"/>
          <w:bCs w:val="0"/>
        </w:rPr>
      </w:pPr>
      <w:r>
        <w:rPr>
          <w:rFonts w:ascii="Times New Roman" w:hAnsi="Times New Roman" w:cs="Times New Roman" w:eastAsia="Times New Roman" w:hint="default"/>
        </w:rPr>
        <w:t>36</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192"/>
        <w:gridCol w:w="1229"/>
        <w:gridCol w:w="1277"/>
        <w:gridCol w:w="566"/>
        <w:gridCol w:w="1135"/>
        <w:gridCol w:w="687"/>
        <w:gridCol w:w="1270"/>
      </w:tblGrid>
      <w:tr>
        <w:trPr>
          <w:trHeight w:val="398" w:hRule="exact"/>
        </w:trPr>
        <w:tc>
          <w:tcPr>
            <w:tcW w:w="2246" w:type="dxa"/>
            <w:vMerge w:val="restart"/>
            <w:tcBorders>
              <w:top w:val="single" w:sz="4" w:space="0" w:color="000000"/>
              <w:left w:val="single" w:sz="4" w:space="0" w:color="000000"/>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3" w:right="22"/>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减：所</w:t>
            </w:r>
            <w:r>
              <w:rPr>
                <w:rFonts w:ascii="宋体" w:hAnsi="宋体" w:cs="宋体" w:eastAsia="宋体" w:hint="default"/>
                <w:sz w:val="18"/>
                <w:szCs w:val="18"/>
              </w:rPr>
              <w:t> 得税 费用</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9" w:right="65"/>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270"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340" w:right="67" w:hanging="272"/>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7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92" w:right="11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87" w:type="dxa"/>
            <w:vMerge/>
            <w:tcBorders>
              <w:left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8,404,854.66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10,404,801.01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10,404,801.01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18,809,655.67</w:t>
            </w:r>
          </w:p>
        </w:tc>
      </w:tr>
      <w:tr>
        <w:trPr>
          <w:trHeight w:val="1025"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其中：权益法下在被投资单 位以后将重分类进损益的其 他综合收益中享有的份额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500,646.68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924,614.26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924,614.26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1,425,260.94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7,904,207.98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9,480,186.75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9,480,186.75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17,384,394.73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8,404,854.66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10,404,801.01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10,404,801.01</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18,809,655.67</w:t>
            </w:r>
          </w:p>
        </w:tc>
      </w:tr>
    </w:tbl>
    <w:p>
      <w:pPr>
        <w:spacing w:line="360" w:lineRule="auto" w:before="49"/>
        <w:ind w:left="152" w:right="311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无</w:t>
      </w:r>
    </w:p>
    <w:p>
      <w:pPr>
        <w:spacing w:line="240" w:lineRule="auto" w:before="5"/>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37</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55"/>
        <w:gridCol w:w="1844"/>
        <w:gridCol w:w="1702"/>
        <w:gridCol w:w="1774"/>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17,239,605.73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38,278,825.78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17,239,605.73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21,039,220.05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38,278,825.78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
        <w:rPr>
          <w:rFonts w:ascii="宋体" w:hAnsi="宋体" w:cs="宋体" w:eastAsia="宋体" w:hint="default"/>
          <w:sz w:val="22"/>
          <w:szCs w:val="22"/>
        </w:rPr>
      </w:pPr>
    </w:p>
    <w:p>
      <w:pPr>
        <w:pStyle w:val="Heading6"/>
        <w:spacing w:line="240" w:lineRule="auto"/>
        <w:ind w:left="592" w:right="153" w:firstLine="0"/>
        <w:jc w:val="left"/>
      </w:pPr>
      <w:r>
        <w:rPr/>
        <w:t>注：本年增加的盈余公积为根据本公司净利润的</w:t>
      </w:r>
      <w:r>
        <w:rPr>
          <w:rFonts w:ascii="Times New Roman" w:hAnsi="Times New Roman" w:cs="Times New Roman" w:eastAsia="Times New Roman" w:hint="default"/>
        </w:rPr>
        <w:t>10%</w:t>
      </w:r>
      <w:r>
        <w:rPr/>
        <w:t>提取的法定盈余公积。</w:t>
      </w:r>
    </w:p>
    <w:p>
      <w:pPr>
        <w:spacing w:line="240" w:lineRule="auto" w:before="0"/>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38</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3"/>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2,229,233,489.44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1,890,410,306.15</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2,229,233,489.44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1,890,410,306.15</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419,028,697.62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388,790,331.19</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21,039,220.05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7,295,597.78</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42,671,550.12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115,067,071.66</w:t>
            </w:r>
            <w:r>
              <w:rPr>
                <w:rFonts w:ascii="Times New Roman"/>
                <w:spacing w:val="-1"/>
                <w:position w:val="8"/>
                <w:sz w:val="12"/>
              </w:rPr>
              <w:t>6</w:t>
            </w:r>
            <w:r>
              <w:rPr>
                <w:rFonts w:ascii="Times New Roman"/>
                <w:spacing w:val="-1"/>
                <w:sz w:val="12"/>
              </w:rPr>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2,469,484,345.23</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2,229,233,489.44</w:t>
            </w:r>
          </w:p>
        </w:tc>
      </w:tr>
    </w:tbl>
    <w:p>
      <w:pPr>
        <w:pStyle w:val="BodyText"/>
        <w:spacing w:line="256" w:lineRule="auto" w:before="28"/>
        <w:ind w:right="148"/>
        <w:jc w:val="both"/>
      </w:pPr>
      <w:r>
        <w:rPr/>
        <w:t>注：</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其他系石基香港购买其子公司</w:t>
      </w:r>
      <w:r>
        <w:rPr>
          <w:spacing w:val="-55"/>
        </w:rPr>
        <w:t> </w:t>
      </w:r>
      <w:r>
        <w:rPr>
          <w:rFonts w:ascii="Times New Roman" w:hAnsi="Times New Roman" w:cs="Times New Roman" w:eastAsia="Times New Roman" w:hint="default"/>
        </w:rPr>
        <w:t>Shiji</w:t>
      </w:r>
      <w:r>
        <w:rPr>
          <w:rFonts w:ascii="Times New Roman" w:hAnsi="Times New Roman" w:cs="Times New Roman" w:eastAsia="Times New Roman" w:hint="default"/>
          <w:spacing w:val="-3"/>
        </w:rPr>
        <w:t> </w:t>
      </w:r>
      <w:r>
        <w:rPr>
          <w:rFonts w:ascii="Times New Roman" w:hAnsi="Times New Roman" w:cs="Times New Roman" w:eastAsia="Times New Roman" w:hint="default"/>
        </w:rPr>
        <w:t>Retail</w:t>
      </w:r>
      <w:r>
        <w:rPr/>
        <w:t>（原名</w:t>
      </w:r>
      <w:r>
        <w:rPr>
          <w:spacing w:val="-55"/>
        </w:rPr>
        <w:t> </w:t>
      </w:r>
      <w:r>
        <w:rPr>
          <w:rFonts w:ascii="Times New Roman" w:hAnsi="Times New Roman" w:cs="Times New Roman" w:eastAsia="Times New Roman" w:hint="default"/>
        </w:rPr>
        <w:t>eFuture</w:t>
      </w:r>
      <w:r>
        <w:rPr>
          <w:rFonts w:ascii="Times New Roman" w:hAnsi="Times New Roman" w:cs="Times New Roman" w:eastAsia="Times New Roman" w:hint="default"/>
          <w:spacing w:val="-2"/>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t>）全部少数股权、购买</w:t>
      </w:r>
      <w:r>
        <w:rPr>
          <w:spacing w:val="-54"/>
        </w:rPr>
        <w:t> </w:t>
      </w:r>
      <w:r>
        <w:rPr>
          <w:rFonts w:ascii="Times New Roman" w:hAnsi="Times New Roman" w:cs="Times New Roman" w:eastAsia="Times New Roman" w:hint="default"/>
        </w:rPr>
        <w:t>Snapshot</w:t>
      </w:r>
      <w:r>
        <w:rPr>
          <w:rFonts w:ascii="Times New Roman" w:hAnsi="Times New Roman" w:cs="Times New Roman" w:eastAsia="Times New Roman" w:hint="default"/>
          <w:w w:val="100"/>
        </w:rPr>
        <w:t> </w:t>
      </w:r>
      <w:r>
        <w:rPr/>
        <w:t>和</w:t>
      </w:r>
      <w:r>
        <w:rPr>
          <w:spacing w:val="-60"/>
        </w:rPr>
        <w:t> </w:t>
      </w:r>
      <w:r>
        <w:rPr>
          <w:rFonts w:ascii="Times New Roman" w:hAnsi="Times New Roman" w:cs="Times New Roman" w:eastAsia="Times New Roman" w:hint="default"/>
        </w:rPr>
        <w:t>AC</w:t>
      </w:r>
      <w:r>
        <w:rPr>
          <w:rFonts w:ascii="Times New Roman" w:hAnsi="Times New Roman" w:cs="Times New Roman" w:eastAsia="Times New Roman" w:hint="default"/>
          <w:spacing w:val="-10"/>
        </w:rPr>
        <w:t> </w:t>
      </w:r>
      <w:r>
        <w:rPr>
          <w:rFonts w:ascii="Times New Roman" w:hAnsi="Times New Roman" w:cs="Times New Roman" w:eastAsia="Times New Roman" w:hint="default"/>
        </w:rPr>
        <w:t>Project</w:t>
      </w:r>
      <w:r>
        <w:rPr>
          <w:rFonts w:ascii="Times New Roman" w:hAnsi="Times New Roman" w:cs="Times New Roman" w:eastAsia="Times New Roman" w:hint="default"/>
          <w:spacing w:val="-9"/>
        </w:rPr>
        <w:t> </w:t>
      </w:r>
      <w:r>
        <w:rPr/>
        <w:t>的部分少股股权，由于石基香港账面无资本公积，购买价款与取得的自购买日开始持续计算</w:t>
      </w:r>
      <w:r>
        <w:rPr>
          <w:w w:val="100"/>
        </w:rPr>
        <w:t> </w:t>
      </w:r>
      <w:r>
        <w:rPr/>
        <w:t>的净资产份额之间的差额，冲减留存收益。</w:t>
      </w:r>
    </w:p>
    <w:p>
      <w:pPr>
        <w:pStyle w:val="BodyText"/>
        <w:spacing w:line="240" w:lineRule="auto" w:before="63"/>
        <w:ind w:right="0"/>
        <w:jc w:val="both"/>
      </w:pPr>
      <w:r>
        <w:rPr/>
        <w:t>调整期初未分配利润明细：</w:t>
      </w:r>
    </w:p>
    <w:p>
      <w:pPr>
        <w:pStyle w:val="BodyText"/>
        <w:spacing w:line="240" w:lineRule="auto" w:before="75"/>
        <w:ind w:right="0"/>
        <w:jc w:val="both"/>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62"/>
        <w:ind w:right="0"/>
        <w:jc w:val="both"/>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62"/>
        <w:ind w:right="0"/>
        <w:jc w:val="both"/>
      </w:pPr>
      <w:r>
        <w:rPr>
          <w:rFonts w:ascii="Times New Roman" w:hAnsi="Times New Roman" w:cs="Times New Roman" w:eastAsia="Times New Roman" w:hint="default"/>
        </w:rPr>
        <w:t>3)</w:t>
      </w:r>
      <w:r>
        <w:rPr/>
        <w:t>、由于重大会计差错更正，影响期初未分配利润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240" w:lineRule="auto" w:before="60"/>
        <w:ind w:right="0"/>
        <w:jc w:val="both"/>
      </w:pPr>
      <w:r>
        <w:rPr>
          <w:rFonts w:ascii="Times New Roman" w:hAnsi="Times New Roman" w:cs="Times New Roman" w:eastAsia="Times New Roman" w:hint="default"/>
        </w:rPr>
        <w:t>4)</w:t>
      </w:r>
      <w:r>
        <w:rPr/>
        <w:t>、由于同一控制导致的合并范围变更，影响期初未分配利润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pStyle w:val="BodyText"/>
        <w:spacing w:line="240" w:lineRule="auto" w:before="62"/>
        <w:ind w:right="0"/>
        <w:jc w:val="both"/>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39</w:t>
      </w:r>
      <w:r>
        <w:rPr/>
        <w:t>、营业收入和营业成本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700"/>
        <w:gridCol w:w="1702"/>
        <w:gridCol w:w="1843"/>
        <w:gridCol w:w="1633"/>
      </w:tblGrid>
      <w:tr>
        <w:trPr>
          <w:trHeight w:val="206"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2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vMerge/>
            <w:tcBorders>
              <w:left w:val="single" w:sz="4" w:space="0" w:color="000000"/>
              <w:bottom w:val="single" w:sz="4" w:space="0" w:color="000000"/>
              <w:right w:val="single" w:sz="4" w:space="0" w:color="000000"/>
            </w:tcBorders>
            <w:shd w:val="clear" w:color="auto" w:fill="D2D2D2"/>
          </w:tcPr>
          <w:p>
            <w:pPr/>
          </w:p>
        </w:tc>
        <w:tc>
          <w:tcPr>
            <w:tcW w:w="347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2,950,799,043.40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1,635,889,546.61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2,647,273,840.09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1,569,839,755.40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10,387,547.24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3,639,972.85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15,334,293.95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15,458,337.48</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2,961,186,590.64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1,639,529,519.46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2,662,608,134.04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1,585,298,092.88</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40</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69" w:right="0"/>
              <w:jc w:val="left"/>
              <w:rPr>
                <w:rFonts w:ascii="Times New Roman" w:hAnsi="Times New Roman" w:cs="Times New Roman" w:eastAsia="Times New Roman" w:hint="default"/>
                <w:sz w:val="18"/>
                <w:szCs w:val="18"/>
              </w:rPr>
            </w:pPr>
            <w:r>
              <w:rPr>
                <w:rFonts w:ascii="Times New Roman"/>
                <w:sz w:val="18"/>
              </w:rPr>
              <w:t>10,536,175.91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9" w:right="0"/>
              <w:jc w:val="left"/>
              <w:rPr>
                <w:rFonts w:ascii="Times New Roman" w:hAnsi="Times New Roman" w:cs="Times New Roman" w:eastAsia="Times New Roman" w:hint="default"/>
                <w:sz w:val="18"/>
                <w:szCs w:val="18"/>
              </w:rPr>
            </w:pPr>
            <w:r>
              <w:rPr>
                <w:rFonts w:ascii="Times New Roman"/>
                <w:sz w:val="18"/>
              </w:rPr>
              <w:t>10,393,796.59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4,538,606.29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4,486,791.96</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1,873,631.59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1,336,401.30</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118,299.81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74,732.58</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143,055.41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23,330.00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626,705.21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448,567.67</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营业税（境外）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117,103.37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107,929.51</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3,025,776.31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2,988,925.54</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1,049,255.98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271,919.30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428,192.12</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22,300,529.18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20,288,667.27</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111,638,984.74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107,396,485.34</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24,835,935.09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23,015,386.88</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9,985,926.23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11,046,084.33</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11,071,031.08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9,561,989.44</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10,134,083.81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8,872,851.35</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8,079,753.30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8,825,766.91</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5,316,978.68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3,614,671.15</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2,755,440.62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5,216,500.94</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1,600,347.09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2,173,870.00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770,182.86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835,624.68</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361,267.89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664,464.19</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235,840.25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540,331.48</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87,999.37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423,026.42</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员工期权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397,339.35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350,717.87</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581,123.63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259,556.20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422,637.60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130,901.27</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331,034.18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1,038,453.78</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188,605,905.77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183,966,682.23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spacing w:line="360" w:lineRule="auto" w:before="44"/>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160,337,731.26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146,029,769.71</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312,857,870.81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226,594,022.36</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97,366,466.27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64,549,632.36</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29,063,935.48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29,335,276.91</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25,142,814.02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19,555,118.67</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18,139,486.05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16,223,125.51</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12,923,281.05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16,045,987.83</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29,406,456.17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7,114,900.00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员工期权费用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5,833,751.92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6,647,896.79</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2,485,312.01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4,730,504.21</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5,861,397.14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4,514,143.27</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上市公司维护费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693,800.10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3,796,953.90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4,076,453.88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3,727,477.39</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2,912,321.57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2,334,509.05</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2,815,476.13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2,286,985.48</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1,861,863.77</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2,876,764.46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946,593.53</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5,293,060.94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375,678.49</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718,086,379.26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556,670,439.23</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2,225,074.32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319,521.00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36,514,455.38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73,422,681.00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30,408,369.56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-9,488,341.42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2,970,934.87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1,061,647.60</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-910,076.63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-81,529,853.82</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34,611,106.59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22,343,481.61</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5,608,901.43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2,409,359.07</w:t>
            </w:r>
          </w:p>
        </w:tc>
      </w:tr>
      <w:tr>
        <w:trPr>
          <w:trHeight w:val="40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2,547,720.70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7,666,666.67</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33,707,334.35</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42,767,728.72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66,126,841.70</w:t>
            </w:r>
          </w:p>
        </w:tc>
      </w:tr>
    </w:tbl>
    <w:p>
      <w:pPr>
        <w:spacing w:line="360"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10,092,854.41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11,886,164.54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15,095,538.63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-5,467,606.06</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4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 产在持有期间的投资收益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 融资产取得的投资收益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383,914.10</w:t>
            </w:r>
          </w:p>
        </w:tc>
      </w:tr>
      <w:tr>
        <w:trPr>
          <w:trHeight w:val="715" w:hRule="exact"/>
        </w:trPr>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2" w:right="12"/>
              <w:jc w:val="left"/>
              <w:rPr>
                <w:rFonts w:ascii="宋体" w:hAnsi="宋体" w:cs="宋体" w:eastAsia="宋体" w:hint="default"/>
                <w:sz w:val="18"/>
                <w:szCs w:val="18"/>
              </w:rPr>
            </w:pPr>
            <w:r>
              <w:rPr>
                <w:rFonts w:ascii="宋体" w:hAnsi="宋体" w:cs="宋体" w:eastAsia="宋体" w:hint="default"/>
                <w:spacing w:val="-3"/>
                <w:sz w:val="18"/>
                <w:szCs w:val="18"/>
              </w:rPr>
              <w:t>取得控制权前，原持有权益法核算股权按照公允价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值重新计量产生的利得或损失</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-4,606,208.46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31,695,286.53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9,891,032.16</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52,277,471.11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16,693,504.74</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18,007.56</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18,007.56</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18,007.56</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18,007.56</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软件产品增值税即征即退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88,522,960.74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软件产业发展专项扶持资金返还装修款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1,016,750.00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软件产业发展专项扶持资金返还房租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3,726,147.00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深圳市企业研究开发资助计划项目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附加税返还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641.09</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93,685,498.83</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126"/>
        <w:gridCol w:w="2124"/>
        <w:gridCol w:w="2057"/>
      </w:tblGrid>
      <w:tr>
        <w:trPr>
          <w:trHeight w:val="161" w:hRule="exact"/>
        </w:trPr>
        <w:tc>
          <w:tcPr>
            <w:tcW w:w="3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45" w:right="29"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57" w:type="dxa"/>
            <w:vMerge/>
            <w:tcBorders>
              <w:left w:val="single" w:sz="4" w:space="0" w:color="000000"/>
              <w:right w:val="single" w:sz="4" w:space="0" w:color="000000"/>
            </w:tcBorders>
            <w:shd w:val="clear" w:color="auto" w:fill="D2D2D2"/>
          </w:tcPr>
          <w:p>
            <w:pPr/>
          </w:p>
        </w:tc>
      </w:tr>
      <w:tr>
        <w:trPr>
          <w:trHeight w:val="161" w:hRule="exact"/>
        </w:trPr>
        <w:tc>
          <w:tcPr>
            <w:tcW w:w="3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1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395,523.83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395,523.83</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1,137,500.00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8,441,863.40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1,137,500.00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2,973,568.89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38,873,799.19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2,973,568.89</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83,740,983.18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其他税费返还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397,678.15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532,337.80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397,678.15</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4,904,270.87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131,588,983.57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4,904,270.87</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569"/>
        <w:gridCol w:w="1558"/>
        <w:gridCol w:w="852"/>
        <w:gridCol w:w="708"/>
        <w:gridCol w:w="1133"/>
        <w:gridCol w:w="1136"/>
        <w:gridCol w:w="1063"/>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9"/>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9"/>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深圳市民营及中 小企业发展专项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深圳市中小</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奖励上市而给予的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569"/>
        <w:gridCol w:w="1558"/>
        <w:gridCol w:w="852"/>
        <w:gridCol w:w="708"/>
        <w:gridCol w:w="1133"/>
        <w:gridCol w:w="1136"/>
        <w:gridCol w:w="1063"/>
      </w:tblGrid>
      <w:tr>
        <w:trPr>
          <w:trHeight w:val="6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3"/>
              <w:jc w:val="left"/>
              <w:rPr>
                <w:rFonts w:ascii="宋体" w:hAnsi="宋体" w:cs="宋体" w:eastAsia="宋体" w:hint="default"/>
                <w:sz w:val="18"/>
                <w:szCs w:val="18"/>
              </w:rPr>
            </w:pPr>
            <w:r>
              <w:rPr>
                <w:rFonts w:ascii="宋体" w:hAnsi="宋体" w:cs="宋体" w:eastAsia="宋体" w:hint="default"/>
                <w:sz w:val="18"/>
                <w:szCs w:val="18"/>
              </w:rPr>
              <w:t>资金新三板挂牌 补贴项目资助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企业服务署</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北海市高新技术 产业开发区管理 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年物 流扶持资金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北海市高新 技术产业开 发区管理委 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秦淮区科技局高 企补助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南京市秦淮 区科学技术 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国家自主创新奖 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中国（南京） 软件谷管理 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广西区科学技术 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年认定高新 技术企业奖励性 后补助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广西壮族自 治区科技厅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商务局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一批北海电子商 务发展基金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北海市商务 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百货商业信息管 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北京市朝阳 区财政局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3"/>
              <w:jc w:val="left"/>
              <w:rPr>
                <w:rFonts w:ascii="宋体" w:hAnsi="宋体" w:cs="宋体" w:eastAsia="宋体" w:hint="default"/>
                <w:sz w:val="18"/>
                <w:szCs w:val="18"/>
              </w:rPr>
            </w:pPr>
            <w:r>
              <w:rPr>
                <w:rFonts w:ascii="宋体" w:hAnsi="宋体" w:cs="宋体" w:eastAsia="宋体" w:hint="default"/>
                <w:sz w:val="18"/>
                <w:szCs w:val="18"/>
              </w:rPr>
              <w:t>业科技创新成果 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7"/>
              <w:jc w:val="both"/>
              <w:rPr>
                <w:rFonts w:ascii="宋体" w:hAnsi="宋体" w:cs="宋体" w:eastAsia="宋体" w:hint="default"/>
                <w:sz w:val="18"/>
                <w:szCs w:val="18"/>
              </w:rPr>
            </w:pPr>
            <w:r>
              <w:rPr>
                <w:rFonts w:ascii="宋体" w:hAnsi="宋体" w:cs="宋体" w:eastAsia="宋体" w:hint="default"/>
                <w:sz w:val="18"/>
                <w:szCs w:val="18"/>
              </w:rPr>
              <w:t>高新技术创 新创业服务 中心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3"/>
              <w:jc w:val="left"/>
              <w:rPr>
                <w:rFonts w:ascii="宋体" w:hAnsi="宋体" w:cs="宋体" w:eastAsia="宋体" w:hint="default"/>
                <w:sz w:val="18"/>
                <w:szCs w:val="18"/>
              </w:rPr>
            </w:pPr>
            <w:r>
              <w:rPr>
                <w:rFonts w:ascii="宋体" w:hAnsi="宋体" w:cs="宋体" w:eastAsia="宋体" w:hint="default"/>
                <w:sz w:val="18"/>
                <w:szCs w:val="18"/>
              </w:rPr>
              <w:t>工业创新大赛优 胜奖奖金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北海工业和 信息化委员 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《石基跨境支付 </w:t>
            </w:r>
            <w:r>
              <w:rPr>
                <w:rFonts w:ascii="宋体" w:hAnsi="宋体" w:cs="宋体" w:eastAsia="宋体" w:hint="default"/>
                <w:spacing w:val="-10"/>
                <w:sz w:val="18"/>
                <w:szCs w:val="18"/>
              </w:rPr>
              <w:t>平台项目》扶持资</w:t>
            </w:r>
            <w:r>
              <w:rPr>
                <w:rFonts w:ascii="宋体" w:hAnsi="宋体" w:cs="宋体" w:eastAsia="宋体" w:hint="default"/>
                <w:sz w:val="18"/>
                <w:szCs w:val="18"/>
              </w:rPr>
              <w:t> 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北海市高新 技术产业开 发区管理委 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自治区信息服务 业发展专项资金 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广西壮族自 治区工业和 信息化委员 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自治区级研发中 心创新能力建设 补助资金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7"/>
              <w:jc w:val="both"/>
              <w:rPr>
                <w:rFonts w:ascii="宋体" w:hAnsi="宋体" w:cs="宋体" w:eastAsia="宋体" w:hint="default"/>
                <w:sz w:val="18"/>
                <w:szCs w:val="18"/>
              </w:rPr>
            </w:pPr>
            <w:r>
              <w:rPr>
                <w:rFonts w:ascii="宋体" w:hAnsi="宋体" w:cs="宋体" w:eastAsia="宋体" w:hint="default"/>
                <w:sz w:val="18"/>
                <w:szCs w:val="18"/>
              </w:rPr>
              <w:t>广西壮族自 治区工业和 信息化委员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569"/>
        <w:gridCol w:w="1558"/>
        <w:gridCol w:w="852"/>
        <w:gridCol w:w="708"/>
        <w:gridCol w:w="1133"/>
        <w:gridCol w:w="1136"/>
        <w:gridCol w:w="1063"/>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会</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思迅电子商务供 应链平台软件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9"/>
              <w:jc w:val="left"/>
              <w:rPr>
                <w:rFonts w:ascii="宋体" w:hAnsi="宋体" w:cs="宋体" w:eastAsia="宋体" w:hint="default"/>
                <w:sz w:val="18"/>
                <w:szCs w:val="18"/>
              </w:rPr>
            </w:pPr>
            <w:r>
              <w:rPr>
                <w:rFonts w:ascii="宋体" w:hAnsi="宋体" w:cs="宋体" w:eastAsia="宋体" w:hint="default"/>
                <w:sz w:val="18"/>
                <w:szCs w:val="18"/>
              </w:rPr>
              <w:t>软件谷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财政扶持资金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南京市雨发 委</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年度高新技 术产业发展资金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both"/>
              <w:rPr>
                <w:rFonts w:ascii="宋体" w:hAnsi="宋体" w:cs="宋体" w:eastAsia="宋体" w:hint="default"/>
                <w:sz w:val="18"/>
                <w:szCs w:val="18"/>
              </w:rPr>
            </w:pPr>
            <w:r>
              <w:rPr>
                <w:rFonts w:ascii="宋体" w:hAnsi="宋体" w:cs="宋体" w:eastAsia="宋体" w:hint="default"/>
                <w:sz w:val="18"/>
                <w:szCs w:val="18"/>
              </w:rPr>
              <w:t>朝阳区高新 技术产业发 展委员会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南山财政局付来 企业上市融资奖 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南山财政局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西软酒店集团网 络数据中心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杭州市信息 化办公室</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石基银行卡收单 一体化系统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北海工业和 信息化委员 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23"/>
              <w:jc w:val="left"/>
              <w:rPr>
                <w:rFonts w:ascii="宋体" w:hAnsi="宋体" w:cs="宋体" w:eastAsia="宋体" w:hint="default"/>
                <w:sz w:val="18"/>
                <w:szCs w:val="18"/>
              </w:rPr>
            </w:pPr>
            <w:r>
              <w:rPr>
                <w:rFonts w:ascii="宋体" w:hAnsi="宋体" w:cs="宋体" w:eastAsia="宋体" w:hint="default"/>
                <w:sz w:val="18"/>
                <w:szCs w:val="18"/>
              </w:rPr>
              <w:t>北海市物流扶持 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北海市财政 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财政扶持金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财委高新专项资 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年科技创新 成果奖励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北海市高新 技术产业开 发区管理委 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就业岗位社保补 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北海市社保 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因承担国家为保障 某种公用事业或社 会必要产品供应或 价格控制职能而获 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5,463.40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569"/>
        <w:gridCol w:w="1558"/>
        <w:gridCol w:w="852"/>
        <w:gridCol w:w="708"/>
        <w:gridCol w:w="1133"/>
        <w:gridCol w:w="1136"/>
        <w:gridCol w:w="1063"/>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北海市科学技术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年科技进奖</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（三等）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北海市科学 技术局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奖励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因研究开发、技术 更新及改造等获得 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9"/>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1,137,500.00</w:t>
            </w:r>
          </w:p>
        </w:tc>
        <w:tc>
          <w:tcPr>
            <w:tcW w:w="11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8,441,863.40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59" w:lineRule="auto"/>
        <w:ind w:right="148"/>
        <w:jc w:val="both"/>
      </w:pPr>
      <w:r>
        <w:rPr>
          <w:spacing w:val="-2"/>
        </w:rPr>
        <w:t>注：其他主要包括收取的税务局退还的西软信息多缴纳的房产税、土地使用税及滞纳金罚款共计</w:t>
      </w:r>
      <w:r>
        <w:rPr>
          <w:w w:val="100"/>
        </w:rPr>
        <w:t> </w:t>
      </w:r>
      <w:r>
        <w:rPr>
          <w:rFonts w:ascii="宋体" w:hAnsi="宋体" w:cs="宋体" w:eastAsia="宋体" w:hint="default"/>
          <w:spacing w:val="-2"/>
        </w:rPr>
        <w:t>1,180,140.19</w:t>
      </w:r>
      <w:r>
        <w:rPr>
          <w:spacing w:val="-2"/>
        </w:rPr>
        <w:t>元、展会收入</w:t>
      </w:r>
      <w:r>
        <w:rPr>
          <w:rFonts w:ascii="宋体" w:hAnsi="宋体" w:cs="宋体" w:eastAsia="宋体" w:hint="default"/>
          <w:spacing w:val="-2"/>
        </w:rPr>
        <w:t>469,919.78</w:t>
      </w:r>
      <w:r>
        <w:rPr>
          <w:spacing w:val="-2"/>
        </w:rPr>
        <w:t>元、运费赔偿收入</w:t>
      </w:r>
      <w:r>
        <w:rPr>
          <w:rFonts w:ascii="宋体" w:hAnsi="宋体" w:cs="宋体" w:eastAsia="宋体" w:hint="default"/>
          <w:spacing w:val="-2"/>
        </w:rPr>
        <w:t>117,468.33</w:t>
      </w:r>
      <w:r>
        <w:rPr>
          <w:spacing w:val="-2"/>
        </w:rPr>
        <w:t>元、稳岗补贴</w:t>
      </w:r>
      <w:r>
        <w:rPr>
          <w:rFonts w:ascii="宋体" w:hAnsi="宋体" w:cs="宋体" w:eastAsia="宋体" w:hint="default"/>
          <w:spacing w:val="-2"/>
        </w:rPr>
        <w:t>131,711.18</w:t>
      </w:r>
      <w:r>
        <w:rPr>
          <w:spacing w:val="-2"/>
        </w:rPr>
        <w:t>元、无</w:t>
      </w:r>
      <w:r>
        <w:rPr>
          <w:spacing w:val="-31"/>
        </w:rPr>
        <w:t> </w:t>
      </w:r>
      <w:r>
        <w:rPr>
          <w:spacing w:val="-31"/>
        </w:rPr>
      </w:r>
      <w:r>
        <w:rPr/>
        <w:t>需退回押金以及无需支付款项</w:t>
      </w:r>
      <w:r>
        <w:rPr>
          <w:rFonts w:ascii="宋体" w:hAnsi="宋体" w:cs="宋体" w:eastAsia="宋体" w:hint="default"/>
        </w:rPr>
        <w:t>324,901.46</w:t>
      </w:r>
      <w:r>
        <w:rPr/>
        <w:t>元。</w:t>
      </w:r>
    </w:p>
    <w:p>
      <w:pPr>
        <w:spacing w:line="240" w:lineRule="auto" w:before="2"/>
        <w:rPr>
          <w:rFonts w:ascii="宋体" w:hAnsi="宋体" w:cs="宋体" w:eastAsia="宋体" w:hint="default"/>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126"/>
        <w:gridCol w:w="2124"/>
        <w:gridCol w:w="2057"/>
      </w:tblGrid>
      <w:tr>
        <w:trPr>
          <w:trHeight w:val="715"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5" w:right="29"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13,569,123.43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644,164.12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13,569,123.43</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税款滞纳金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1,482,793.71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418.77</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2,610.59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2,610.59</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3,764,138.47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354,441.08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3,764,138.47</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17,336,291.26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2,483,498.91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17,336,291.26</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52" w:lineRule="auto"/>
        <w:ind w:right="153"/>
        <w:jc w:val="both"/>
      </w:pPr>
      <w:r>
        <w:rPr>
          <w:spacing w:val="-2"/>
        </w:rPr>
        <w:t>注：其他主要包括本公司本年支付给子公司上海时运信息技术有限公司原股东按照对赌协议支付</w:t>
      </w:r>
      <w:r>
        <w:rPr>
          <w:w w:val="100"/>
        </w:rPr>
        <w:t> </w:t>
      </w:r>
      <w:r>
        <w:rPr>
          <w:spacing w:val="12"/>
        </w:rPr>
        <w:t>约定的业绩承诺应支付的股权转让款</w:t>
      </w:r>
      <w:r>
        <w:rPr>
          <w:spacing w:val="-46"/>
        </w:rPr>
        <w:t> </w:t>
      </w:r>
      <w:r>
        <w:rPr>
          <w:rFonts w:ascii="Times New Roman" w:hAnsi="Times New Roman" w:cs="Times New Roman" w:eastAsia="Times New Roman" w:hint="default"/>
          <w:spacing w:val="8"/>
        </w:rPr>
        <w:t>2,320,312.50</w:t>
      </w:r>
      <w:r>
        <w:rPr>
          <w:spacing w:val="8"/>
        </w:rPr>
        <w:t>元；计提的未决诉讼的逾期付款违约金及利息</w:t>
      </w:r>
      <w:r>
        <w:rPr>
          <w:spacing w:val="-72"/>
        </w:rPr>
        <w:t> </w:t>
      </w:r>
      <w:r>
        <w:rPr>
          <w:spacing w:val="-72"/>
        </w:rPr>
      </w:r>
      <w:r>
        <w:rPr>
          <w:rFonts w:ascii="Times New Roman" w:hAnsi="Times New Roman" w:cs="Times New Roman" w:eastAsia="Times New Roman" w:hint="default"/>
        </w:rPr>
        <w:t>1,411,801.37</w:t>
      </w:r>
      <w:r>
        <w:rPr/>
        <w:t>元（具体详见本附注十三</w:t>
      </w:r>
      <w:r>
        <w:rPr>
          <w:rFonts w:ascii="Times New Roman" w:hAnsi="Times New Roman" w:cs="Times New Roman" w:eastAsia="Times New Roman" w:hint="default"/>
        </w:rPr>
        <w:t>.2.</w:t>
      </w:r>
      <w:r>
        <w:rPr/>
        <w:t>或有事项）。</w:t>
      </w:r>
    </w:p>
    <w:p>
      <w:pPr>
        <w:spacing w:line="240" w:lineRule="auto" w:before="4"/>
        <w:rPr>
          <w:rFonts w:ascii="宋体" w:hAnsi="宋体" w:cs="宋体" w:eastAsia="宋体" w:hint="default"/>
          <w:sz w:val="23"/>
          <w:szCs w:val="23"/>
        </w:rPr>
      </w:pPr>
    </w:p>
    <w:p>
      <w:pPr>
        <w:pStyle w:val="Heading7"/>
        <w:spacing w:line="240" w:lineRule="auto"/>
        <w:ind w:right="153"/>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74,062,367.43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74,193,122.18</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-14,671,788.34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-2,386,708.18</w:t>
            </w:r>
          </w:p>
        </w:tc>
      </w:tr>
      <w:tr>
        <w:trPr>
          <w:trHeight w:val="40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59,390,579.09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71,806,414.00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29"/>
        <w:gridCol w:w="4028"/>
      </w:tblGrid>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19"/>
        <w:gridCol w:w="4051"/>
      </w:tblGrid>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484,354,724.40</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72,653,208.66</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-12,086,918.41</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-2,485,763.56</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-991,047.42</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2,445,466.46</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-1,434,690.99</w:t>
            </w:r>
          </w:p>
        </w:tc>
      </w:tr>
      <w:tr>
        <w:trPr>
          <w:trHeight w:val="402"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3,923,083.47</w:t>
            </w:r>
          </w:p>
        </w:tc>
      </w:tr>
      <w:tr>
        <w:trPr>
          <w:trHeight w:val="401" w:hRule="exact"/>
        </w:trPr>
        <w:tc>
          <w:tcPr>
            <w:tcW w:w="5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-2,632,759.12</w:t>
            </w:r>
          </w:p>
        </w:tc>
      </w:tr>
      <w:tr>
        <w:trPr>
          <w:trHeight w:val="403"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59,390,579.09</w:t>
            </w:r>
          </w:p>
        </w:tc>
      </w:tr>
    </w:tbl>
    <w:p>
      <w:pPr>
        <w:spacing w:line="357" w:lineRule="auto" w:before="49"/>
        <w:ind w:left="152" w:right="90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spacing w:line="547" w:lineRule="auto" w:before="0"/>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7"/>
        <w:spacing w:line="240" w:lineRule="auto" w:before="26"/>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37,722,562.95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73,422,681.00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6,510,038.09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8,441,863.40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押金保证金及备用金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5,024,412.68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5,523,813.30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赞助收入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3,536,236.18</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1,661,544.88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3,174,188.15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2,441,261.38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731,580.43</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房产税、土地使用税退回</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1,180,140.19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417,118.97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332,380.77</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755,902.74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234,325.48</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55,712,981.88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95,397,068.71</w:t>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after="0" w:line="36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74,325,219.40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67,791,221.83</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35,885,440.40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36,645,253.98</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11,130,401.91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14,676,851.64</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15,247,072.19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17,908,857.59</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15,147,484.96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11,908,289.68</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9,889,432.24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8,872,851.35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7,461,744.23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5,725,822.74</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7,872,372.88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3,887,114.07</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上市公司维护费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1,565,639.23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3,727,477.39</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7,147,580.65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4,810,477.00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4,507,350.65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2,750,766.28</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员工借款、备用金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2,640,620.40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8,925,151.55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支付给员工代收的期权行权款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4,730,504.21</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3,786,408.61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2,417,886.75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2,970,934.87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1,061,647.60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车辆使用、保险、维修费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5,878,708.32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4,431,795.15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4,762,220.95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5,642,299.65</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210,218,631.89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205,914,268.46</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上海环迅股权收购意向金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收回的质押存款</w:t>
            </w:r>
          </w:p>
        </w:tc>
        <w:tc>
          <w:tcPr>
            <w:tcW w:w="2835"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34,526,214.64</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34,526,214.64</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支付的发行股票的审计费、律师费等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支付的融资性保函保证金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222,487,253.75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222,767,253.75</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846"/>
        <w:gridCol w:w="2624"/>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424,964,145.31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405,797,847.51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42,767,728.72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66,126,841.71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35,686,608.08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39,115,824.51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61,666,630.61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43,170,822.78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2,309,490.90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3,003,538.48</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-17,169.97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626,156.56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13,569,123.43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892,446.20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-9,168,820.42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-52,277,471.11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-16,693,504.74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-5,809,543.01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-7,432,447.96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-8,862,245.33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5,045,739.78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-11,829,842.32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-5,210,344.85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00"/>
        <w:gridCol w:w="2846"/>
        <w:gridCol w:w="2624"/>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-166,364,410.37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-105,813,490.38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176,366,739.08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194,669,597.87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513,062,230.22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613,237,760.85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64"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4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64"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4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1,453,842,343.47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2,625,078,705.40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2,625,078,705.40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1,967,686,183.97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-1,171,236,361.93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657,392,521.43</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31"/>
        <w:gridCol w:w="4040"/>
      </w:tblGrid>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266,103,222.36</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ReviewRankS.A.</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192,612,761.07</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GalasysPLC</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73,490,461.29</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54,230,583.85</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ReviewRankS.A.</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52,384,584.24</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GalasysPLC</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1,845,999.61</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41,070,312.50</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ArmitageHoldingsLimited</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2,320,312.50</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252,942,951.01</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4051"/>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0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169,918,871.00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31"/>
        <w:gridCol w:w="4040"/>
      </w:tblGrid>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Great</w:t>
            </w:r>
            <w:r>
              <w:rPr>
                <w:rFonts w:ascii="Times New Roman"/>
                <w:spacing w:val="-7"/>
                <w:sz w:val="18"/>
              </w:rPr>
              <w:t> </w:t>
            </w:r>
            <w:r>
              <w:rPr>
                <w:rFonts w:ascii="Times New Roman"/>
                <w:sz w:val="18"/>
              </w:rPr>
              <w:t>Kylin</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169,918,871.00</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95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169,918,871.00</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704"/>
        <w:gridCol w:w="2765"/>
      </w:tblGrid>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1,453,842,343.47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2,625,078,705.40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254,112.44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411,045.38</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1,451,492,872.37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2,624,037,851.66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2,095,358.66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629,808.36</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1,453,842,343.47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2,625,078,705.40</w:t>
            </w:r>
          </w:p>
        </w:tc>
      </w:tr>
    </w:tbl>
    <w:p>
      <w:pPr>
        <w:spacing w:line="360"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693"/>
        <w:gridCol w:w="2765"/>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258,472,553.25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融资性保函保证金及票据保证金等</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2,646,191.10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国家机关维修基金</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27,798,254.10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9,339,925.62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298,256,924.07</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3"/>
        <w:gridCol w:w="2126"/>
        <w:gridCol w:w="2127"/>
        <w:gridCol w:w="1901"/>
      </w:tblGrid>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80"/>
        <w:gridCol w:w="2138"/>
        <w:gridCol w:w="2127"/>
        <w:gridCol w:w="1913"/>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30,110,106.09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196,745,455.21</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8,718,348.39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68,023,169.64</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26,914,858.24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22,498,130.00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2,251,276.63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19,764,407.79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763,515.92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3,728,324.59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474,589.69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3,101,063.97</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3,805,964.41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29,695,276.09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8,505,587.85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7,109,820.88</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68,209.00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333,071.37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9D9D9"/>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3,205,923.05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20,948,142.39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991,734.09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7,737,806.89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1,716,973.70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1,435,218.32</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275,694.58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1,346,244.20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9D9D9"/>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163,002.58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1,065,091.46</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1,119,696.47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8,736,207.80</w:t>
            </w: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25,953,657.17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21,694,662.03</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99,316.60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484,972.89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9D9D9"/>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1,068,111.12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6,979,251.66</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895,356.69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6,985,841.49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80,895,423.93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67,620,484.86</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227,434.65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1,110,586.14</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9D9D9"/>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16,384,830.73</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长期借款（含一年内到期的长期借款）</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996"/>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3" w:space="0" w:color="D9D9D9"/>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13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27,023,001.50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7.8023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210,841,573.45</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59" w:lineRule="auto" w:before="36"/>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546"/>
        <w:gridCol w:w="1843"/>
        <w:gridCol w:w="1700"/>
        <w:gridCol w:w="2413"/>
      </w:tblGrid>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0" w:right="0"/>
              <w:jc w:val="left"/>
              <w:rPr>
                <w:rFonts w:ascii="宋体" w:hAnsi="宋体" w:cs="宋体" w:eastAsia="宋体" w:hint="default"/>
                <w:sz w:val="18"/>
                <w:szCs w:val="18"/>
              </w:rPr>
            </w:pPr>
            <w:r>
              <w:rPr>
                <w:rFonts w:ascii="宋体" w:hAnsi="宋体" w:cs="宋体" w:eastAsia="宋体" w:hint="default"/>
                <w:sz w:val="18"/>
                <w:szCs w:val="18"/>
              </w:rPr>
              <w:t>记账本位币的选择依据</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9"/>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主要经营业务位于新加坡</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8"/>
                <w:sz w:val="18"/>
              </w:rPr>
              <w:t> </w:t>
            </w:r>
            <w:r>
              <w:rPr>
                <w:rFonts w:ascii="Times New Roman"/>
                <w:sz w:val="18"/>
              </w:rPr>
              <w:t>Bhd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林吉特元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主要经营业务位于马来西亚</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9"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5"/>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奥地利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Hetras Deutschland</w:t>
            </w:r>
            <w:r>
              <w:rPr>
                <w:rFonts w:ascii="Times New Roman"/>
                <w:spacing w:val="-7"/>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ACProject</w:t>
            </w:r>
            <w:r>
              <w:rPr>
                <w:rFonts w:ascii="Times New Roman"/>
                <w:spacing w:val="-6"/>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奥地利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ReviewRankS.A</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西班牙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GalasysPlc</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英磅</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153"/>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277"/>
        <w:gridCol w:w="850"/>
        <w:gridCol w:w="852"/>
        <w:gridCol w:w="855"/>
        <w:gridCol w:w="986"/>
        <w:gridCol w:w="1138"/>
        <w:gridCol w:w="1061"/>
      </w:tblGrid>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ReviewRankS.A.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192,612,761.07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已经股东会 批准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61,730,289.28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1,579,678.79</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GalasysPLC</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133,859,338.15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已经股东会 批准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22,402,788.05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10,231,876.9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0" w:lineRule="auto"/>
        <w:ind w:left="592" w:right="153" w:firstLine="0"/>
        <w:jc w:val="left"/>
      </w:pPr>
      <w:r>
        <w:rPr/>
        <w:t>注：上述本期收购的公司包含下述子公司：</w:t>
      </w:r>
    </w:p>
    <w:p>
      <w:pPr>
        <w:spacing w:line="240" w:lineRule="auto" w:before="4"/>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52"/>
        <w:gridCol w:w="4251"/>
        <w:gridCol w:w="4537"/>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被收购方</w:t>
            </w:r>
            <w:r>
              <w:rPr>
                <w:rFonts w:ascii="宋体" w:hAnsi="宋体" w:cs="宋体" w:eastAsia="宋体" w:hint="default"/>
                <w:sz w:val="18"/>
                <w:szCs w:val="18"/>
              </w:rPr>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所属子公司</w:t>
            </w:r>
            <w:r>
              <w:rPr>
                <w:rFonts w:ascii="宋体" w:hAnsi="宋体" w:cs="宋体" w:eastAsia="宋体" w:hint="default"/>
                <w:sz w:val="18"/>
                <w:szCs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ReviewRankS.A</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ReviewProInc</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852"/>
        <w:gridCol w:w="4251"/>
        <w:gridCol w:w="4537"/>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ReviewProAsiaPacificPteLtd</w:t>
            </w:r>
          </w:p>
        </w:tc>
      </w:tr>
      <w:tr>
        <w:trPr>
          <w:trHeight w:val="34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GalasysPlc</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GalasysHoldingsLtd</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GalasysSolutions(MSC)SdnBhd</w:t>
            </w:r>
          </w:p>
        </w:tc>
      </w:tr>
      <w:tr>
        <w:trPr>
          <w:trHeight w:val="34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GalasysTechnologies(HK)Limited</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GalasysGLTSdnBhd</w:t>
            </w:r>
          </w:p>
        </w:tc>
      </w:tr>
      <w:tr>
        <w:trPr>
          <w:trHeight w:val="34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GalasysSolutions(UK)Limited</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ILogicSolutionsSdnBhd</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w:t>
            </w:r>
          </w:p>
        </w:tc>
        <w:tc>
          <w:tcPr>
            <w:tcW w:w="4251" w:type="dxa"/>
            <w:tcBorders>
              <w:top w:val="single" w:sz="6" w:space="0" w:color="000000"/>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2835"/>
        <w:gridCol w:w="2768"/>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8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ReviewRankS.A.</w:t>
            </w:r>
          </w:p>
        </w:tc>
        <w:tc>
          <w:tcPr>
            <w:tcW w:w="27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GalasysPLC</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192,612,761.07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133,859,338.15</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42,370,601.23</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192,612,761.07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176,229,939.38</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133,678,641.28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14,020,599.26</w:t>
            </w:r>
          </w:p>
        </w:tc>
      </w:tr>
      <w:tr>
        <w:trPr>
          <w:trHeight w:val="715"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 份额的金额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58,934,119.79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162,209,340.12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66" w:lineRule="auto" w:before="94"/>
        <w:ind w:right="153" w:firstLine="480"/>
        <w:jc w:val="left"/>
      </w:pPr>
      <w:r>
        <w:rPr>
          <w:spacing w:val="-4"/>
          <w:w w:val="100"/>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7"/>
        </w:rPr>
        <w:t> </w:t>
      </w:r>
      <w:r>
        <w:rPr>
          <w:spacing w:val="-47"/>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w:t>
      </w:r>
      <w:r>
        <w:rPr>
          <w:w w:val="100"/>
        </w:rPr>
        <w:t> </w:t>
      </w:r>
      <w:r>
        <w:rPr>
          <w:spacing w:val="-2"/>
        </w:rPr>
        <w:t>易</w:t>
      </w:r>
      <w:r>
        <w:rPr>
          <w:rFonts w:ascii="Times New Roman" w:hAnsi="Times New Roman" w:cs="Times New Roman" w:eastAsia="Times New Roman" w:hint="default"/>
          <w:spacing w:val="-2"/>
        </w:rPr>
        <w:t>”</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的，将各项交易作为一项取得控制权的交易进行会计处理。不属于</w:t>
      </w:r>
      <w:r>
        <w:rPr>
          <w:rFonts w:ascii="Times New Roman" w:hAnsi="Times New Roman" w:cs="Times New Roman" w:eastAsia="Times New Roman" w:hint="default"/>
          <w:spacing w:val="-2"/>
        </w:rPr>
        <w:t>“</w:t>
      </w:r>
      <w:r>
        <w:rPr>
          <w:spacing w:val="-2"/>
        </w:rPr>
        <w:t>一揽</w:t>
      </w:r>
      <w:r>
        <w:rPr>
          <w:spacing w:val="-26"/>
        </w:rPr>
        <w:t> </w:t>
      </w:r>
      <w:r>
        <w:rPr/>
        <w:t>子交易</w:t>
      </w:r>
      <w:r>
        <w:rPr>
          <w:rFonts w:ascii="Times New Roman" w:hAnsi="Times New Roman" w:cs="Times New Roman" w:eastAsia="Times New Roman" w:hint="default"/>
        </w:rPr>
        <w:t>”</w:t>
      </w:r>
      <w:r>
        <w:rPr/>
        <w:t>的，按照原持有被购买方的股权投资账面价值加上新增投资成本之和，作为改按成本法核算的长</w:t>
      </w:r>
      <w:r>
        <w:rPr>
          <w:w w:val="100"/>
        </w:rPr>
        <w:t> </w:t>
      </w:r>
      <w:r>
        <w:rPr>
          <w:spacing w:val="-2"/>
        </w:rPr>
        <w:t>期股权投资的初始投资成本。原持有的股权采用权益法核算的，相关其他综合收益暂不进行会计处理。原</w:t>
      </w:r>
      <w:r>
        <w:rPr>
          <w:spacing w:val="-42"/>
        </w:rPr>
        <w:t> </w:t>
      </w:r>
      <w:r>
        <w:rPr>
          <w:spacing w:val="-42"/>
        </w:rPr>
      </w:r>
      <w:r>
        <w:rPr>
          <w:spacing w:val="-2"/>
        </w:rPr>
        <w:t>持有股权投资为可供出售金融资产的，其公允价值与账面价值之间的差额，以及原计入其他综合收益的累</w:t>
      </w:r>
      <w:r>
        <w:rPr>
          <w:spacing w:val="-43"/>
        </w:rPr>
        <w:t> </w:t>
      </w:r>
      <w:r>
        <w:rPr>
          <w:spacing w:val="-43"/>
        </w:rPr>
      </w:r>
      <w:r>
        <w:rPr/>
        <w:t>计公允价值变动转入当期损益。</w:t>
      </w:r>
    </w:p>
    <w:p>
      <w:pPr>
        <w:pStyle w:val="BodyText"/>
        <w:spacing w:line="273" w:lineRule="auto" w:before="14"/>
        <w:ind w:right="153" w:firstLine="480"/>
        <w:jc w:val="left"/>
      </w:pPr>
      <w:r>
        <w:rPr>
          <w:spacing w:val="-4"/>
        </w:rPr>
        <w:t>合并方或购买方为企业合并发生的审计、法律服务、评估咨询等中介费用以及其他相关管理费用，于</w:t>
      </w:r>
      <w:r>
        <w:rPr>
          <w:w w:val="100"/>
        </w:rPr>
        <w:t> </w:t>
      </w:r>
      <w:r>
        <w:rPr/>
        <w:t>发生时计入当期损益。</w:t>
      </w:r>
    </w:p>
    <w:p>
      <w:pPr>
        <w:spacing w:line="240" w:lineRule="auto" w:before="2"/>
        <w:rPr>
          <w:rFonts w:ascii="宋体" w:hAnsi="宋体" w:cs="宋体" w:eastAsia="宋体" w:hint="default"/>
          <w:sz w:val="29"/>
          <w:szCs w:val="29"/>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256" w:lineRule="auto" w:before="95"/>
        <w:ind w:right="153" w:firstLine="420"/>
        <w:jc w:val="left"/>
      </w:pPr>
      <w:r>
        <w:rPr/>
        <w:t>注</w:t>
      </w:r>
      <w:r>
        <w:rPr>
          <w:rFonts w:ascii="Times New Roman" w:hAnsi="Times New Roman" w:cs="Times New Roman" w:eastAsia="Times New Roman" w:hint="default"/>
        </w:rPr>
        <w:t>1 </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月，公司下属子公司香港石基公司完成了</w:t>
      </w:r>
      <w:r>
        <w:rPr>
          <w:rFonts w:ascii="Times New Roman" w:hAnsi="Times New Roman" w:cs="Times New Roman" w:eastAsia="Times New Roman" w:hint="default"/>
        </w:rPr>
        <w:t>ReviewRankS.A.</w:t>
      </w:r>
      <w:r>
        <w:rPr>
          <w:rFonts w:ascii="Times New Roman" w:hAnsi="Times New Roman" w:cs="Times New Roman" w:eastAsia="Times New Roman" w:hint="default"/>
          <w:spacing w:val="-31"/>
        </w:rPr>
        <w:t> </w:t>
      </w:r>
      <w:r>
        <w:rPr>
          <w:rFonts w:ascii="Times New Roman" w:hAnsi="Times New Roman" w:cs="Times New Roman" w:eastAsia="Times New Roman" w:hint="default"/>
        </w:rPr>
        <w:t>79.47%</w:t>
      </w:r>
      <w:r>
        <w:rPr/>
        <w:t>的股权收购，合并成</w:t>
      </w:r>
      <w:r>
        <w:rPr>
          <w:w w:val="100"/>
        </w:rPr>
        <w:t> </w:t>
      </w:r>
      <w:r>
        <w:rPr/>
        <w:t>本与对方可辨认净资产公允价值之间的差额</w:t>
      </w:r>
      <w:r>
        <w:rPr>
          <w:rFonts w:ascii="Times New Roman" w:hAnsi="Times New Roman" w:cs="Times New Roman" w:eastAsia="Times New Roman" w:hint="default"/>
        </w:rPr>
        <w:t>58,934,119.79</w:t>
      </w:r>
      <w:r>
        <w:rPr/>
        <w:t>元计入商誉。</w:t>
      </w:r>
    </w:p>
    <w:p>
      <w:pPr>
        <w:spacing w:line="240" w:lineRule="auto" w:before="5"/>
        <w:rPr>
          <w:rFonts w:ascii="宋体" w:hAnsi="宋体" w:cs="宋体" w:eastAsia="宋体" w:hint="default"/>
          <w:sz w:val="27"/>
          <w:szCs w:val="27"/>
        </w:rPr>
      </w:pPr>
    </w:p>
    <w:p>
      <w:pPr>
        <w:pStyle w:val="BodyText"/>
        <w:spacing w:line="256" w:lineRule="auto"/>
        <w:ind w:right="153"/>
        <w:jc w:val="left"/>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月，公司下属子公司香港石基公司完成了</w:t>
      </w:r>
      <w:r>
        <w:rPr>
          <w:rFonts w:ascii="Times New Roman" w:hAnsi="Times New Roman" w:cs="Times New Roman" w:eastAsia="Times New Roman" w:hint="default"/>
          <w:spacing w:val="-2"/>
        </w:rPr>
        <w:t>GalasysPLC84.38%</w:t>
      </w:r>
      <w:r>
        <w:rPr>
          <w:spacing w:val="-2"/>
        </w:rPr>
        <w:t>的股权收购，合并成本与对方可</w:t>
      </w:r>
      <w:r>
        <w:rPr>
          <w:spacing w:val="-44"/>
        </w:rPr>
        <w:t> </w:t>
      </w:r>
      <w:r>
        <w:rPr>
          <w:spacing w:val="-44"/>
        </w:rPr>
      </w:r>
      <w:r>
        <w:rPr/>
        <w:t>辨认净资产公允价值之间的差额</w:t>
      </w:r>
      <w:r>
        <w:rPr>
          <w:rFonts w:ascii="Times New Roman" w:hAnsi="Times New Roman" w:cs="Times New Roman" w:eastAsia="Times New Roman" w:hint="default"/>
        </w:rPr>
        <w:t>162,209,340.12</w:t>
      </w:r>
      <w:r>
        <w:rPr/>
        <w:t>元计入商誉</w:t>
      </w:r>
    </w:p>
    <w:p>
      <w:pPr>
        <w:spacing w:after="0" w:line="256" w:lineRule="auto"/>
        <w:jc w:val="left"/>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spacing w:line="360" w:lineRule="auto" w:before="44"/>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37"/>
        <w:gridCol w:w="1858"/>
        <w:gridCol w:w="1844"/>
        <w:gridCol w:w="1702"/>
        <w:gridCol w:w="1633"/>
      </w:tblGrid>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7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229" w:right="0"/>
              <w:jc w:val="left"/>
              <w:rPr>
                <w:rFonts w:ascii="Times New Roman" w:hAnsi="Times New Roman" w:cs="Times New Roman" w:eastAsia="Times New Roman" w:hint="default"/>
                <w:sz w:val="18"/>
                <w:szCs w:val="18"/>
              </w:rPr>
            </w:pPr>
            <w:r>
              <w:rPr>
                <w:rFonts w:ascii="Times New Roman"/>
                <w:sz w:val="18"/>
              </w:rPr>
              <w:t>ReviewRankS.A.</w:t>
            </w:r>
          </w:p>
        </w:tc>
        <w:tc>
          <w:tcPr>
            <w:tcW w:w="33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GalasysPLC</w:t>
            </w: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52,384,584.24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52,384,584.24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1,845,999.61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1,845,999.61</w:t>
            </w:r>
          </w:p>
        </w:tc>
      </w:tr>
      <w:tr>
        <w:trPr>
          <w:trHeight w:val="403"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23,458,539.76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23,458,539.76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20,959,489.98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20,959,489.98</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115,540.00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115,540.00</w:t>
            </w:r>
          </w:p>
        </w:tc>
      </w:tr>
      <w:tr>
        <w:trPr>
          <w:trHeight w:val="404"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516,074.89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516,074.89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87,702.00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36,825.22</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125,960,715.72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9,105,270.27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20,565,490.82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10,072,679.11</w:t>
            </w:r>
          </w:p>
        </w:tc>
      </w:tr>
      <w:tr>
        <w:trPr>
          <w:trHeight w:val="403"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19,421.60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19,421.60</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143,732.00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143,732.00</w:t>
            </w:r>
          </w:p>
        </w:tc>
      </w:tr>
      <w:tr>
        <w:trPr>
          <w:trHeight w:val="403"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15,498,259.96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15,498,259.96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17,664,237.44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17,664,237.44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28,191,331.71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28,191,331.71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26,134,095.38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26,134,095.38</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2,374,400.24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2,374,400.24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561,350.92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561,350.92</w:t>
            </w:r>
          </w:p>
        </w:tc>
      </w:tr>
      <w:tr>
        <w:trPr>
          <w:trHeight w:val="403"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1,375,445.09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1,375,445.09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514,051.29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514,051.29</w:t>
            </w:r>
          </w:p>
        </w:tc>
      </w:tr>
      <w:tr>
        <w:trPr>
          <w:trHeight w:val="401"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5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168,212,760.09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51,357,314.64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16,527,878.42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5,984,189.93</w:t>
            </w:r>
          </w:p>
        </w:tc>
      </w:tr>
      <w:tr>
        <w:trPr>
          <w:trHeight w:val="404"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34,534,118.81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10,543,646.57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2,507,279.16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1,056,456.10</w:t>
            </w:r>
          </w:p>
        </w:tc>
      </w:tr>
      <w:tr>
        <w:trPr>
          <w:trHeight w:val="403"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133,678,641.28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40,813,668.07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14,020,599.26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4,927,733.83</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评估专家的工作确定的估值。 企业合并中承担的被购买方的或有负债： 无</w:t>
      </w:r>
    </w:p>
    <w:p>
      <w:pPr>
        <w:spacing w:line="360" w:lineRule="auto" w:before="2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80" w:top="11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913" w:space="29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1416"/>
        <w:gridCol w:w="1419"/>
        <w:gridCol w:w="1985"/>
        <w:gridCol w:w="1985"/>
        <w:gridCol w:w="1759"/>
      </w:tblGrid>
      <w:tr>
        <w:trPr>
          <w:trHeight w:val="102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41"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的账面价值</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4"/>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的公允价值</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7"/>
              <w:jc w:val="center"/>
              <w:rPr>
                <w:rFonts w:ascii="宋体" w:hAnsi="宋体" w:cs="宋体" w:eastAsia="宋体" w:hint="default"/>
                <w:sz w:val="18"/>
                <w:szCs w:val="18"/>
              </w:rPr>
            </w:pPr>
            <w:r>
              <w:rPr>
                <w:rFonts w:ascii="宋体" w:hAnsi="宋体" w:cs="宋体" w:eastAsia="宋体" w:hint="default"/>
                <w:sz w:val="18"/>
                <w:szCs w:val="18"/>
              </w:rPr>
              <w:t>购买日之前原持有股权 按照公允价值重新计量 产生的利得或损失</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4"/>
              <w:jc w:val="both"/>
              <w:rPr>
                <w:rFonts w:ascii="宋体" w:hAnsi="宋体" w:cs="宋体" w:eastAsia="宋体" w:hint="default"/>
                <w:sz w:val="18"/>
                <w:szCs w:val="18"/>
              </w:rPr>
            </w:pPr>
            <w:r>
              <w:rPr>
                <w:rFonts w:ascii="宋体" w:hAnsi="宋体" w:cs="宋体" w:eastAsia="宋体" w:hint="default"/>
                <w:sz w:val="18"/>
                <w:szCs w:val="18"/>
              </w:rPr>
              <w:t>购买日之前原持有股权 在购买日的公允价值的 确定方法及主要假设</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57"/>
              <w:jc w:val="both"/>
              <w:rPr>
                <w:rFonts w:ascii="宋体" w:hAnsi="宋体" w:cs="宋体" w:eastAsia="宋体" w:hint="default"/>
                <w:sz w:val="18"/>
                <w:szCs w:val="18"/>
              </w:rPr>
            </w:pPr>
            <w:r>
              <w:rPr>
                <w:rFonts w:ascii="宋体" w:hAnsi="宋体" w:cs="宋体" w:eastAsia="宋体" w:hint="default"/>
                <w:sz w:val="18"/>
                <w:szCs w:val="18"/>
              </w:rPr>
              <w:t>购买日之前与原持有 股权相关的其他综合 收益转入投资收益的</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1416"/>
        <w:gridCol w:w="1419"/>
        <w:gridCol w:w="1985"/>
        <w:gridCol w:w="1985"/>
        <w:gridCol w:w="1769"/>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GalasysPLC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46,976,809.69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42,370,601.23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5" w:right="0"/>
              <w:jc w:val="left"/>
              <w:rPr>
                <w:rFonts w:ascii="Times New Roman" w:hAnsi="Times New Roman" w:cs="Times New Roman" w:eastAsia="Times New Roman" w:hint="default"/>
                <w:sz w:val="18"/>
                <w:szCs w:val="18"/>
              </w:rPr>
            </w:pPr>
            <w:r>
              <w:rPr>
                <w:rFonts w:ascii="Times New Roman"/>
                <w:sz w:val="18"/>
              </w:rPr>
              <w:t>-4,606,208.46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收益法评估公允价值</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153"/>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80" w:top="11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1248"/>
        <w:gridCol w:w="710"/>
        <w:gridCol w:w="567"/>
        <w:gridCol w:w="708"/>
        <w:gridCol w:w="566"/>
        <w:gridCol w:w="1136"/>
        <w:gridCol w:w="566"/>
        <w:gridCol w:w="566"/>
        <w:gridCol w:w="566"/>
        <w:gridCol w:w="722"/>
        <w:gridCol w:w="736"/>
        <w:gridCol w:w="725"/>
      </w:tblGrid>
      <w:tr>
        <w:trPr>
          <w:trHeight w:val="2897"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9"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11"/>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4"/>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0"/>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2" w:right="35"/>
              <w:jc w:val="left"/>
              <w:rPr>
                <w:rFonts w:ascii="Times New Roman" w:hAnsi="Times New Roman" w:cs="Times New Roman" w:eastAsia="Times New Roman" w:hint="default"/>
                <w:sz w:val="18"/>
                <w:szCs w:val="18"/>
              </w:rPr>
            </w:pPr>
            <w:r>
              <w:rPr>
                <w:rFonts w:ascii="Times New Roman"/>
                <w:sz w:val="18"/>
              </w:rPr>
              <w:t>GreatKyl in</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169,918,871.00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出售 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15,095,538.63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before="29"/>
        <w:ind w:left="152" w:right="15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22"/>
          <w:szCs w:val="22"/>
        </w:rPr>
      </w:pPr>
    </w:p>
    <w:p>
      <w:pPr>
        <w:pStyle w:val="Heading6"/>
        <w:spacing w:line="240" w:lineRule="auto"/>
        <w:ind w:left="592" w:right="153" w:firstLine="0"/>
        <w:jc w:val="left"/>
      </w:pPr>
      <w:r>
        <w:rPr/>
        <w:t>本年因派生分立敏付科技有限公司使合并范围增加</w:t>
      </w:r>
      <w:r>
        <w:rPr>
          <w:rFonts w:ascii="Times New Roman" w:hAnsi="Times New Roman" w:cs="Times New Roman" w:eastAsia="Times New Roman" w:hint="default"/>
        </w:rPr>
        <w:t>1</w:t>
      </w:r>
      <w:r>
        <w:rPr/>
        <w:t>家。</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19"/>
          <w:szCs w:val="19"/>
        </w:rPr>
      </w:pPr>
    </w:p>
    <w:p>
      <w:pPr>
        <w:pStyle w:val="Heading3"/>
        <w:spacing w:line="240" w:lineRule="auto" w:before="26"/>
        <w:ind w:right="208"/>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208"/>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1071"/>
        <w:gridCol w:w="1442"/>
        <w:gridCol w:w="1678"/>
        <w:gridCol w:w="881"/>
        <w:gridCol w:w="881"/>
        <w:gridCol w:w="955"/>
      </w:tblGrid>
      <w:tr>
        <w:trPr>
          <w:trHeight w:val="401"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442" w:type="dxa"/>
            <w:vMerge/>
            <w:tcBorders>
              <w:left w:val="single" w:sz="4" w:space="0" w:color="000000"/>
              <w:bottom w:val="single" w:sz="4" w:space="0" w:color="000000"/>
              <w:right w:val="single" w:sz="4" w:space="0" w:color="000000"/>
            </w:tcBorders>
            <w:shd w:val="clear" w:color="auto" w:fill="D2D2D2"/>
          </w:tcPr>
          <w:p>
            <w:pPr/>
          </w:p>
        </w:tc>
        <w:tc>
          <w:tcPr>
            <w:tcW w:w="1678" w:type="dxa"/>
            <w:vMerge/>
            <w:tcBorders>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5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深圳万国思迅网络有限公司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5"/>
        <w:gridCol w:w="1071"/>
        <w:gridCol w:w="1442"/>
        <w:gridCol w:w="1678"/>
        <w:gridCol w:w="881"/>
        <w:gridCol w:w="881"/>
        <w:gridCol w:w="95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9"/>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SingaporePte</w:t>
            </w:r>
            <w:r>
              <w:rPr>
                <w:rFonts w:ascii="Times New Roman"/>
                <w:spacing w:val="-9"/>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8"/>
                <w:sz w:val="18"/>
              </w:rPr>
              <w:t> </w:t>
            </w:r>
            <w:r>
              <w:rPr>
                <w:rFonts w:ascii="Times New Roman"/>
                <w:sz w:val="18"/>
              </w:rPr>
              <w:t>Bhd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Armitage Holdings</w:t>
            </w:r>
            <w:r>
              <w:rPr>
                <w:rFonts w:ascii="Times New Roman"/>
                <w:spacing w:val="-13"/>
                <w:sz w:val="18"/>
              </w:rPr>
              <w:t> </w:t>
            </w:r>
            <w:r>
              <w:rPr>
                <w:rFonts w:ascii="Times New Roman"/>
                <w:sz w:val="18"/>
              </w:rPr>
              <w:t>Limited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Gmbh</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Snapshot USA</w:t>
            </w:r>
            <w:r>
              <w:rPr>
                <w:rFonts w:ascii="Times New Roman"/>
                <w:spacing w:val="-13"/>
                <w:sz w:val="18"/>
              </w:rPr>
              <w:t> </w:t>
            </w:r>
            <w:r>
              <w:rPr>
                <w:rFonts w:ascii="Times New Roman"/>
                <w:sz w:val="18"/>
              </w:rPr>
              <w:t>Inc.</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 Poland</w:t>
            </w:r>
            <w:r>
              <w:rPr>
                <w:rFonts w:ascii="Times New Roman"/>
                <w:spacing w:val="-7"/>
                <w:sz w:val="18"/>
              </w:rPr>
              <w:t> </w:t>
            </w:r>
            <w:r>
              <w:rPr>
                <w:rFonts w:ascii="Times New Roman"/>
                <w:sz w:val="18"/>
              </w:rPr>
              <w:t>sp.z.o.o</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Straight</w:t>
            </w:r>
            <w:r>
              <w:rPr>
                <w:rFonts w:ascii="Times New Roman"/>
                <w:spacing w:val="-19"/>
                <w:sz w:val="18"/>
              </w:rPr>
              <w:t> </w:t>
            </w:r>
            <w:r>
              <w:rPr>
                <w:rFonts w:ascii="Times New Roman"/>
                <w:sz w:val="18"/>
              </w:rPr>
              <w:t>Shots.r.o</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Snapshot Deutschland</w:t>
            </w:r>
            <w:r>
              <w:rPr>
                <w:rFonts w:ascii="Times New Roman"/>
                <w:spacing w:val="-9"/>
                <w:sz w:val="18"/>
              </w:rPr>
              <w:t> </w:t>
            </w:r>
            <w:r>
              <w:rPr>
                <w:rFonts w:ascii="Times New Roman"/>
                <w:sz w:val="18"/>
              </w:rPr>
              <w:t>GmbH</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91"/>
              <w:jc w:val="left"/>
              <w:rPr>
                <w:rFonts w:ascii="Times New Roman" w:hAnsi="Times New Roman" w:cs="Times New Roman" w:eastAsia="Times New Roman" w:hint="default"/>
                <w:sz w:val="18"/>
                <w:szCs w:val="18"/>
              </w:rPr>
            </w:pPr>
            <w:r>
              <w:rPr>
                <w:rFonts w:ascii="Times New Roman"/>
                <w:sz w:val="18"/>
              </w:rPr>
              <w:t>Shiji Retail Information</w:t>
            </w:r>
            <w:r>
              <w:rPr>
                <w:rFonts w:ascii="Times New Roman"/>
                <w:spacing w:val="-22"/>
                <w:sz w:val="18"/>
              </w:rPr>
              <w:t> </w:t>
            </w:r>
            <w:r>
              <w:rPr>
                <w:rFonts w:ascii="Times New Roman"/>
                <w:sz w:val="18"/>
              </w:rPr>
              <w:t>Technology</w:t>
            </w:r>
            <w:r>
              <w:rPr>
                <w:rFonts w:ascii="Times New Roman"/>
                <w:sz w:val="18"/>
              </w:rPr>
              <w:t> Co.Ltd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海南富基融通科技有限公司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北京微店互联网服务有限公司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6"/>
              <w:jc w:val="left"/>
              <w:rPr>
                <w:rFonts w:ascii="Times New Roman" w:hAnsi="Times New Roman" w:cs="Times New Roman" w:eastAsia="Times New Roman" w:hint="default"/>
                <w:sz w:val="18"/>
                <w:szCs w:val="18"/>
              </w:rPr>
            </w:pPr>
            <w:r>
              <w:rPr>
                <w:rFonts w:ascii="Times New Roman"/>
                <w:sz w:val="18"/>
              </w:rPr>
              <w:t>Horwath Consulting Services</w:t>
            </w:r>
            <w:r>
              <w:rPr>
                <w:rFonts w:ascii="Times New Roman"/>
                <w:spacing w:val="-19"/>
                <w:sz w:val="18"/>
              </w:rPr>
              <w:t> </w:t>
            </w:r>
            <w:r>
              <w:rPr>
                <w:rFonts w:ascii="Times New Roman"/>
                <w:sz w:val="18"/>
              </w:rPr>
              <w:t>Asia</w:t>
            </w:r>
            <w:r>
              <w:rPr>
                <w:rFonts w:ascii="Times New Roman"/>
                <w:sz w:val="18"/>
              </w:rPr>
              <w:t> Pacific</w:t>
            </w:r>
            <w:r>
              <w:rPr>
                <w:rFonts w:ascii="Times New Roman"/>
                <w:spacing w:val="-7"/>
                <w:sz w:val="18"/>
              </w:rPr>
              <w:t> </w:t>
            </w:r>
            <w:r>
              <w:rPr>
                <w:rFonts w:ascii="Times New Roman"/>
                <w:sz w:val="18"/>
              </w:rPr>
              <w:t>Limited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浩华管理顾问（北京）有限公司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4"/>
              <w:jc w:val="left"/>
              <w:rPr>
                <w:rFonts w:ascii="Times New Roman" w:hAnsi="Times New Roman" w:cs="Times New Roman" w:eastAsia="Times New Roman" w:hint="default"/>
                <w:sz w:val="18"/>
                <w:szCs w:val="18"/>
              </w:rPr>
            </w:pPr>
            <w:r>
              <w:rPr>
                <w:rFonts w:ascii="Times New Roman"/>
                <w:sz w:val="18"/>
              </w:rPr>
              <w:t>Horwath Asia Pacific</w:t>
            </w:r>
            <w:r>
              <w:rPr>
                <w:rFonts w:ascii="Times New Roman"/>
                <w:spacing w:val="-17"/>
                <w:sz w:val="18"/>
              </w:rPr>
              <w:t> </w:t>
            </w:r>
            <w:r>
              <w:rPr>
                <w:rFonts w:ascii="Times New Roman"/>
                <w:sz w:val="18"/>
              </w:rPr>
              <w:t>(Singapore)</w:t>
            </w:r>
            <w:r>
              <w:rPr>
                <w:rFonts w:ascii="Times New Roman"/>
                <w:sz w:val="18"/>
              </w:rPr>
              <w:t> PreLtd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AC Project</w:t>
            </w:r>
            <w:r>
              <w:rPr>
                <w:rFonts w:ascii="Times New Roman"/>
                <w:spacing w:val="-6"/>
                <w:sz w:val="18"/>
              </w:rPr>
              <w:t> </w:t>
            </w:r>
            <w:r>
              <w:rPr>
                <w:rFonts w:ascii="Times New Roman"/>
                <w:sz w:val="18"/>
              </w:rPr>
              <w:t>GmbH</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AC Software Deutsechland</w:t>
            </w:r>
            <w:r>
              <w:rPr>
                <w:rFonts w:ascii="Times New Roman"/>
                <w:spacing w:val="-11"/>
                <w:sz w:val="18"/>
              </w:rPr>
              <w:t> </w:t>
            </w:r>
            <w:r>
              <w:rPr>
                <w:rFonts w:ascii="Times New Roman"/>
                <w:sz w:val="18"/>
              </w:rPr>
              <w:t>GmbH</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AC Delivery</w:t>
            </w:r>
            <w:r>
              <w:rPr>
                <w:rFonts w:ascii="Times New Roman"/>
                <w:spacing w:val="-9"/>
                <w:sz w:val="18"/>
              </w:rPr>
              <w:t> </w:t>
            </w:r>
            <w:r>
              <w:rPr>
                <w:rFonts w:ascii="Times New Roman"/>
                <w:sz w:val="18"/>
              </w:rPr>
              <w:t>sp.z.o.o</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85.77%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(Singpore)</w:t>
            </w:r>
            <w:r>
              <w:rPr>
                <w:rFonts w:ascii="Times New Roman"/>
                <w:spacing w:val="-8"/>
                <w:sz w:val="18"/>
              </w:rPr>
              <w:t> </w:t>
            </w:r>
            <w:r>
              <w:rPr>
                <w:rFonts w:ascii="Times New Roman"/>
                <w:sz w:val="18"/>
              </w:rPr>
              <w:t>pte.Ltd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1"/>
                <w:sz w:val="18"/>
              </w:rPr>
              <w:t> </w:t>
            </w:r>
            <w:r>
              <w:rPr>
                <w:rFonts w:ascii="Times New Roman"/>
                <w:sz w:val="18"/>
              </w:rPr>
              <w:t>Inc</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(Australia) Pty</w:t>
            </w:r>
            <w:r>
              <w:rPr>
                <w:rFonts w:ascii="Times New Roman"/>
                <w:spacing w:val="-9"/>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79.47%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Pro</w:t>
            </w:r>
            <w:r>
              <w:rPr>
                <w:rFonts w:ascii="Times New Roman"/>
                <w:spacing w:val="-5"/>
                <w:sz w:val="18"/>
              </w:rPr>
              <w:t> </w:t>
            </w:r>
            <w:r>
              <w:rPr>
                <w:rFonts w:ascii="Times New Roman"/>
                <w:sz w:val="18"/>
              </w:rPr>
              <w:t>Inc.</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79.47%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5"/>
        <w:gridCol w:w="1071"/>
        <w:gridCol w:w="1442"/>
        <w:gridCol w:w="1678"/>
        <w:gridCol w:w="881"/>
        <w:gridCol w:w="881"/>
        <w:gridCol w:w="95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Pro Asia Pacific Pte.</w:t>
            </w:r>
            <w:r>
              <w:rPr>
                <w:rFonts w:ascii="Times New Roman"/>
                <w:spacing w:val="-17"/>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79.47%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Galasys Holdings</w:t>
            </w:r>
            <w:r>
              <w:rPr>
                <w:rFonts w:ascii="Times New Roman"/>
                <w:spacing w:val="-7"/>
                <w:sz w:val="18"/>
              </w:rPr>
              <w:t> </w:t>
            </w:r>
            <w:r>
              <w:rPr>
                <w:rFonts w:ascii="Times New Roman"/>
                <w:sz w:val="18"/>
              </w:rPr>
              <w:t>Ltd.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5"/>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Solutions (MSC) Sdn</w:t>
            </w:r>
            <w:r>
              <w:rPr>
                <w:rFonts w:ascii="Times New Roman"/>
                <w:spacing w:val="-9"/>
                <w:sz w:val="18"/>
              </w:rPr>
              <w:t> </w:t>
            </w:r>
            <w:r>
              <w:rPr>
                <w:rFonts w:ascii="Times New Roman"/>
                <w:sz w:val="18"/>
              </w:rPr>
              <w:t>Bhd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Technologies (HK)</w:t>
            </w:r>
            <w:r>
              <w:rPr>
                <w:rFonts w:ascii="Times New Roman"/>
                <w:spacing w:val="-28"/>
                <w:sz w:val="18"/>
              </w:rPr>
              <w:t> </w:t>
            </w:r>
            <w:r>
              <w:rPr>
                <w:rFonts w:ascii="Times New Roman"/>
                <w:sz w:val="18"/>
              </w:rPr>
              <w:t>Limited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w:t>
            </w:r>
            <w:r>
              <w:rPr>
                <w:rFonts w:ascii="Times New Roman"/>
                <w:spacing w:val="-6"/>
                <w:sz w:val="18"/>
              </w:rPr>
              <w:t>GLT </w:t>
            </w:r>
            <w:r>
              <w:rPr>
                <w:rFonts w:ascii="Times New Roman"/>
                <w:sz w:val="18"/>
              </w:rPr>
              <w:t>Sdn</w:t>
            </w:r>
            <w:r>
              <w:rPr>
                <w:rFonts w:ascii="Times New Roman"/>
                <w:spacing w:val="-1"/>
                <w:sz w:val="18"/>
              </w:rPr>
              <w:t> </w:t>
            </w:r>
            <w:r>
              <w:rPr>
                <w:rFonts w:ascii="Times New Roman"/>
                <w:sz w:val="18"/>
              </w:rPr>
              <w:t>Bhd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(UK)</w:t>
            </w:r>
            <w:r>
              <w:rPr>
                <w:rFonts w:ascii="Times New Roman"/>
                <w:spacing w:val="-12"/>
                <w:sz w:val="18"/>
              </w:rPr>
              <w:t> </w:t>
            </w:r>
            <w:r>
              <w:rPr>
                <w:rFonts w:ascii="Times New Roman"/>
                <w:sz w:val="18"/>
              </w:rPr>
              <w:t>Limited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 Logic Solutions Sdn</w:t>
            </w:r>
            <w:r>
              <w:rPr>
                <w:rFonts w:ascii="Times New Roman"/>
                <w:spacing w:val="-8"/>
                <w:sz w:val="18"/>
              </w:rPr>
              <w:t> </w:t>
            </w:r>
            <w:r>
              <w:rPr>
                <w:rFonts w:ascii="Times New Roman"/>
                <w:sz w:val="18"/>
              </w:rPr>
              <w:t>Bhd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line="357" w:lineRule="auto" w:before="49"/>
        <w:ind w:left="152" w:right="60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7" w:lineRule="auto" w:before="29"/>
        <w:ind w:left="152" w:right="191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我</w:t>
      </w:r>
    </w:p>
    <w:p>
      <w:pPr>
        <w:spacing w:line="360" w:lineRule="auto" w:before="29"/>
        <w:ind w:left="152" w:right="5514"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7"/>
        <w:ind w:left="152" w:right="677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2" w:right="8934" w:firstLine="0"/>
        <w:jc w:val="left"/>
        <w:rPr>
          <w:rFonts w:ascii="宋体" w:hAnsi="宋体" w:cs="宋体" w:eastAsia="宋体" w:hint="default"/>
          <w:sz w:val="18"/>
          <w:szCs w:val="18"/>
        </w:rPr>
      </w:pPr>
      <w:r>
        <w:rPr>
          <w:rFonts w:ascii="宋体" w:hAnsi="宋体" w:cs="宋体" w:eastAsia="宋体" w:hint="default"/>
          <w:sz w:val="18"/>
          <w:szCs w:val="18"/>
        </w:rPr>
        <w:t>其他说明： 我</w:t>
      </w:r>
    </w:p>
    <w:p>
      <w:pPr>
        <w:spacing w:line="240" w:lineRule="auto" w:before="6"/>
        <w:rPr>
          <w:rFonts w:ascii="宋体" w:hAnsi="宋体" w:cs="宋体" w:eastAsia="宋体" w:hint="default"/>
          <w:sz w:val="20"/>
          <w:szCs w:val="20"/>
        </w:rPr>
      </w:pPr>
    </w:p>
    <w:p>
      <w:pPr>
        <w:pStyle w:val="Heading7"/>
        <w:spacing w:line="240" w:lineRule="auto"/>
        <w:ind w:right="20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702"/>
        <w:gridCol w:w="1702"/>
        <w:gridCol w:w="1702"/>
        <w:gridCol w:w="1587"/>
      </w:tblGrid>
      <w:tr>
        <w:trPr>
          <w:trHeight w:val="76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75" w:right="34"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395"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10" w:right="65" w:hanging="541"/>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1,950,432.01</w:t>
            </w:r>
          </w:p>
        </w:tc>
        <w:tc>
          <w:tcPr>
            <w:tcW w:w="1702"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18"/>
                <w:szCs w:val="18"/>
              </w:rPr>
            </w:pPr>
            <w:r>
              <w:rPr>
                <w:rFonts w:ascii="Times New Roman"/>
                <w:spacing w:val="-1"/>
                <w:sz w:val="18"/>
              </w:rPr>
              <w:t>2,640,000.00</w:t>
            </w:r>
          </w:p>
        </w:tc>
        <w:tc>
          <w:tcPr>
            <w:tcW w:w="1587"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pacing w:val="-1"/>
                <w:sz w:val="18"/>
              </w:rPr>
              <w:t>8,869,562.93</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16,282,970.49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12,600,000.00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52,941,090.03</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587,090.42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2,010,385.44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-233,320.20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654,723.80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143,220.05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4,081,760.24</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Gmbh</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32.94%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-14,550,280.89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21,125,481.87</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5"/>
                <w:sz w:val="18"/>
              </w:rPr>
              <w:t> </w:t>
            </w:r>
            <w:r>
              <w:rPr>
                <w:rFonts w:ascii="Times New Roman"/>
                <w:sz w:val="18"/>
              </w:rPr>
              <w:t>S.A</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324,308.59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32,585,043.55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AC Project</w:t>
            </w:r>
            <w:r>
              <w:rPr>
                <w:rFonts w:ascii="Times New Roman"/>
                <w:spacing w:val="-6"/>
                <w:sz w:val="18"/>
              </w:rPr>
              <w:t> </w:t>
            </w:r>
            <w:r>
              <w:rPr>
                <w:rFonts w:ascii="Times New Roman"/>
                <w:sz w:val="18"/>
              </w:rPr>
              <w:t>GmbH</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-1,110,132.78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17,394,212.50</w:t>
            </w:r>
          </w:p>
        </w:tc>
      </w:tr>
    </w:tbl>
    <w:p>
      <w:pPr>
        <w:spacing w:line="357" w:lineRule="auto" w:before="49"/>
        <w:ind w:left="152" w:right="55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before="29"/>
        <w:ind w:left="152" w:right="20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80" w:top="1100" w:bottom="1160" w:left="980" w:right="920"/>
        </w:sectPr>
      </w:pPr>
    </w:p>
    <w:p>
      <w:pPr>
        <w:spacing w:line="240" w:lineRule="auto" w:before="11"/>
        <w:rPr>
          <w:rFonts w:ascii="宋体" w:hAnsi="宋体" w:cs="宋体" w:eastAsia="宋体" w:hint="default"/>
          <w:sz w:val="21"/>
          <w:szCs w:val="21"/>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94"/>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31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852"/>
        <w:gridCol w:w="1274"/>
        <w:gridCol w:w="1277"/>
        <w:gridCol w:w="1275"/>
        <w:gridCol w:w="1135"/>
        <w:gridCol w:w="566"/>
        <w:gridCol w:w="1133"/>
        <w:gridCol w:w="1277"/>
        <w:gridCol w:w="1135"/>
        <w:gridCol w:w="1274"/>
        <w:gridCol w:w="1136"/>
        <w:gridCol w:w="595"/>
        <w:gridCol w:w="1133"/>
      </w:tblGrid>
      <w:tr>
        <w:trPr>
          <w:trHeight w:val="401" w:hRule="exact"/>
        </w:trPr>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1" w:right="60"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66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5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3"/>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9"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北京石基 昆仑软件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89,267,479.69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944,609.12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90,212,088.81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39,816,844.89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39,816,844.89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82,307,164.72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738,133.96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83,045,298.68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28,732,054.83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28,732,054.83</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深圳市思 迅软件股 份有限公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182,179,748.91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56,073,588.64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238,253,337.55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40,669,626.75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40,669,626.75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129,225,964.36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57,836,375.06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187,062,339.42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22,959,849.62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22,959,849.62</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上海时运 信息技术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8,873,923.01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55,460.81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8,929,383.82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887,842.07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887,842.07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5,757,962.38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82,689.60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5,840,651.98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147,471.92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147,471.92</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上海正品 贵德软件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5,559,413.13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388,406.82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5,947,819.95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3,765,407.31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3,765,407.31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5,386,310.34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307,564.18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5,693,874.52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2,733,727.87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2,733,727.87</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百望金税 科技有限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11,523,716.28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43,089.47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11,566,805.75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1,362,405.14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1,362,405.14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10,977,338.24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82,088.43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11,059,426.67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1,213,076.19</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1,213,076.19</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55"/>
              <w:jc w:val="left"/>
              <w:rPr>
                <w:rFonts w:ascii="Times New Roman" w:hAnsi="Times New Roman" w:cs="Times New Roman" w:eastAsia="Times New Roman" w:hint="default"/>
                <w:sz w:val="18"/>
                <w:szCs w:val="18"/>
              </w:rPr>
            </w:pPr>
            <w:r>
              <w:rPr>
                <w:rFonts w:ascii="Times New Roman"/>
                <w:sz w:val="18"/>
              </w:rPr>
              <w:t>Snapshot Gmbn</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44,021,498.23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78,339,139.64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122,360,637.87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7,495,092.56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7,495,092.56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65,250,625.76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58,386,398.72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123,637,024.48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10,105,797.80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10,105,797.80</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225"/>
              <w:jc w:val="left"/>
              <w:rPr>
                <w:rFonts w:ascii="Times New Roman" w:hAnsi="Times New Roman" w:cs="Times New Roman" w:eastAsia="Times New Roman" w:hint="default"/>
                <w:sz w:val="18"/>
                <w:szCs w:val="18"/>
              </w:rPr>
            </w:pPr>
            <w:r>
              <w:rPr>
                <w:rFonts w:ascii="Times New Roman"/>
                <w:sz w:val="18"/>
              </w:rPr>
              <w:t>eFuture Holding</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148,569,679.29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111,232,175.1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259,801,854.39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93,283,539.37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93,283,539.37</w:t>
            </w:r>
          </w:p>
        </w:tc>
      </w:tr>
    </w:tbl>
    <w:p>
      <w:pPr>
        <w:spacing w:after="0" w:line="240" w:lineRule="auto"/>
        <w:jc w:val="right"/>
        <w:rPr>
          <w:rFonts w:ascii="Times New Roman" w:hAnsi="Times New Roman" w:cs="Times New Roman" w:eastAsia="Times New Roman" w:hint="default"/>
          <w:sz w:val="18"/>
          <w:szCs w:val="18"/>
        </w:rPr>
        <w:sectPr>
          <w:headerReference w:type="default" r:id="rId51"/>
          <w:footerReference w:type="default" r:id="rId52"/>
          <w:pgSz w:w="16840" w:h="11910" w:orient="landscape"/>
          <w:pgMar w:header="867" w:footer="980" w:top="1060" w:bottom="1160" w:left="1300" w:right="1220"/>
          <w:pgNumType w:start="183"/>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852"/>
        <w:gridCol w:w="1274"/>
        <w:gridCol w:w="1277"/>
        <w:gridCol w:w="1275"/>
        <w:gridCol w:w="1135"/>
        <w:gridCol w:w="566"/>
        <w:gridCol w:w="1133"/>
        <w:gridCol w:w="1277"/>
        <w:gridCol w:w="1135"/>
        <w:gridCol w:w="1274"/>
        <w:gridCol w:w="1136"/>
        <w:gridCol w:w="595"/>
        <w:gridCol w:w="1133"/>
      </w:tblGrid>
      <w:tr>
        <w:trPr>
          <w:trHeight w:val="377" w:hRule="exact"/>
        </w:trPr>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Inc</w:t>
            </w: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59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16"/>
              <w:jc w:val="left"/>
              <w:rPr>
                <w:rFonts w:ascii="Times New Roman" w:hAnsi="Times New Roman" w:cs="Times New Roman" w:eastAsia="Times New Roman" w:hint="default"/>
                <w:sz w:val="18"/>
                <w:szCs w:val="18"/>
              </w:rPr>
            </w:pPr>
            <w:r>
              <w:rPr>
                <w:rFonts w:ascii="Times New Roman"/>
                <w:sz w:val="18"/>
              </w:rPr>
              <w:t>Review</w:t>
            </w:r>
            <w:r>
              <w:rPr>
                <w:rFonts w:ascii="Times New Roman"/>
                <w:w w:val="99"/>
                <w:sz w:val="18"/>
              </w:rPr>
              <w:t> </w:t>
            </w:r>
            <w:r>
              <w:rPr>
                <w:rFonts w:ascii="Times New Roman"/>
                <w:sz w:val="18"/>
              </w:rPr>
              <w:t>Rank</w:t>
            </w:r>
            <w:r>
              <w:rPr>
                <w:rFonts w:ascii="Times New Roman"/>
                <w:spacing w:val="-2"/>
                <w:sz w:val="18"/>
              </w:rPr>
              <w:t> </w:t>
            </w:r>
            <w:r>
              <w:rPr>
                <w:rFonts w:ascii="Times New Roman"/>
                <w:sz w:val="18"/>
              </w:rPr>
              <w:t>S.A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66,782,299.37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28,278,158.21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95,060,457.58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38,478,201.20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38,478,201.20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AC</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projects</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24,490,340.71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140,415,534.87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164,905,875.58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8,016,655.26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8,016,655.26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11,249,406.96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70,027,995.17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81,277,402.13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10,386,688.74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10,386,688.74</w:t>
            </w:r>
          </w:p>
        </w:tc>
      </w:tr>
    </w:tbl>
    <w:p>
      <w:pPr>
        <w:spacing w:before="49"/>
        <w:ind w:left="0" w:right="31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576"/>
        <w:gridCol w:w="1361"/>
        <w:gridCol w:w="1333"/>
        <w:gridCol w:w="1332"/>
        <w:gridCol w:w="1676"/>
        <w:gridCol w:w="1361"/>
        <w:gridCol w:w="1332"/>
        <w:gridCol w:w="1330"/>
        <w:gridCol w:w="1678"/>
      </w:tblGrid>
      <w:tr>
        <w:trPr>
          <w:trHeight w:val="401" w:hRule="exact"/>
        </w:trPr>
        <w:tc>
          <w:tcPr>
            <w:tcW w:w="2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7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7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76" w:type="dxa"/>
            <w:vMerge/>
            <w:tcBorders>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34,474,551.04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11,082,000.07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11,082,000.07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2,074,268.81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45,494,523.35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22,395,023.45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22,395,023.45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2,467,454.04</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144,334,728.54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60,770,371.94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60,770,371.94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69,990,984.23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100,239,837.68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49,551,526.70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49,551,526.70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36,659,646.33</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10,360,021.56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2,348,361.69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2,348,361.69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-948,996.06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11,453,644.71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854,369.14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854,369.14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527,005.73</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11,166,574.37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-777,734.01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-777,734.01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-782,541.09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11,072,522.53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740,153.32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740,153.32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-716,758.61</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5,334,172.64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358,050.13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358,050.13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-2,457,021.83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2,339,230.67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-153,649.52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-153,649.52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-2,131,904.13</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Gmbn</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21,684.34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-44,172,073.50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-44,172,073.50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-39,153,735.93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215,468.01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-6,004,001.90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-6,004,001.90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-8,920,167.00</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eFuture Holding</w:t>
            </w:r>
            <w:r>
              <w:rPr>
                <w:rFonts w:ascii="Times New Roman"/>
                <w:spacing w:val="-3"/>
                <w:sz w:val="18"/>
              </w:rPr>
              <w:t> </w:t>
            </w:r>
            <w:r>
              <w:rPr>
                <w:rFonts w:ascii="Times New Roman"/>
                <w:sz w:val="18"/>
              </w:rPr>
              <w:t>Inc</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163,802,810.86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-7,457,574.38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-7,457,574.38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-25,748,066.95</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Review Rank</w:t>
            </w:r>
            <w:r>
              <w:rPr>
                <w:rFonts w:ascii="Times New Roman"/>
                <w:spacing w:val="-8"/>
                <w:sz w:val="18"/>
              </w:rPr>
              <w:t> </w:t>
            </w:r>
            <w:r>
              <w:rPr>
                <w:rFonts w:ascii="Times New Roman"/>
                <w:sz w:val="18"/>
              </w:rPr>
              <w:t>S.A.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59,639,817.05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1,579,681.38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1,579,681.38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-20,022,666.27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AC</w:t>
            </w:r>
            <w:r>
              <w:rPr>
                <w:rFonts w:ascii="Times New Roman"/>
                <w:spacing w:val="-4"/>
                <w:sz w:val="18"/>
              </w:rPr>
              <w:t> </w:t>
            </w:r>
            <w:r>
              <w:rPr>
                <w:rFonts w:ascii="Times New Roman"/>
                <w:sz w:val="18"/>
              </w:rPr>
              <w:t>projects</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13,809,153.79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-8,605,680.51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-8,605,680.51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-14,767,325.90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4,209,448.00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-12,672,603.43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-12,672,603.43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-11,672,603.43</w:t>
            </w:r>
          </w:p>
        </w:tc>
      </w:tr>
    </w:tbl>
    <w:p>
      <w:pPr>
        <w:spacing w:before="49"/>
        <w:ind w:left="120" w:right="20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4" w:lineRule="auto"/>
        <w:ind w:left="120" w:right="209"/>
        <w:jc w:val="left"/>
      </w:pPr>
      <w:r>
        <w:rPr/>
        <w:t>注</w:t>
      </w:r>
      <w:r>
        <w:rPr>
          <w:rFonts w:ascii="Times New Roman" w:hAnsi="Times New Roman" w:cs="Times New Roman" w:eastAsia="Times New Roman" w:hint="default"/>
        </w:rPr>
        <w:t>1</w:t>
      </w:r>
      <w:r>
        <w:rPr/>
        <w:t>：石基香港本年以现金形式收购</w:t>
      </w:r>
      <w:r>
        <w:rPr>
          <w:rFonts w:ascii="Times New Roman" w:hAnsi="Times New Roman" w:cs="Times New Roman" w:eastAsia="Times New Roman" w:hint="default"/>
        </w:rPr>
        <w:t>Review Rank</w:t>
      </w:r>
      <w:r>
        <w:rPr>
          <w:rFonts w:ascii="Times New Roman" w:hAnsi="Times New Roman" w:cs="Times New Roman" w:eastAsia="Times New Roman" w:hint="default"/>
          <w:spacing w:val="-26"/>
        </w:rPr>
        <w:t> </w:t>
      </w:r>
      <w:r>
        <w:rPr>
          <w:rFonts w:ascii="Times New Roman" w:hAnsi="Times New Roman" w:cs="Times New Roman" w:eastAsia="Times New Roman" w:hint="default"/>
        </w:rPr>
        <w:t>S.A.79.43%</w:t>
      </w:r>
      <w:r>
        <w:rPr/>
        <w:t>股权，自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日起纳入合并范围，年初数不纳入合并范围，故年初数和上</w:t>
      </w:r>
      <w:r>
        <w:rPr>
          <w:w w:val="100"/>
        </w:rPr>
        <w:t> </w:t>
      </w:r>
      <w:r>
        <w:rPr/>
        <w:t>年发生额为</w:t>
      </w:r>
      <w:r>
        <w:rPr>
          <w:rFonts w:ascii="Times New Roman" w:hAnsi="Times New Roman" w:cs="Times New Roman" w:eastAsia="Times New Roman" w:hint="default"/>
        </w:rPr>
        <w:t>0.00</w:t>
      </w:r>
      <w:r>
        <w:rPr/>
        <w:t>，本年指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8"/>
        <w:rPr>
          <w:rFonts w:ascii="宋体" w:hAnsi="宋体" w:cs="宋体" w:eastAsia="宋体" w:hint="default"/>
          <w:sz w:val="18"/>
          <w:szCs w:val="18"/>
        </w:rPr>
      </w:pPr>
    </w:p>
    <w:p>
      <w:pPr>
        <w:pStyle w:val="Heading6"/>
        <w:spacing w:line="240" w:lineRule="auto"/>
        <w:ind w:left="559" w:right="209" w:firstLine="0"/>
        <w:jc w:val="left"/>
      </w:pPr>
      <w:r>
        <w:rPr/>
        <w:t>注</w:t>
      </w:r>
      <w:r>
        <w:rPr>
          <w:rFonts w:ascii="宋体" w:hAnsi="宋体" w:cs="宋体" w:eastAsia="宋体" w:hint="default"/>
        </w:rPr>
        <w:t>2</w:t>
      </w:r>
      <w:r>
        <w:rPr/>
        <w:t>：石基香港于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11</w:t>
      </w:r>
      <w:r>
        <w:rPr/>
        <w:t>日完成</w:t>
      </w:r>
      <w:r>
        <w:rPr>
          <w:rFonts w:ascii="宋体" w:hAnsi="宋体" w:cs="宋体" w:eastAsia="宋体" w:hint="default"/>
        </w:rPr>
        <w:t>Shiji Retail(</w:t>
      </w:r>
      <w:r>
        <w:rPr/>
        <w:t>原名：</w:t>
      </w:r>
      <w:r>
        <w:rPr>
          <w:rFonts w:ascii="宋体" w:hAnsi="宋体" w:cs="宋体" w:eastAsia="宋体" w:hint="default"/>
        </w:rPr>
        <w:t>eFuture Holding</w:t>
      </w:r>
      <w:r>
        <w:rPr>
          <w:rFonts w:ascii="宋体" w:hAnsi="宋体" w:cs="宋体" w:eastAsia="宋体" w:hint="default"/>
          <w:spacing w:val="-13"/>
        </w:rPr>
        <w:t> </w:t>
      </w:r>
      <w:r>
        <w:rPr>
          <w:rFonts w:ascii="宋体" w:hAnsi="宋体" w:cs="宋体" w:eastAsia="宋体" w:hint="default"/>
        </w:rPr>
        <w:t>Inc)</w:t>
      </w:r>
      <w:r>
        <w:rPr/>
        <w:t>的私有化，完成收购全部少数股权，年末数及本年数为</w:t>
      </w:r>
      <w:r>
        <w:rPr>
          <w:rFonts w:ascii="宋体" w:hAnsi="宋体" w:cs="宋体" w:eastAsia="宋体" w:hint="default"/>
        </w:rPr>
        <w:t>0</w:t>
      </w:r>
      <w:r>
        <w:rPr/>
        <w:t>。</w:t>
      </w:r>
    </w:p>
    <w:p>
      <w:pPr>
        <w:spacing w:after="0" w:line="240" w:lineRule="auto"/>
        <w:jc w:val="left"/>
        <w:sectPr>
          <w:pgSz w:w="16840" w:h="11910" w:orient="landscape"/>
          <w:pgMar w:header="867" w:footer="980" w:top="1060" w:bottom="1160" w:left="1320" w:right="122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15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line="357" w:lineRule="auto" w:before="0"/>
        <w:ind w:left="152" w:right="8874"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2"/>
        <w:rPr>
          <w:rFonts w:ascii="宋体" w:hAnsi="宋体" w:cs="宋体" w:eastAsia="宋体" w:hint="default"/>
          <w:b/>
          <w:bCs/>
          <w:sz w:val="23"/>
          <w:szCs w:val="23"/>
        </w:rPr>
      </w:pPr>
    </w:p>
    <w:p>
      <w:pPr>
        <w:pStyle w:val="Heading6"/>
        <w:spacing w:line="244" w:lineRule="auto"/>
        <w:ind w:right="149"/>
        <w:jc w:val="left"/>
      </w:pPr>
      <w:r>
        <w:rPr>
          <w:rFonts w:ascii="Times New Roman" w:hAnsi="Times New Roman" w:cs="Times New Roman" w:eastAsia="Times New Roman" w:hint="default"/>
        </w:rPr>
        <w:t>1</w:t>
      </w:r>
      <w:r>
        <w:rPr/>
        <w:t>）石基香港于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月完成其子公司</w:t>
      </w:r>
      <w:r>
        <w:rPr>
          <w:rFonts w:ascii="Times New Roman" w:hAnsi="Times New Roman" w:cs="Times New Roman" w:eastAsia="Times New Roman" w:hint="default"/>
        </w:rPr>
        <w:t>Shiji Retail</w:t>
      </w:r>
      <w:r>
        <w:rPr/>
        <w:t>（原名</w:t>
      </w:r>
      <w:r>
        <w:rPr>
          <w:rFonts w:ascii="Times New Roman" w:hAnsi="Times New Roman" w:cs="Times New Roman" w:eastAsia="Times New Roman" w:hint="default"/>
        </w:rPr>
        <w:t>eFuture Holding</w:t>
      </w:r>
      <w:r>
        <w:rPr>
          <w:rFonts w:ascii="Times New Roman" w:hAnsi="Times New Roman" w:cs="Times New Roman" w:eastAsia="Times New Roman" w:hint="default"/>
          <w:spacing w:val="22"/>
        </w:rPr>
        <w:t> </w:t>
      </w:r>
      <w:r>
        <w:rPr>
          <w:rFonts w:ascii="Times New Roman" w:hAnsi="Times New Roman" w:cs="Times New Roman" w:eastAsia="Times New Roman" w:hint="default"/>
        </w:rPr>
        <w:t>Inc</w:t>
      </w:r>
      <w:r>
        <w:rPr/>
        <w:t>）私有化事项，购买</w:t>
      </w:r>
      <w:r>
        <w:rPr>
          <w:w w:val="100"/>
        </w:rPr>
        <w:t> </w:t>
      </w:r>
      <w:r>
        <w:rPr/>
        <w:t>剩余</w:t>
      </w:r>
      <w:r>
        <w:rPr>
          <w:rFonts w:ascii="Times New Roman" w:hAnsi="Times New Roman" w:cs="Times New Roman" w:eastAsia="Times New Roman" w:hint="default"/>
        </w:rPr>
        <w:t>48.1%</w:t>
      </w:r>
      <w:r>
        <w:rPr/>
        <w:t>的少数股权；</w:t>
      </w:r>
    </w:p>
    <w:p>
      <w:pPr>
        <w:spacing w:line="240" w:lineRule="auto" w:before="7"/>
        <w:rPr>
          <w:rFonts w:ascii="宋体" w:hAnsi="宋体" w:cs="宋体" w:eastAsia="宋体" w:hint="default"/>
          <w:sz w:val="18"/>
          <w:szCs w:val="18"/>
        </w:rPr>
      </w:pPr>
    </w:p>
    <w:p>
      <w:pPr>
        <w:pStyle w:val="Heading6"/>
        <w:spacing w:line="240" w:lineRule="auto"/>
        <w:ind w:left="592" w:right="153" w:firstLine="0"/>
        <w:jc w:val="left"/>
      </w:pPr>
      <w:r>
        <w:rPr>
          <w:rFonts w:ascii="Times New Roman" w:hAnsi="Times New Roman" w:cs="Times New Roman" w:eastAsia="Times New Roman" w:hint="default"/>
        </w:rPr>
        <w:t>2</w:t>
      </w:r>
      <w:r>
        <w:rPr/>
        <w:t>）石基香港于</w:t>
      </w:r>
      <w:r>
        <w:rPr>
          <w:rFonts w:ascii="Times New Roman" w:hAnsi="Times New Roman" w:cs="Times New Roman" w:eastAsia="Times New Roman" w:hint="default"/>
        </w:rPr>
        <w:t>2017</w:t>
      </w:r>
      <w:r>
        <w:rPr/>
        <w:t>年购买其子公司</w:t>
      </w:r>
      <w:r>
        <w:rPr>
          <w:rFonts w:ascii="Times New Roman" w:hAnsi="Times New Roman" w:cs="Times New Roman" w:eastAsia="Times New Roman" w:hint="default"/>
        </w:rPr>
        <w:t>Snapshot GmbH</w:t>
      </w:r>
      <w:r>
        <w:rPr>
          <w:rFonts w:ascii="Times New Roman" w:hAnsi="Times New Roman" w:cs="Times New Roman" w:eastAsia="Times New Roman" w:hint="default"/>
          <w:spacing w:val="-3"/>
        </w:rPr>
        <w:t> </w:t>
      </w:r>
      <w:r>
        <w:rPr>
          <w:rFonts w:ascii="Times New Roman" w:hAnsi="Times New Roman" w:cs="Times New Roman" w:eastAsia="Times New Roman" w:hint="default"/>
        </w:rPr>
        <w:t>1.57%</w:t>
      </w:r>
      <w:r>
        <w:rPr/>
        <w:t>的少数股权；</w:t>
      </w:r>
    </w:p>
    <w:p>
      <w:pPr>
        <w:spacing w:line="240" w:lineRule="auto" w:before="12"/>
        <w:rPr>
          <w:rFonts w:ascii="宋体" w:hAnsi="宋体" w:cs="宋体" w:eastAsia="宋体" w:hint="default"/>
          <w:sz w:val="18"/>
          <w:szCs w:val="18"/>
        </w:rPr>
      </w:pPr>
    </w:p>
    <w:p>
      <w:pPr>
        <w:pStyle w:val="Heading6"/>
        <w:spacing w:line="240" w:lineRule="auto"/>
        <w:ind w:left="592" w:right="153" w:firstLine="0"/>
        <w:jc w:val="left"/>
      </w:pPr>
      <w:r>
        <w:rPr>
          <w:rFonts w:ascii="Times New Roman" w:hAnsi="Times New Roman" w:cs="Times New Roman" w:eastAsia="Times New Roman" w:hint="default"/>
        </w:rPr>
        <w:t>3</w:t>
      </w:r>
      <w:r>
        <w:rPr/>
        <w:t>）石基香港于</w:t>
      </w:r>
      <w:r>
        <w:rPr>
          <w:rFonts w:ascii="Times New Roman" w:hAnsi="Times New Roman" w:cs="Times New Roman" w:eastAsia="Times New Roman" w:hint="default"/>
        </w:rPr>
        <w:t>2017</w:t>
      </w:r>
      <w:r>
        <w:rPr/>
        <w:t>年购买其子公司</w:t>
      </w:r>
      <w:r>
        <w:rPr>
          <w:rFonts w:ascii="Times New Roman" w:hAnsi="Times New Roman" w:cs="Times New Roman" w:eastAsia="Times New Roman" w:hint="default"/>
        </w:rPr>
        <w:t>AC Project GmbH</w:t>
      </w:r>
      <w:r>
        <w:rPr>
          <w:rFonts w:ascii="Times New Roman" w:hAnsi="Times New Roman" w:cs="Times New Roman" w:eastAsia="Times New Roman" w:hint="default"/>
          <w:spacing w:val="-6"/>
        </w:rPr>
        <w:t> </w:t>
      </w:r>
      <w:r>
        <w:rPr>
          <w:rFonts w:ascii="Times New Roman" w:hAnsi="Times New Roman" w:cs="Times New Roman" w:eastAsia="Times New Roman" w:hint="default"/>
        </w:rPr>
        <w:t>1.33%</w:t>
      </w:r>
      <w:r>
        <w:rPr/>
        <w:t>的少数股权；</w:t>
      </w:r>
    </w:p>
    <w:p>
      <w:pPr>
        <w:spacing w:line="240" w:lineRule="auto" w:before="3"/>
        <w:rPr>
          <w:rFonts w:ascii="宋体" w:hAnsi="宋体" w:cs="宋体" w:eastAsia="宋体" w:hint="default"/>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2412"/>
        <w:gridCol w:w="2124"/>
        <w:gridCol w:w="2057"/>
      </w:tblGrid>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482" w:right="339" w:hanging="140"/>
              <w:jc w:val="left"/>
              <w:rPr>
                <w:rFonts w:ascii="Times New Roman" w:hAnsi="Times New Roman" w:cs="Times New Roman" w:eastAsia="Times New Roman" w:hint="default"/>
                <w:sz w:val="18"/>
                <w:szCs w:val="18"/>
              </w:rPr>
            </w:pPr>
            <w:r>
              <w:rPr>
                <w:rFonts w:ascii="Times New Roman"/>
                <w:sz w:val="18"/>
              </w:rPr>
              <w:t>Shiji Retail</w:t>
            </w:r>
            <w:r>
              <w:rPr>
                <w:rFonts w:ascii="Times New Roman"/>
                <w:spacing w:val="-7"/>
                <w:sz w:val="18"/>
              </w:rPr>
              <w:t> </w:t>
            </w:r>
            <w:r>
              <w:rPr>
                <w:rFonts w:ascii="Times New Roman"/>
                <w:sz w:val="18"/>
              </w:rPr>
              <w:t>Information</w:t>
            </w:r>
            <w:r>
              <w:rPr>
                <w:rFonts w:ascii="Times New Roman"/>
                <w:sz w:val="18"/>
              </w:rPr>
              <w:t> Technology Co.</w:t>
            </w:r>
            <w:r>
              <w:rPr>
                <w:rFonts w:ascii="Times New Roman"/>
                <w:spacing w:val="-20"/>
                <w:sz w:val="18"/>
              </w:rPr>
              <w:t> </w:t>
            </w:r>
            <w:r>
              <w:rPr>
                <w:rFonts w:ascii="Times New Roman"/>
                <w:sz w:val="18"/>
              </w:rPr>
              <w:t>Ltd</w:t>
            </w:r>
          </w:p>
        </w:tc>
        <w:tc>
          <w:tcPr>
            <w:tcW w:w="2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GmbH</w:t>
            </w:r>
          </w:p>
        </w:tc>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AC Project</w:t>
            </w:r>
            <w:r>
              <w:rPr>
                <w:rFonts w:ascii="Times New Roman"/>
                <w:spacing w:val="-6"/>
                <w:sz w:val="18"/>
              </w:rPr>
              <w:t> </w:t>
            </w:r>
            <w:r>
              <w:rPr>
                <w:rFonts w:ascii="Times New Roman"/>
                <w:sz w:val="18"/>
              </w:rPr>
              <w:t>GmbH</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123,860,181.10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5,048,082.11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4,113,806.87</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123,860,181.10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5,048,082.11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4,113,806.87</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spacing w:val="-1"/>
                <w:sz w:val="18"/>
                <w:szCs w:val="18"/>
              </w:rPr>
              <w:t>减：按取得</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处置的股权比例计算的子</w:t>
            </w:r>
            <w:r>
              <w:rPr>
                <w:rFonts w:ascii="宋体" w:hAnsi="宋体" w:cs="宋体" w:eastAsia="宋体" w:hint="default"/>
                <w:spacing w:val="-83"/>
                <w:sz w:val="18"/>
                <w:szCs w:val="18"/>
              </w:rPr>
              <w:t> </w:t>
            </w:r>
            <w:r>
              <w:rPr>
                <w:rFonts w:ascii="宋体" w:hAnsi="宋体" w:cs="宋体" w:eastAsia="宋体" w:hint="default"/>
                <w:sz w:val="18"/>
                <w:szCs w:val="18"/>
              </w:rPr>
              <w:t>公司净资产份额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21,190,871.01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1,782,440.26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-5,018,312.85</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102,669,310.09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3,265,641.85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9,132,119.72</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102,669,310.09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3,265,641.85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9,132,119.72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left="592" w:right="153" w:firstLine="0"/>
        <w:jc w:val="left"/>
      </w:pPr>
      <w:r>
        <w:rPr/>
        <w:t>注：由于石基香港账面无资本公积，因此冲减了留存收益。</w:t>
      </w:r>
    </w:p>
    <w:p>
      <w:pPr>
        <w:spacing w:after="0" w:line="240" w:lineRule="auto"/>
        <w:jc w:val="left"/>
        <w:sectPr>
          <w:headerReference w:type="default" r:id="rId53"/>
          <w:footerReference w:type="default" r:id="rId54"/>
          <w:pgSz w:w="11910" w:h="16840"/>
          <w:pgMar w:header="877" w:footer="980" w:top="1100" w:bottom="1160" w:left="980" w:right="980"/>
          <w:pgNumType w:start="185"/>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16"/>
        <w:gridCol w:w="1138"/>
        <w:gridCol w:w="775"/>
        <w:gridCol w:w="1368"/>
        <w:gridCol w:w="790"/>
        <w:gridCol w:w="701"/>
        <w:gridCol w:w="1781"/>
      </w:tblGrid>
      <w:tr>
        <w:trPr>
          <w:trHeight w:val="403" w:hRule="exact"/>
        </w:trPr>
        <w:tc>
          <w:tcPr>
            <w:tcW w:w="3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6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4" w:right="75"/>
              <w:jc w:val="center"/>
              <w:rPr>
                <w:rFonts w:ascii="宋体" w:hAnsi="宋体" w:cs="宋体" w:eastAsia="宋体" w:hint="default"/>
                <w:sz w:val="18"/>
                <w:szCs w:val="18"/>
              </w:rPr>
            </w:pPr>
            <w:r>
              <w:rPr>
                <w:rFonts w:ascii="宋体" w:hAnsi="宋体" w:cs="宋体" w:eastAsia="宋体" w:hint="default"/>
                <w:sz w:val="18"/>
                <w:szCs w:val="18"/>
              </w:rPr>
              <w:t>对合营企业或联营企 业投资的会计处理方 法</w:t>
            </w:r>
          </w:p>
        </w:tc>
      </w:tr>
      <w:tr>
        <w:trPr>
          <w:trHeight w:val="624" w:hRule="exact"/>
        </w:trPr>
        <w:tc>
          <w:tcPr>
            <w:tcW w:w="3116"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78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22.50%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30.00%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环迅（上海）商业保理有限公司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22.50%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终端产品信息服 务及销售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浙江未来酒店网络技术有限公司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Touchpeak Software</w:t>
            </w:r>
            <w:r>
              <w:rPr>
                <w:rFonts w:ascii="Times New Roman"/>
                <w:spacing w:val="-21"/>
                <w:sz w:val="18"/>
              </w:rPr>
              <w:t> </w:t>
            </w:r>
            <w:r>
              <w:rPr>
                <w:rFonts w:ascii="Times New Roman"/>
                <w:sz w:val="18"/>
              </w:rPr>
              <w:t>Inc</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49"/>
        <w:ind w:left="152" w:right="491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8" w:lineRule="auto" w:before="29"/>
        <w:ind w:left="152" w:right="2368"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after="0" w:line="338"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39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598"/>
        <w:gridCol w:w="821"/>
        <w:gridCol w:w="850"/>
        <w:gridCol w:w="994"/>
        <w:gridCol w:w="992"/>
        <w:gridCol w:w="991"/>
        <w:gridCol w:w="427"/>
        <w:gridCol w:w="425"/>
        <w:gridCol w:w="948"/>
        <w:gridCol w:w="1179"/>
        <w:gridCol w:w="991"/>
        <w:gridCol w:w="994"/>
        <w:gridCol w:w="991"/>
        <w:gridCol w:w="994"/>
        <w:gridCol w:w="991"/>
        <w:gridCol w:w="955"/>
      </w:tblGrid>
      <w:tr>
        <w:trPr>
          <w:trHeight w:val="401"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70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7" w:hRule="exact"/>
        </w:trPr>
        <w:tc>
          <w:tcPr>
            <w:tcW w:w="5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w w:val="80"/>
                <w:sz w:val="18"/>
                <w:szCs w:val="18"/>
              </w:rPr>
              <w:t>迅付信息科</w:t>
            </w:r>
            <w:r>
              <w:rPr>
                <w:rFonts w:ascii="宋体" w:hAnsi="宋体" w:cs="宋体" w:eastAsia="宋体" w:hint="default"/>
                <w:spacing w:val="1"/>
                <w:w w:val="78"/>
                <w:sz w:val="18"/>
                <w:szCs w:val="18"/>
              </w:rPr>
              <w:t> </w:t>
            </w:r>
            <w:r>
              <w:rPr>
                <w:rFonts w:ascii="宋体" w:hAnsi="宋体" w:cs="宋体" w:eastAsia="宋体" w:hint="default"/>
                <w:w w:val="80"/>
                <w:sz w:val="18"/>
                <w:szCs w:val="18"/>
              </w:rPr>
              <w:t>技有限公司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9" w:right="58"/>
              <w:jc w:val="center"/>
              <w:rPr>
                <w:rFonts w:ascii="宋体" w:hAnsi="宋体" w:cs="宋体" w:eastAsia="宋体" w:hint="default"/>
                <w:sz w:val="18"/>
                <w:szCs w:val="18"/>
              </w:rPr>
            </w:pPr>
            <w:r>
              <w:rPr>
                <w:rFonts w:ascii="宋体" w:hAnsi="宋体" w:cs="宋体" w:eastAsia="宋体" w:hint="default"/>
                <w:w w:val="80"/>
                <w:sz w:val="18"/>
                <w:szCs w:val="18"/>
              </w:rPr>
              <w:t>科传计算机</w:t>
            </w:r>
            <w:r>
              <w:rPr>
                <w:rFonts w:ascii="宋体" w:hAnsi="宋体" w:cs="宋体" w:eastAsia="宋体" w:hint="default"/>
                <w:spacing w:val="1"/>
                <w:w w:val="78"/>
                <w:sz w:val="18"/>
                <w:szCs w:val="18"/>
              </w:rPr>
              <w:t> </w:t>
            </w:r>
            <w:r>
              <w:rPr>
                <w:rFonts w:ascii="宋体" w:hAnsi="宋体" w:cs="宋体" w:eastAsia="宋体" w:hint="default"/>
                <w:w w:val="80"/>
                <w:sz w:val="18"/>
                <w:szCs w:val="18"/>
              </w:rPr>
              <w:t>科技控股有</w:t>
            </w:r>
            <w:r>
              <w:rPr>
                <w:rFonts w:ascii="宋体" w:hAnsi="宋体" w:cs="宋体" w:eastAsia="宋体" w:hint="default"/>
                <w:spacing w:val="1"/>
                <w:w w:val="78"/>
                <w:sz w:val="18"/>
                <w:szCs w:val="18"/>
              </w:rPr>
              <w:t> </w:t>
            </w:r>
            <w:r>
              <w:rPr>
                <w:rFonts w:ascii="宋体" w:hAnsi="宋体" w:cs="宋体" w:eastAsia="宋体" w:hint="default"/>
                <w:w w:val="90"/>
                <w:sz w:val="18"/>
                <w:szCs w:val="18"/>
              </w:rPr>
              <w:t>限公司</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2"/>
                <w:w w:val="80"/>
                <w:sz w:val="18"/>
                <w:szCs w:val="18"/>
              </w:rPr>
              <w:t>环迅（上海）商</w:t>
            </w:r>
            <w:r>
              <w:rPr>
                <w:rFonts w:ascii="宋体" w:hAnsi="宋体" w:cs="宋体" w:eastAsia="宋体" w:hint="default"/>
                <w:w w:val="78"/>
                <w:sz w:val="18"/>
                <w:szCs w:val="18"/>
              </w:rPr>
              <w:t> </w:t>
            </w:r>
            <w:r>
              <w:rPr>
                <w:rFonts w:ascii="宋体" w:hAnsi="宋体" w:cs="宋体" w:eastAsia="宋体" w:hint="default"/>
                <w:w w:val="80"/>
                <w:sz w:val="18"/>
                <w:szCs w:val="18"/>
              </w:rPr>
              <w:t>业保理有限公</w:t>
            </w:r>
            <w:r>
              <w:rPr>
                <w:rFonts w:ascii="宋体" w:hAnsi="宋体" w:cs="宋体" w:eastAsia="宋体" w:hint="default"/>
                <w:spacing w:val="1"/>
                <w:w w:val="78"/>
                <w:sz w:val="18"/>
                <w:szCs w:val="18"/>
              </w:rPr>
              <w:t> </w:t>
            </w:r>
            <w:r>
              <w:rPr>
                <w:rFonts w:ascii="宋体" w:hAnsi="宋体" w:cs="宋体" w:eastAsia="宋体" w:hint="default"/>
                <w:w w:val="90"/>
                <w:sz w:val="18"/>
                <w:szCs w:val="18"/>
              </w:rPr>
              <w:t>司</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7" w:right="58"/>
              <w:jc w:val="center"/>
              <w:rPr>
                <w:rFonts w:ascii="宋体" w:hAnsi="宋体" w:cs="宋体" w:eastAsia="宋体" w:hint="default"/>
                <w:sz w:val="18"/>
                <w:szCs w:val="18"/>
              </w:rPr>
            </w:pPr>
            <w:r>
              <w:rPr>
                <w:rFonts w:ascii="宋体" w:hAnsi="宋体" w:cs="宋体" w:eastAsia="宋体" w:hint="default"/>
                <w:w w:val="80"/>
                <w:sz w:val="18"/>
                <w:szCs w:val="18"/>
              </w:rPr>
              <w:t>青岛海信智能</w:t>
            </w:r>
            <w:r>
              <w:rPr>
                <w:rFonts w:ascii="宋体" w:hAnsi="宋体" w:cs="宋体" w:eastAsia="宋体" w:hint="default"/>
                <w:spacing w:val="1"/>
                <w:w w:val="78"/>
                <w:sz w:val="18"/>
                <w:szCs w:val="18"/>
              </w:rPr>
              <w:t> </w:t>
            </w:r>
            <w:r>
              <w:rPr>
                <w:rFonts w:ascii="宋体" w:hAnsi="宋体" w:cs="宋体" w:eastAsia="宋体" w:hint="default"/>
                <w:w w:val="80"/>
                <w:sz w:val="18"/>
                <w:szCs w:val="18"/>
              </w:rPr>
              <w:t>商用系统股份</w:t>
            </w:r>
            <w:r>
              <w:rPr>
                <w:rFonts w:ascii="宋体" w:hAnsi="宋体" w:cs="宋体" w:eastAsia="宋体" w:hint="default"/>
                <w:spacing w:val="1"/>
                <w:w w:val="78"/>
                <w:sz w:val="18"/>
                <w:szCs w:val="18"/>
              </w:rPr>
              <w:t> </w:t>
            </w:r>
            <w:r>
              <w:rPr>
                <w:rFonts w:ascii="宋体" w:hAnsi="宋体" w:cs="宋体" w:eastAsia="宋体" w:hint="default"/>
                <w:w w:val="90"/>
                <w:sz w:val="18"/>
                <w:szCs w:val="18"/>
              </w:rPr>
              <w:t>有限公司</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9" w:right="55"/>
              <w:jc w:val="center"/>
              <w:rPr>
                <w:rFonts w:ascii="宋体" w:hAnsi="宋体" w:cs="宋体" w:eastAsia="宋体" w:hint="default"/>
                <w:sz w:val="18"/>
                <w:szCs w:val="18"/>
              </w:rPr>
            </w:pPr>
            <w:r>
              <w:rPr>
                <w:rFonts w:ascii="宋体" w:hAnsi="宋体" w:cs="宋体" w:eastAsia="宋体" w:hint="default"/>
                <w:w w:val="80"/>
                <w:sz w:val="18"/>
                <w:szCs w:val="18"/>
              </w:rPr>
              <w:t>浙江未来酒店</w:t>
            </w:r>
            <w:r>
              <w:rPr>
                <w:rFonts w:ascii="宋体" w:hAnsi="宋体" w:cs="宋体" w:eastAsia="宋体" w:hint="default"/>
                <w:spacing w:val="1"/>
                <w:w w:val="78"/>
                <w:sz w:val="18"/>
                <w:szCs w:val="18"/>
              </w:rPr>
              <w:t> </w:t>
            </w:r>
            <w:r>
              <w:rPr>
                <w:rFonts w:ascii="宋体" w:hAnsi="宋体" w:cs="宋体" w:eastAsia="宋体" w:hint="default"/>
                <w:w w:val="80"/>
                <w:sz w:val="18"/>
                <w:szCs w:val="18"/>
              </w:rPr>
              <w:t>网络技术有限</w:t>
            </w:r>
            <w:r>
              <w:rPr>
                <w:rFonts w:ascii="宋体" w:hAnsi="宋体" w:cs="宋体" w:eastAsia="宋体" w:hint="default"/>
                <w:spacing w:val="1"/>
                <w:w w:val="78"/>
                <w:sz w:val="18"/>
                <w:szCs w:val="18"/>
              </w:rPr>
              <w:t> </w:t>
            </w:r>
            <w:r>
              <w:rPr>
                <w:rFonts w:ascii="宋体" w:hAnsi="宋体" w:cs="宋体" w:eastAsia="宋体" w:hint="default"/>
                <w:w w:val="90"/>
                <w:sz w:val="18"/>
                <w:szCs w:val="18"/>
              </w:rPr>
              <w:t>公司</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35" w:right="34" w:firstLine="16"/>
              <w:jc w:val="both"/>
              <w:rPr>
                <w:rFonts w:ascii="Times New Roman" w:hAnsi="Times New Roman" w:cs="Times New Roman" w:eastAsia="Times New Roman" w:hint="default"/>
                <w:sz w:val="18"/>
                <w:szCs w:val="18"/>
              </w:rPr>
            </w:pPr>
            <w:r>
              <w:rPr>
                <w:rFonts w:ascii="Times New Roman"/>
                <w:w w:val="85"/>
                <w:sz w:val="18"/>
              </w:rPr>
              <w:t>Hand</w:t>
            </w:r>
            <w:r>
              <w:rPr>
                <w:rFonts w:ascii="Times New Roman"/>
                <w:w w:val="80"/>
                <w:sz w:val="18"/>
              </w:rPr>
              <w:t> </w:t>
            </w:r>
            <w:r>
              <w:rPr>
                <w:rFonts w:ascii="Times New Roman"/>
                <w:w w:val="85"/>
                <w:sz w:val="18"/>
              </w:rPr>
              <w:t>RGro</w:t>
            </w:r>
            <w:r>
              <w:rPr>
                <w:rFonts w:ascii="Times New Roman"/>
                <w:w w:val="80"/>
                <w:sz w:val="18"/>
              </w:rPr>
              <w:t> upLtd</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57" w:right="40" w:hanging="15"/>
              <w:jc w:val="both"/>
              <w:rPr>
                <w:rFonts w:ascii="Times New Roman" w:hAnsi="Times New Roman" w:cs="Times New Roman" w:eastAsia="Times New Roman" w:hint="default"/>
                <w:sz w:val="18"/>
                <w:szCs w:val="18"/>
              </w:rPr>
            </w:pPr>
            <w:r>
              <w:rPr>
                <w:rFonts w:ascii="Times New Roman"/>
                <w:w w:val="80"/>
                <w:sz w:val="18"/>
              </w:rPr>
              <w:t>Galas</w:t>
            </w:r>
            <w:r>
              <w:rPr>
                <w:rFonts w:ascii="Times New Roman"/>
                <w:w w:val="79"/>
                <w:sz w:val="18"/>
              </w:rPr>
              <w:t> </w:t>
            </w:r>
            <w:r>
              <w:rPr>
                <w:rFonts w:ascii="Times New Roman"/>
                <w:w w:val="85"/>
                <w:sz w:val="18"/>
              </w:rPr>
              <w:t>ysPL</w:t>
            </w:r>
            <w:r>
              <w:rPr>
                <w:rFonts w:ascii="Times New Roman"/>
                <w:w w:val="80"/>
                <w:sz w:val="18"/>
              </w:rPr>
              <w:t> </w:t>
            </w:r>
            <w:r>
              <w:rPr>
                <w:rFonts w:ascii="Times New Roman"/>
                <w:w w:val="90"/>
                <w:sz w:val="18"/>
              </w:rPr>
              <w:t>C</w:t>
            </w:r>
            <w:r>
              <w:rPr>
                <w:rFonts w:ascii="Times New Roman"/>
                <w:sz w:val="18"/>
              </w:rPr>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100" w:right="95" w:firstLine="52"/>
              <w:jc w:val="left"/>
              <w:rPr>
                <w:rFonts w:ascii="Times New Roman" w:hAnsi="Times New Roman" w:cs="Times New Roman" w:eastAsia="Times New Roman" w:hint="default"/>
                <w:sz w:val="18"/>
                <w:szCs w:val="18"/>
              </w:rPr>
            </w:pPr>
            <w:r>
              <w:rPr>
                <w:rFonts w:ascii="Times New Roman"/>
                <w:w w:val="80"/>
                <w:sz w:val="18"/>
              </w:rPr>
              <w:t>Touchpeak Software</w:t>
            </w:r>
            <w:r>
              <w:rPr>
                <w:rFonts w:ascii="Times New Roman"/>
                <w:spacing w:val="-3"/>
                <w:w w:val="80"/>
                <w:sz w:val="18"/>
              </w:rPr>
              <w:t> </w:t>
            </w:r>
            <w:r>
              <w:rPr>
                <w:rFonts w:ascii="Times New Roman"/>
                <w:w w:val="80"/>
                <w:sz w:val="18"/>
              </w:rPr>
              <w:t>Inc</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82" w:hanging="288"/>
              <w:jc w:val="left"/>
              <w:rPr>
                <w:rFonts w:ascii="宋体" w:hAnsi="宋体" w:cs="宋体" w:eastAsia="宋体" w:hint="default"/>
                <w:sz w:val="18"/>
                <w:szCs w:val="18"/>
              </w:rPr>
            </w:pPr>
            <w:r>
              <w:rPr>
                <w:rFonts w:ascii="宋体" w:hAnsi="宋体" w:cs="宋体" w:eastAsia="宋体" w:hint="default"/>
                <w:w w:val="80"/>
                <w:sz w:val="18"/>
                <w:szCs w:val="18"/>
              </w:rPr>
              <w:t>迅付信息科技有</w:t>
            </w:r>
            <w:r>
              <w:rPr>
                <w:rFonts w:ascii="宋体" w:hAnsi="宋体" w:cs="宋体" w:eastAsia="宋体" w:hint="default"/>
                <w:w w:val="78"/>
                <w:sz w:val="18"/>
                <w:szCs w:val="18"/>
              </w:rPr>
              <w:t> </w:t>
            </w:r>
            <w:r>
              <w:rPr>
                <w:rFonts w:ascii="宋体" w:hAnsi="宋体" w:cs="宋体" w:eastAsia="宋体" w:hint="default"/>
                <w:w w:val="90"/>
                <w:sz w:val="18"/>
                <w:szCs w:val="18"/>
              </w:rPr>
              <w:t>限公司</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9" w:right="55"/>
              <w:jc w:val="center"/>
              <w:rPr>
                <w:rFonts w:ascii="宋体" w:hAnsi="宋体" w:cs="宋体" w:eastAsia="宋体" w:hint="default"/>
                <w:sz w:val="18"/>
                <w:szCs w:val="18"/>
              </w:rPr>
            </w:pPr>
            <w:r>
              <w:rPr>
                <w:rFonts w:ascii="宋体" w:hAnsi="宋体" w:cs="宋体" w:eastAsia="宋体" w:hint="default"/>
                <w:w w:val="80"/>
                <w:sz w:val="18"/>
                <w:szCs w:val="18"/>
              </w:rPr>
              <w:t>科传计算机科</w:t>
            </w:r>
            <w:r>
              <w:rPr>
                <w:rFonts w:ascii="宋体" w:hAnsi="宋体" w:cs="宋体" w:eastAsia="宋体" w:hint="default"/>
                <w:spacing w:val="1"/>
                <w:w w:val="78"/>
                <w:sz w:val="18"/>
                <w:szCs w:val="18"/>
              </w:rPr>
              <w:t> </w:t>
            </w:r>
            <w:r>
              <w:rPr>
                <w:rFonts w:ascii="宋体" w:hAnsi="宋体" w:cs="宋体" w:eastAsia="宋体" w:hint="default"/>
                <w:w w:val="80"/>
                <w:sz w:val="18"/>
                <w:szCs w:val="18"/>
              </w:rPr>
              <w:t>技控股有限公</w:t>
            </w:r>
            <w:r>
              <w:rPr>
                <w:rFonts w:ascii="宋体" w:hAnsi="宋体" w:cs="宋体" w:eastAsia="宋体" w:hint="default"/>
                <w:spacing w:val="1"/>
                <w:w w:val="78"/>
                <w:sz w:val="18"/>
                <w:szCs w:val="18"/>
              </w:rPr>
              <w:t> </w:t>
            </w:r>
            <w:r>
              <w:rPr>
                <w:rFonts w:ascii="宋体" w:hAnsi="宋体" w:cs="宋体" w:eastAsia="宋体" w:hint="default"/>
                <w:w w:val="90"/>
                <w:sz w:val="18"/>
                <w:szCs w:val="18"/>
              </w:rPr>
              <w:t>司</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pacing w:val="-12"/>
                <w:w w:val="80"/>
                <w:sz w:val="18"/>
                <w:szCs w:val="18"/>
              </w:rPr>
              <w:t>环迅（上海）商</w:t>
            </w:r>
            <w:r>
              <w:rPr>
                <w:rFonts w:ascii="宋体" w:hAnsi="宋体" w:cs="宋体" w:eastAsia="宋体" w:hint="default"/>
                <w:w w:val="78"/>
                <w:sz w:val="18"/>
                <w:szCs w:val="18"/>
              </w:rPr>
              <w:t> </w:t>
            </w:r>
            <w:r>
              <w:rPr>
                <w:rFonts w:ascii="宋体" w:hAnsi="宋体" w:cs="宋体" w:eastAsia="宋体" w:hint="default"/>
                <w:w w:val="80"/>
                <w:sz w:val="18"/>
                <w:szCs w:val="18"/>
              </w:rPr>
              <w:t>业保理有限公</w:t>
            </w:r>
            <w:r>
              <w:rPr>
                <w:rFonts w:ascii="宋体" w:hAnsi="宋体" w:cs="宋体" w:eastAsia="宋体" w:hint="default"/>
                <w:spacing w:val="1"/>
                <w:w w:val="78"/>
                <w:sz w:val="18"/>
                <w:szCs w:val="18"/>
              </w:rPr>
              <w:t> </w:t>
            </w:r>
            <w:r>
              <w:rPr>
                <w:rFonts w:ascii="宋体" w:hAnsi="宋体" w:cs="宋体" w:eastAsia="宋体" w:hint="default"/>
                <w:w w:val="90"/>
                <w:sz w:val="18"/>
                <w:szCs w:val="18"/>
              </w:rPr>
              <w:t>司</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7" w:right="58"/>
              <w:jc w:val="center"/>
              <w:rPr>
                <w:rFonts w:ascii="宋体" w:hAnsi="宋体" w:cs="宋体" w:eastAsia="宋体" w:hint="default"/>
                <w:sz w:val="18"/>
                <w:szCs w:val="18"/>
              </w:rPr>
            </w:pPr>
            <w:r>
              <w:rPr>
                <w:rFonts w:ascii="宋体" w:hAnsi="宋体" w:cs="宋体" w:eastAsia="宋体" w:hint="default"/>
                <w:w w:val="80"/>
                <w:sz w:val="18"/>
                <w:szCs w:val="18"/>
              </w:rPr>
              <w:t>青岛海信智能</w:t>
            </w:r>
            <w:r>
              <w:rPr>
                <w:rFonts w:ascii="宋体" w:hAnsi="宋体" w:cs="宋体" w:eastAsia="宋体" w:hint="default"/>
                <w:spacing w:val="1"/>
                <w:w w:val="78"/>
                <w:sz w:val="18"/>
                <w:szCs w:val="18"/>
              </w:rPr>
              <w:t> </w:t>
            </w:r>
            <w:r>
              <w:rPr>
                <w:rFonts w:ascii="宋体" w:hAnsi="宋体" w:cs="宋体" w:eastAsia="宋体" w:hint="default"/>
                <w:w w:val="80"/>
                <w:sz w:val="18"/>
                <w:szCs w:val="18"/>
              </w:rPr>
              <w:t>商用系统股份</w:t>
            </w:r>
            <w:r>
              <w:rPr>
                <w:rFonts w:ascii="宋体" w:hAnsi="宋体" w:cs="宋体" w:eastAsia="宋体" w:hint="default"/>
                <w:spacing w:val="1"/>
                <w:w w:val="78"/>
                <w:sz w:val="18"/>
                <w:szCs w:val="18"/>
              </w:rPr>
              <w:t> </w:t>
            </w:r>
            <w:r>
              <w:rPr>
                <w:rFonts w:ascii="宋体" w:hAnsi="宋体" w:cs="宋体" w:eastAsia="宋体" w:hint="default"/>
                <w:w w:val="90"/>
                <w:sz w:val="18"/>
                <w:szCs w:val="18"/>
              </w:rPr>
              <w:t>有限公司</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60" w:right="58"/>
              <w:jc w:val="center"/>
              <w:rPr>
                <w:rFonts w:ascii="宋体" w:hAnsi="宋体" w:cs="宋体" w:eastAsia="宋体" w:hint="default"/>
                <w:sz w:val="18"/>
                <w:szCs w:val="18"/>
              </w:rPr>
            </w:pPr>
            <w:r>
              <w:rPr>
                <w:rFonts w:ascii="宋体" w:hAnsi="宋体" w:cs="宋体" w:eastAsia="宋体" w:hint="default"/>
                <w:w w:val="80"/>
                <w:sz w:val="18"/>
                <w:szCs w:val="18"/>
              </w:rPr>
              <w:t>浙江未来酒店</w:t>
            </w:r>
            <w:r>
              <w:rPr>
                <w:rFonts w:ascii="宋体" w:hAnsi="宋体" w:cs="宋体" w:eastAsia="宋体" w:hint="default"/>
                <w:spacing w:val="1"/>
                <w:w w:val="78"/>
                <w:sz w:val="18"/>
                <w:szCs w:val="18"/>
              </w:rPr>
              <w:t> </w:t>
            </w:r>
            <w:r>
              <w:rPr>
                <w:rFonts w:ascii="宋体" w:hAnsi="宋体" w:cs="宋体" w:eastAsia="宋体" w:hint="default"/>
                <w:w w:val="80"/>
                <w:sz w:val="18"/>
                <w:szCs w:val="18"/>
              </w:rPr>
              <w:t>网络技术有限</w:t>
            </w:r>
            <w:r>
              <w:rPr>
                <w:rFonts w:ascii="宋体" w:hAnsi="宋体" w:cs="宋体" w:eastAsia="宋体" w:hint="default"/>
                <w:spacing w:val="1"/>
                <w:w w:val="78"/>
                <w:sz w:val="18"/>
                <w:szCs w:val="18"/>
              </w:rPr>
              <w:t> </w:t>
            </w:r>
            <w:r>
              <w:rPr>
                <w:rFonts w:ascii="宋体" w:hAnsi="宋体" w:cs="宋体" w:eastAsia="宋体" w:hint="default"/>
                <w:w w:val="90"/>
                <w:sz w:val="18"/>
                <w:szCs w:val="18"/>
              </w:rPr>
              <w:t>公司</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453" w:right="37" w:hanging="416"/>
              <w:jc w:val="left"/>
              <w:rPr>
                <w:rFonts w:ascii="Times New Roman" w:hAnsi="Times New Roman" w:cs="Times New Roman" w:eastAsia="Times New Roman" w:hint="default"/>
                <w:sz w:val="18"/>
                <w:szCs w:val="18"/>
              </w:rPr>
            </w:pPr>
            <w:r>
              <w:rPr>
                <w:rFonts w:ascii="Times New Roman"/>
                <w:w w:val="80"/>
                <w:sz w:val="18"/>
              </w:rPr>
              <w:t>HandRGroupLt </w:t>
            </w:r>
            <w:r>
              <w:rPr>
                <w:rFonts w:ascii="Times New Roman"/>
                <w:w w:val="90"/>
                <w:sz w:val="18"/>
              </w:rPr>
              <w:t>d</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w w:val="85"/>
                <w:sz w:val="18"/>
              </w:rPr>
              <w:t>GalasysPLC</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流动资</w:t>
            </w:r>
            <w:r>
              <w:rPr>
                <w:rFonts w:ascii="宋体" w:hAnsi="宋体" w:cs="宋体" w:eastAsia="宋体" w:hint="default"/>
                <w:spacing w:val="1"/>
                <w:w w:val="78"/>
                <w:sz w:val="18"/>
                <w:szCs w:val="18"/>
              </w:rPr>
              <w:t> </w:t>
            </w:r>
            <w:r>
              <w:rPr>
                <w:rFonts w:ascii="宋体" w:hAnsi="宋体" w:cs="宋体" w:eastAsia="宋体" w:hint="default"/>
                <w:w w:val="90"/>
                <w:sz w:val="18"/>
                <w:szCs w:val="18"/>
              </w:rPr>
              <w:t>产</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695,013,513.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55</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92,209,150.1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132,401,909.92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344,341,385.26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38,247,017.19</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5,531,217.42</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75"/>
                <w:sz w:val="18"/>
              </w:rPr>
              <w:t>629,452,258.32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94,979,248.91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100,466,948.37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495,917,719.86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43,536,418.27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132,302,107.58</w:t>
            </w:r>
            <w:r>
              <w:rPr>
                <w:rFonts w:ascii="Times New Roman"/>
                <w:sz w:val="18"/>
              </w:rPr>
            </w:r>
          </w:p>
        </w:tc>
      </w:tr>
      <w:tr>
        <w:trPr>
          <w:trHeight w:val="715"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非流动</w:t>
            </w:r>
            <w:r>
              <w:rPr>
                <w:rFonts w:ascii="宋体" w:hAnsi="宋体" w:cs="宋体" w:eastAsia="宋体" w:hint="default"/>
                <w:spacing w:val="1"/>
                <w:w w:val="78"/>
                <w:sz w:val="18"/>
                <w:szCs w:val="18"/>
              </w:rPr>
              <w:t> </w:t>
            </w:r>
            <w:r>
              <w:rPr>
                <w:rFonts w:ascii="宋体" w:hAnsi="宋体" w:cs="宋体" w:eastAsia="宋体" w:hint="default"/>
                <w:w w:val="90"/>
                <w:sz w:val="18"/>
                <w:szCs w:val="18"/>
              </w:rPr>
              <w:t>资产</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62,108,292.1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6</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30,174,545.4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228,843,297.88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9,328,066.26</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4,668,498.30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97,071,585.70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17,122,970.72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193,265.20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28,593,514.32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5,156,255.03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78,092,234.34</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25,270,925.38</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资产合</w:t>
            </w:r>
            <w:r>
              <w:rPr>
                <w:rFonts w:ascii="宋体" w:hAnsi="宋体" w:cs="宋体" w:eastAsia="宋体" w:hint="default"/>
                <w:spacing w:val="1"/>
                <w:w w:val="78"/>
                <w:sz w:val="18"/>
                <w:szCs w:val="18"/>
              </w:rPr>
              <w:t> </w:t>
            </w:r>
            <w:r>
              <w:rPr>
                <w:rFonts w:ascii="宋体" w:hAnsi="宋体" w:cs="宋体" w:eastAsia="宋体" w:hint="default"/>
                <w:w w:val="90"/>
                <w:sz w:val="18"/>
                <w:szCs w:val="18"/>
              </w:rPr>
              <w:t>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757,121,805.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71</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122,383,695.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61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132,401,909.92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573,184,683.14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47,575,083.45</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10,199,715.72</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75"/>
                <w:sz w:val="18"/>
              </w:rPr>
              <w:t>726,523,844.02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112,102,219.63</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100,660,213.57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524,511,234.18</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48,692,673.30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78,092,234.34</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157,573,032.96</w:t>
            </w:r>
            <w:r>
              <w:rPr>
                <w:rFonts w:ascii="Times New Roman"/>
                <w:sz w:val="18"/>
              </w:rPr>
            </w:r>
          </w:p>
        </w:tc>
      </w:tr>
      <w:tr>
        <w:trPr>
          <w:trHeight w:val="715"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流动负</w:t>
            </w:r>
            <w:r>
              <w:rPr>
                <w:rFonts w:ascii="宋体" w:hAnsi="宋体" w:cs="宋体" w:eastAsia="宋体" w:hint="default"/>
                <w:spacing w:val="1"/>
                <w:w w:val="78"/>
                <w:sz w:val="18"/>
                <w:szCs w:val="18"/>
              </w:rPr>
              <w:t> </w:t>
            </w:r>
            <w:r>
              <w:rPr>
                <w:rFonts w:ascii="宋体" w:hAnsi="宋体" w:cs="宋体" w:eastAsia="宋体" w:hint="default"/>
                <w:w w:val="90"/>
                <w:sz w:val="18"/>
                <w:szCs w:val="18"/>
              </w:rPr>
              <w:t>债</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613,566,256.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17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30,342,397.8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82,212,999.41</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185,960,087.53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12,157,239.94</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530,521.70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75"/>
                <w:sz w:val="18"/>
              </w:rPr>
              <w:t>564,770,347.42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33,131,793.58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50,537,815.92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162,994,642.70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1,907,780.73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18,855,253.03</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52,098,536.53</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非流动</w:t>
            </w:r>
            <w:r>
              <w:rPr>
                <w:rFonts w:ascii="宋体" w:hAnsi="宋体" w:cs="宋体" w:eastAsia="宋体" w:hint="default"/>
                <w:spacing w:val="1"/>
                <w:w w:val="78"/>
                <w:sz w:val="18"/>
                <w:szCs w:val="18"/>
              </w:rPr>
              <w:t> </w:t>
            </w:r>
            <w:r>
              <w:rPr>
                <w:rFonts w:ascii="宋体" w:hAnsi="宋体" w:cs="宋体" w:eastAsia="宋体" w:hint="default"/>
                <w:w w:val="90"/>
                <w:sz w:val="18"/>
                <w:szCs w:val="18"/>
              </w:rPr>
              <w:t>负债</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3,464,487.27</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15,028,005.50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r>
      <w:tr>
        <w:trPr>
          <w:trHeight w:val="715"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负债合</w:t>
            </w:r>
            <w:r>
              <w:rPr>
                <w:rFonts w:ascii="宋体" w:hAnsi="宋体" w:cs="宋体" w:eastAsia="宋体" w:hint="default"/>
                <w:spacing w:val="1"/>
                <w:w w:val="78"/>
                <w:sz w:val="18"/>
                <w:szCs w:val="18"/>
              </w:rPr>
              <w:t> </w:t>
            </w:r>
            <w:r>
              <w:rPr>
                <w:rFonts w:ascii="宋体" w:hAnsi="宋体" w:cs="宋体" w:eastAsia="宋体" w:hint="default"/>
                <w:w w:val="90"/>
                <w:sz w:val="18"/>
                <w:szCs w:val="18"/>
              </w:rPr>
              <w:t>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613,566,256.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17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30,342,397.8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82,212,999.41</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185,960,087.53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12,157,239.94</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3,995,008.97</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75"/>
                <w:sz w:val="18"/>
              </w:rPr>
              <w:t>579,798,352.92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33,131,793.58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50,537,815.92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162,994,642.70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1,907,780.73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18,855,253.03</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52,098,536.53</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少数股</w:t>
            </w:r>
            <w:r>
              <w:rPr>
                <w:rFonts w:ascii="宋体" w:hAnsi="宋体" w:cs="宋体" w:eastAsia="宋体" w:hint="default"/>
                <w:spacing w:val="1"/>
                <w:w w:val="78"/>
                <w:sz w:val="18"/>
                <w:szCs w:val="18"/>
              </w:rPr>
              <w:t> </w:t>
            </w:r>
            <w:r>
              <w:rPr>
                <w:rFonts w:ascii="宋体" w:hAnsi="宋体" w:cs="宋体" w:eastAsia="宋体" w:hint="default"/>
                <w:w w:val="80"/>
                <w:sz w:val="18"/>
                <w:szCs w:val="18"/>
              </w:rPr>
              <w:t>东权益</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93,533.31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80"/>
                <w:sz w:val="18"/>
              </w:rPr>
              <w:t>-164,204.43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0"/>
              <w:jc w:val="both"/>
              <w:rPr>
                <w:rFonts w:ascii="宋体" w:hAnsi="宋体" w:cs="宋体" w:eastAsia="宋体" w:hint="default"/>
                <w:sz w:val="18"/>
                <w:szCs w:val="18"/>
              </w:rPr>
            </w:pPr>
            <w:r>
              <w:rPr>
                <w:rFonts w:ascii="宋体" w:hAnsi="宋体" w:cs="宋体" w:eastAsia="宋体" w:hint="default"/>
                <w:w w:val="80"/>
                <w:sz w:val="18"/>
                <w:szCs w:val="18"/>
              </w:rPr>
              <w:t>归属于</w:t>
            </w:r>
            <w:r>
              <w:rPr>
                <w:rFonts w:ascii="宋体" w:hAnsi="宋体" w:cs="宋体" w:eastAsia="宋体" w:hint="default"/>
                <w:spacing w:val="1"/>
                <w:w w:val="78"/>
                <w:sz w:val="18"/>
                <w:szCs w:val="18"/>
              </w:rPr>
              <w:t> </w:t>
            </w:r>
            <w:r>
              <w:rPr>
                <w:rFonts w:ascii="宋体" w:hAnsi="宋体" w:cs="宋体" w:eastAsia="宋体" w:hint="default"/>
                <w:w w:val="80"/>
                <w:sz w:val="18"/>
                <w:szCs w:val="18"/>
              </w:rPr>
              <w:t>母公司</w:t>
            </w:r>
            <w:r>
              <w:rPr>
                <w:rFonts w:ascii="宋体" w:hAnsi="宋体" w:cs="宋体" w:eastAsia="宋体" w:hint="default"/>
                <w:spacing w:val="1"/>
                <w:w w:val="78"/>
                <w:sz w:val="18"/>
                <w:szCs w:val="18"/>
              </w:rPr>
              <w:t> </w:t>
            </w:r>
            <w:r>
              <w:rPr>
                <w:rFonts w:ascii="宋体" w:hAnsi="宋体" w:cs="宋体" w:eastAsia="宋体" w:hint="default"/>
                <w:w w:val="80"/>
                <w:sz w:val="18"/>
                <w:szCs w:val="18"/>
              </w:rPr>
              <w:t>股东权</w:t>
            </w:r>
            <w:r>
              <w:rPr>
                <w:rFonts w:ascii="宋体" w:hAnsi="宋体" w:cs="宋体" w:eastAsia="宋体" w:hint="default"/>
                <w:spacing w:val="1"/>
                <w:w w:val="78"/>
                <w:sz w:val="18"/>
                <w:szCs w:val="18"/>
              </w:rPr>
              <w:t> </w:t>
            </w:r>
            <w:r>
              <w:rPr>
                <w:rFonts w:ascii="宋体" w:hAnsi="宋体" w:cs="宋体" w:eastAsia="宋体" w:hint="default"/>
                <w:w w:val="90"/>
                <w:sz w:val="18"/>
                <w:szCs w:val="18"/>
              </w:rPr>
              <w:t>益</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143,555,549.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54</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92,041,297.7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50,188,910.51</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387,224,595.61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35,417,843.51</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6,204,706.75</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75"/>
                <w:sz w:val="18"/>
              </w:rPr>
              <w:t>146,725,491.10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79,134,630.48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50,122,397.65</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361,516,591.48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46,784,892.57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59,236,981.31</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105,474,496.43</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130"/>
              <w:jc w:val="left"/>
              <w:rPr>
                <w:rFonts w:ascii="宋体" w:hAnsi="宋体" w:cs="宋体" w:eastAsia="宋体" w:hint="default"/>
                <w:sz w:val="18"/>
                <w:szCs w:val="18"/>
              </w:rPr>
            </w:pPr>
            <w:r>
              <w:rPr>
                <w:rFonts w:ascii="宋体" w:hAnsi="宋体" w:cs="宋体" w:eastAsia="宋体" w:hint="default"/>
                <w:w w:val="80"/>
                <w:sz w:val="18"/>
                <w:szCs w:val="18"/>
              </w:rPr>
              <w:t>按持股</w:t>
            </w:r>
            <w:r>
              <w:rPr>
                <w:rFonts w:ascii="宋体" w:hAnsi="宋体" w:cs="宋体" w:eastAsia="宋体" w:hint="default"/>
                <w:spacing w:val="1"/>
                <w:w w:val="78"/>
                <w:sz w:val="18"/>
                <w:szCs w:val="18"/>
              </w:rPr>
              <w:t> </w:t>
            </w:r>
            <w:r>
              <w:rPr>
                <w:rFonts w:ascii="宋体" w:hAnsi="宋体" w:cs="宋体" w:eastAsia="宋体" w:hint="default"/>
                <w:w w:val="80"/>
                <w:sz w:val="18"/>
                <w:szCs w:val="18"/>
              </w:rPr>
              <w:t>比例计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32,299,998.6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5</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27,612,389.3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11,292,504.86</w:t>
            </w:r>
            <w:r>
              <w:rPr>
                <w:rFonts w:ascii="Times New Roman"/>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96,806,148.90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7,437,747.14</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1,551,176.69</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33,013,235.50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23,740,388.43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11,277,539.47</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90,379,147.87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9,824,827.44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23,694,792.53</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21,094,899.29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55"/>
          <w:footerReference w:type="default" r:id="rId56"/>
          <w:pgSz w:w="16840" w:h="11910" w:orient="landscape"/>
          <w:pgMar w:header="867" w:footer="980" w:top="1060" w:bottom="1160" w:left="1300" w:right="1140"/>
          <w:pgNumType w:start="187"/>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98"/>
        <w:gridCol w:w="821"/>
        <w:gridCol w:w="850"/>
        <w:gridCol w:w="994"/>
        <w:gridCol w:w="992"/>
        <w:gridCol w:w="991"/>
        <w:gridCol w:w="427"/>
        <w:gridCol w:w="425"/>
        <w:gridCol w:w="948"/>
        <w:gridCol w:w="1179"/>
        <w:gridCol w:w="991"/>
        <w:gridCol w:w="994"/>
        <w:gridCol w:w="991"/>
        <w:gridCol w:w="994"/>
        <w:gridCol w:w="991"/>
        <w:gridCol w:w="955"/>
      </w:tblGrid>
      <w:tr>
        <w:trPr>
          <w:trHeight w:val="1001" w:hRule="exact"/>
        </w:trPr>
        <w:tc>
          <w:tcPr>
            <w:tcW w:w="59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 w:right="130"/>
              <w:jc w:val="both"/>
              <w:rPr>
                <w:rFonts w:ascii="宋体" w:hAnsi="宋体" w:cs="宋体" w:eastAsia="宋体" w:hint="default"/>
                <w:sz w:val="18"/>
                <w:szCs w:val="18"/>
              </w:rPr>
            </w:pPr>
            <w:r>
              <w:rPr>
                <w:rFonts w:ascii="宋体" w:hAnsi="宋体" w:cs="宋体" w:eastAsia="宋体" w:hint="default"/>
                <w:w w:val="80"/>
                <w:sz w:val="18"/>
                <w:szCs w:val="18"/>
              </w:rPr>
              <w:t>算的净</w:t>
            </w:r>
            <w:r>
              <w:rPr>
                <w:rFonts w:ascii="宋体" w:hAnsi="宋体" w:cs="宋体" w:eastAsia="宋体" w:hint="default"/>
                <w:spacing w:val="1"/>
                <w:w w:val="78"/>
                <w:sz w:val="18"/>
                <w:szCs w:val="18"/>
              </w:rPr>
              <w:t> </w:t>
            </w:r>
            <w:r>
              <w:rPr>
                <w:rFonts w:ascii="宋体" w:hAnsi="宋体" w:cs="宋体" w:eastAsia="宋体" w:hint="default"/>
                <w:w w:val="80"/>
                <w:sz w:val="18"/>
                <w:szCs w:val="18"/>
              </w:rPr>
              <w:t>资产份</w:t>
            </w:r>
            <w:r>
              <w:rPr>
                <w:rFonts w:ascii="宋体" w:hAnsi="宋体" w:cs="宋体" w:eastAsia="宋体" w:hint="default"/>
                <w:spacing w:val="1"/>
                <w:w w:val="78"/>
                <w:sz w:val="18"/>
                <w:szCs w:val="18"/>
              </w:rPr>
              <w:t> </w:t>
            </w:r>
            <w:r>
              <w:rPr>
                <w:rFonts w:ascii="宋体" w:hAnsi="宋体" w:cs="宋体" w:eastAsia="宋体" w:hint="default"/>
                <w:w w:val="90"/>
                <w:sz w:val="18"/>
                <w:szCs w:val="18"/>
              </w:rPr>
              <w:t>额</w:t>
            </w:r>
            <w:r>
              <w:rPr>
                <w:rFonts w:ascii="宋体" w:hAnsi="宋体" w:cs="宋体" w:eastAsia="宋体" w:hint="default"/>
                <w:sz w:val="18"/>
                <w:szCs w:val="18"/>
              </w:rPr>
            </w:r>
          </w:p>
        </w:tc>
        <w:tc>
          <w:tcPr>
            <w:tcW w:w="821"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48" w:type="dxa"/>
            <w:tcBorders>
              <w:top w:val="single" w:sz="15" w:space="0" w:color="000000"/>
              <w:left w:val="single" w:sz="4" w:space="0" w:color="000000"/>
              <w:bottom w:val="single" w:sz="4" w:space="0" w:color="000000"/>
              <w:right w:val="single" w:sz="4" w:space="0" w:color="000000"/>
            </w:tcBorders>
          </w:tcPr>
          <w:p>
            <w:pPr/>
          </w:p>
        </w:tc>
        <w:tc>
          <w:tcPr>
            <w:tcW w:w="117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55"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调整事</w:t>
            </w:r>
            <w:r>
              <w:rPr>
                <w:rFonts w:ascii="宋体" w:hAnsi="宋体" w:cs="宋体" w:eastAsia="宋体" w:hint="default"/>
                <w:spacing w:val="1"/>
                <w:w w:val="78"/>
                <w:sz w:val="18"/>
                <w:szCs w:val="18"/>
              </w:rPr>
              <w:t> </w:t>
            </w:r>
            <w:r>
              <w:rPr>
                <w:rFonts w:ascii="宋体" w:hAnsi="宋体" w:cs="宋体" w:eastAsia="宋体" w:hint="default"/>
                <w:w w:val="90"/>
                <w:sz w:val="18"/>
                <w:szCs w:val="18"/>
              </w:rPr>
              <w:t>项</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w:t>
            </w:r>
            <w:r>
              <w:rPr>
                <w:rFonts w:ascii="宋体" w:hAnsi="宋体" w:cs="宋体" w:eastAsia="宋体" w:hint="default"/>
                <w:w w:val="90"/>
                <w:sz w:val="18"/>
                <w:szCs w:val="18"/>
              </w:rPr>
              <w:t>商誉</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26,766,487.1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9</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81,852,483.6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60,083,614.81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7,899,601.71</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26,766,487.19</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87,555,753.73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60,083,614.81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142,480,267.32</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27,825,062.74</w:t>
            </w:r>
            <w:r>
              <w:rPr>
                <w:rFonts w:ascii="Times New Roman"/>
                <w:sz w:val="18"/>
              </w:rPr>
            </w:r>
          </w:p>
        </w:tc>
      </w:tr>
      <w:tr>
        <w:trPr>
          <w:trHeight w:val="1028"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w w:val="80"/>
                <w:sz w:val="18"/>
                <w:szCs w:val="18"/>
              </w:rPr>
              <w:t>--</w:t>
            </w:r>
            <w:r>
              <w:rPr>
                <w:rFonts w:ascii="宋体" w:hAnsi="宋体" w:cs="宋体" w:eastAsia="宋体" w:hint="default"/>
                <w:w w:val="80"/>
                <w:sz w:val="18"/>
                <w:szCs w:val="18"/>
              </w:rPr>
              <w:t>内部交</w:t>
            </w:r>
            <w:r>
              <w:rPr>
                <w:rFonts w:ascii="宋体" w:hAnsi="宋体" w:cs="宋体" w:eastAsia="宋体" w:hint="default"/>
                <w:spacing w:val="1"/>
                <w:w w:val="78"/>
                <w:sz w:val="18"/>
                <w:szCs w:val="18"/>
              </w:rPr>
              <w:t> </w:t>
            </w:r>
            <w:r>
              <w:rPr>
                <w:rFonts w:ascii="宋体" w:hAnsi="宋体" w:cs="宋体" w:eastAsia="宋体" w:hint="default"/>
                <w:w w:val="90"/>
                <w:sz w:val="18"/>
                <w:szCs w:val="18"/>
              </w:rPr>
              <w:t>易未实</w:t>
            </w:r>
            <w:r>
              <w:rPr>
                <w:rFonts w:ascii="宋体" w:hAnsi="宋体" w:cs="宋体" w:eastAsia="宋体" w:hint="default"/>
                <w:spacing w:val="1"/>
                <w:w w:val="78"/>
                <w:sz w:val="18"/>
                <w:szCs w:val="18"/>
              </w:rPr>
              <w:t> </w:t>
            </w:r>
            <w:r>
              <w:rPr>
                <w:rFonts w:ascii="宋体" w:hAnsi="宋体" w:cs="宋体" w:eastAsia="宋体" w:hint="default"/>
                <w:w w:val="90"/>
                <w:sz w:val="18"/>
                <w:szCs w:val="18"/>
              </w:rPr>
              <w:t>现利润</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r>
      <w:tr>
        <w:trPr>
          <w:trHeight w:val="401"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w:t>
            </w:r>
            <w:r>
              <w:rPr>
                <w:rFonts w:ascii="宋体" w:hAnsi="宋体" w:cs="宋体" w:eastAsia="宋体" w:hint="default"/>
                <w:w w:val="90"/>
                <w:sz w:val="18"/>
                <w:szCs w:val="18"/>
              </w:rPr>
              <w:t>其他</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80"/>
                <w:sz w:val="18"/>
              </w:rPr>
              <w:t>-428,948.73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80"/>
                <w:sz w:val="18"/>
              </w:rPr>
              <w:t>-428,948.73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r>
      <w:tr>
        <w:trPr>
          <w:trHeight w:val="1651"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both"/>
              <w:rPr>
                <w:rFonts w:ascii="宋体" w:hAnsi="宋体" w:cs="宋体" w:eastAsia="宋体" w:hint="default"/>
                <w:sz w:val="18"/>
                <w:szCs w:val="18"/>
              </w:rPr>
            </w:pPr>
            <w:r>
              <w:rPr>
                <w:rFonts w:ascii="宋体" w:hAnsi="宋体" w:cs="宋体" w:eastAsia="宋体" w:hint="default"/>
                <w:w w:val="80"/>
                <w:sz w:val="18"/>
                <w:szCs w:val="18"/>
              </w:rPr>
              <w:t>对联营</w:t>
            </w:r>
            <w:r>
              <w:rPr>
                <w:rFonts w:ascii="宋体" w:hAnsi="宋体" w:cs="宋体" w:eastAsia="宋体" w:hint="default"/>
                <w:spacing w:val="1"/>
                <w:w w:val="78"/>
                <w:sz w:val="18"/>
                <w:szCs w:val="18"/>
              </w:rPr>
              <w:t> </w:t>
            </w:r>
            <w:r>
              <w:rPr>
                <w:rFonts w:ascii="宋体" w:hAnsi="宋体" w:cs="宋体" w:eastAsia="宋体" w:hint="default"/>
                <w:w w:val="80"/>
                <w:sz w:val="18"/>
                <w:szCs w:val="18"/>
              </w:rPr>
              <w:t>企业权</w:t>
            </w:r>
            <w:r>
              <w:rPr>
                <w:rFonts w:ascii="宋体" w:hAnsi="宋体" w:cs="宋体" w:eastAsia="宋体" w:hint="default"/>
                <w:spacing w:val="1"/>
                <w:w w:val="78"/>
                <w:sz w:val="18"/>
                <w:szCs w:val="18"/>
              </w:rPr>
              <w:t> </w:t>
            </w:r>
            <w:r>
              <w:rPr>
                <w:rFonts w:ascii="宋体" w:hAnsi="宋体" w:cs="宋体" w:eastAsia="宋体" w:hint="default"/>
                <w:w w:val="80"/>
                <w:sz w:val="18"/>
                <w:szCs w:val="18"/>
              </w:rPr>
              <w:t>益投资</w:t>
            </w:r>
            <w:r>
              <w:rPr>
                <w:rFonts w:ascii="宋体" w:hAnsi="宋体" w:cs="宋体" w:eastAsia="宋体" w:hint="default"/>
                <w:spacing w:val="1"/>
                <w:w w:val="78"/>
                <w:sz w:val="18"/>
                <w:szCs w:val="18"/>
              </w:rPr>
              <w:t> </w:t>
            </w:r>
            <w:r>
              <w:rPr>
                <w:rFonts w:ascii="宋体" w:hAnsi="宋体" w:cs="宋体" w:eastAsia="宋体" w:hint="default"/>
                <w:w w:val="80"/>
                <w:sz w:val="18"/>
                <w:szCs w:val="18"/>
              </w:rPr>
              <w:t>的账面</w:t>
            </w:r>
            <w:r>
              <w:rPr>
                <w:rFonts w:ascii="宋体" w:hAnsi="宋体" w:cs="宋体" w:eastAsia="宋体" w:hint="default"/>
                <w:spacing w:val="1"/>
                <w:w w:val="78"/>
                <w:sz w:val="18"/>
                <w:szCs w:val="18"/>
              </w:rPr>
              <w:t> </w:t>
            </w:r>
            <w:r>
              <w:rPr>
                <w:rFonts w:ascii="宋体" w:hAnsi="宋体" w:cs="宋体" w:eastAsia="宋体" w:hint="default"/>
                <w:w w:val="90"/>
                <w:sz w:val="18"/>
                <w:szCs w:val="18"/>
              </w:rPr>
              <w:t>价值</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w w:val="75"/>
                <w:sz w:val="18"/>
              </w:rPr>
              <w:t>58,637,537.1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1</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w w:val="75"/>
                <w:sz w:val="18"/>
              </w:rPr>
              <w:t>109,464,873.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01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11,292,504.86</w:t>
            </w:r>
            <w:r>
              <w:rPr>
                <w:rFonts w:ascii="Times New Roman"/>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156,889,763.71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7,437,747.14</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9,450,778.40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59,350,773.96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111,296,142.16</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11,277,539.47</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150,462,762.68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9,824,827.44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166,175,059.85</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48,919,962.03</w:t>
            </w:r>
            <w:r>
              <w:rPr>
                <w:rFonts w:ascii="Times New Roman"/>
                <w:sz w:val="18"/>
              </w:rPr>
            </w:r>
          </w:p>
        </w:tc>
      </w:tr>
      <w:tr>
        <w:trPr>
          <w:trHeight w:val="227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both"/>
              <w:rPr>
                <w:rFonts w:ascii="宋体" w:hAnsi="宋体" w:cs="宋体" w:eastAsia="宋体" w:hint="default"/>
                <w:sz w:val="18"/>
                <w:szCs w:val="18"/>
              </w:rPr>
            </w:pPr>
            <w:r>
              <w:rPr>
                <w:rFonts w:ascii="宋体" w:hAnsi="宋体" w:cs="宋体" w:eastAsia="宋体" w:hint="default"/>
                <w:w w:val="80"/>
                <w:sz w:val="18"/>
                <w:szCs w:val="18"/>
              </w:rPr>
              <w:t>存在公</w:t>
            </w:r>
            <w:r>
              <w:rPr>
                <w:rFonts w:ascii="宋体" w:hAnsi="宋体" w:cs="宋体" w:eastAsia="宋体" w:hint="default"/>
                <w:spacing w:val="1"/>
                <w:w w:val="78"/>
                <w:sz w:val="18"/>
                <w:szCs w:val="18"/>
              </w:rPr>
              <w:t> </w:t>
            </w:r>
            <w:r>
              <w:rPr>
                <w:rFonts w:ascii="宋体" w:hAnsi="宋体" w:cs="宋体" w:eastAsia="宋体" w:hint="default"/>
                <w:w w:val="80"/>
                <w:sz w:val="18"/>
                <w:szCs w:val="18"/>
              </w:rPr>
              <w:t>开报价</w:t>
            </w:r>
            <w:r>
              <w:rPr>
                <w:rFonts w:ascii="宋体" w:hAnsi="宋体" w:cs="宋体" w:eastAsia="宋体" w:hint="default"/>
                <w:spacing w:val="1"/>
                <w:w w:val="78"/>
                <w:sz w:val="18"/>
                <w:szCs w:val="18"/>
              </w:rPr>
              <w:t> </w:t>
            </w:r>
            <w:r>
              <w:rPr>
                <w:rFonts w:ascii="宋体" w:hAnsi="宋体" w:cs="宋体" w:eastAsia="宋体" w:hint="default"/>
                <w:w w:val="80"/>
                <w:sz w:val="18"/>
                <w:szCs w:val="18"/>
              </w:rPr>
              <w:t>的联营</w:t>
            </w:r>
            <w:r>
              <w:rPr>
                <w:rFonts w:ascii="宋体" w:hAnsi="宋体" w:cs="宋体" w:eastAsia="宋体" w:hint="default"/>
                <w:spacing w:val="1"/>
                <w:w w:val="78"/>
                <w:sz w:val="18"/>
                <w:szCs w:val="18"/>
              </w:rPr>
              <w:t> </w:t>
            </w:r>
            <w:r>
              <w:rPr>
                <w:rFonts w:ascii="宋体" w:hAnsi="宋体" w:cs="宋体" w:eastAsia="宋体" w:hint="default"/>
                <w:w w:val="80"/>
                <w:sz w:val="18"/>
                <w:szCs w:val="18"/>
              </w:rPr>
              <w:t>企业权</w:t>
            </w:r>
            <w:r>
              <w:rPr>
                <w:rFonts w:ascii="宋体" w:hAnsi="宋体" w:cs="宋体" w:eastAsia="宋体" w:hint="default"/>
                <w:spacing w:val="1"/>
                <w:w w:val="78"/>
                <w:sz w:val="18"/>
                <w:szCs w:val="18"/>
              </w:rPr>
              <w:t> </w:t>
            </w:r>
            <w:r>
              <w:rPr>
                <w:rFonts w:ascii="宋体" w:hAnsi="宋体" w:cs="宋体" w:eastAsia="宋体" w:hint="default"/>
                <w:w w:val="80"/>
                <w:sz w:val="18"/>
                <w:szCs w:val="18"/>
              </w:rPr>
              <w:t>益投资</w:t>
            </w:r>
            <w:r>
              <w:rPr>
                <w:rFonts w:ascii="宋体" w:hAnsi="宋体" w:cs="宋体" w:eastAsia="宋体" w:hint="default"/>
                <w:spacing w:val="1"/>
                <w:w w:val="78"/>
                <w:sz w:val="18"/>
                <w:szCs w:val="18"/>
              </w:rPr>
              <w:t> </w:t>
            </w:r>
            <w:r>
              <w:rPr>
                <w:rFonts w:ascii="宋体" w:hAnsi="宋体" w:cs="宋体" w:eastAsia="宋体" w:hint="default"/>
                <w:w w:val="80"/>
                <w:sz w:val="18"/>
                <w:szCs w:val="18"/>
              </w:rPr>
              <w:t>的公允</w:t>
            </w:r>
            <w:r>
              <w:rPr>
                <w:rFonts w:ascii="宋体" w:hAnsi="宋体" w:cs="宋体" w:eastAsia="宋体" w:hint="default"/>
                <w:spacing w:val="1"/>
                <w:w w:val="78"/>
                <w:sz w:val="18"/>
                <w:szCs w:val="18"/>
              </w:rPr>
              <w:t> </w:t>
            </w:r>
            <w:r>
              <w:rPr>
                <w:rFonts w:ascii="宋体" w:hAnsi="宋体" w:cs="宋体" w:eastAsia="宋体" w:hint="default"/>
                <w:w w:val="90"/>
                <w:sz w:val="18"/>
                <w:szCs w:val="18"/>
              </w:rPr>
              <w:t>价值</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r>
      <w:tr>
        <w:trPr>
          <w:trHeight w:val="716"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营业收</w:t>
            </w:r>
            <w:r>
              <w:rPr>
                <w:rFonts w:ascii="宋体" w:hAnsi="宋体" w:cs="宋体" w:eastAsia="宋体" w:hint="default"/>
                <w:spacing w:val="1"/>
                <w:w w:val="78"/>
                <w:sz w:val="18"/>
                <w:szCs w:val="18"/>
              </w:rPr>
              <w:t> </w:t>
            </w:r>
            <w:r>
              <w:rPr>
                <w:rFonts w:ascii="宋体" w:hAnsi="宋体" w:cs="宋体" w:eastAsia="宋体" w:hint="default"/>
                <w:w w:val="90"/>
                <w:sz w:val="18"/>
                <w:szCs w:val="18"/>
              </w:rPr>
              <w:t>入</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165,906,612.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98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104,186,352.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75"/>
                <w:sz w:val="18"/>
              </w:rPr>
              <w:t>50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7,106,547.23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75"/>
                <w:sz w:val="18"/>
              </w:rPr>
              <w:t>555,465,764.07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82,568,457.72</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2,941,456.93</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218,618,997.11</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115,406,218.53</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3,345,253.58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499,496,824.85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15,508,577.50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5,698,071.14</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48,162,245.57</w:t>
            </w:r>
            <w:r>
              <w:rPr>
                <w:rFonts w:ascii="Times New Roman"/>
                <w:sz w:val="18"/>
              </w:rPr>
            </w: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0"/>
                <w:sz w:val="18"/>
                <w:szCs w:val="18"/>
              </w:rPr>
              <w:t>净利润</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80"/>
                <w:sz w:val="18"/>
              </w:rPr>
              <w:t>-1,857,378.6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6</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14,770,855.6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66,512.86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36,620,964.13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-11,367,049.07</w:t>
            </w:r>
            <w:r>
              <w:rPr>
                <w:rFonts w:ascii="Times New Roman"/>
                <w:spacing w:val="-1"/>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80"/>
                <w:sz w:val="18"/>
              </w:rPr>
              <w:t>-1,449,567.74</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5,685,142.21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23,392,629.94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130,551.90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39,100,650.71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80"/>
                <w:sz w:val="18"/>
              </w:rPr>
              <w:t>-3,215,107.43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80"/>
                <w:sz w:val="18"/>
              </w:rPr>
              <w:t>-1,421,663.47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3,199,833.04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14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98"/>
        <w:gridCol w:w="821"/>
        <w:gridCol w:w="850"/>
        <w:gridCol w:w="994"/>
        <w:gridCol w:w="992"/>
        <w:gridCol w:w="991"/>
        <w:gridCol w:w="427"/>
        <w:gridCol w:w="425"/>
        <w:gridCol w:w="948"/>
        <w:gridCol w:w="1179"/>
        <w:gridCol w:w="991"/>
        <w:gridCol w:w="994"/>
        <w:gridCol w:w="991"/>
        <w:gridCol w:w="994"/>
        <w:gridCol w:w="991"/>
        <w:gridCol w:w="955"/>
      </w:tblGrid>
      <w:tr>
        <w:trPr>
          <w:trHeight w:val="1042" w:hRule="exact"/>
        </w:trPr>
        <w:tc>
          <w:tcPr>
            <w:tcW w:w="59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30"/>
              <w:jc w:val="both"/>
              <w:rPr>
                <w:rFonts w:ascii="宋体" w:hAnsi="宋体" w:cs="宋体" w:eastAsia="宋体" w:hint="default"/>
                <w:sz w:val="18"/>
                <w:szCs w:val="18"/>
              </w:rPr>
            </w:pPr>
            <w:r>
              <w:rPr>
                <w:rFonts w:ascii="宋体" w:hAnsi="宋体" w:cs="宋体" w:eastAsia="宋体" w:hint="default"/>
                <w:w w:val="80"/>
                <w:sz w:val="18"/>
                <w:szCs w:val="18"/>
              </w:rPr>
              <w:t>终止经</w:t>
            </w:r>
            <w:r>
              <w:rPr>
                <w:rFonts w:ascii="宋体" w:hAnsi="宋体" w:cs="宋体" w:eastAsia="宋体" w:hint="default"/>
                <w:spacing w:val="1"/>
                <w:w w:val="78"/>
                <w:sz w:val="18"/>
                <w:szCs w:val="18"/>
              </w:rPr>
              <w:t> </w:t>
            </w:r>
            <w:r>
              <w:rPr>
                <w:rFonts w:ascii="宋体" w:hAnsi="宋体" w:cs="宋体" w:eastAsia="宋体" w:hint="default"/>
                <w:w w:val="80"/>
                <w:sz w:val="18"/>
                <w:szCs w:val="18"/>
              </w:rPr>
              <w:t>营的净</w:t>
            </w:r>
            <w:r>
              <w:rPr>
                <w:rFonts w:ascii="宋体" w:hAnsi="宋体" w:cs="宋体" w:eastAsia="宋体" w:hint="default"/>
                <w:spacing w:val="1"/>
                <w:w w:val="78"/>
                <w:sz w:val="18"/>
                <w:szCs w:val="18"/>
              </w:rPr>
              <w:t> </w:t>
            </w:r>
            <w:r>
              <w:rPr>
                <w:rFonts w:ascii="宋体" w:hAnsi="宋体" w:cs="宋体" w:eastAsia="宋体" w:hint="default"/>
                <w:w w:val="90"/>
                <w:sz w:val="18"/>
                <w:szCs w:val="18"/>
              </w:rPr>
              <w:t>利润</w:t>
            </w:r>
            <w:r>
              <w:rPr>
                <w:rFonts w:ascii="宋体" w:hAnsi="宋体" w:cs="宋体" w:eastAsia="宋体" w:hint="default"/>
                <w:sz w:val="18"/>
                <w:szCs w:val="18"/>
              </w:rPr>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w w:val="80"/>
                <w:sz w:val="18"/>
                <w:szCs w:val="18"/>
              </w:rPr>
              <w:t>其他综</w:t>
            </w:r>
            <w:r>
              <w:rPr>
                <w:rFonts w:ascii="宋体" w:hAnsi="宋体" w:cs="宋体" w:eastAsia="宋体" w:hint="default"/>
                <w:spacing w:val="1"/>
                <w:w w:val="78"/>
                <w:sz w:val="18"/>
                <w:szCs w:val="18"/>
              </w:rPr>
              <w:t> </w:t>
            </w:r>
            <w:r>
              <w:rPr>
                <w:rFonts w:ascii="宋体" w:hAnsi="宋体" w:cs="宋体" w:eastAsia="宋体" w:hint="default"/>
                <w:w w:val="80"/>
                <w:sz w:val="18"/>
                <w:szCs w:val="18"/>
              </w:rPr>
              <w:t>合收益</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80"/>
                <w:sz w:val="18"/>
              </w:rPr>
              <w:t>-1,312,562.9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80"/>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4,066,469.70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1,374,204.66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80"/>
                <w:sz w:val="18"/>
              </w:rPr>
              <w:t>-3,510,285.34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80"/>
                <w:sz w:val="18"/>
              </w:rPr>
              <w:t>-5,713,981.06</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80"/>
                <w:sz w:val="18"/>
              </w:rPr>
              <w:t>-1,870,574.71</w:t>
            </w:r>
            <w:r>
              <w:rPr>
                <w:rFonts w:ascii="Times New Roman"/>
                <w:sz w:val="18"/>
              </w:rPr>
            </w:r>
          </w:p>
        </w:tc>
      </w:tr>
      <w:tr>
        <w:trPr>
          <w:trHeight w:val="715"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30"/>
              <w:jc w:val="left"/>
              <w:rPr>
                <w:rFonts w:ascii="宋体" w:hAnsi="宋体" w:cs="宋体" w:eastAsia="宋体" w:hint="default"/>
                <w:sz w:val="18"/>
                <w:szCs w:val="18"/>
              </w:rPr>
            </w:pPr>
            <w:r>
              <w:rPr>
                <w:rFonts w:ascii="宋体" w:hAnsi="宋体" w:cs="宋体" w:eastAsia="宋体" w:hint="default"/>
                <w:w w:val="80"/>
                <w:sz w:val="18"/>
                <w:szCs w:val="18"/>
              </w:rPr>
              <w:t>综合收</w:t>
            </w:r>
            <w:r>
              <w:rPr>
                <w:rFonts w:ascii="宋体" w:hAnsi="宋体" w:cs="宋体" w:eastAsia="宋体" w:hint="default"/>
                <w:spacing w:val="1"/>
                <w:w w:val="78"/>
                <w:sz w:val="18"/>
                <w:szCs w:val="18"/>
              </w:rPr>
              <w:t> </w:t>
            </w:r>
            <w:r>
              <w:rPr>
                <w:rFonts w:ascii="宋体" w:hAnsi="宋体" w:cs="宋体" w:eastAsia="宋体" w:hint="default"/>
                <w:w w:val="80"/>
                <w:sz w:val="18"/>
                <w:szCs w:val="18"/>
              </w:rPr>
              <w:t>益总额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80"/>
                <w:sz w:val="18"/>
              </w:rPr>
              <w:t>-3,169,941.5</w:t>
            </w:r>
            <w:r>
              <w:rPr>
                <w:rFonts w:ascii="Times New Roman"/>
                <w:sz w:val="18"/>
              </w:rPr>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80"/>
                <w:sz w:val="18"/>
              </w:rPr>
              <w:t>6</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75"/>
                <w:sz w:val="18"/>
              </w:rPr>
              <w:t>18,837,325.3</w:t>
            </w:r>
            <w:r>
              <w:rPr>
                <w:rFonts w:ascii="Times New Roman"/>
                <w:sz w:val="18"/>
              </w:rPr>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80"/>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66,512.86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36,620,964.13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-11,367,049.07</w:t>
            </w:r>
            <w:r>
              <w:rPr>
                <w:rFonts w:ascii="Times New Roman"/>
                <w:spacing w:val="-1"/>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80"/>
                <w:sz w:val="18"/>
              </w:rPr>
              <w:t>-1,449,567.74</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7,059,346.87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19,882,344.60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130,551.90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39,100,650.71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80"/>
                <w:sz w:val="18"/>
              </w:rPr>
              <w:t>-3,215,107.43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80"/>
                <w:sz w:val="18"/>
              </w:rPr>
              <w:t>-7,135,644.52</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1,329,258.33</w:t>
            </w:r>
            <w:r>
              <w:rPr>
                <w:rFonts w:ascii="Times New Roman"/>
                <w:sz w:val="18"/>
              </w:rPr>
            </w:r>
          </w:p>
        </w:tc>
      </w:tr>
      <w:tr>
        <w:trPr>
          <w:trHeight w:val="401" w:hRule="exact"/>
        </w:trPr>
        <w:tc>
          <w:tcPr>
            <w:tcW w:w="5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130"/>
              <w:jc w:val="both"/>
              <w:rPr>
                <w:rFonts w:ascii="宋体" w:hAnsi="宋体" w:cs="宋体" w:eastAsia="宋体" w:hint="default"/>
                <w:sz w:val="18"/>
                <w:szCs w:val="18"/>
              </w:rPr>
            </w:pPr>
            <w:r>
              <w:rPr>
                <w:rFonts w:ascii="宋体" w:hAnsi="宋体" w:cs="宋体" w:eastAsia="宋体" w:hint="default"/>
                <w:w w:val="80"/>
                <w:sz w:val="18"/>
                <w:szCs w:val="18"/>
              </w:rPr>
              <w:t>本年度</w:t>
            </w:r>
            <w:r>
              <w:rPr>
                <w:rFonts w:ascii="宋体" w:hAnsi="宋体" w:cs="宋体" w:eastAsia="宋体" w:hint="default"/>
                <w:spacing w:val="1"/>
                <w:w w:val="78"/>
                <w:sz w:val="18"/>
                <w:szCs w:val="18"/>
              </w:rPr>
              <w:t> </w:t>
            </w:r>
            <w:r>
              <w:rPr>
                <w:rFonts w:ascii="宋体" w:hAnsi="宋体" w:cs="宋体" w:eastAsia="宋体" w:hint="default"/>
                <w:w w:val="80"/>
                <w:sz w:val="18"/>
                <w:szCs w:val="18"/>
              </w:rPr>
              <w:t>收到的</w:t>
            </w:r>
            <w:r>
              <w:rPr>
                <w:rFonts w:ascii="宋体" w:hAnsi="宋体" w:cs="宋体" w:eastAsia="宋体" w:hint="default"/>
                <w:spacing w:val="1"/>
                <w:w w:val="78"/>
                <w:sz w:val="18"/>
                <w:szCs w:val="18"/>
              </w:rPr>
              <w:t> </w:t>
            </w:r>
            <w:r>
              <w:rPr>
                <w:rFonts w:ascii="宋体" w:hAnsi="宋体" w:cs="宋体" w:eastAsia="宋体" w:hint="default"/>
                <w:w w:val="80"/>
                <w:sz w:val="18"/>
                <w:szCs w:val="18"/>
              </w:rPr>
              <w:t>来自联</w:t>
            </w:r>
            <w:r>
              <w:rPr>
                <w:rFonts w:ascii="宋体" w:hAnsi="宋体" w:cs="宋体" w:eastAsia="宋体" w:hint="default"/>
                <w:spacing w:val="1"/>
                <w:w w:val="78"/>
                <w:sz w:val="18"/>
                <w:szCs w:val="18"/>
              </w:rPr>
              <w:t> </w:t>
            </w:r>
            <w:r>
              <w:rPr>
                <w:rFonts w:ascii="宋体" w:hAnsi="宋体" w:cs="宋体" w:eastAsia="宋体" w:hint="default"/>
                <w:w w:val="80"/>
                <w:sz w:val="18"/>
                <w:szCs w:val="18"/>
              </w:rPr>
              <w:t>营企业</w:t>
            </w:r>
            <w:r>
              <w:rPr>
                <w:rFonts w:ascii="宋体" w:hAnsi="宋体" w:cs="宋体" w:eastAsia="宋体" w:hint="default"/>
                <w:spacing w:val="1"/>
                <w:w w:val="78"/>
                <w:sz w:val="18"/>
                <w:szCs w:val="18"/>
              </w:rPr>
              <w:t> </w:t>
            </w:r>
            <w:r>
              <w:rPr>
                <w:rFonts w:ascii="宋体" w:hAnsi="宋体" w:cs="宋体" w:eastAsia="宋体" w:hint="default"/>
                <w:w w:val="80"/>
                <w:sz w:val="18"/>
                <w:szCs w:val="18"/>
              </w:rPr>
              <w:t>的股利</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2,728,240.00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0.00</w:t>
            </w:r>
            <w:r>
              <w:rPr>
                <w:rFonts w:ascii="Times New Roman"/>
                <w:sz w:val="18"/>
              </w:rPr>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61" w:lineRule="auto"/>
        <w:ind w:left="120" w:right="0"/>
        <w:jc w:val="left"/>
      </w:pPr>
      <w:r>
        <w:rPr>
          <w:spacing w:val="-2"/>
        </w:rPr>
        <w:t>注：科传计算机科技控股有限公司本年商誉金额与年初不一致系汇率变动影响；迅付信息科技有限公司调整事项其他系对被投资单位报表进</w:t>
      </w:r>
      <w:r>
        <w:rPr>
          <w:w w:val="100"/>
        </w:rPr>
        <w:t> </w:t>
      </w:r>
      <w:r>
        <w:rPr/>
        <w:t>行审阅后进行的调整。</w:t>
      </w:r>
    </w:p>
    <w:p>
      <w:pPr>
        <w:spacing w:after="0" w:line="261" w:lineRule="auto"/>
        <w:jc w:val="left"/>
        <w:sectPr>
          <w:pgSz w:w="16840" w:h="11910" w:orient="landscape"/>
          <w:pgMar w:header="867" w:footer="980" w:top="1060" w:bottom="1160" w:left="1320" w:right="1140"/>
        </w:sectPr>
      </w:pPr>
    </w:p>
    <w:p>
      <w:pPr>
        <w:spacing w:line="240" w:lineRule="auto" w:before="9"/>
        <w:rPr>
          <w:rFonts w:ascii="宋体" w:hAnsi="宋体" w:cs="宋体" w:eastAsia="宋体" w:hint="default"/>
          <w:sz w:val="19"/>
          <w:szCs w:val="19"/>
        </w:rPr>
      </w:pPr>
    </w:p>
    <w:p>
      <w:pPr>
        <w:pStyle w:val="Heading3"/>
        <w:spacing w:line="240" w:lineRule="auto" w:before="26"/>
        <w:ind w:right="208"/>
        <w:jc w:val="left"/>
        <w:rPr>
          <w:b w:val="0"/>
          <w:bCs w:val="0"/>
        </w:rPr>
      </w:pP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0" w:firstLine="439"/>
        <w:jc w:val="left"/>
      </w:pPr>
      <w:r>
        <w:rPr>
          <w:spacing w:val="-5"/>
        </w:rPr>
        <w:t>本集团的主要金融工具包括借款、应收款项、应付款项等，各项金融工具的详细情况说明见本附注六。</w:t>
      </w:r>
      <w:r>
        <w:rPr>
          <w:w w:val="100"/>
        </w:rPr>
        <w:t> </w:t>
      </w:r>
      <w:r>
        <w:rPr>
          <w:spacing w:val="-2"/>
        </w:rPr>
        <w:t>与这些金融工具有关的风险，以及本集团为降低这些风险所采取的风险管理政策如下所述。本集团管理层</w:t>
      </w:r>
      <w:r>
        <w:rPr>
          <w:spacing w:val="-43"/>
        </w:rPr>
        <w:t> </w:t>
      </w:r>
      <w:r>
        <w:rPr>
          <w:spacing w:val="-43"/>
        </w:rPr>
      </w:r>
      <w:r>
        <w:rPr/>
        <w:t>对这些风险敞口进行管理和监控以确保将上述风险控制在限定的范围之内。</w:t>
      </w:r>
    </w:p>
    <w:p>
      <w:pPr>
        <w:pStyle w:val="BodyText"/>
        <w:spacing w:line="552" w:lineRule="exact" w:before="51"/>
        <w:ind w:left="592" w:right="208" w:hanging="440"/>
        <w:jc w:val="left"/>
      </w:pPr>
      <w:r>
        <w:rPr>
          <w:rFonts w:ascii="宋体" w:hAnsi="宋体" w:cs="宋体" w:eastAsia="宋体" w:hint="default"/>
        </w:rPr>
        <w:t>1.</w:t>
      </w:r>
      <w:r>
        <w:rPr>
          <w:rFonts w:ascii="宋体" w:hAnsi="宋体" w:cs="宋体" w:eastAsia="宋体" w:hint="default"/>
          <w:spacing w:val="44"/>
        </w:rPr>
        <w:t> </w:t>
      </w:r>
      <w:r>
        <w:rPr/>
        <w:t>各类风险管理目标和政策</w:t>
      </w:r>
      <w:r>
        <w:rPr>
          <w:spacing w:val="-103"/>
        </w:rPr>
        <w:t> </w:t>
      </w:r>
      <w:r>
        <w:rPr>
          <w:spacing w:val="-103"/>
        </w:rPr>
      </w:r>
      <w:r>
        <w:rPr>
          <w:spacing w:val="-3"/>
        </w:rPr>
        <w:t>本集团从事风险管理的目标是在风险和收益之间取得适当的平衡，将风险对本集团经营业绩的负面影</w:t>
      </w:r>
    </w:p>
    <w:p>
      <w:pPr>
        <w:pStyle w:val="BodyText"/>
        <w:spacing w:line="231" w:lineRule="exact"/>
        <w:ind w:right="100"/>
        <w:jc w:val="left"/>
      </w:pPr>
      <w:r>
        <w:rPr/>
        <w:t>响降低到最低水平，使股东及其它权益投资者的利益最大化。基于该风险管理目标，本集团风险管理的基</w:t>
      </w:r>
    </w:p>
    <w:p>
      <w:pPr>
        <w:pStyle w:val="BodyText"/>
        <w:spacing w:line="273" w:lineRule="auto" w:before="37"/>
        <w:ind w:right="208"/>
        <w:jc w:val="left"/>
      </w:pPr>
      <w:r>
        <w:rPr>
          <w:spacing w:val="-2"/>
        </w:rPr>
        <w:t>本策略是确定和分析本集团所面临的各种风险，建立适当的风险承受底线并进行风险管理，并及时可靠地</w:t>
      </w:r>
      <w:r>
        <w:rPr>
          <w:spacing w:val="-43"/>
        </w:rPr>
        <w:t> </w:t>
      </w:r>
      <w:r>
        <w:rPr>
          <w:spacing w:val="-43"/>
        </w:rPr>
      </w:r>
      <w:r>
        <w:rPr/>
        <w:t>对各种风险进行监督，将风险控制在限定的范围之内。</w:t>
      </w:r>
    </w:p>
    <w:p>
      <w:pPr>
        <w:spacing w:line="240" w:lineRule="auto" w:before="12"/>
        <w:rPr>
          <w:rFonts w:ascii="宋体" w:hAnsi="宋体" w:cs="宋体" w:eastAsia="宋体" w:hint="default"/>
          <w:sz w:val="18"/>
          <w:szCs w:val="18"/>
        </w:rPr>
      </w:pPr>
    </w:p>
    <w:p>
      <w:pPr>
        <w:pStyle w:val="BodyText"/>
        <w:spacing w:line="456" w:lineRule="auto"/>
        <w:ind w:left="513" w:right="8316" w:firstLine="79"/>
        <w:jc w:val="left"/>
      </w:pPr>
      <w:r>
        <w:rPr>
          <w:rFonts w:ascii="Times New Roman" w:hAnsi="Times New Roman" w:cs="Times New Roman" w:eastAsia="Times New Roman" w:hint="default"/>
          <w:spacing w:val="-1"/>
        </w:rPr>
        <w:t>(1)</w:t>
      </w:r>
      <w:r>
        <w:rPr>
          <w:spacing w:val="-1"/>
        </w:rPr>
        <w:t>市场风险</w:t>
      </w:r>
      <w:r>
        <w:rPr>
          <w:w w:val="100"/>
        </w:rPr>
        <w:t> </w:t>
      </w:r>
      <w:r>
        <w:rPr>
          <w:rFonts w:ascii="宋体" w:hAnsi="宋体" w:cs="宋体" w:eastAsia="宋体" w:hint="default"/>
        </w:rPr>
        <w:t>1</w:t>
      </w:r>
      <w:r>
        <w:rPr/>
        <w:t>）汇率风险</w:t>
      </w:r>
    </w:p>
    <w:p>
      <w:pPr>
        <w:pStyle w:val="BodyText"/>
        <w:spacing w:line="268" w:lineRule="auto" w:before="88"/>
        <w:ind w:right="206" w:firstLine="439"/>
        <w:jc w:val="both"/>
      </w:pPr>
      <w:r>
        <w:rPr>
          <w:spacing w:val="-3"/>
        </w:rPr>
        <w:t>本集团的主要主要业务经营领域位于境内，但也存在一定的国际业务。本集团承受汇率风险主要与美</w:t>
      </w:r>
      <w:r>
        <w:rPr>
          <w:w w:val="100"/>
        </w:rPr>
        <w:t> </w:t>
      </w:r>
      <w:r>
        <w:rPr>
          <w:spacing w:val="-2"/>
        </w:rPr>
        <w:t>元、港币和欧元有关，除本集团的几个下属子公司以港币、欧元、美元进行采购和销售外，本集团的其它</w:t>
      </w:r>
      <w:r>
        <w:rPr>
          <w:spacing w:val="-43"/>
        </w:rPr>
        <w:t> </w:t>
      </w:r>
      <w:r>
        <w:rPr>
          <w:spacing w:val="-43"/>
        </w:rPr>
      </w:r>
      <w:r>
        <w:rPr>
          <w:spacing w:val="-2"/>
        </w:rPr>
        <w:t>主要业务活动以人民币计价结算。于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日，除下表所述资产及负债的美元和港币余额和零星的</w:t>
      </w:r>
      <w:r>
        <w:rPr>
          <w:spacing w:val="-36"/>
        </w:rPr>
        <w:t> </w:t>
      </w:r>
      <w:r>
        <w:rPr>
          <w:spacing w:val="-36"/>
        </w:rPr>
      </w:r>
      <w:r>
        <w:rPr>
          <w:spacing w:val="-2"/>
        </w:rPr>
        <w:t>欧元、英镑、新币余额外，本集团的资产及负债均为人民币余额。该等美元、港币、欧元等余额的资产和</w:t>
      </w:r>
      <w:r>
        <w:rPr>
          <w:spacing w:val="-42"/>
        </w:rPr>
        <w:t> </w:t>
      </w:r>
      <w:r>
        <w:rPr>
          <w:spacing w:val="-42"/>
        </w:rPr>
      </w:r>
      <w:r>
        <w:rPr/>
        <w:t>负债产生的汇率风险可能对本集团的经营业绩产生影响。</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112"/>
        <w:gridCol w:w="2835"/>
        <w:gridCol w:w="2693"/>
      </w:tblGrid>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7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0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30,110,106.09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28,501,777.04</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港币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8,718,348.39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4,979,242.36</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26,914,858.24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7,267,462.26</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英镑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2,251,276.63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44,389.80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新币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763,515.92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410,033.25</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林吉特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1,929,027.90</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474,589.69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623,500.50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3,805,964.41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258,666.15</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港币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8,505,587.85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7,469,958.98</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新币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68,209.00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588,532.60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林吉特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402,134.33</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163,002.58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226,151.57</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1,119,696.47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269,995.37</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港币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25,953,657.17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1,122,280.22</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新币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99,316.60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11,985.00</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林吉特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254,137.15</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3,205,923.05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139,593.60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991,734.09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553,898.25</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港币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1,716,973.70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3,689,173.35</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林吉特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588.97</w:t>
            </w:r>
          </w:p>
        </w:tc>
      </w:tr>
    </w:tbl>
    <w:p>
      <w:pPr>
        <w:spacing w:after="0" w:line="240" w:lineRule="auto"/>
        <w:jc w:val="right"/>
        <w:rPr>
          <w:rFonts w:ascii="Times New Roman" w:hAnsi="Times New Roman" w:cs="Times New Roman" w:eastAsia="Times New Roman" w:hint="default"/>
          <w:sz w:val="21"/>
          <w:szCs w:val="21"/>
        </w:rPr>
        <w:sectPr>
          <w:headerReference w:type="default" r:id="rId57"/>
          <w:footerReference w:type="default" r:id="rId58"/>
          <w:pgSz w:w="11910" w:h="16840"/>
          <w:pgMar w:header="877" w:footer="980" w:top="1100" w:bottom="1160" w:left="980" w:right="920"/>
          <w:pgNumType w:start="19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112"/>
        <w:gridCol w:w="2835"/>
        <w:gridCol w:w="2693"/>
      </w:tblGrid>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新币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275,694.58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1,068,111.12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863,559.94</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895,356.69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1,941,979.14</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港币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80,895,423.93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695,229.46</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新币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227,434.65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373,260.77</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林吉特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29,496.07</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0.00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Times New Roman" w:hAnsi="Times New Roman" w:cs="Times New Roman" w:eastAsia="Times New Roman" w:hint="default"/>
                <w:sz w:val="21"/>
                <w:szCs w:val="21"/>
              </w:rPr>
              <w:t>-</w:t>
            </w:r>
            <w:r>
              <w:rPr>
                <w:rFonts w:ascii="宋体" w:hAnsi="宋体" w:cs="宋体" w:eastAsia="宋体" w:hint="default"/>
                <w:sz w:val="21"/>
                <w:szCs w:val="21"/>
              </w:rPr>
              <w:t>欧元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27,023,001.50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8"/>
        <w:rPr>
          <w:rFonts w:ascii="宋体" w:hAnsi="宋体" w:cs="宋体" w:eastAsia="宋体" w:hint="default"/>
          <w:sz w:val="14"/>
          <w:szCs w:val="14"/>
        </w:rPr>
      </w:pPr>
    </w:p>
    <w:p>
      <w:pPr>
        <w:pStyle w:val="BodyText"/>
        <w:spacing w:line="240" w:lineRule="auto" w:before="36"/>
        <w:ind w:left="592" w:right="153"/>
        <w:jc w:val="left"/>
      </w:pPr>
      <w:r>
        <w:rPr/>
        <w:t>本集团密切关注汇率变动对本集团的影响，重视对汇率风险管理政策和策略的研究。</w:t>
      </w:r>
    </w:p>
    <w:p>
      <w:pPr>
        <w:spacing w:line="240" w:lineRule="auto" w:before="2"/>
        <w:rPr>
          <w:rFonts w:ascii="宋体" w:hAnsi="宋体" w:cs="宋体" w:eastAsia="宋体" w:hint="default"/>
          <w:sz w:val="21"/>
          <w:szCs w:val="21"/>
        </w:rPr>
      </w:pPr>
    </w:p>
    <w:p>
      <w:pPr>
        <w:pStyle w:val="BodyText"/>
        <w:spacing w:line="468" w:lineRule="auto"/>
        <w:ind w:left="592" w:right="4014"/>
        <w:jc w:val="left"/>
      </w:pPr>
      <w:r>
        <w:rPr>
          <w:rFonts w:ascii="Times New Roman" w:hAnsi="Times New Roman" w:cs="Times New Roman" w:eastAsia="Times New Roman" w:hint="default"/>
        </w:rPr>
        <w:t>2)</w:t>
      </w:r>
      <w:r>
        <w:rPr/>
        <w:t>利率风险</w:t>
      </w:r>
      <w:r>
        <w:rPr>
          <w:w w:val="100"/>
        </w:rPr>
        <w:t> </w:t>
      </w:r>
      <w:r>
        <w:rPr>
          <w:spacing w:val="-2"/>
        </w:rPr>
        <w:t>本集团期末无银行借款及应付债券，不存在利率风险。</w:t>
      </w:r>
      <w:r>
        <w:rPr>
          <w:spacing w:val="-59"/>
        </w:rPr>
        <w:t> </w:t>
      </w:r>
      <w:r>
        <w:rPr>
          <w:spacing w:val="-59"/>
        </w:rPr>
      </w:r>
      <w:r>
        <w:rPr>
          <w:rFonts w:ascii="Times New Roman" w:hAnsi="Times New Roman" w:cs="Times New Roman" w:eastAsia="Times New Roman" w:hint="default"/>
        </w:rPr>
        <w:t>3</w:t>
      </w:r>
      <w:r>
        <w:rPr/>
        <w:t>）价格风险</w:t>
      </w:r>
    </w:p>
    <w:p>
      <w:pPr>
        <w:pStyle w:val="BodyText"/>
        <w:spacing w:line="240" w:lineRule="auto" w:before="40"/>
        <w:ind w:left="592" w:right="153"/>
        <w:jc w:val="left"/>
      </w:pPr>
      <w:r>
        <w:rPr/>
        <w:t>本集团目前未面临其他重大价格风险。</w:t>
      </w:r>
    </w:p>
    <w:p>
      <w:pPr>
        <w:pStyle w:val="BodyText"/>
        <w:spacing w:line="550" w:lineRule="atLeast" w:before="18"/>
        <w:ind w:left="592" w:right="153"/>
        <w:jc w:val="left"/>
      </w:pPr>
      <w:r>
        <w:rPr>
          <w:rFonts w:ascii="Times New Roman" w:hAnsi="Times New Roman" w:cs="Times New Roman" w:eastAsia="Times New Roman" w:hint="default"/>
        </w:rPr>
        <w:t>(2)</w:t>
      </w:r>
      <w:r>
        <w:rPr/>
        <w:t>信用风险</w:t>
      </w:r>
      <w:r>
        <w:rPr>
          <w:w w:val="100"/>
        </w:rPr>
        <w:t> </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日，可能引起本集团财务损失的最大信用风险敞口主要来自于合同另一方未能履行义</w:t>
      </w:r>
    </w:p>
    <w:p>
      <w:pPr>
        <w:pStyle w:val="BodyText"/>
        <w:spacing w:line="240" w:lineRule="auto" w:before="21"/>
        <w:ind w:right="153"/>
        <w:jc w:val="left"/>
      </w:pPr>
      <w:r>
        <w:rPr/>
        <w:t>务而导致本集团金融资产产生的损失，具体包括：</w:t>
      </w:r>
    </w:p>
    <w:p>
      <w:pPr>
        <w:spacing w:line="240" w:lineRule="auto" w:before="2"/>
        <w:rPr>
          <w:rFonts w:ascii="宋体" w:hAnsi="宋体" w:cs="宋体" w:eastAsia="宋体" w:hint="default"/>
          <w:sz w:val="21"/>
          <w:szCs w:val="21"/>
        </w:rPr>
      </w:pPr>
    </w:p>
    <w:p>
      <w:pPr>
        <w:pStyle w:val="BodyText"/>
        <w:spacing w:line="273" w:lineRule="auto"/>
        <w:ind w:right="153" w:firstLine="439"/>
        <w:jc w:val="left"/>
      </w:pPr>
      <w:r>
        <w:rPr>
          <w:spacing w:val="-3"/>
        </w:rPr>
        <w:t>合并资产负债表中已确认的金融资产的账面金额；对于以公允价值计量的金融工具而言，账面价值反</w:t>
      </w:r>
      <w:r>
        <w:rPr>
          <w:w w:val="100"/>
        </w:rPr>
        <w:t> </w:t>
      </w:r>
      <w:r>
        <w:rPr/>
        <w:t>映了其风险敞口，但并非最大风险敞口，其最大风险敞口将随着未来公允价值的变化而改变。</w:t>
      </w:r>
    </w:p>
    <w:p>
      <w:pPr>
        <w:pStyle w:val="BodyText"/>
        <w:spacing w:line="552" w:lineRule="exact" w:before="52"/>
        <w:ind w:left="592" w:right="153"/>
        <w:jc w:val="left"/>
      </w:pPr>
      <w:r>
        <w:rPr/>
        <w:t>本集团的流动资金存放在信用评级较高的银行，故流动资金的信用风险较低。</w:t>
      </w:r>
      <w:r>
        <w:rPr>
          <w:w w:val="100"/>
        </w:rPr>
        <w:t> </w:t>
      </w:r>
      <w:r>
        <w:rPr>
          <w:spacing w:val="-3"/>
        </w:rPr>
        <w:t>本集团采用了必要的政策确保所有销售客户均具有良好的信用记录。除应收账款金额前五名外，本集</w:t>
      </w:r>
    </w:p>
    <w:p>
      <w:pPr>
        <w:pStyle w:val="BodyText"/>
        <w:spacing w:line="231" w:lineRule="exact"/>
        <w:ind w:right="153"/>
        <w:jc w:val="left"/>
      </w:pPr>
      <w:r>
        <w:rPr/>
        <w:t>团无其他重大信用集中风险。</w:t>
      </w:r>
    </w:p>
    <w:p>
      <w:pPr>
        <w:spacing w:line="240" w:lineRule="auto" w:before="2"/>
        <w:rPr>
          <w:rFonts w:ascii="宋体" w:hAnsi="宋体" w:cs="宋体" w:eastAsia="宋体" w:hint="default"/>
          <w:sz w:val="21"/>
          <w:szCs w:val="21"/>
        </w:rPr>
      </w:pPr>
    </w:p>
    <w:p>
      <w:pPr>
        <w:pStyle w:val="BodyText"/>
        <w:spacing w:line="240" w:lineRule="auto"/>
        <w:ind w:left="592" w:right="153"/>
        <w:jc w:val="left"/>
      </w:pPr>
      <w:r>
        <w:rPr/>
        <w:t>应收账款前五名金额合计：</w:t>
      </w:r>
      <w:r>
        <w:rPr>
          <w:rFonts w:ascii="Times New Roman" w:hAnsi="Times New Roman" w:cs="Times New Roman" w:eastAsia="Times New Roman" w:hint="default"/>
        </w:rPr>
        <w:t>47,162,765.71</w:t>
      </w:r>
      <w:r>
        <w:rPr/>
        <w:t>元</w:t>
      </w:r>
    </w:p>
    <w:p>
      <w:pPr>
        <w:pStyle w:val="BodyText"/>
        <w:spacing w:line="530" w:lineRule="atLeast" w:before="22"/>
        <w:ind w:left="592" w:right="153"/>
        <w:jc w:val="left"/>
      </w:pPr>
      <w:r>
        <w:rPr>
          <w:rFonts w:ascii="Times New Roman" w:hAnsi="Times New Roman" w:cs="Times New Roman" w:eastAsia="Times New Roman" w:hint="default"/>
        </w:rPr>
        <w:t>(3)</w:t>
      </w:r>
      <w:r>
        <w:rPr/>
        <w:t>流动风险</w:t>
      </w:r>
      <w:r>
        <w:rPr>
          <w:w w:val="100"/>
        </w:rPr>
        <w:t> </w:t>
      </w:r>
      <w:r>
        <w:rPr>
          <w:spacing w:val="-3"/>
        </w:rPr>
        <w:t>流动风险为本集团在到期日无法履行其财务义务的风险。本集团管理流动性风险的方法是确保有足够</w:t>
      </w:r>
    </w:p>
    <w:p>
      <w:pPr>
        <w:pStyle w:val="BodyText"/>
        <w:spacing w:line="273" w:lineRule="auto" w:before="37"/>
        <w:ind w:right="153"/>
        <w:jc w:val="left"/>
      </w:pPr>
      <w:r>
        <w:rPr>
          <w:spacing w:val="-2"/>
        </w:rPr>
        <w:t>的资金流动性来履行到期债务，而不至于造成不可接受的损失或对企业信誉造成损害。本集团定期分析负</w:t>
      </w:r>
      <w:r>
        <w:rPr>
          <w:spacing w:val="-42"/>
        </w:rPr>
        <w:t> </w:t>
      </w:r>
      <w:r>
        <w:rPr>
          <w:spacing w:val="-42"/>
        </w:rPr>
      </w:r>
      <w:r>
        <w:rPr/>
        <w:t>债结构和期限，以确保有充裕的资金。</w:t>
      </w:r>
    </w:p>
    <w:p>
      <w:pPr>
        <w:spacing w:line="240" w:lineRule="auto" w:before="13"/>
        <w:rPr>
          <w:rFonts w:ascii="宋体" w:hAnsi="宋体" w:cs="宋体" w:eastAsia="宋体" w:hint="default"/>
          <w:sz w:val="18"/>
          <w:szCs w:val="18"/>
        </w:rPr>
      </w:pPr>
    </w:p>
    <w:p>
      <w:pPr>
        <w:pStyle w:val="BodyText"/>
        <w:spacing w:line="273" w:lineRule="auto"/>
        <w:ind w:right="153" w:firstLine="439"/>
        <w:jc w:val="left"/>
      </w:pPr>
      <w:r>
        <w:rPr>
          <w:spacing w:val="-3"/>
        </w:rPr>
        <w:t>本集团通过利用银行存款及债务维持资金延续性与灵活性之间的平衡，以管理其流动性风险，本集团</w:t>
      </w:r>
      <w:r>
        <w:rPr>
          <w:w w:val="100"/>
        </w:rPr>
        <w:t> </w:t>
      </w:r>
      <w:r>
        <w:rPr/>
        <w:t>的目标是运用多种融资手段以保持公司的正常运行。</w:t>
      </w:r>
    </w:p>
    <w:p>
      <w:pPr>
        <w:spacing w:line="240" w:lineRule="auto" w:before="12"/>
        <w:rPr>
          <w:rFonts w:ascii="宋体" w:hAnsi="宋体" w:cs="宋体" w:eastAsia="宋体" w:hint="default"/>
          <w:sz w:val="18"/>
          <w:szCs w:val="18"/>
        </w:rPr>
      </w:pPr>
    </w:p>
    <w:p>
      <w:pPr>
        <w:pStyle w:val="BodyText"/>
        <w:spacing w:line="240" w:lineRule="auto"/>
        <w:ind w:right="153"/>
        <w:jc w:val="left"/>
      </w:pPr>
      <w:r>
        <w:rPr>
          <w:rFonts w:ascii="宋体" w:hAnsi="宋体" w:cs="宋体" w:eastAsia="宋体" w:hint="default"/>
        </w:rPr>
        <w:t>2.</w:t>
      </w:r>
      <w:r>
        <w:rPr/>
        <w:t>敏感性分析</w:t>
      </w:r>
    </w:p>
    <w:p>
      <w:pPr>
        <w:spacing w:line="240" w:lineRule="auto" w:before="2"/>
        <w:rPr>
          <w:rFonts w:ascii="宋体" w:hAnsi="宋体" w:cs="宋体" w:eastAsia="宋体" w:hint="default"/>
          <w:sz w:val="21"/>
          <w:szCs w:val="21"/>
        </w:rPr>
      </w:pPr>
    </w:p>
    <w:p>
      <w:pPr>
        <w:pStyle w:val="BodyText"/>
        <w:spacing w:line="273" w:lineRule="auto"/>
        <w:ind w:right="153" w:firstLine="439"/>
        <w:jc w:val="left"/>
      </w:pPr>
      <w:r>
        <w:rPr>
          <w:spacing w:val="2"/>
        </w:rPr>
        <w:t>本集团采用敏感性分析技术分析风险变量的合理、可能变化对当期损益或所有者权益可能产生的影</w:t>
      </w:r>
      <w:r>
        <w:rPr>
          <w:w w:val="100"/>
        </w:rPr>
        <w:t> </w:t>
      </w:r>
      <w:r>
        <w:rPr>
          <w:spacing w:val="-2"/>
        </w:rPr>
        <w:t>响。由于任何风险变量很少孤立的发生变化，而变量之间存在的相关性对某一风险变量变化的最终影响金</w:t>
      </w:r>
    </w:p>
    <w:p>
      <w:pPr>
        <w:spacing w:after="0" w:line="273"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BodyText"/>
        <w:spacing w:line="468" w:lineRule="auto" w:before="36"/>
        <w:ind w:left="592" w:right="153" w:hanging="440"/>
        <w:jc w:val="left"/>
      </w:pPr>
      <w:r>
        <w:rPr/>
        <w:t>额将产生重大作用，因此下述内容是在假设每一变量的变化是独立的情况下进行的。</w:t>
      </w:r>
      <w:r>
        <w:rPr>
          <w:w w:val="100"/>
        </w:rPr>
        <w:t> </w:t>
      </w:r>
      <w:r>
        <w:rPr>
          <w:rFonts w:ascii="Times New Roman" w:hAnsi="Times New Roman" w:cs="Times New Roman" w:eastAsia="Times New Roman" w:hint="default"/>
        </w:rPr>
        <w:t>(1)</w:t>
      </w:r>
      <w:r>
        <w:rPr/>
        <w:t>外汇风险敏感性分析</w:t>
      </w:r>
      <w:r>
        <w:rPr>
          <w:w w:val="100"/>
        </w:rPr>
        <w:t> </w:t>
      </w:r>
      <w:r>
        <w:rPr/>
        <w:t>外汇风险敏感性分析假设：所有境外经营净投资套期及现金流量套期均高度有效。</w:t>
      </w:r>
    </w:p>
    <w:p>
      <w:pPr>
        <w:pStyle w:val="BodyText"/>
        <w:spacing w:line="273" w:lineRule="auto" w:before="77"/>
        <w:ind w:right="153" w:firstLine="439"/>
        <w:jc w:val="left"/>
      </w:pPr>
      <w:r>
        <w:rPr>
          <w:spacing w:val="-3"/>
        </w:rPr>
        <w:t>在上述假设的基础上，在其它变量不变的情况下，汇率可能发生的合理变动对当期损益和权益的税后</w:t>
      </w:r>
      <w:r>
        <w:rPr>
          <w:w w:val="100"/>
        </w:rPr>
        <w:t> </w:t>
      </w:r>
      <w:r>
        <w:rPr/>
        <w:t>影响如下：</w:t>
      </w:r>
    </w:p>
    <w:p>
      <w:pPr>
        <w:spacing w:line="240" w:lineRule="auto" w:before="12"/>
        <w:rPr>
          <w:rFonts w:ascii="宋体" w:hAnsi="宋体" w:cs="宋体" w:eastAsia="宋体" w:hint="default"/>
          <w:sz w:val="19"/>
          <w:szCs w:val="19"/>
        </w:rPr>
      </w:pPr>
    </w:p>
    <w:tbl>
      <w:tblPr>
        <w:tblW w:w="0" w:type="auto"/>
        <w:jc w:val="left"/>
        <w:tblInd w:w="145" w:type="dxa"/>
        <w:tblLayout w:type="fixed"/>
        <w:tblCellMar>
          <w:top w:w="0" w:type="dxa"/>
          <w:left w:w="0" w:type="dxa"/>
          <w:bottom w:w="0" w:type="dxa"/>
          <w:right w:w="0" w:type="dxa"/>
        </w:tblCellMar>
        <w:tblLook w:val="01E0"/>
      </w:tblPr>
      <w:tblGrid>
        <w:gridCol w:w="1008"/>
        <w:gridCol w:w="1740"/>
        <w:gridCol w:w="1676"/>
        <w:gridCol w:w="1673"/>
        <w:gridCol w:w="1702"/>
        <w:gridCol w:w="1558"/>
      </w:tblGrid>
      <w:tr>
        <w:trPr>
          <w:trHeight w:val="348" w:hRule="exact"/>
        </w:trPr>
        <w:tc>
          <w:tcPr>
            <w:tcW w:w="1008" w:type="dxa"/>
            <w:vMerge w:val="restart"/>
            <w:tcBorders>
              <w:top w:val="single" w:sz="6" w:space="0" w:color="000000"/>
              <w:left w:val="single" w:sz="6" w:space="0" w:color="000000"/>
              <w:right w:val="single" w:sz="6" w:space="0" w:color="000000"/>
            </w:tcBorders>
          </w:tcPr>
          <w:p>
            <w:pPr>
              <w:pStyle w:val="TableParagraph"/>
              <w:spacing w:line="272" w:lineRule="exact"/>
              <w:ind w:left="288" w:right="0"/>
              <w:jc w:val="left"/>
              <w:rPr>
                <w:rFonts w:ascii="宋体" w:hAnsi="宋体" w:cs="宋体" w:eastAsia="宋体" w:hint="default"/>
                <w:sz w:val="21"/>
                <w:szCs w:val="21"/>
              </w:rPr>
            </w:pPr>
            <w:r>
              <w:rPr>
                <w:rFonts w:ascii="宋体" w:hAnsi="宋体" w:cs="宋体" w:eastAsia="宋体" w:hint="default"/>
                <w:b/>
                <w:bCs/>
                <w:sz w:val="21"/>
                <w:szCs w:val="21"/>
              </w:rPr>
              <w:t>項目</w:t>
            </w:r>
            <w:r>
              <w:rPr>
                <w:rFonts w:ascii="宋体" w:hAnsi="宋体" w:cs="宋体" w:eastAsia="宋体" w:hint="default"/>
                <w:sz w:val="21"/>
                <w:szCs w:val="21"/>
              </w:rPr>
            </w:r>
          </w:p>
        </w:tc>
        <w:tc>
          <w:tcPr>
            <w:tcW w:w="1740" w:type="dxa"/>
            <w:vMerge w:val="restart"/>
            <w:tcBorders>
              <w:top w:val="single" w:sz="6" w:space="0" w:color="000000"/>
              <w:left w:val="single" w:sz="6" w:space="0" w:color="000000"/>
              <w:right w:val="single" w:sz="6" w:space="0" w:color="000000"/>
            </w:tcBorders>
          </w:tcPr>
          <w:p>
            <w:pPr>
              <w:pStyle w:val="TableParagraph"/>
              <w:spacing w:line="272"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汇率变动</w:t>
            </w:r>
            <w:r>
              <w:rPr>
                <w:rFonts w:ascii="宋体" w:hAnsi="宋体" w:cs="宋体" w:eastAsia="宋体" w:hint="default"/>
                <w:sz w:val="21"/>
                <w:szCs w:val="21"/>
              </w:rPr>
            </w:r>
          </w:p>
        </w:tc>
        <w:tc>
          <w:tcPr>
            <w:tcW w:w="33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c>
          <w:tcPr>
            <w:tcW w:w="3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658" w:hRule="exact"/>
        </w:trPr>
        <w:tc>
          <w:tcPr>
            <w:tcW w:w="1008" w:type="dxa"/>
            <w:vMerge/>
            <w:tcBorders>
              <w:left w:val="single" w:sz="6" w:space="0" w:color="000000"/>
              <w:bottom w:val="single" w:sz="6" w:space="0" w:color="000000"/>
              <w:right w:val="single" w:sz="6" w:space="0" w:color="000000"/>
            </w:tcBorders>
          </w:tcPr>
          <w:p>
            <w:pPr/>
          </w:p>
        </w:tc>
        <w:tc>
          <w:tcPr>
            <w:tcW w:w="1740" w:type="dxa"/>
            <w:vMerge/>
            <w:tcBorders>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对净利润的影响</w:t>
            </w:r>
            <w:r>
              <w:rPr>
                <w:rFonts w:ascii="宋体" w:hAnsi="宋体" w:cs="宋体" w:eastAsia="宋体" w:hint="default"/>
                <w:sz w:val="21"/>
                <w:szCs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19" w:right="87" w:hanging="528"/>
              <w:jc w:val="left"/>
              <w:rPr>
                <w:rFonts w:ascii="宋体" w:hAnsi="宋体" w:cs="宋体" w:eastAsia="宋体" w:hint="default"/>
                <w:sz w:val="21"/>
                <w:szCs w:val="21"/>
              </w:rPr>
            </w:pPr>
            <w:r>
              <w:rPr>
                <w:rFonts w:ascii="宋体" w:hAnsi="宋体" w:cs="宋体" w:eastAsia="宋体" w:hint="default"/>
                <w:b/>
                <w:bCs/>
                <w:sz w:val="21"/>
                <w:szCs w:val="21"/>
              </w:rPr>
              <w:t>对所有者权益的</w:t>
            </w:r>
            <w:r>
              <w:rPr>
                <w:rFonts w:ascii="宋体" w:hAnsi="宋体" w:cs="宋体" w:eastAsia="宋体" w:hint="default"/>
                <w:b/>
                <w:bCs/>
                <w:spacing w:val="-104"/>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对净利润的影响</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59" w:right="29" w:hanging="527"/>
              <w:jc w:val="left"/>
              <w:rPr>
                <w:rFonts w:ascii="宋体" w:hAnsi="宋体" w:cs="宋体" w:eastAsia="宋体" w:hint="default"/>
                <w:sz w:val="21"/>
                <w:szCs w:val="21"/>
              </w:rPr>
            </w:pPr>
            <w:r>
              <w:rPr>
                <w:rFonts w:ascii="宋体" w:hAnsi="宋体" w:cs="宋体" w:eastAsia="宋体" w:hint="default"/>
                <w:b/>
                <w:bCs/>
                <w:sz w:val="21"/>
                <w:szCs w:val="21"/>
              </w:rPr>
              <w:t>对所有者权益的</w:t>
            </w:r>
            <w:r>
              <w:rPr>
                <w:rFonts w:ascii="宋体" w:hAnsi="宋体" w:cs="宋体" w:eastAsia="宋体" w:hint="default"/>
                <w:b/>
                <w:bCs/>
                <w:spacing w:val="-104"/>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r>
      <w:tr>
        <w:trPr>
          <w:trHeight w:val="34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所有外币</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763,731.54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36,218,481.65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1,073,180.87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15,684,966.70</w:t>
            </w:r>
          </w:p>
        </w:tc>
      </w:tr>
      <w:tr>
        <w:trPr>
          <w:trHeight w:val="34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所有外币</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对人民币贬值</w:t>
            </w:r>
            <w:r>
              <w:rPr>
                <w:rFonts w:ascii="Times New Roman" w:hAnsi="Times New Roman" w:cs="Times New Roman" w:eastAsia="Times New Roman" w:hint="default"/>
                <w:sz w:val="21"/>
                <w:szCs w:val="21"/>
              </w:rPr>
              <w:t>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-763,731.54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-36,218,481.65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-1,073,180.87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-15,684,966.70</w:t>
            </w:r>
          </w:p>
        </w:tc>
      </w:tr>
    </w:tbl>
    <w:p>
      <w:pPr>
        <w:spacing w:line="240" w:lineRule="auto" w:before="8"/>
        <w:rPr>
          <w:rFonts w:ascii="宋体" w:hAnsi="宋体" w:cs="宋体" w:eastAsia="宋体" w:hint="default"/>
          <w:sz w:val="14"/>
          <w:szCs w:val="14"/>
        </w:rPr>
      </w:pPr>
    </w:p>
    <w:p>
      <w:pPr>
        <w:pStyle w:val="BodyText"/>
        <w:spacing w:line="468" w:lineRule="auto" w:before="36"/>
        <w:ind w:left="592" w:right="4014"/>
        <w:jc w:val="left"/>
      </w:pPr>
      <w:r>
        <w:rPr>
          <w:rFonts w:ascii="Times New Roman" w:hAnsi="Times New Roman" w:cs="Times New Roman" w:eastAsia="Times New Roman" w:hint="default"/>
        </w:rPr>
        <w:t>(2)</w:t>
      </w:r>
      <w:r>
        <w:rPr/>
        <w:t>利率风险敏感性分析</w:t>
      </w:r>
      <w:r>
        <w:rPr>
          <w:w w:val="100"/>
        </w:rPr>
        <w:t> </w:t>
      </w:r>
      <w:r>
        <w:rPr/>
        <w:t>利率风险敏感性分析基于下述假设：</w:t>
      </w:r>
      <w:r>
        <w:rPr>
          <w:w w:val="100"/>
        </w:rPr>
        <w:t> </w:t>
      </w:r>
      <w:r>
        <w:rPr>
          <w:spacing w:val="-2"/>
        </w:rPr>
        <w:t>市场利率变化影响可变利率金融工具的利息收入或费用；</w:t>
      </w:r>
    </w:p>
    <w:p>
      <w:pPr>
        <w:pStyle w:val="BodyText"/>
        <w:spacing w:line="240" w:lineRule="auto" w:before="77"/>
        <w:ind w:left="592" w:right="153"/>
        <w:jc w:val="left"/>
      </w:pPr>
      <w:r>
        <w:rPr/>
        <w:t>对于以公允价值计量的固定利率金融工具，市场利率变化仅仅影响其利息收入或费用；</w:t>
      </w:r>
    </w:p>
    <w:p>
      <w:pPr>
        <w:spacing w:line="240" w:lineRule="auto" w:before="2"/>
        <w:rPr>
          <w:rFonts w:ascii="宋体" w:hAnsi="宋体" w:cs="宋体" w:eastAsia="宋体" w:hint="default"/>
          <w:sz w:val="21"/>
          <w:szCs w:val="21"/>
        </w:rPr>
      </w:pPr>
    </w:p>
    <w:p>
      <w:pPr>
        <w:pStyle w:val="BodyText"/>
        <w:spacing w:line="273" w:lineRule="auto"/>
        <w:ind w:right="153" w:firstLine="439"/>
        <w:jc w:val="left"/>
      </w:pPr>
      <w:r>
        <w:rPr>
          <w:spacing w:val="-2"/>
        </w:rPr>
        <w:t>以资产负债表日市场利率采用现金流量折现法计算衍生金融工具及其它金融资产和负债的公允价值</w:t>
      </w:r>
      <w:r>
        <w:rPr>
          <w:w w:val="100"/>
        </w:rPr>
        <w:t> </w:t>
      </w:r>
      <w:r>
        <w:rPr/>
        <w:t>变化。</w:t>
      </w:r>
    </w:p>
    <w:p>
      <w:pPr>
        <w:spacing w:line="240" w:lineRule="auto" w:before="12"/>
        <w:rPr>
          <w:rFonts w:ascii="宋体" w:hAnsi="宋体" w:cs="宋体" w:eastAsia="宋体" w:hint="default"/>
          <w:sz w:val="18"/>
          <w:szCs w:val="18"/>
        </w:rPr>
      </w:pPr>
    </w:p>
    <w:p>
      <w:pPr>
        <w:pStyle w:val="BodyText"/>
        <w:spacing w:line="273" w:lineRule="auto"/>
        <w:ind w:right="153" w:firstLine="439"/>
        <w:jc w:val="left"/>
      </w:pPr>
      <w:r>
        <w:rPr>
          <w:spacing w:val="-3"/>
        </w:rPr>
        <w:t>在上述假设的基础上，在其它变量不变的情况下，利率可能发生的合理变动对当期损益和权益的税后</w:t>
      </w:r>
      <w:r>
        <w:rPr>
          <w:w w:val="100"/>
        </w:rPr>
        <w:t> </w:t>
      </w:r>
      <w:r>
        <w:rPr/>
        <w:t>影响如下：</w:t>
      </w:r>
    </w:p>
    <w:p>
      <w:pPr>
        <w:spacing w:line="240" w:lineRule="auto" w:before="12"/>
        <w:rPr>
          <w:rFonts w:ascii="宋体" w:hAnsi="宋体" w:cs="宋体" w:eastAsia="宋体" w:hint="default"/>
          <w:sz w:val="19"/>
          <w:szCs w:val="19"/>
        </w:rPr>
      </w:pPr>
    </w:p>
    <w:tbl>
      <w:tblPr>
        <w:tblW w:w="0" w:type="auto"/>
        <w:jc w:val="left"/>
        <w:tblInd w:w="145" w:type="dxa"/>
        <w:tblLayout w:type="fixed"/>
        <w:tblCellMar>
          <w:top w:w="0" w:type="dxa"/>
          <w:left w:w="0" w:type="dxa"/>
          <w:bottom w:w="0" w:type="dxa"/>
          <w:right w:w="0" w:type="dxa"/>
        </w:tblCellMar>
        <w:tblLook w:val="01E0"/>
      </w:tblPr>
      <w:tblGrid>
        <w:gridCol w:w="2535"/>
        <w:gridCol w:w="1774"/>
        <w:gridCol w:w="2496"/>
        <w:gridCol w:w="2269"/>
      </w:tblGrid>
      <w:tr>
        <w:trPr>
          <w:trHeight w:val="346" w:hRule="exact"/>
        </w:trPr>
        <w:tc>
          <w:tcPr>
            <w:tcW w:w="2535"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74" w:type="dxa"/>
            <w:vMerge w:val="restart"/>
            <w:tcBorders>
              <w:top w:val="single" w:sz="6" w:space="0" w:color="000000"/>
              <w:left w:val="single" w:sz="6" w:space="0" w:color="000000"/>
              <w:right w:val="single" w:sz="6" w:space="0" w:color="000000"/>
            </w:tcBorders>
          </w:tcPr>
          <w:p>
            <w:pPr>
              <w:pStyle w:val="TableParagraph"/>
              <w:spacing w:line="27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利率变动</w:t>
            </w:r>
            <w:r>
              <w:rPr>
                <w:rFonts w:ascii="宋体" w:hAnsi="宋体" w:cs="宋体" w:eastAsia="宋体" w:hint="default"/>
                <w:sz w:val="21"/>
                <w:szCs w:val="21"/>
              </w:rPr>
            </w:r>
          </w:p>
        </w:tc>
        <w:tc>
          <w:tcPr>
            <w:tcW w:w="47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48" w:hRule="exact"/>
        </w:trPr>
        <w:tc>
          <w:tcPr>
            <w:tcW w:w="2535" w:type="dxa"/>
            <w:vMerge/>
            <w:tcBorders>
              <w:left w:val="single" w:sz="6" w:space="0" w:color="000000"/>
              <w:bottom w:val="single" w:sz="6" w:space="0" w:color="000000"/>
              <w:right w:val="single" w:sz="6" w:space="0" w:color="000000"/>
            </w:tcBorders>
          </w:tcPr>
          <w:p>
            <w:pPr/>
          </w:p>
        </w:tc>
        <w:tc>
          <w:tcPr>
            <w:tcW w:w="1774" w:type="dxa"/>
            <w:vMerge/>
            <w:tcBorders>
              <w:left w:val="single" w:sz="6" w:space="0" w:color="000000"/>
              <w:bottom w:val="single" w:sz="6" w:space="0" w:color="000000"/>
              <w:right w:val="single" w:sz="6" w:space="0" w:color="000000"/>
            </w:tcBorders>
          </w:tcPr>
          <w:p>
            <w:pP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3" w:right="0"/>
              <w:jc w:val="left"/>
              <w:rPr>
                <w:rFonts w:ascii="宋体" w:hAnsi="宋体" w:cs="宋体" w:eastAsia="宋体" w:hint="default"/>
                <w:sz w:val="21"/>
                <w:szCs w:val="21"/>
              </w:rPr>
            </w:pPr>
            <w:r>
              <w:rPr>
                <w:rFonts w:ascii="宋体" w:hAnsi="宋体" w:cs="宋体" w:eastAsia="宋体" w:hint="default"/>
                <w:b/>
                <w:bCs/>
                <w:sz w:val="21"/>
                <w:szCs w:val="21"/>
              </w:rPr>
              <w:t>对净利润的影响</w:t>
            </w:r>
            <w:r>
              <w:rPr>
                <w:rFonts w:ascii="宋体" w:hAnsi="宋体" w:cs="宋体" w:eastAsia="宋体" w:hint="default"/>
                <w:sz w:val="21"/>
                <w:szCs w:val="21"/>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对股东权益的影响</w:t>
            </w:r>
            <w:r>
              <w:rPr>
                <w:rFonts w:ascii="宋体" w:hAnsi="宋体" w:cs="宋体" w:eastAsia="宋体" w:hint="default"/>
                <w:sz w:val="21"/>
                <w:szCs w:val="21"/>
              </w:rPr>
            </w:r>
          </w:p>
        </w:tc>
      </w:tr>
      <w:tr>
        <w:trPr>
          <w:trHeight w:val="346"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浮动利率借款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2,272,264.03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2,272,264.03</w:t>
            </w:r>
          </w:p>
        </w:tc>
      </w:tr>
      <w:tr>
        <w:trPr>
          <w:trHeight w:val="348"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浮动利率借款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-2,272,264.03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-2,272,264.03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right="15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54.77%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54.77%</w:t>
            </w:r>
          </w:p>
        </w:tc>
      </w:tr>
    </w:tbl>
    <w:p>
      <w:pPr>
        <w:spacing w:line="357"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before="29"/>
        <w:ind w:left="152" w:right="153"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本企业最终控制方是李仲初。</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spacing w:line="360" w:lineRule="auto" w:before="44"/>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spacing w:line="544" w:lineRule="auto" w:before="0"/>
        <w:ind w:left="152" w:right="40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9"/>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）重要的合营企业或联营企业。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5245"/>
        <w:gridCol w:w="4326"/>
      </w:tblGrid>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360" w:lineRule="auto" w:before="49"/>
        <w:ind w:left="152" w:right="90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5245"/>
        <w:gridCol w:w="4326"/>
      </w:tblGrid>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其他持股在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以上的法人股东</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08"/>
        <w:gridCol w:w="1454"/>
        <w:gridCol w:w="1181"/>
        <w:gridCol w:w="1560"/>
        <w:gridCol w:w="1198"/>
        <w:gridCol w:w="1267"/>
      </w:tblGrid>
      <w:tr>
        <w:trPr>
          <w:trHeight w:val="714" w:hRule="exact"/>
        </w:trPr>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5" w:right="51" w:hanging="360"/>
              <w:jc w:val="left"/>
              <w:rPr>
                <w:rFonts w:ascii="宋体" w:hAnsi="宋体" w:cs="宋体" w:eastAsia="宋体" w:hint="default"/>
                <w:sz w:val="18"/>
                <w:szCs w:val="18"/>
              </w:rPr>
            </w:pPr>
            <w:r>
              <w:rPr>
                <w:rFonts w:ascii="宋体" w:hAnsi="宋体" w:cs="宋体" w:eastAsia="宋体" w:hint="default"/>
                <w:sz w:val="18"/>
                <w:szCs w:val="18"/>
              </w:rPr>
              <w:t>是否超过交易 额度</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购销商品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6,821,807.80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6,821,807.80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11,665,765.52</w:t>
            </w:r>
          </w:p>
        </w:tc>
      </w:tr>
      <w:tr>
        <w:trPr>
          <w:trHeight w:val="40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4,519,899.45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126"/>
        <w:gridCol w:w="2124"/>
        <w:gridCol w:w="2057"/>
      </w:tblGrid>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71,362,369.01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50,637,488.22</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3,166,816.55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635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7" w:right="0"/>
              <w:jc w:val="left"/>
              <w:rPr>
                <w:rFonts w:ascii="Times New Roman" w:hAnsi="Times New Roman" w:cs="Times New Roman" w:eastAsia="Times New Roman" w:hint="default"/>
                <w:sz w:val="18"/>
                <w:szCs w:val="18"/>
              </w:rPr>
            </w:pPr>
            <w:r>
              <w:rPr>
                <w:rFonts w:ascii="Times New Roman"/>
                <w:sz w:val="18"/>
              </w:rPr>
              <w:t>7,440,900.00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8" w:right="0"/>
              <w:jc w:val="left"/>
              <w:rPr>
                <w:rFonts w:ascii="Times New Roman" w:hAnsi="Times New Roman" w:cs="Times New Roman" w:eastAsia="Times New Roman" w:hint="default"/>
                <w:sz w:val="18"/>
                <w:szCs w:val="18"/>
              </w:rPr>
            </w:pPr>
            <w:r>
              <w:rPr>
                <w:rFonts w:ascii="Times New Roman"/>
                <w:sz w:val="18"/>
              </w:rPr>
              <w:t>6,701,400.00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3260"/>
        <w:gridCol w:w="1277"/>
        <w:gridCol w:w="1133"/>
        <w:gridCol w:w="1277"/>
        <w:gridCol w:w="1277"/>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326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1,947,504.90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19,475.05</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2,321,559.18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112,761.58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1,077,435.90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3260"/>
        <w:gridCol w:w="2268"/>
        <w:gridCol w:w="205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9,987,500.86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15,835,335.47</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261,573.79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46"/>
        <w:jc w:val="both"/>
      </w:pPr>
      <w:r>
        <w:rPr/>
        <w:t>（</w:t>
      </w:r>
      <w:r>
        <w:rPr>
          <w:rFonts w:ascii="宋体" w:hAnsi="宋体" w:cs="宋体" w:eastAsia="宋体" w:hint="default"/>
        </w:rPr>
        <w:t>1</w:t>
      </w:r>
      <w:r>
        <w:rPr/>
        <w:t>）中电器件固定资产中位于北京朝阳区新源街</w:t>
      </w:r>
      <w:r>
        <w:rPr>
          <w:rFonts w:ascii="宋体" w:hAnsi="宋体" w:cs="宋体" w:eastAsia="宋体" w:hint="default"/>
        </w:rPr>
        <w:t>18</w:t>
      </w:r>
      <w:r>
        <w:rPr/>
        <w:t>号楼房产目前未取得土地使用权证。该房产</w:t>
      </w:r>
      <w:r>
        <w:rPr>
          <w:w w:val="100"/>
        </w:rPr>
        <w:t> </w:t>
      </w:r>
      <w:r>
        <w:rPr>
          <w:spacing w:val="-2"/>
        </w:rPr>
        <w:t>建筑面积为</w:t>
      </w:r>
      <w:r>
        <w:rPr>
          <w:rFonts w:ascii="宋体" w:hAnsi="宋体" w:cs="宋体" w:eastAsia="宋体" w:hint="default"/>
          <w:spacing w:val="-2"/>
        </w:rPr>
        <w:t>1,521.80</w:t>
      </w:r>
      <w:r>
        <w:rPr>
          <w:spacing w:val="-2"/>
        </w:rPr>
        <w:t>平方米，房产账面原值为</w:t>
      </w:r>
      <w:r>
        <w:rPr>
          <w:rFonts w:ascii="宋体" w:hAnsi="宋体" w:cs="宋体" w:eastAsia="宋体" w:hint="default"/>
          <w:spacing w:val="-2"/>
        </w:rPr>
        <w:t>1,157.84</w:t>
      </w:r>
      <w:r>
        <w:rPr>
          <w:spacing w:val="-2"/>
        </w:rPr>
        <w:t>万元，目前用于对外出租，该房产在公司</w:t>
      </w:r>
      <w:r>
        <w:rPr>
          <w:rFonts w:ascii="宋体" w:hAnsi="宋体" w:cs="宋体" w:eastAsia="宋体" w:hint="default"/>
          <w:spacing w:val="-2"/>
        </w:rPr>
        <w:t>2006</w:t>
      </w:r>
      <w:r>
        <w:rPr>
          <w:rFonts w:ascii="宋体" w:hAnsi="宋体" w:cs="宋体" w:eastAsia="宋体" w:hint="default"/>
          <w:spacing w:val="-46"/>
        </w:rPr>
        <w:t> </w:t>
      </w:r>
      <w:r>
        <w:rPr/>
        <w:t>年改制前由中电器件的前身中国电子器件工业总公司所有，并已取得“朝全字第</w:t>
      </w:r>
      <w:r>
        <w:rPr>
          <w:rFonts w:ascii="宋体" w:hAnsi="宋体" w:cs="宋体" w:eastAsia="宋体" w:hint="default"/>
        </w:rPr>
        <w:t>08263</w:t>
      </w:r>
      <w:r>
        <w:rPr/>
        <w:t>号”房产证，</w:t>
      </w:r>
      <w:r>
        <w:rPr>
          <w:spacing w:val="-43"/>
        </w:rPr>
        <w:t> </w:t>
      </w:r>
      <w:r>
        <w:rPr>
          <w:spacing w:val="-43"/>
        </w:rPr>
      </w:r>
      <w:r>
        <w:rPr>
          <w:spacing w:val="-2"/>
        </w:rPr>
        <w:t>但未取得对应土地使用权证。中电器件</w:t>
      </w:r>
      <w:r>
        <w:rPr>
          <w:rFonts w:ascii="宋体" w:hAnsi="宋体" w:cs="宋体" w:eastAsia="宋体" w:hint="default"/>
          <w:spacing w:val="-2"/>
        </w:rPr>
        <w:t>2006</w:t>
      </w:r>
      <w:r>
        <w:rPr>
          <w:spacing w:val="-2"/>
        </w:rPr>
        <w:t>年改制后，该房产一直由中电器件实际所有并用于对外出</w:t>
      </w:r>
      <w:r>
        <w:rPr>
          <w:spacing w:val="-64"/>
        </w:rPr>
        <w:t> </w:t>
      </w:r>
      <w:r>
        <w:rPr>
          <w:spacing w:val="-64"/>
        </w:rPr>
      </w:r>
      <w:r>
        <w:rPr>
          <w:spacing w:val="-2"/>
        </w:rPr>
        <w:t>租，且租金收益归中电器件所有。公司控股股东及实际控制人李仲初先生承诺，如未来上市公司在正</w:t>
      </w:r>
      <w:r>
        <w:rPr>
          <w:spacing w:val="-68"/>
        </w:rPr>
        <w:t> </w:t>
      </w:r>
      <w:r>
        <w:rPr>
          <w:spacing w:val="-68"/>
        </w:rPr>
      </w:r>
      <w:r>
        <w:rPr/>
        <w:t>常运行中，因未取得该房产权属证明而遭受任何损失，李仲初先生承诺将给予足额补偿。</w:t>
      </w:r>
    </w:p>
    <w:p>
      <w:pPr>
        <w:spacing w:line="240" w:lineRule="auto" w:before="11"/>
        <w:rPr>
          <w:rFonts w:ascii="宋体" w:hAnsi="宋体" w:cs="宋体" w:eastAsia="宋体" w:hint="default"/>
          <w:sz w:val="18"/>
          <w:szCs w:val="18"/>
        </w:rPr>
      </w:pPr>
    </w:p>
    <w:p>
      <w:pPr>
        <w:pStyle w:val="Heading6"/>
        <w:spacing w:line="259" w:lineRule="auto"/>
        <w:ind w:right="147"/>
        <w:jc w:val="both"/>
      </w:pPr>
      <w:r>
        <w:rPr/>
        <w:t>（</w:t>
      </w:r>
      <w:r>
        <w:rPr>
          <w:rFonts w:ascii="宋体" w:hAnsi="宋体" w:cs="宋体" w:eastAsia="宋体" w:hint="default"/>
        </w:rPr>
        <w:t>2</w:t>
      </w:r>
      <w:r>
        <w:rPr/>
        <w:t>）中电器件投资性房地产中账面原值为</w:t>
      </w:r>
      <w:r>
        <w:rPr>
          <w:rFonts w:ascii="宋体" w:hAnsi="宋体" w:cs="宋体" w:eastAsia="宋体" w:hint="default"/>
        </w:rPr>
        <w:t>3,100.92</w:t>
      </w:r>
      <w:r>
        <w:rPr/>
        <w:t>万元位于海淀区复兴路甲</w:t>
      </w:r>
      <w:r>
        <w:rPr>
          <w:rFonts w:ascii="宋体" w:hAnsi="宋体" w:cs="宋体" w:eastAsia="宋体" w:hint="default"/>
        </w:rPr>
        <w:t>65</w:t>
      </w:r>
      <w:r>
        <w:rPr/>
        <w:t>号（底商部分）</w:t>
      </w:r>
      <w:r>
        <w:rPr>
          <w:w w:val="100"/>
        </w:rPr>
        <w:t> </w:t>
      </w:r>
      <w:r>
        <w:rPr>
          <w:spacing w:val="-2"/>
        </w:rPr>
        <w:t>的房产，在中电器件</w:t>
      </w:r>
      <w:r>
        <w:rPr>
          <w:rFonts w:ascii="宋体" w:hAnsi="宋体" w:cs="宋体" w:eastAsia="宋体" w:hint="default"/>
          <w:spacing w:val="-2"/>
        </w:rPr>
        <w:t>2006</w:t>
      </w:r>
      <w:r>
        <w:rPr>
          <w:spacing w:val="-2"/>
        </w:rPr>
        <w:t>年改制前由中电器件的前身中国电子器件工业总公司所有，并已取得“京房</w:t>
      </w:r>
      <w:r>
        <w:rPr>
          <w:spacing w:val="-66"/>
        </w:rPr>
        <w:t> </w:t>
      </w:r>
      <w:r>
        <w:rPr>
          <w:spacing w:val="-66"/>
        </w:rPr>
      </w:r>
      <w:r>
        <w:rPr/>
        <w:t>权证海国更字第</w:t>
      </w:r>
      <w:r>
        <w:rPr>
          <w:rFonts w:ascii="宋体" w:hAnsi="宋体" w:cs="宋体" w:eastAsia="宋体" w:hint="default"/>
        </w:rPr>
        <w:t>00701</w:t>
      </w:r>
      <w:r>
        <w:rPr/>
        <w:t>号”房产证，中电器件</w:t>
      </w:r>
      <w:r>
        <w:rPr>
          <w:rFonts w:ascii="宋体" w:hAnsi="宋体" w:cs="宋体" w:eastAsia="宋体" w:hint="default"/>
        </w:rPr>
        <w:t>2006</w:t>
      </w:r>
      <w:r>
        <w:rPr/>
        <w:t>年改制后，该房产一直由公司实际所有并用于对外</w:t>
      </w:r>
      <w:r>
        <w:rPr>
          <w:spacing w:val="-48"/>
        </w:rPr>
        <w:t> </w:t>
      </w:r>
      <w:r>
        <w:rPr>
          <w:spacing w:val="-48"/>
        </w:rPr>
      </w:r>
      <w:r>
        <w:rPr>
          <w:spacing w:val="-2"/>
        </w:rPr>
        <w:t>出租，且租金收益归中电器件所有。公司控股股东及实际控制人李仲初先生承诺，如未来上市公司在</w:t>
      </w:r>
      <w:r>
        <w:rPr>
          <w:spacing w:val="-66"/>
        </w:rPr>
        <w:t> </w:t>
      </w:r>
      <w:r>
        <w:rPr>
          <w:spacing w:val="-66"/>
        </w:rPr>
      </w:r>
      <w:r>
        <w:rPr/>
        <w:t>正常运行中，因未取得该房产权属证明而遭受任何损失，李仲初先生将给予足额补偿。</w:t>
      </w:r>
    </w:p>
    <w:p>
      <w:pPr>
        <w:spacing w:line="240" w:lineRule="auto" w:before="11"/>
        <w:rPr>
          <w:rFonts w:ascii="宋体" w:hAnsi="宋体" w:cs="宋体" w:eastAsia="宋体" w:hint="default"/>
          <w:sz w:val="18"/>
          <w:szCs w:val="18"/>
        </w:rPr>
      </w:pPr>
    </w:p>
    <w:p>
      <w:pPr>
        <w:pStyle w:val="Heading6"/>
        <w:spacing w:line="259" w:lineRule="auto"/>
        <w:ind w:right="150"/>
        <w:jc w:val="both"/>
      </w:pPr>
      <w:r>
        <w:rPr/>
        <w:t>（</w:t>
      </w:r>
      <w:r>
        <w:rPr>
          <w:rFonts w:ascii="宋体" w:hAnsi="宋体" w:cs="宋体" w:eastAsia="宋体" w:hint="default"/>
        </w:rPr>
        <w:t>3</w:t>
      </w:r>
      <w:r>
        <w:rPr/>
        <w:t>）本公司之控股子公司深圳京宝实业有限公司因营业期限过期（超期经营），自</w:t>
      </w:r>
      <w:r>
        <w:rPr>
          <w:rFonts w:ascii="宋体" w:hAnsi="宋体" w:cs="宋体" w:eastAsia="宋体" w:hint="default"/>
        </w:rPr>
        <w:t>2011</w:t>
      </w:r>
      <w:r>
        <w:rPr/>
        <w:t>年</w:t>
      </w:r>
      <w:r>
        <w:rPr>
          <w:rFonts w:ascii="宋体" w:hAnsi="宋体" w:cs="宋体" w:eastAsia="宋体" w:hint="default"/>
        </w:rPr>
        <w:t>12</w:t>
      </w:r>
      <w:r>
        <w:rPr/>
        <w:t>月</w:t>
      </w:r>
      <w:r>
        <w:rPr>
          <w:w w:val="100"/>
        </w:rPr>
        <w:t> </w:t>
      </w:r>
      <w:r>
        <w:rPr>
          <w:rFonts w:ascii="宋体" w:hAnsi="宋体" w:cs="宋体" w:eastAsia="宋体" w:hint="default"/>
          <w:spacing w:val="-2"/>
        </w:rPr>
        <w:t>31</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日被自动限制超期经营。目前，深圳京宝实业有限公司的锁定限制信息状态栏显</w:t>
      </w:r>
      <w:r>
        <w:rPr>
          <w:spacing w:val="-61"/>
        </w:rPr>
        <w:t> </w:t>
      </w:r>
      <w:r>
        <w:rPr>
          <w:spacing w:val="-61"/>
        </w:rPr>
      </w:r>
      <w:r>
        <w:rPr>
          <w:spacing w:val="-2"/>
        </w:rPr>
        <w:t>示其仍处于“限制中”。本公司控股股东及实际控制人李仲初先生承诺，如深圳京宝实业有限公司需</w:t>
      </w:r>
    </w:p>
    <w:p>
      <w:pPr>
        <w:spacing w:after="0" w:line="259" w:lineRule="auto"/>
        <w:jc w:val="both"/>
        <w:sectPr>
          <w:pgSz w:w="11910" w:h="16840"/>
          <w:pgMar w:header="877" w:footer="980" w:top="1100" w:bottom="1160" w:left="980" w:right="980"/>
        </w:sectPr>
      </w:pPr>
    </w:p>
    <w:p>
      <w:pPr>
        <w:spacing w:line="240" w:lineRule="auto" w:before="5"/>
        <w:rPr>
          <w:rFonts w:ascii="宋体" w:hAnsi="宋体" w:cs="宋体" w:eastAsia="宋体" w:hint="default"/>
          <w:sz w:val="20"/>
          <w:szCs w:val="20"/>
        </w:rPr>
      </w:pPr>
    </w:p>
    <w:p>
      <w:pPr>
        <w:pStyle w:val="Heading6"/>
        <w:spacing w:line="240" w:lineRule="auto" w:before="32"/>
        <w:ind w:right="153" w:firstLine="0"/>
        <w:jc w:val="left"/>
      </w:pPr>
      <w:r>
        <w:rPr/>
        <w:t>承担任何形式的负债</w:t>
      </w:r>
      <w:r>
        <w:rPr>
          <w:rFonts w:ascii="宋体" w:hAnsi="宋体" w:cs="宋体" w:eastAsia="宋体" w:hint="default"/>
        </w:rPr>
        <w:t>/</w:t>
      </w:r>
      <w:r>
        <w:rPr/>
        <w:t>或有负债对中电器件造成损失，其愿意承担经济补偿责任。</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813"/>
        <w:gridCol w:w="3757"/>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29,350,400.00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534,207.40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line="357" w:lineRule="auto" w:before="50"/>
        <w:ind w:left="152" w:right="90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期权定价模型</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35,931,092.60</w:t>
            </w:r>
          </w:p>
        </w:tc>
      </w:tr>
      <w:tr>
        <w:trPr>
          <w:trHeight w:val="404"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28,816,192.60</w:t>
            </w:r>
          </w:p>
        </w:tc>
      </w:tr>
    </w:tbl>
    <w:p>
      <w:pPr>
        <w:spacing w:line="357" w:lineRule="auto" w:before="49"/>
        <w:ind w:left="152" w:right="90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506" w:lineRule="auto" w:before="102"/>
        <w:ind w:left="152" w:right="7365"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6"/>
        <w:spacing w:line="240" w:lineRule="auto" w:before="89"/>
        <w:ind w:left="549" w:right="153" w:firstLine="0"/>
        <w:jc w:val="left"/>
      </w:pPr>
      <w:r>
        <w:rPr/>
        <w:t>不可撤销经营租赁</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961"/>
        <w:gridCol w:w="3397"/>
      </w:tblGrid>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90"/>
              <w:jc w:val="right"/>
              <w:rPr>
                <w:rFonts w:ascii="宋体" w:hAnsi="宋体" w:cs="宋体" w:eastAsia="宋体" w:hint="default"/>
                <w:sz w:val="18"/>
                <w:szCs w:val="18"/>
              </w:rPr>
            </w:pPr>
            <w:r>
              <w:rPr>
                <w:rFonts w:ascii="宋体" w:hAnsi="宋体" w:cs="宋体" w:eastAsia="宋体" w:hint="default"/>
                <w:sz w:val="18"/>
                <w:szCs w:val="18"/>
              </w:rPr>
              <w:t>项目</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31,358,344.38</w:t>
            </w:r>
          </w:p>
        </w:tc>
      </w:tr>
      <w:tr>
        <w:trPr>
          <w:trHeight w:val="346"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17,901,343.00</w:t>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年及以后年度</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11,213,473.57</w:t>
            </w:r>
          </w:p>
        </w:tc>
      </w:tr>
      <w:tr>
        <w:trPr>
          <w:trHeight w:val="348" w:hRule="exact"/>
        </w:trPr>
        <w:tc>
          <w:tcPr>
            <w:tcW w:w="5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90"/>
              <w:jc w:val="right"/>
              <w:rPr>
                <w:rFonts w:ascii="宋体" w:hAnsi="宋体" w:cs="宋体" w:eastAsia="宋体" w:hint="default"/>
                <w:sz w:val="18"/>
                <w:szCs w:val="18"/>
              </w:rPr>
            </w:pPr>
            <w:r>
              <w:rPr>
                <w:rFonts w:ascii="宋体" w:hAnsi="宋体" w:cs="宋体" w:eastAsia="宋体" w:hint="default"/>
                <w:sz w:val="18"/>
                <w:szCs w:val="18"/>
              </w:rPr>
              <w:t>合计</w:t>
            </w:r>
          </w:p>
        </w:tc>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60,473,160.95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20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20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pStyle w:val="Heading6"/>
        <w:spacing w:line="550" w:lineRule="atLeast" w:before="52"/>
        <w:ind w:left="551" w:right="208" w:firstLine="0"/>
        <w:jc w:val="left"/>
        <w:rPr>
          <w:rFonts w:ascii="宋体" w:hAnsi="宋体" w:cs="宋体" w:eastAsia="宋体" w:hint="default"/>
        </w:rPr>
      </w:pPr>
      <w:r>
        <w:rPr/>
        <w:t>本集团截至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日，存在以下</w:t>
      </w:r>
      <w:r>
        <w:rPr>
          <w:rFonts w:ascii="宋体" w:hAnsi="宋体" w:cs="宋体" w:eastAsia="宋体" w:hint="default"/>
        </w:rPr>
        <w:t>3</w:t>
      </w:r>
      <w:r>
        <w:rPr/>
        <w:t>起重大或有事项，具体如下：</w:t>
      </w:r>
      <w:r>
        <w:rPr>
          <w:w w:val="100"/>
        </w:rPr>
        <w:t> </w:t>
      </w:r>
      <w:r>
        <w:rPr>
          <w:rFonts w:ascii="宋体" w:hAnsi="宋体" w:cs="宋体" w:eastAsia="宋体" w:hint="default"/>
        </w:rPr>
        <w:t>1.</w:t>
      </w:r>
      <w:r>
        <w:rPr/>
        <w:t>中电器件应收南京汇贤科技有限公司（以下简称南京汇贤）应收款项</w:t>
      </w:r>
      <w:r>
        <w:rPr>
          <w:rFonts w:ascii="宋体" w:hAnsi="宋体" w:cs="宋体" w:eastAsia="宋体" w:hint="default"/>
        </w:rPr>
        <w:t>2,052,636.89</w:t>
      </w:r>
      <w:r>
        <w:rPr/>
        <w:t>元，账龄</w:t>
      </w:r>
      <w:r>
        <w:rPr>
          <w:rFonts w:ascii="宋体" w:hAnsi="宋体" w:cs="宋体" w:eastAsia="宋体" w:hint="default"/>
        </w:rPr>
        <w:t>1</w:t>
      </w:r>
    </w:p>
    <w:p>
      <w:pPr>
        <w:pStyle w:val="Heading6"/>
        <w:spacing w:line="259" w:lineRule="auto" w:before="24"/>
        <w:ind w:right="209" w:firstLine="0"/>
        <w:jc w:val="both"/>
      </w:pPr>
      <w:r>
        <w:rPr/>
        <w:t>年以内</w:t>
      </w:r>
      <w:r>
        <w:rPr>
          <w:rFonts w:ascii="宋体" w:hAnsi="宋体" w:cs="宋体" w:eastAsia="宋体" w:hint="default"/>
        </w:rPr>
        <w:t>827,880.00</w:t>
      </w:r>
      <w:r>
        <w:rPr/>
        <w:t>元，</w:t>
      </w:r>
      <w:r>
        <w:rPr>
          <w:rFonts w:ascii="宋体" w:hAnsi="宋体" w:cs="宋体" w:eastAsia="宋体" w:hint="default"/>
        </w:rPr>
        <w:t>1-2</w:t>
      </w:r>
      <w:r>
        <w:rPr/>
        <w:t>年为</w:t>
      </w:r>
      <w:r>
        <w:rPr>
          <w:rFonts w:ascii="宋体" w:hAnsi="宋体" w:cs="宋体" w:eastAsia="宋体" w:hint="default"/>
        </w:rPr>
        <w:t>1,224,756.89</w:t>
      </w:r>
      <w:r>
        <w:rPr/>
        <w:t>元。因南京汇贤（法定代表人：高国峰）与第三方单位</w:t>
      </w:r>
      <w:r>
        <w:rPr>
          <w:spacing w:val="-48"/>
        </w:rPr>
        <w:t> </w:t>
      </w:r>
      <w:r>
        <w:rPr>
          <w:spacing w:val="-48"/>
        </w:rPr>
      </w:r>
      <w:r>
        <w:rPr/>
        <w:t>存在买卖合同纠纷，南京汇贤被申请破产清算，中电器件于</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13</w:t>
      </w:r>
      <w:r>
        <w:rPr/>
        <w:t>日向法院申请财产保全，请</w:t>
      </w:r>
      <w:r>
        <w:rPr>
          <w:spacing w:val="-44"/>
        </w:rPr>
        <w:t> </w:t>
      </w:r>
      <w:r>
        <w:rPr>
          <w:spacing w:val="-44"/>
        </w:rPr>
      </w:r>
      <w:r>
        <w:rPr/>
        <w:t>求对被申请人南京汇贤、高国峰名下价值</w:t>
      </w:r>
      <w:r>
        <w:rPr>
          <w:rFonts w:ascii="宋体" w:hAnsi="宋体" w:cs="宋体" w:eastAsia="宋体" w:hint="default"/>
        </w:rPr>
        <w:t>2,212,392</w:t>
      </w:r>
      <w:r>
        <w:rPr/>
        <w:t>元的财产提供担保。经法院经审查认为，申请人</w:t>
      </w:r>
      <w:r>
        <w:rPr>
          <w:spacing w:val="-47"/>
        </w:rPr>
        <w:t> </w:t>
      </w:r>
      <w:r>
        <w:rPr>
          <w:spacing w:val="-47"/>
        </w:rPr>
      </w:r>
      <w:r>
        <w:rPr>
          <w:spacing w:val="-2"/>
        </w:rPr>
        <w:t>中电器件的申请符合法律规定，裁定如下：冻结南京汇贤、高国峰名下价值二百二十一万二千三百九</w:t>
      </w:r>
      <w:r>
        <w:rPr>
          <w:spacing w:val="-70"/>
        </w:rPr>
        <w:t> </w:t>
      </w:r>
      <w:r>
        <w:rPr>
          <w:spacing w:val="-70"/>
        </w:rPr>
      </w:r>
      <w:r>
        <w:rPr/>
        <w:t>十二元的财产，并于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14</w:t>
      </w:r>
      <w:r>
        <w:rPr/>
        <w:t>日立即执行保全措施。</w:t>
      </w:r>
    </w:p>
    <w:p>
      <w:pPr>
        <w:spacing w:line="240" w:lineRule="auto" w:before="11"/>
        <w:rPr>
          <w:rFonts w:ascii="宋体" w:hAnsi="宋体" w:cs="宋体" w:eastAsia="宋体" w:hint="default"/>
          <w:sz w:val="18"/>
          <w:szCs w:val="18"/>
        </w:rPr>
      </w:pPr>
    </w:p>
    <w:p>
      <w:pPr>
        <w:pStyle w:val="Heading6"/>
        <w:spacing w:line="240" w:lineRule="auto"/>
        <w:ind w:left="551" w:right="100" w:firstLine="0"/>
        <w:jc w:val="left"/>
      </w:pPr>
      <w:r>
        <w:rPr>
          <w:rFonts w:ascii="宋体" w:hAnsi="宋体" w:cs="宋体" w:eastAsia="宋体" w:hint="default"/>
        </w:rPr>
        <w:t>2.</w:t>
      </w:r>
      <w:r>
        <w:rPr/>
        <w:t>中电器件应收北京益心康达投资管理有限公司（以下简称益心康达）</w:t>
      </w:r>
      <w:r>
        <w:rPr>
          <w:rFonts w:ascii="宋体" w:hAnsi="宋体" w:cs="宋体" w:eastAsia="宋体" w:hint="default"/>
        </w:rPr>
        <w:t>5,600,000.00</w:t>
      </w:r>
      <w:r>
        <w:rPr/>
        <w:t>元，账龄为</w:t>
      </w:r>
    </w:p>
    <w:p>
      <w:pPr>
        <w:pStyle w:val="Heading6"/>
        <w:spacing w:line="240" w:lineRule="auto" w:before="24"/>
        <w:ind w:right="208" w:firstLine="0"/>
        <w:jc w:val="left"/>
      </w:pPr>
      <w:r>
        <w:rPr>
          <w:rFonts w:ascii="宋体" w:hAnsi="宋体" w:cs="宋体" w:eastAsia="宋体" w:hint="default"/>
        </w:rPr>
        <w:t>2-3</w:t>
      </w:r>
      <w:r>
        <w:rPr/>
        <w:t>年。此笔债权形成原因如下：</w:t>
      </w:r>
    </w:p>
    <w:p>
      <w:pPr>
        <w:spacing w:line="240" w:lineRule="auto" w:before="2"/>
        <w:rPr>
          <w:rFonts w:ascii="宋体" w:hAnsi="宋体" w:cs="宋体" w:eastAsia="宋体" w:hint="default"/>
          <w:sz w:val="20"/>
          <w:szCs w:val="20"/>
        </w:rPr>
      </w:pPr>
    </w:p>
    <w:p>
      <w:pPr>
        <w:pStyle w:val="Heading6"/>
        <w:spacing w:line="259" w:lineRule="auto"/>
        <w:ind w:right="104" w:firstLine="398"/>
        <w:jc w:val="both"/>
      </w:pPr>
      <w:r>
        <w:rPr>
          <w:rFonts w:ascii="宋体" w:hAnsi="宋体" w:cs="宋体" w:eastAsia="宋体" w:hint="default"/>
          <w:spacing w:val="-4"/>
        </w:rPr>
        <w:t>2013</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17</w:t>
      </w:r>
      <w:r>
        <w:rPr>
          <w:spacing w:val="-4"/>
        </w:rPr>
        <w:t>日，中电器件与益心康达签订《医疗设备买卖合同》（下称买卖合同），购买设备用</w:t>
      </w:r>
      <w:r>
        <w:rPr>
          <w:w w:val="100"/>
        </w:rPr>
        <w:t> </w:t>
      </w:r>
      <w:r>
        <w:rPr>
          <w:spacing w:val="-2"/>
        </w:rPr>
        <w:t>于台州市博爱医院磁共振中心项目（下称项目）；买卖合同项下的标的设备价款</w:t>
      </w:r>
      <w:r>
        <w:rPr>
          <w:rFonts w:ascii="宋体" w:hAnsi="宋体" w:cs="宋体" w:eastAsia="宋体" w:hint="default"/>
          <w:spacing w:val="-2"/>
        </w:rPr>
        <w:t>800</w:t>
      </w:r>
      <w:r>
        <w:rPr>
          <w:spacing w:val="-2"/>
        </w:rPr>
        <w:t>万元，另收</w:t>
      </w:r>
      <w:r>
        <w:rPr>
          <w:rFonts w:ascii="宋体" w:hAnsi="宋体" w:cs="宋体" w:eastAsia="宋体" w:hint="default"/>
          <w:spacing w:val="-2"/>
        </w:rPr>
        <w:t>10%</w:t>
      </w:r>
      <w:r>
        <w:rPr>
          <w:spacing w:val="-2"/>
        </w:rPr>
        <w:t>即</w:t>
      </w:r>
      <w:r>
        <w:rPr>
          <w:spacing w:val="-64"/>
        </w:rPr>
        <w:t> </w:t>
      </w:r>
      <w:r>
        <w:rPr>
          <w:rFonts w:ascii="宋体" w:hAnsi="宋体" w:cs="宋体" w:eastAsia="宋体" w:hint="default"/>
        </w:rPr>
        <w:t>80</w:t>
      </w:r>
      <w:r>
        <w:rPr/>
        <w:t>万元的代理费。合同约定：签订后</w:t>
      </w:r>
      <w:r>
        <w:rPr>
          <w:rFonts w:ascii="宋体" w:hAnsi="宋体" w:cs="宋体" w:eastAsia="宋体" w:hint="default"/>
        </w:rPr>
        <w:t>10</w:t>
      </w:r>
      <w:r>
        <w:rPr/>
        <w:t>日内益心康达公司支付</w:t>
      </w:r>
      <w:r>
        <w:rPr>
          <w:rFonts w:ascii="宋体" w:hAnsi="宋体" w:cs="宋体" w:eastAsia="宋体" w:hint="default"/>
        </w:rPr>
        <w:t>280</w:t>
      </w:r>
      <w:r>
        <w:rPr/>
        <w:t>万元，设备余款及代理费最迟于一</w:t>
      </w:r>
      <w:r>
        <w:rPr>
          <w:spacing w:val="-46"/>
        </w:rPr>
        <w:t> </w:t>
      </w:r>
      <w:r>
        <w:rPr>
          <w:spacing w:val="-46"/>
        </w:rPr>
      </w:r>
      <w:r>
        <w:rPr>
          <w:spacing w:val="-2"/>
        </w:rPr>
        <w:t>年内付清，并约定一年内按季度支付资金利息，如益心康达未付清全部货款前，买卖合同所涉全部产</w:t>
      </w:r>
      <w:r>
        <w:rPr>
          <w:spacing w:val="-67"/>
        </w:rPr>
        <w:t> </w:t>
      </w:r>
      <w:r>
        <w:rPr>
          <w:spacing w:val="-67"/>
        </w:rPr>
      </w:r>
      <w:r>
        <w:rPr>
          <w:spacing w:val="-2"/>
        </w:rPr>
        <w:t>品的所有权归中电器件所有，益心康达以该项目中的运营收入作为履约担保。买卖合同在违约责任条</w:t>
      </w:r>
      <w:r>
        <w:rPr>
          <w:spacing w:val="-70"/>
        </w:rPr>
        <w:t> </w:t>
      </w:r>
      <w:r>
        <w:rPr>
          <w:spacing w:val="-70"/>
        </w:rPr>
      </w:r>
      <w:r>
        <w:rPr/>
        <w:t>款中约定：如益心康达逾期付款超过</w:t>
      </w:r>
      <w:r>
        <w:rPr>
          <w:rFonts w:ascii="宋体" w:hAnsi="宋体" w:cs="宋体" w:eastAsia="宋体" w:hint="default"/>
        </w:rPr>
        <w:t>30</w:t>
      </w:r>
      <w:r>
        <w:rPr/>
        <w:t>天，益心康达应支付合同总价款</w:t>
      </w:r>
      <w:r>
        <w:rPr>
          <w:rFonts w:ascii="宋体" w:hAnsi="宋体" w:cs="宋体" w:eastAsia="宋体" w:hint="default"/>
        </w:rPr>
        <w:t>30%</w:t>
      </w:r>
      <w:r>
        <w:rPr/>
        <w:t>的违约金，并中电器件有</w:t>
      </w:r>
      <w:r>
        <w:rPr>
          <w:spacing w:val="-45"/>
        </w:rPr>
        <w:t> </w:t>
      </w:r>
      <w:r>
        <w:rPr>
          <w:spacing w:val="-45"/>
        </w:rPr>
      </w:r>
      <w:r>
        <w:rPr>
          <w:spacing w:val="-2"/>
        </w:rPr>
        <w:t>权解除合同；超过</w:t>
      </w:r>
      <w:r>
        <w:rPr>
          <w:rFonts w:ascii="宋体" w:hAnsi="宋体" w:cs="宋体" w:eastAsia="宋体" w:hint="default"/>
          <w:spacing w:val="-2"/>
        </w:rPr>
        <w:t>60</w:t>
      </w:r>
      <w:r>
        <w:rPr>
          <w:spacing w:val="-2"/>
        </w:rPr>
        <w:t>天仍未付款，中电器件除追究其违约责任外，可以收回设备自行处置，并有权要</w:t>
      </w:r>
      <w:r>
        <w:rPr>
          <w:spacing w:val="-69"/>
        </w:rPr>
        <w:t> </w:t>
      </w:r>
      <w:r>
        <w:rPr>
          <w:spacing w:val="-69"/>
        </w:rPr>
      </w:r>
      <w:r>
        <w:rPr>
          <w:spacing w:val="-5"/>
        </w:rPr>
        <w:t>求益心康达支付设备折旧费。同时，益心康达和博爱医院与中电器件签订了《医疗设备合作三方协议》</w:t>
      </w:r>
    </w:p>
    <w:p>
      <w:pPr>
        <w:pStyle w:val="Heading6"/>
        <w:spacing w:line="259" w:lineRule="auto" w:before="6"/>
        <w:ind w:right="105" w:firstLine="0"/>
        <w:jc w:val="left"/>
      </w:pPr>
      <w:r>
        <w:rPr>
          <w:spacing w:val="-2"/>
        </w:rPr>
        <w:t>（下称三方协议），三方协议约定与买卖合同相同，益心康达到期未足额支付剩余货款，由博爱医院</w:t>
      </w:r>
      <w:r>
        <w:rPr>
          <w:spacing w:val="-70"/>
        </w:rPr>
        <w:t> </w:t>
      </w:r>
      <w:r>
        <w:rPr>
          <w:spacing w:val="-70"/>
        </w:rPr>
      </w:r>
      <w:r>
        <w:rPr>
          <w:spacing w:val="-2"/>
        </w:rPr>
        <w:t>将益心康达应得收益全部汇入中电器件账户。合同签订后，中电器件履行了合同义务，设备由博爱医</w:t>
      </w:r>
      <w:r>
        <w:rPr>
          <w:spacing w:val="-67"/>
        </w:rPr>
        <w:t> </w:t>
      </w:r>
      <w:r>
        <w:rPr>
          <w:spacing w:val="-67"/>
        </w:rPr>
      </w:r>
      <w:r>
        <w:rPr>
          <w:spacing w:val="-2"/>
        </w:rPr>
        <w:t>院验收，投入至今，益心康达公司未按约定支付后续货款及代理费等，博爱医院亦未按约定向中电器</w:t>
      </w:r>
      <w:r>
        <w:rPr>
          <w:spacing w:val="-71"/>
        </w:rPr>
        <w:t> </w:t>
      </w:r>
      <w:r>
        <w:rPr>
          <w:spacing w:val="-71"/>
        </w:rPr>
      </w:r>
      <w:r>
        <w:rPr>
          <w:spacing w:val="-5"/>
        </w:rPr>
        <w:t>件支付运营收入。中电器件将益心康达及博爱医院诉至法院，经北京市海淀区人民法院一审判决：一、</w:t>
      </w:r>
      <w:r>
        <w:rPr>
          <w:spacing w:val="-49"/>
        </w:rPr>
        <w:t> </w:t>
      </w:r>
      <w:r>
        <w:rPr>
          <w:spacing w:val="-49"/>
        </w:rPr>
      </w:r>
      <w:r>
        <w:rPr/>
        <w:t>解除中电器件与益心康达于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17</w:t>
      </w:r>
      <w:r>
        <w:rPr/>
        <w:t>日签订的《医疗设备买卖合同》；二、中电器件于判决生效</w:t>
      </w:r>
      <w:r>
        <w:rPr>
          <w:spacing w:val="-45"/>
        </w:rPr>
        <w:t> </w:t>
      </w:r>
      <w:r>
        <w:rPr>
          <w:spacing w:val="-45"/>
        </w:rPr>
      </w:r>
      <w:r>
        <w:rPr>
          <w:spacing w:val="-2"/>
        </w:rPr>
        <w:t>后十日内自行前往博爱医院处取回合同设备；三、中电器件于判决生效后十日内向益心康达返还款项</w:t>
      </w:r>
      <w:r>
        <w:rPr>
          <w:spacing w:val="-73"/>
        </w:rPr>
        <w:t> </w:t>
      </w:r>
      <w:r>
        <w:rPr>
          <w:spacing w:val="-73"/>
        </w:rPr>
      </w:r>
      <w:r>
        <w:rPr>
          <w:rFonts w:ascii="宋体" w:hAnsi="宋体" w:cs="宋体" w:eastAsia="宋体" w:hint="default"/>
        </w:rPr>
        <w:t>352,592</w:t>
      </w:r>
      <w:r>
        <w:rPr/>
        <w:t>元（已付：</w:t>
      </w:r>
      <w:r>
        <w:rPr>
          <w:rFonts w:ascii="宋体" w:hAnsi="宋体" w:cs="宋体" w:eastAsia="宋体" w:hint="default"/>
        </w:rPr>
        <w:t>280</w:t>
      </w:r>
      <w:r>
        <w:rPr/>
        <w:t>万</w:t>
      </w:r>
      <w:r>
        <w:rPr>
          <w:rFonts w:ascii="宋体" w:hAnsi="宋体" w:cs="宋体" w:eastAsia="宋体" w:hint="default"/>
        </w:rPr>
        <w:t>+270,400</w:t>
      </w:r>
      <w:r>
        <w:rPr/>
        <w:t>元</w:t>
      </w:r>
      <w:r>
        <w:rPr>
          <w:rFonts w:ascii="宋体" w:hAnsi="宋体" w:cs="宋体" w:eastAsia="宋体" w:hint="default"/>
        </w:rPr>
        <w:t>-</w:t>
      </w:r>
      <w:r>
        <w:rPr/>
        <w:t>折旧费用</w:t>
      </w:r>
      <w:r>
        <w:rPr>
          <w:rFonts w:ascii="宋体" w:hAnsi="宋体" w:cs="宋体" w:eastAsia="宋体" w:hint="default"/>
        </w:rPr>
        <w:t>2,717,808</w:t>
      </w:r>
      <w:r>
        <w:rPr/>
        <w:t>元）；四、驳回中电公司的其他诉讼请求。</w:t>
      </w:r>
      <w:r>
        <w:rPr>
          <w:w w:val="100"/>
        </w:rPr>
        <w:t> </w:t>
      </w:r>
      <w:r>
        <w:rPr>
          <w:spacing w:val="-2"/>
        </w:rPr>
        <w:t>中电器件不服一审判决，上诉于北京市第一中级人民法院，该法院经检查认为：一审法院针对电子器</w:t>
      </w:r>
      <w:r>
        <w:rPr>
          <w:spacing w:val="-67"/>
        </w:rPr>
        <w:t> </w:t>
      </w:r>
      <w:r>
        <w:rPr>
          <w:spacing w:val="-67"/>
        </w:rPr>
      </w:r>
      <w:r>
        <w:rPr>
          <w:spacing w:val="-2"/>
        </w:rPr>
        <w:t>件与益心康达之间的买卖合同关系进行了审理，但并未对电子器件与益心康达、博爱医院之间的法律</w:t>
      </w:r>
      <w:r>
        <w:rPr>
          <w:spacing w:val="-70"/>
        </w:rPr>
        <w:t> </w:t>
      </w:r>
      <w:r>
        <w:rPr>
          <w:spacing w:val="-70"/>
        </w:rPr>
      </w:r>
      <w:r>
        <w:rPr/>
        <w:t>关系进行审理确定。法院裁定如下：一、撤销一审民事判决；二、发回北京市海淀区人民法院重审。</w:t>
      </w:r>
    </w:p>
    <w:p>
      <w:pPr>
        <w:spacing w:line="240" w:lineRule="auto" w:before="11"/>
        <w:rPr>
          <w:rFonts w:ascii="宋体" w:hAnsi="宋体" w:cs="宋体" w:eastAsia="宋体" w:hint="default"/>
          <w:sz w:val="18"/>
          <w:szCs w:val="18"/>
        </w:rPr>
      </w:pPr>
    </w:p>
    <w:p>
      <w:pPr>
        <w:pStyle w:val="Heading6"/>
        <w:spacing w:line="259" w:lineRule="auto"/>
        <w:ind w:right="208" w:firstLine="398"/>
        <w:jc w:val="left"/>
      </w:pPr>
      <w:r>
        <w:rPr>
          <w:spacing w:val="-1"/>
        </w:rPr>
        <w:t>针对上述事项，中电器件聘请案件代理律师对此案件结果做出合理预计，律师认定此案件被重新</w:t>
      </w:r>
      <w:r>
        <w:rPr>
          <w:w w:val="100"/>
        </w:rPr>
        <w:t> </w:t>
      </w:r>
      <w:r>
        <w:rPr/>
        <w:t>改判的可能性较大，此笔债权不存在重大减值风险。</w:t>
      </w:r>
    </w:p>
    <w:p>
      <w:pPr>
        <w:spacing w:after="0" w:line="259" w:lineRule="auto"/>
        <w:jc w:val="left"/>
        <w:sectPr>
          <w:pgSz w:w="11910" w:h="16840"/>
          <w:pgMar w:header="877" w:footer="980" w:top="1100" w:bottom="1160" w:left="980" w:right="920"/>
        </w:sectPr>
      </w:pPr>
    </w:p>
    <w:p>
      <w:pPr>
        <w:spacing w:line="240" w:lineRule="auto" w:before="5"/>
        <w:rPr>
          <w:rFonts w:ascii="宋体" w:hAnsi="宋体" w:cs="宋体" w:eastAsia="宋体" w:hint="default"/>
          <w:sz w:val="20"/>
          <w:szCs w:val="20"/>
        </w:rPr>
      </w:pPr>
    </w:p>
    <w:p>
      <w:pPr>
        <w:pStyle w:val="Heading6"/>
        <w:spacing w:line="259" w:lineRule="auto" w:before="32"/>
        <w:ind w:right="100" w:firstLine="398"/>
        <w:jc w:val="left"/>
      </w:pPr>
      <w:r>
        <w:rPr>
          <w:rFonts w:ascii="宋体" w:hAnsi="宋体" w:cs="宋体" w:eastAsia="宋体" w:hint="default"/>
        </w:rPr>
        <w:t>3.</w:t>
      </w:r>
      <w:r>
        <w:rPr/>
        <w:t>石基大商（原名：北京富基融通科技有限公司）年末挂账应付上海阳程科技有限公司（以下简</w:t>
      </w:r>
      <w:r>
        <w:rPr>
          <w:w w:val="100"/>
        </w:rPr>
        <w:t> </w:t>
      </w:r>
      <w:r>
        <w:rPr/>
        <w:t>称阳程公司）</w:t>
      </w:r>
      <w:r>
        <w:rPr>
          <w:rFonts w:ascii="宋体" w:hAnsi="宋体" w:cs="宋体" w:eastAsia="宋体" w:hint="default"/>
        </w:rPr>
        <w:t>1,050,000.00</w:t>
      </w:r>
      <w:r>
        <w:rPr/>
        <w:t>元，因与阳程公司买卖合同纠纷被诉诸法院。此案起因及进展如下：</w:t>
      </w:r>
      <w:r>
        <w:rPr>
          <w:rFonts w:ascii="宋体" w:hAnsi="宋体" w:cs="宋体" w:eastAsia="宋体" w:hint="default"/>
        </w:rPr>
        <w:t>2010</w:t>
      </w:r>
      <w:r>
        <w:rPr>
          <w:rFonts w:ascii="宋体" w:hAnsi="宋体" w:cs="宋体" w:eastAsia="宋体" w:hint="default"/>
          <w:w w:val="100"/>
        </w:rPr>
        <w:t> </w:t>
      </w:r>
      <w:r>
        <w:rPr/>
        <w:t>年</w:t>
      </w:r>
      <w:r>
        <w:rPr>
          <w:rFonts w:ascii="宋体" w:hAnsi="宋体" w:cs="宋体" w:eastAsia="宋体" w:hint="default"/>
        </w:rPr>
        <w:t>5</w:t>
      </w:r>
      <w:r>
        <w:rPr/>
        <w:t>月</w:t>
      </w:r>
      <w:r>
        <w:rPr>
          <w:rFonts w:ascii="宋体" w:hAnsi="宋体" w:cs="宋体" w:eastAsia="宋体" w:hint="default"/>
        </w:rPr>
        <w:t>21</w:t>
      </w:r>
      <w:r>
        <w:rPr/>
        <w:t>日，被告石基大商作为甲方，同乙方阳程公司签订《订货合同》，价款总额为</w:t>
      </w:r>
      <w:r>
        <w:rPr>
          <w:rFonts w:ascii="宋体" w:hAnsi="宋体" w:cs="宋体" w:eastAsia="宋体" w:hint="default"/>
        </w:rPr>
        <w:t>350</w:t>
      </w:r>
      <w:r>
        <w:rPr/>
        <w:t>万元（此价</w:t>
      </w:r>
      <w:r>
        <w:rPr>
          <w:w w:val="100"/>
        </w:rPr>
        <w:t> </w:t>
      </w:r>
      <w:r>
        <w:rPr/>
        <w:t>款为货到甲方指定地的价格，含设备的运输费、灌水、增值税、保险费、仓储费、安装、调试等）；</w:t>
      </w:r>
      <w:r>
        <w:rPr>
          <w:w w:val="100"/>
        </w:rPr>
        <w:t> </w:t>
      </w:r>
      <w:r>
        <w:rPr/>
        <w:t>付款方式为甲方在收到乙方开具的增值税专用发票后分期付款，第一次支付：自合同签订之日起</w:t>
      </w:r>
      <w:r>
        <w:rPr>
          <w:rFonts w:ascii="宋体" w:hAnsi="宋体" w:cs="宋体" w:eastAsia="宋体" w:hint="default"/>
        </w:rPr>
        <w:t>10</w:t>
      </w:r>
      <w:r>
        <w:rPr/>
        <w:t>日</w:t>
      </w:r>
      <w:r>
        <w:rPr>
          <w:w w:val="100"/>
        </w:rPr>
        <w:t> </w:t>
      </w:r>
      <w:r>
        <w:rPr/>
        <w:t>内，支付</w:t>
      </w:r>
      <w:r>
        <w:rPr>
          <w:rFonts w:ascii="宋体" w:hAnsi="宋体" w:cs="宋体" w:eastAsia="宋体" w:hint="default"/>
        </w:rPr>
        <w:t>30%</w:t>
      </w:r>
      <w:r>
        <w:rPr/>
        <w:t>定金</w:t>
      </w:r>
      <w:r>
        <w:rPr>
          <w:rFonts w:ascii="宋体" w:hAnsi="宋体" w:cs="宋体" w:eastAsia="宋体" w:hint="default"/>
        </w:rPr>
        <w:t>105</w:t>
      </w:r>
      <w:r>
        <w:rPr/>
        <w:t>万元；第二次支付：甲方收到合同所规定的货物后，支付</w:t>
      </w:r>
      <w:r>
        <w:rPr>
          <w:rFonts w:ascii="宋体" w:hAnsi="宋体" w:cs="宋体" w:eastAsia="宋体" w:hint="default"/>
        </w:rPr>
        <w:t>20%</w:t>
      </w:r>
      <w:r>
        <w:rPr/>
        <w:t>，</w:t>
      </w:r>
      <w:r>
        <w:rPr>
          <w:rFonts w:ascii="宋体" w:hAnsi="宋体" w:cs="宋体" w:eastAsia="宋体" w:hint="default"/>
        </w:rPr>
        <w:t>70</w:t>
      </w:r>
      <w:r>
        <w:rPr/>
        <w:t>万元；第三次</w:t>
      </w:r>
      <w:r>
        <w:rPr>
          <w:spacing w:val="-43"/>
        </w:rPr>
        <w:t> </w:t>
      </w:r>
      <w:r>
        <w:rPr>
          <w:spacing w:val="-43"/>
        </w:rPr>
      </w:r>
      <w:r>
        <w:rPr>
          <w:spacing w:val="-5"/>
        </w:rPr>
        <w:t>支付：甲方收到全部货物并安装完毕、调试合格、确认无误后，乙方向甲方提供送货单、增值税发票、</w:t>
      </w:r>
      <w:r>
        <w:rPr>
          <w:spacing w:val="-44"/>
        </w:rPr>
        <w:t> </w:t>
      </w:r>
      <w:r>
        <w:rPr>
          <w:spacing w:val="-44"/>
        </w:rPr>
      </w:r>
      <w:r>
        <w:rPr>
          <w:spacing w:val="-7"/>
        </w:rPr>
        <w:t>合同复印件及有甲方签字盖章的验收单，甲方收到后支付</w:t>
      </w:r>
      <w:r>
        <w:rPr>
          <w:rFonts w:ascii="宋体" w:hAnsi="宋体" w:cs="宋体" w:eastAsia="宋体" w:hint="default"/>
          <w:spacing w:val="-7"/>
        </w:rPr>
        <w:t>40%</w:t>
      </w:r>
      <w:r>
        <w:rPr>
          <w:spacing w:val="-7"/>
        </w:rPr>
        <w:t>，</w:t>
      </w:r>
      <w:r>
        <w:rPr>
          <w:rFonts w:ascii="宋体" w:hAnsi="宋体" w:cs="宋体" w:eastAsia="宋体" w:hint="default"/>
          <w:spacing w:val="-7"/>
        </w:rPr>
        <w:t>140</w:t>
      </w:r>
      <w:r>
        <w:rPr>
          <w:spacing w:val="-7"/>
        </w:rPr>
        <w:t>万元；第四次支付：合同总额的</w:t>
      </w:r>
      <w:r>
        <w:rPr>
          <w:rFonts w:ascii="宋体" w:hAnsi="宋体" w:cs="宋体" w:eastAsia="宋体" w:hint="default"/>
          <w:spacing w:val="-7"/>
        </w:rPr>
        <w:t>10%</w:t>
      </w:r>
      <w:r>
        <w:rPr>
          <w:spacing w:val="-7"/>
        </w:rPr>
        <w:t>，</w:t>
      </w:r>
      <w:r>
        <w:rPr>
          <w:spacing w:val="-30"/>
        </w:rPr>
        <w:t> </w:t>
      </w:r>
      <w:r>
        <w:rPr>
          <w:rFonts w:ascii="宋体" w:hAnsi="宋体" w:cs="宋体" w:eastAsia="宋体" w:hint="default"/>
        </w:rPr>
        <w:t>35</w:t>
      </w:r>
      <w:r>
        <w:rPr/>
        <w:t>万元余额作为质保金。甲方若不能按期付款，乙方有权收取甲方的违约金，每逾期一天应按该货物</w:t>
      </w:r>
      <w:r>
        <w:rPr>
          <w:w w:val="100"/>
        </w:rPr>
        <w:t> </w:t>
      </w:r>
      <w:r>
        <w:rPr/>
        <w:t>总价的</w:t>
      </w:r>
      <w:r>
        <w:rPr>
          <w:rFonts w:ascii="宋体" w:hAnsi="宋体" w:cs="宋体" w:eastAsia="宋体" w:hint="default"/>
        </w:rPr>
        <w:t>1%</w:t>
      </w:r>
      <w:r>
        <w:rPr/>
        <w:t>收取逾期违约金。</w:t>
      </w:r>
    </w:p>
    <w:p>
      <w:pPr>
        <w:spacing w:line="240" w:lineRule="auto" w:before="11"/>
        <w:rPr>
          <w:rFonts w:ascii="宋体" w:hAnsi="宋体" w:cs="宋体" w:eastAsia="宋体" w:hint="default"/>
          <w:sz w:val="18"/>
          <w:szCs w:val="18"/>
        </w:rPr>
      </w:pPr>
    </w:p>
    <w:p>
      <w:pPr>
        <w:pStyle w:val="Heading6"/>
        <w:spacing w:line="244" w:lineRule="auto"/>
        <w:ind w:right="100" w:firstLine="398"/>
        <w:jc w:val="left"/>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17</w:t>
      </w:r>
      <w:r>
        <w:rPr>
          <w:spacing w:val="-3"/>
        </w:rPr>
        <w:t>日至</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17</w:t>
      </w:r>
      <w:r>
        <w:rPr>
          <w:spacing w:val="-3"/>
        </w:rPr>
        <w:t>日，阳程公司分三批完成交货义务，</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w:t>
      </w:r>
      <w:r>
        <w:rPr>
          <w:spacing w:val="-3"/>
        </w:rPr>
        <w:t>日，阳程公司向石基大商</w:t>
      </w:r>
      <w:r>
        <w:rPr>
          <w:w w:val="100"/>
        </w:rPr>
        <w:t> </w:t>
      </w:r>
      <w:r>
        <w:rPr/>
        <w:t>提交《完工证明申请书》，载明：截至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日已于现场安装、试车完成。石基大商在该申请</w:t>
      </w:r>
      <w:r>
        <w:rPr>
          <w:spacing w:val="-45"/>
        </w:rPr>
        <w:t> </w:t>
      </w:r>
      <w:r>
        <w:rPr>
          <w:spacing w:val="-45"/>
        </w:rPr>
      </w:r>
      <w:r>
        <w:rPr>
          <w:spacing w:val="-2"/>
        </w:rPr>
        <w:t>书上签字确认。</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日石基大商支付</w:t>
      </w:r>
      <w:r>
        <w:rPr>
          <w:rFonts w:ascii="Times New Roman" w:hAnsi="Times New Roman" w:cs="Times New Roman" w:eastAsia="Times New Roman" w:hint="default"/>
          <w:spacing w:val="-2"/>
        </w:rPr>
        <w:t>105</w:t>
      </w:r>
      <w:r>
        <w:rPr>
          <w:spacing w:val="-2"/>
        </w:rPr>
        <w:t>万元；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日，支付</w:t>
      </w:r>
      <w:r>
        <w:rPr>
          <w:rFonts w:ascii="Times New Roman" w:hAnsi="Times New Roman" w:cs="Times New Roman" w:eastAsia="Times New Roman" w:hint="default"/>
          <w:spacing w:val="-2"/>
        </w:rPr>
        <w:t>70</w:t>
      </w:r>
      <w:r>
        <w:rPr>
          <w:spacing w:val="-2"/>
        </w:rPr>
        <w:t>万元；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w:t>
      </w:r>
      <w:r>
        <w:rPr>
          <w:spacing w:val="-45"/>
        </w:rPr>
        <w:t> </w:t>
      </w:r>
      <w:r>
        <w:rPr>
          <w:spacing w:val="-6"/>
        </w:rPr>
        <w:t>支付</w:t>
      </w:r>
      <w:r>
        <w:rPr>
          <w:rFonts w:ascii="Times New Roman" w:hAnsi="Times New Roman" w:cs="Times New Roman" w:eastAsia="Times New Roman" w:hint="default"/>
          <w:spacing w:val="-6"/>
        </w:rPr>
        <w:t>70</w:t>
      </w:r>
      <w:r>
        <w:rPr>
          <w:spacing w:val="-6"/>
        </w:rPr>
        <w:t>万元。阳程公司</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18</w:t>
      </w:r>
      <w:r>
        <w:rPr>
          <w:spacing w:val="-6"/>
        </w:rPr>
        <w:t>日催要剩余</w:t>
      </w:r>
      <w:r>
        <w:rPr>
          <w:rFonts w:ascii="Times New Roman" w:hAnsi="Times New Roman" w:cs="Times New Roman" w:eastAsia="Times New Roman" w:hint="default"/>
          <w:spacing w:val="-6"/>
        </w:rPr>
        <w:t>105</w:t>
      </w:r>
      <w:r>
        <w:rPr>
          <w:spacing w:val="-6"/>
        </w:rPr>
        <w:t>万元，并将石基大商诉至法院。经法院查证，于</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18</w:t>
      </w:r>
      <w:r>
        <w:rPr>
          <w:spacing w:val="-4"/>
        </w:rPr>
        <w:t>日出具判决如下：一、被告石基大商于判决生效之日起十日内支付原告阳程公司货款</w:t>
      </w:r>
      <w:r>
        <w:rPr>
          <w:rFonts w:ascii="Times New Roman" w:hAnsi="Times New Roman" w:cs="Times New Roman" w:eastAsia="Times New Roman" w:hint="default"/>
          <w:spacing w:val="-4"/>
        </w:rPr>
        <w:t>105</w:t>
      </w:r>
      <w:r>
        <w:rPr>
          <w:spacing w:val="-4"/>
        </w:rPr>
        <w:t>万元；</w:t>
      </w:r>
      <w:r>
        <w:rPr>
          <w:spacing w:val="-74"/>
        </w:rPr>
        <w:t> </w:t>
      </w:r>
      <w:r>
        <w:rPr>
          <w:spacing w:val="-74"/>
        </w:rPr>
      </w:r>
      <w:r>
        <w:rPr/>
        <w:t>二、被告石基大商于判决生效之日起十日内支付原告阳程公司逾期违约金（以</w:t>
      </w:r>
      <w:r>
        <w:rPr>
          <w:rFonts w:ascii="Times New Roman" w:hAnsi="Times New Roman" w:cs="Times New Roman" w:eastAsia="Times New Roman" w:hint="default"/>
        </w:rPr>
        <w:t>70</w:t>
      </w:r>
      <w:r>
        <w:rPr/>
        <w:t>万元为基数，按照年</w:t>
      </w:r>
      <w:r>
        <w:rPr>
          <w:w w:val="100"/>
        </w:rPr>
        <w:t> </w:t>
      </w:r>
      <w:r>
        <w:rPr>
          <w:rFonts w:ascii="Times New Roman" w:hAnsi="Times New Roman" w:cs="Times New Roman" w:eastAsia="Times New Roman" w:hint="default"/>
          <w:spacing w:val="-3"/>
        </w:rPr>
        <w:t>36%</w:t>
      </w:r>
      <w:r>
        <w:rPr>
          <w:spacing w:val="-3"/>
        </w:rPr>
        <w:t>的标准自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r>
        <w:rPr>
          <w:spacing w:val="-3"/>
        </w:rPr>
        <w:t>日起算至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4</w:t>
      </w:r>
      <w:r>
        <w:rPr>
          <w:spacing w:val="-3"/>
        </w:rPr>
        <w:t>日；以</w:t>
      </w:r>
      <w:r>
        <w:rPr>
          <w:rFonts w:ascii="Times New Roman" w:hAnsi="Times New Roman" w:cs="Times New Roman" w:eastAsia="Times New Roman" w:hint="default"/>
          <w:spacing w:val="-3"/>
        </w:rPr>
        <w:t>105</w:t>
      </w:r>
      <w:r>
        <w:rPr>
          <w:spacing w:val="-3"/>
        </w:rPr>
        <w:t>万元为基数，按年</w:t>
      </w:r>
      <w:r>
        <w:rPr>
          <w:rFonts w:ascii="Times New Roman" w:hAnsi="Times New Roman" w:cs="Times New Roman" w:eastAsia="Times New Roman" w:hint="default"/>
          <w:spacing w:val="-3"/>
        </w:rPr>
        <w:t>36%</w:t>
      </w:r>
      <w:r>
        <w:rPr>
          <w:spacing w:val="-3"/>
        </w:rPr>
        <w:t>为标准，自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8"/>
        </w:rPr>
        <w:t> </w:t>
      </w:r>
      <w:r>
        <w:rPr/>
        <w:t>日起算至实际支付之日止）；三、驳回原告其他诉讼请求，案件受理费</w:t>
      </w:r>
      <w:r>
        <w:rPr>
          <w:rFonts w:ascii="Times New Roman" w:hAnsi="Times New Roman" w:cs="Times New Roman" w:eastAsia="Times New Roman" w:hint="default"/>
        </w:rPr>
        <w:t>7,125</w:t>
      </w:r>
      <w:r>
        <w:rPr/>
        <w:t>元由被告承担。</w:t>
      </w:r>
    </w:p>
    <w:p>
      <w:pPr>
        <w:spacing w:line="240" w:lineRule="auto" w:before="7"/>
        <w:rPr>
          <w:rFonts w:ascii="宋体" w:hAnsi="宋体" w:cs="宋体" w:eastAsia="宋体" w:hint="default"/>
          <w:sz w:val="18"/>
          <w:szCs w:val="18"/>
        </w:rPr>
      </w:pPr>
    </w:p>
    <w:p>
      <w:pPr>
        <w:pStyle w:val="Heading6"/>
        <w:spacing w:line="254" w:lineRule="auto"/>
        <w:ind w:right="100" w:firstLine="398"/>
        <w:jc w:val="left"/>
      </w:pPr>
      <w:r>
        <w:rPr/>
        <w:t>石基大商不服上述判决，提起上诉，目前二审判决结果尚未确定。石基大商聘请律师对上述案件</w:t>
      </w:r>
      <w:r>
        <w:rPr>
          <w:w w:val="100"/>
        </w:rPr>
        <w:t> </w:t>
      </w:r>
      <w:r>
        <w:rPr>
          <w:spacing w:val="-5"/>
        </w:rPr>
        <w:t>诉讼结果做出预计，律师根据最高人民法院关于适用《中华人民共和国合同法》若干问题的解释（二）</w:t>
      </w:r>
      <w:r>
        <w:rPr>
          <w:spacing w:val="-41"/>
        </w:rPr>
        <w:t> </w:t>
      </w:r>
      <w:r>
        <w:rPr>
          <w:spacing w:val="-41"/>
        </w:rPr>
      </w:r>
      <w:r>
        <w:rPr>
          <w:spacing w:val="-2"/>
        </w:rPr>
        <w:t>第二十九条规定认定年</w:t>
      </w:r>
      <w:r>
        <w:rPr>
          <w:rFonts w:ascii="Times New Roman" w:hAnsi="Times New Roman" w:cs="Times New Roman" w:eastAsia="Times New Roman" w:hint="default"/>
          <w:spacing w:val="-2"/>
        </w:rPr>
        <w:t>36%</w:t>
      </w:r>
      <w:r>
        <w:rPr>
          <w:spacing w:val="-2"/>
        </w:rPr>
        <w:t>利率标准过高，石基大商根据律师的合理预计，确认预计负债</w:t>
      </w:r>
      <w:r>
        <w:rPr>
          <w:rFonts w:ascii="Times New Roman" w:hAnsi="Times New Roman" w:cs="Times New Roman" w:eastAsia="Times New Roman" w:hint="default"/>
          <w:spacing w:val="-2"/>
        </w:rPr>
        <w:t>1,396,700.29</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w:t>
      </w:r>
    </w:p>
    <w:p>
      <w:pPr>
        <w:spacing w:line="240" w:lineRule="auto" w:before="6"/>
        <w:rPr>
          <w:rFonts w:ascii="宋体" w:hAnsi="宋体" w:cs="宋体" w:eastAsia="宋体" w:hint="default"/>
          <w:sz w:val="24"/>
          <w:szCs w:val="24"/>
        </w:rPr>
      </w:pPr>
    </w:p>
    <w:p>
      <w:pPr>
        <w:pStyle w:val="Heading7"/>
        <w:spacing w:line="240" w:lineRule="auto"/>
        <w:ind w:right="20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3"/>
        <w:spacing w:line="240" w:lineRule="auto"/>
        <w:ind w:right="208"/>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208"/>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spacing w:before="0"/>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813"/>
        <w:gridCol w:w="3757"/>
      </w:tblGrid>
      <w:tr>
        <w:trPr>
          <w:trHeight w:val="40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1"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106,678,875.30</w:t>
            </w:r>
          </w:p>
        </w:tc>
      </w:tr>
    </w:tbl>
    <w:p>
      <w:pPr>
        <w:spacing w:line="240" w:lineRule="auto" w:before="3"/>
        <w:rPr>
          <w:rFonts w:ascii="宋体" w:hAnsi="宋体" w:cs="宋体" w:eastAsia="宋体" w:hint="default"/>
          <w:sz w:val="19"/>
          <w:szCs w:val="19"/>
        </w:rPr>
      </w:pPr>
    </w:p>
    <w:p>
      <w:pPr>
        <w:pStyle w:val="Heading7"/>
        <w:spacing w:line="240" w:lineRule="auto" w:before="36"/>
        <w:ind w:right="208"/>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0"/>
        <w:rPr>
          <w:rFonts w:ascii="宋体" w:hAnsi="宋体" w:cs="宋体" w:eastAsia="宋体" w:hint="default"/>
          <w:b/>
          <w:bCs/>
          <w:sz w:val="24"/>
          <w:szCs w:val="24"/>
        </w:rPr>
      </w:pPr>
    </w:p>
    <w:p>
      <w:pPr>
        <w:pStyle w:val="Heading6"/>
        <w:spacing w:line="244" w:lineRule="auto"/>
        <w:ind w:right="210"/>
        <w:jc w:val="both"/>
      </w:pPr>
      <w:r>
        <w:rPr/>
        <w:t>（</w:t>
      </w:r>
      <w:r>
        <w:rPr>
          <w:rFonts w:ascii="宋体" w:hAnsi="宋体" w:cs="宋体" w:eastAsia="宋体"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日召开第六届董事会</w:t>
      </w:r>
      <w:r>
        <w:rPr>
          <w:rFonts w:ascii="Times New Roman" w:hAnsi="Times New Roman" w:cs="Times New Roman" w:eastAsia="Times New Roman" w:hint="default"/>
        </w:rPr>
        <w:t>2017</w:t>
      </w:r>
      <w:r>
        <w:rPr/>
        <w:t>年第十一次临时会议审议通过《关于拟签</w:t>
      </w:r>
      <w:r>
        <w:rPr>
          <w:w w:val="100"/>
        </w:rPr>
        <w:t> </w:t>
      </w:r>
      <w:r>
        <w:rPr/>
        <w:t>署控股子公司股权出售框架协议暨关联交易的议案》，石基香港拟将其持有的</w:t>
      </w:r>
      <w:r>
        <w:rPr>
          <w:rFonts w:ascii="Times New Roman" w:hAnsi="Times New Roman" w:cs="Times New Roman" w:eastAsia="Times New Roman" w:hint="default"/>
        </w:rPr>
        <w:t>Shiji Retail</w:t>
      </w:r>
      <w:r>
        <w:rPr>
          <w:rFonts w:ascii="Times New Roman" w:hAnsi="Times New Roman" w:cs="Times New Roman" w:eastAsia="Times New Roman" w:hint="default"/>
          <w:spacing w:val="44"/>
        </w:rPr>
        <w:t> </w:t>
      </w:r>
      <w:r>
        <w:rPr>
          <w:rFonts w:ascii="Times New Roman" w:hAnsi="Times New Roman" w:cs="Times New Roman" w:eastAsia="Times New Roman" w:hint="default"/>
        </w:rPr>
        <w:t>Information</w:t>
      </w:r>
      <w:r>
        <w:rPr>
          <w:rFonts w:ascii="Times New Roman" w:hAnsi="Times New Roman" w:cs="Times New Roman" w:eastAsia="Times New Roman" w:hint="default"/>
          <w:w w:val="100"/>
        </w:rPr>
        <w:t> </w:t>
      </w:r>
      <w:r>
        <w:rPr>
          <w:rFonts w:ascii="Times New Roman" w:hAnsi="Times New Roman" w:cs="Times New Roman" w:eastAsia="Times New Roman" w:hint="default"/>
        </w:rPr>
        <w:t>Technology Co.Ltd.38%</w:t>
      </w:r>
      <w:r>
        <w:rPr/>
        <w:t>的股权以不超过</w:t>
      </w:r>
      <w:r>
        <w:rPr>
          <w:rFonts w:ascii="Times New Roman" w:hAnsi="Times New Roman" w:cs="Times New Roman" w:eastAsia="Times New Roman" w:hint="default"/>
        </w:rPr>
        <w:t>5</w:t>
      </w:r>
      <w:r>
        <w:rPr/>
        <w:t>亿美元的价格转让给</w:t>
      </w:r>
      <w:r>
        <w:rPr>
          <w:rFonts w:ascii="Times New Roman" w:hAnsi="Times New Roman" w:cs="Times New Roman" w:eastAsia="Times New Roman" w:hint="default"/>
        </w:rPr>
        <w:t>Alibaba Investment</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w:t>
      </w:r>
      <w:r>
        <w:rPr/>
        <w:t>或其关联方；</w:t>
      </w:r>
      <w:r>
        <w:rPr>
          <w:w w:val="100"/>
        </w:rPr>
        <w:t> </w:t>
      </w:r>
      <w:r>
        <w:rPr>
          <w:spacing w:val="-1"/>
        </w:rPr>
        <w:t>本公司第六届董事会</w:t>
      </w:r>
      <w:r>
        <w:rPr>
          <w:rFonts w:ascii="Times New Roman" w:hAnsi="Times New Roman" w:cs="Times New Roman" w:eastAsia="Times New Roman" w:hint="default"/>
          <w:spacing w:val="-1"/>
        </w:rPr>
        <w:t>2018</w:t>
      </w:r>
      <w:r>
        <w:rPr>
          <w:spacing w:val="-1"/>
        </w:rPr>
        <w:t>年第一次临时会议审议通过，石基香港于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7</w:t>
      </w:r>
      <w:r>
        <w:rPr>
          <w:spacing w:val="-1"/>
        </w:rPr>
        <w:t>日与</w:t>
      </w:r>
      <w:r>
        <w:rPr>
          <w:rFonts w:ascii="Times New Roman" w:hAnsi="Times New Roman" w:cs="Times New Roman" w:eastAsia="Times New Roman" w:hint="default"/>
          <w:spacing w:val="-1"/>
        </w:rPr>
        <w:t>Alibaba</w:t>
      </w:r>
      <w:r>
        <w:rPr>
          <w:rFonts w:ascii="Times New Roman" w:hAnsi="Times New Roman" w:cs="Times New Roman" w:eastAsia="Times New Roman" w:hint="default"/>
        </w:rPr>
        <w:t> </w:t>
      </w:r>
      <w:r>
        <w:rPr>
          <w:rFonts w:ascii="Times New Roman" w:hAnsi="Times New Roman" w:cs="Times New Roman" w:eastAsia="Times New Roman" w:hint="default"/>
          <w:spacing w:val="-1"/>
        </w:rPr>
        <w:t>Investment</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rFonts w:ascii="Times New Roman" w:hAnsi="Times New Roman" w:cs="Times New Roman" w:eastAsia="Times New Roman" w:hint="default"/>
        </w:rPr>
        <w:t>Limited</w:t>
      </w:r>
      <w:r>
        <w:rPr/>
        <w:t>关联方</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w:t>
      </w:r>
      <w:r>
        <w:rPr/>
        <w:t>签署《股份购买协议》，将按照本公司第六届董</w:t>
      </w:r>
    </w:p>
    <w:p>
      <w:pPr>
        <w:spacing w:after="0" w:line="244" w:lineRule="auto"/>
        <w:jc w:val="both"/>
        <w:sectPr>
          <w:pgSz w:w="11910" w:h="16840"/>
          <w:pgMar w:header="877" w:footer="980" w:top="1100" w:bottom="1160" w:left="980" w:right="920"/>
        </w:sectPr>
      </w:pPr>
    </w:p>
    <w:p>
      <w:pPr>
        <w:spacing w:line="240" w:lineRule="auto" w:before="5"/>
        <w:rPr>
          <w:rFonts w:ascii="宋体" w:hAnsi="宋体" w:cs="宋体" w:eastAsia="宋体" w:hint="default"/>
          <w:sz w:val="20"/>
          <w:szCs w:val="20"/>
        </w:rPr>
      </w:pPr>
    </w:p>
    <w:p>
      <w:pPr>
        <w:pStyle w:val="Heading6"/>
        <w:spacing w:line="247" w:lineRule="auto" w:before="32"/>
        <w:ind w:right="150" w:firstLine="0"/>
        <w:jc w:val="both"/>
      </w:pPr>
      <w:r>
        <w:rPr>
          <w:spacing w:val="2"/>
        </w:rPr>
        <w:t>事会</w:t>
      </w:r>
      <w:r>
        <w:rPr>
          <w:rFonts w:ascii="Times New Roman" w:hAnsi="Times New Roman" w:cs="Times New Roman" w:eastAsia="Times New Roman" w:hint="default"/>
          <w:spacing w:val="2"/>
        </w:rPr>
        <w:t>2017</w:t>
      </w:r>
      <w:r>
        <w:rPr>
          <w:spacing w:val="2"/>
        </w:rPr>
        <w:t>年第十一次临时会议审议通过的公司主要零售信息系统板块重组方案重组整合完成的</w:t>
      </w:r>
      <w:r>
        <w:rPr>
          <w:rFonts w:ascii="Times New Roman" w:hAnsi="Times New Roman" w:cs="Times New Roman" w:eastAsia="Times New Roman" w:hint="default"/>
          <w:spacing w:val="2"/>
        </w:rPr>
        <w:t>Shiji</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rFonts w:ascii="Times New Roman" w:hAnsi="Times New Roman" w:cs="Times New Roman" w:eastAsia="Times New Roman" w:hint="default"/>
        </w:rPr>
        <w:t>Retail</w:t>
      </w:r>
      <w:r>
        <w:rPr>
          <w:rFonts w:ascii="Times New Roman" w:hAnsi="Times New Roman" w:cs="Times New Roman" w:eastAsia="Times New Roman" w:hint="default"/>
          <w:spacing w:val="39"/>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36"/>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36"/>
        </w:rPr>
        <w:t> </w:t>
      </w:r>
      <w:r>
        <w:rPr>
          <w:rFonts w:ascii="Times New Roman" w:hAnsi="Times New Roman" w:cs="Times New Roman" w:eastAsia="Times New Roman" w:hint="default"/>
        </w:rPr>
        <w:t>Co.Ltd.38%</w:t>
      </w:r>
      <w:r>
        <w:rPr>
          <w:rFonts w:ascii="Times New Roman" w:hAnsi="Times New Roman" w:cs="Times New Roman" w:eastAsia="Times New Roman" w:hint="default"/>
          <w:spacing w:val="9"/>
        </w:rPr>
        <w:t> </w:t>
      </w:r>
      <w:r>
        <w:rPr/>
        <w:t>的</w:t>
      </w:r>
      <w:r>
        <w:rPr>
          <w:spacing w:val="-51"/>
        </w:rPr>
        <w:t> </w:t>
      </w:r>
      <w:r>
        <w:rPr/>
        <w:t>股</w:t>
      </w:r>
      <w:r>
        <w:rPr>
          <w:spacing w:val="-53"/>
        </w:rPr>
        <w:t> </w:t>
      </w:r>
      <w:r>
        <w:rPr/>
        <w:t>权</w:t>
      </w:r>
      <w:r>
        <w:rPr>
          <w:spacing w:val="-51"/>
        </w:rPr>
        <w:t> </w:t>
      </w:r>
      <w:r>
        <w:rPr/>
        <w:t>以</w:t>
      </w:r>
      <w:r>
        <w:rPr>
          <w:spacing w:val="-50"/>
        </w:rPr>
        <w:t> </w:t>
      </w:r>
      <w:r>
        <w:rPr>
          <w:rFonts w:ascii="Times New Roman" w:hAnsi="Times New Roman" w:cs="Times New Roman" w:eastAsia="Times New Roman" w:hint="default"/>
        </w:rPr>
        <w:t>4.86</w:t>
      </w:r>
      <w:r>
        <w:rPr>
          <w:rFonts w:ascii="Times New Roman" w:hAnsi="Times New Roman" w:cs="Times New Roman" w:eastAsia="Times New Roman" w:hint="default"/>
          <w:spacing w:val="5"/>
        </w:rPr>
        <w:t> </w:t>
      </w:r>
      <w:r>
        <w:rPr/>
        <w:t>亿</w:t>
      </w:r>
      <w:r>
        <w:rPr>
          <w:spacing w:val="-51"/>
        </w:rPr>
        <w:t> </w:t>
      </w:r>
      <w:r>
        <w:rPr/>
        <w:t>美</w:t>
      </w:r>
      <w:r>
        <w:rPr>
          <w:spacing w:val="-51"/>
        </w:rPr>
        <w:t> </w:t>
      </w:r>
      <w:r>
        <w:rPr/>
        <w:t>元</w:t>
      </w:r>
      <w:r>
        <w:rPr>
          <w:spacing w:val="-51"/>
        </w:rPr>
        <w:t> </w:t>
      </w:r>
      <w:r>
        <w:rPr/>
        <w:t>的</w:t>
      </w:r>
      <w:r>
        <w:rPr>
          <w:spacing w:val="-51"/>
        </w:rPr>
        <w:t> </w:t>
      </w:r>
      <w:r>
        <w:rPr/>
        <w:t>价</w:t>
      </w:r>
      <w:r>
        <w:rPr>
          <w:spacing w:val="-53"/>
        </w:rPr>
        <w:t> </w:t>
      </w:r>
      <w:r>
        <w:rPr/>
        <w:t>格</w:t>
      </w:r>
      <w:r>
        <w:rPr>
          <w:spacing w:val="-51"/>
        </w:rPr>
        <w:t> </w:t>
      </w:r>
      <w:r>
        <w:rPr/>
        <w:t>转</w:t>
      </w:r>
      <w:r>
        <w:rPr>
          <w:spacing w:val="-51"/>
        </w:rPr>
        <w:t> </w:t>
      </w:r>
      <w:r>
        <w:rPr/>
        <w:t>让</w:t>
      </w:r>
      <w:r>
        <w:rPr>
          <w:spacing w:val="-51"/>
        </w:rPr>
        <w:t> </w:t>
      </w:r>
      <w:r>
        <w:rPr/>
        <w:t>给</w:t>
      </w:r>
      <w:r>
        <w:rPr>
          <w:spacing w:val="-49"/>
        </w:rPr>
        <w:t> </w:t>
      </w:r>
      <w:r>
        <w:rPr>
          <w:rFonts w:ascii="Times New Roman" w:hAnsi="Times New Roman" w:cs="Times New Roman" w:eastAsia="Times New Roman" w:hint="default"/>
        </w:rPr>
        <w:t>ALIBABA</w:t>
      </w:r>
      <w:r>
        <w:rPr>
          <w:rFonts w:ascii="Times New Roman" w:hAnsi="Times New Roman" w:cs="Times New Roman" w:eastAsia="Times New Roman" w:hint="default"/>
          <w:spacing w:val="37"/>
        </w:rPr>
        <w:t> </w:t>
      </w:r>
      <w:r>
        <w:rPr>
          <w:rFonts w:ascii="Times New Roman" w:hAnsi="Times New Roman" w:cs="Times New Roman" w:eastAsia="Times New Roman" w:hint="default"/>
        </w:rPr>
        <w:t>SJ</w:t>
      </w:r>
      <w:r>
        <w:rPr>
          <w:rFonts w:ascii="Times New Roman" w:hAnsi="Times New Roman" w:cs="Times New Roman" w:eastAsia="Times New Roman" w:hint="default"/>
          <w:w w:val="100"/>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和或其关联方。</w:t>
      </w:r>
    </w:p>
    <w:p>
      <w:pPr>
        <w:spacing w:line="240" w:lineRule="auto" w:before="5"/>
        <w:rPr>
          <w:rFonts w:ascii="宋体" w:hAnsi="宋体" w:cs="宋体" w:eastAsia="宋体" w:hint="default"/>
          <w:sz w:val="18"/>
          <w:szCs w:val="18"/>
        </w:rPr>
      </w:pPr>
    </w:p>
    <w:p>
      <w:pPr>
        <w:pStyle w:val="Heading6"/>
        <w:spacing w:line="244" w:lineRule="auto"/>
        <w:ind w:right="148"/>
        <w:jc w:val="both"/>
      </w:pPr>
      <w:r>
        <w:rPr>
          <w:spacing w:val="-2"/>
        </w:rPr>
        <w:t>（</w:t>
      </w:r>
      <w:r>
        <w:rPr>
          <w:rFonts w:ascii="Times New Roman" w:hAnsi="Times New Roman" w:cs="Times New Roman" w:eastAsia="Times New Roman" w:hint="default"/>
          <w:spacing w:val="-2"/>
        </w:rPr>
        <w:t>2</w:t>
      </w:r>
      <w:r>
        <w:rPr>
          <w:spacing w:val="-2"/>
        </w:rPr>
        <w:t>）根据公司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日第六届董事会第四次会议决议</w:t>
      </w:r>
      <w:r>
        <w:rPr>
          <w:rFonts w:ascii="Times New Roman" w:hAnsi="Times New Roman" w:cs="Times New Roman" w:eastAsia="Times New Roman" w:hint="default"/>
          <w:spacing w:val="-2"/>
        </w:rPr>
        <w:t>2017</w:t>
      </w:r>
      <w:r>
        <w:rPr>
          <w:spacing w:val="-2"/>
        </w:rPr>
        <w:t>年度利润分配预案：拟以未分配</w:t>
      </w:r>
      <w:r>
        <w:rPr>
          <w:w w:val="100"/>
        </w:rPr>
        <w:t> </w:t>
      </w:r>
      <w:r>
        <w:rPr>
          <w:spacing w:val="-1"/>
        </w:rPr>
        <w:t>利润向全体股东按每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1</w:t>
      </w:r>
      <w:r>
        <w:rPr>
          <w:spacing w:val="-1"/>
        </w:rPr>
        <w:t>元（含税）的现金股利，共计派发</w:t>
      </w:r>
      <w:r>
        <w:rPr>
          <w:rFonts w:ascii="Times New Roman" w:hAnsi="Times New Roman" w:cs="Times New Roman" w:eastAsia="Times New Roman" w:hint="default"/>
          <w:spacing w:val="-1"/>
        </w:rPr>
        <w:t>106,678,875.30</w:t>
      </w:r>
      <w:r>
        <w:rPr>
          <w:spacing w:val="-1"/>
        </w:rPr>
        <w:t>元，剩余未分</w:t>
      </w:r>
      <w:r>
        <w:rPr>
          <w:spacing w:val="-46"/>
        </w:rPr>
        <w:t> </w:t>
      </w:r>
      <w:r>
        <w:rPr>
          <w:spacing w:val="-46"/>
        </w:rPr>
      </w:r>
      <w:r>
        <w:rPr/>
        <w:t>配利润结转至下一年度。上述预案尚需经股东大会批准。</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pStyle w:val="Heading6"/>
        <w:spacing w:line="530" w:lineRule="atLeast" w:before="89"/>
        <w:ind w:left="592" w:right="153" w:firstLine="0"/>
        <w:jc w:val="left"/>
      </w:pPr>
      <w:r>
        <w:rPr>
          <w:rFonts w:ascii="Times New Roman" w:hAnsi="Times New Roman" w:cs="Times New Roman" w:eastAsia="Times New Roman" w:hint="default"/>
        </w:rPr>
        <w:t>1</w:t>
      </w:r>
      <w:r>
        <w:rPr/>
        <w:t>）经营分部的基本情况</w:t>
      </w:r>
      <w:r>
        <w:rPr>
          <w:spacing w:val="-108"/>
        </w:rPr>
        <w:t> </w:t>
      </w:r>
      <w:r>
        <w:rPr>
          <w:spacing w:val="-108"/>
        </w:rPr>
      </w:r>
      <w:r>
        <w:rPr>
          <w:spacing w:val="-2"/>
        </w:rPr>
        <w:t>本公司的经营业务根据业务的性质以及所提供的产品分开组织和管理。本公司的每个经营分部是</w:t>
      </w:r>
    </w:p>
    <w:p>
      <w:pPr>
        <w:pStyle w:val="Heading6"/>
        <w:spacing w:line="259" w:lineRule="auto" w:before="24"/>
        <w:ind w:right="153" w:firstLine="0"/>
        <w:jc w:val="both"/>
      </w:pPr>
      <w:r>
        <w:rPr>
          <w:spacing w:val="-2"/>
        </w:rPr>
        <w:t>一种不同的业务类型与模式，提供面临不同于其他经营分部的风险并取得不同于其他经营分部的报酬</w:t>
      </w:r>
      <w:r>
        <w:rPr>
          <w:spacing w:val="-73"/>
        </w:rPr>
        <w:t> </w:t>
      </w:r>
      <w:r>
        <w:rPr>
          <w:spacing w:val="-73"/>
        </w:rPr>
      </w:r>
      <w:r>
        <w:rPr/>
        <w:t>的产品和服务。</w:t>
      </w:r>
    </w:p>
    <w:p>
      <w:pPr>
        <w:spacing w:line="240" w:lineRule="auto" w:before="11"/>
        <w:rPr>
          <w:rFonts w:ascii="宋体" w:hAnsi="宋体" w:cs="宋体" w:eastAsia="宋体" w:hint="default"/>
          <w:sz w:val="18"/>
          <w:szCs w:val="18"/>
        </w:rPr>
      </w:pPr>
    </w:p>
    <w:p>
      <w:pPr>
        <w:pStyle w:val="Heading6"/>
        <w:spacing w:line="240" w:lineRule="auto"/>
        <w:ind w:left="592" w:right="153" w:firstLine="0"/>
        <w:jc w:val="left"/>
      </w:pPr>
      <w:r>
        <w:rPr/>
        <w:t>本公司经营分部的分类与内容如下：</w:t>
      </w:r>
    </w:p>
    <w:p>
      <w:pPr>
        <w:pStyle w:val="Heading6"/>
        <w:spacing w:line="530" w:lineRule="atLeast" w:before="38"/>
        <w:ind w:left="592" w:right="153" w:firstLine="0"/>
        <w:jc w:val="left"/>
      </w:pPr>
      <w:r>
        <w:rPr>
          <w:rFonts w:ascii="Times New Roman" w:hAnsi="Times New Roman" w:cs="Times New Roman" w:eastAsia="Times New Roman" w:hint="default"/>
        </w:rPr>
        <w:t>a</w:t>
      </w:r>
      <w:r>
        <w:rPr/>
        <w:t>计算机应用及服务行业</w:t>
      </w:r>
      <w:r>
        <w:rPr>
          <w:w w:val="100"/>
        </w:rPr>
        <w:t> </w:t>
      </w:r>
      <w:r>
        <w:rPr>
          <w:spacing w:val="-3"/>
        </w:rPr>
        <w:t>计算机应用及服务行业主要业务内容包括：技术开发、技术咨询、技术转让、技术服务、技术培</w:t>
      </w:r>
    </w:p>
    <w:p>
      <w:pPr>
        <w:pStyle w:val="Heading6"/>
        <w:spacing w:line="259" w:lineRule="auto" w:before="24"/>
        <w:ind w:right="151" w:firstLine="0"/>
        <w:jc w:val="both"/>
      </w:pPr>
      <w:r>
        <w:rPr>
          <w:spacing w:val="-2"/>
        </w:rPr>
        <w:t>训；销售开发后的产品、计算机及外围设备；提供信息源服务；网络技术服务；电子商务；安装计算</w:t>
      </w:r>
      <w:r>
        <w:rPr>
          <w:spacing w:val="-73"/>
        </w:rPr>
        <w:t> </w:t>
      </w:r>
      <w:r>
        <w:rPr>
          <w:spacing w:val="-73"/>
        </w:rPr>
      </w:r>
      <w:r>
        <w:rPr/>
        <w:t>机；货物进出口、技术进出口、代理进出口等业务。</w:t>
      </w:r>
    </w:p>
    <w:p>
      <w:pPr>
        <w:pStyle w:val="Heading6"/>
        <w:spacing w:line="530" w:lineRule="atLeast" w:before="21"/>
        <w:ind w:left="592" w:right="153" w:firstLine="0"/>
        <w:jc w:val="left"/>
      </w:pPr>
      <w:r>
        <w:rPr>
          <w:rFonts w:ascii="Times New Roman" w:hAnsi="Times New Roman" w:cs="Times New Roman" w:eastAsia="Times New Roman" w:hint="default"/>
        </w:rPr>
        <w:t>b</w:t>
      </w:r>
      <w:r>
        <w:rPr/>
        <w:t>商品批发流通行业</w:t>
      </w:r>
      <w:r>
        <w:rPr>
          <w:w w:val="100"/>
        </w:rPr>
        <w:t> </w:t>
      </w:r>
      <w:r>
        <w:rPr>
          <w:spacing w:val="-2"/>
        </w:rPr>
        <w:t>商品批发流通行业主要业务内容包括：电子元器件、设备、专用材料、电子产品及应用产品的设</w:t>
      </w:r>
    </w:p>
    <w:p>
      <w:pPr>
        <w:pStyle w:val="Heading6"/>
        <w:spacing w:line="259" w:lineRule="auto" w:before="24"/>
        <w:ind w:right="110" w:firstLine="0"/>
        <w:jc w:val="both"/>
      </w:pPr>
      <w:r>
        <w:rPr>
          <w:spacing w:val="-2"/>
        </w:rPr>
        <w:t>计、开发、生产、销售、售后服务及维修；电子器件系统工程的总承包；承办组织进出口货源和配套</w:t>
      </w:r>
      <w:r>
        <w:rPr>
          <w:spacing w:val="-73"/>
        </w:rPr>
        <w:t> </w:t>
      </w:r>
      <w:r>
        <w:rPr>
          <w:spacing w:val="-73"/>
        </w:rPr>
      </w:r>
      <w:r>
        <w:rPr>
          <w:spacing w:val="-2"/>
        </w:rPr>
        <w:t>服务；进出口业务；五金交电、通讯器材、计算机及外部设备、钢材、建筑材料、照明设备、仪器议</w:t>
      </w:r>
      <w:r>
        <w:rPr>
          <w:spacing w:val="-72"/>
        </w:rPr>
        <w:t> </w:t>
      </w:r>
      <w:r>
        <w:rPr>
          <w:spacing w:val="-72"/>
        </w:rPr>
      </w:r>
      <w:r>
        <w:rPr>
          <w:spacing w:val="-2"/>
        </w:rPr>
        <w:t>表、一般化工材料、办公用品及设备、服装百货的销售；与上述业务有关的技术咨询、技术服务、信</w:t>
      </w:r>
      <w:r>
        <w:rPr>
          <w:spacing w:val="-74"/>
        </w:rPr>
        <w:t> </w:t>
      </w:r>
      <w:r>
        <w:rPr>
          <w:spacing w:val="-74"/>
        </w:rPr>
      </w:r>
      <w:r>
        <w:rPr>
          <w:spacing w:val="-2"/>
        </w:rPr>
        <w:t>息服务；物业管理。医用电子仪器设备；医用光学器具、仪器及内窥镜设备；医用超声仪器及有关设</w:t>
      </w:r>
      <w:r>
        <w:rPr>
          <w:spacing w:val="-72"/>
        </w:rPr>
        <w:t> </w:t>
      </w:r>
      <w:r>
        <w:rPr>
          <w:spacing w:val="-72"/>
        </w:rPr>
      </w:r>
      <w:r>
        <w:rPr/>
        <w:t>备；医用激光仪器设备；医用高频仪器设备；医用磁共振设备、医用</w:t>
      </w:r>
      <w:r>
        <w:rPr>
          <w:rFonts w:ascii="Times New Roman" w:hAnsi="Times New Roman" w:cs="Times New Roman" w:eastAsia="Times New Roman" w:hint="default"/>
        </w:rPr>
        <w:t>X</w:t>
      </w:r>
      <w:r>
        <w:rPr/>
        <w:t>射线设备；医用</w:t>
      </w:r>
      <w:r>
        <w:rPr>
          <w:rFonts w:ascii="Times New Roman" w:hAnsi="Times New Roman" w:cs="Times New Roman" w:eastAsia="Times New Roman" w:hint="default"/>
        </w:rPr>
        <w:t>X</w:t>
      </w:r>
      <w:r>
        <w:rPr/>
        <w:t>射线附属设</w:t>
      </w:r>
      <w:r>
        <w:rPr>
          <w:spacing w:val="-31"/>
        </w:rPr>
        <w:t> </w:t>
      </w:r>
      <w:r>
        <w:rPr>
          <w:spacing w:val="-31"/>
        </w:rPr>
      </w:r>
      <w:r>
        <w:rPr>
          <w:spacing w:val="-2"/>
        </w:rPr>
        <w:t>备及部件；医用化验和基础设备器具；体外循环及血液处理设备、手术室、急救室、诊疗室设备及器</w:t>
      </w:r>
      <w:r>
        <w:rPr>
          <w:spacing w:val="-72"/>
        </w:rPr>
        <w:t> </w:t>
      </w:r>
      <w:r>
        <w:rPr>
          <w:spacing w:val="-72"/>
        </w:rPr>
      </w:r>
      <w:r>
        <w:rPr>
          <w:spacing w:val="-1"/>
        </w:rPr>
        <w:t>具；医用高分子材料及制品；物理治疗及健康设备；体外检验分析器；病房护理设备及器具的经营；</w:t>
      </w:r>
      <w:r>
        <w:rPr>
          <w:spacing w:val="-73"/>
        </w:rPr>
        <w:t> </w:t>
      </w:r>
      <w:r>
        <w:rPr>
          <w:spacing w:val="-73"/>
        </w:rPr>
      </w:r>
      <w:r>
        <w:rPr/>
        <w:t>批发预包装食品。说明报告分部的具体确定依据、分部会计政策。</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996"/>
        <w:gridCol w:w="1985"/>
        <w:gridCol w:w="1702"/>
        <w:gridCol w:w="1633"/>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33"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9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1,719,039,394.64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1" w:right="0"/>
              <w:jc w:val="left"/>
              <w:rPr>
                <w:rFonts w:ascii="Times New Roman" w:hAnsi="Times New Roman" w:cs="Times New Roman" w:eastAsia="Times New Roman" w:hint="default"/>
                <w:sz w:val="18"/>
                <w:szCs w:val="18"/>
              </w:rPr>
            </w:pPr>
            <w:r>
              <w:rPr>
                <w:rFonts w:ascii="Times New Roman"/>
                <w:sz w:val="18"/>
              </w:rPr>
              <w:t>1,265,106,652.85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22,959,456.85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2,961,186,590.64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7"/>
        <w:gridCol w:w="1985"/>
        <w:gridCol w:w="1985"/>
        <w:gridCol w:w="1702"/>
        <w:gridCol w:w="1633"/>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483,888,668.22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1,177,360,482.06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21,719,630.82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1,639,529,519.46</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153,175,992.44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36,229,553.69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799,640.36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188,605,905.77</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36,173,755.42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340,699.96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36,514,455.38</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-20,013.65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-890,062.98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-910,076.63</w:t>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对联营企业和合营企业的投 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10,092,854.41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10,092,854.41</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37,524,893.59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6,734,496.23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1,491,661.10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42,767,728.72</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72,114,478.70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24,403,584.67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96,518,063.37</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494,084,044.78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-12,020,621.84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-2,291,301.46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484,354,724.40</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6,015,427,154.73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809,036,661.41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36,939,240.58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6,787,524,575.56</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1,148,872,055.17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277,073,635.68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39,159,117.42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1,386,786,573.43</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对联营企业和合营企业的长 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353,173,204.23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353,173,204.23</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592" w:right="153" w:firstLine="0"/>
        <w:jc w:val="left"/>
      </w:pPr>
      <w:r>
        <w:rPr>
          <w:rFonts w:ascii="Times New Roman" w:hAnsi="Times New Roman" w:cs="Times New Roman" w:eastAsia="Times New Roman" w:hint="default"/>
        </w:rPr>
        <w:t>1</w:t>
      </w:r>
      <w:r>
        <w:rPr/>
        <w:t>）分产品类别的对外交易收入</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254"/>
        <w:gridCol w:w="2693"/>
        <w:gridCol w:w="2554"/>
      </w:tblGrid>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2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1,719,039,394.64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1,448,154,330.81</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1,242,147,196.00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1,214,453,803.23</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2,961,186,590.64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2,662,608,134.04</w:t>
            </w:r>
          </w:p>
        </w:tc>
      </w:tr>
    </w:tbl>
    <w:p>
      <w:pPr>
        <w:spacing w:line="240" w:lineRule="auto" w:before="3"/>
        <w:rPr>
          <w:rFonts w:ascii="宋体" w:hAnsi="宋体" w:cs="宋体" w:eastAsia="宋体" w:hint="default"/>
          <w:sz w:val="14"/>
          <w:szCs w:val="14"/>
        </w:rPr>
      </w:pPr>
    </w:p>
    <w:p>
      <w:pPr>
        <w:pStyle w:val="Heading6"/>
        <w:spacing w:line="240" w:lineRule="auto" w:before="32"/>
        <w:ind w:left="594" w:right="153" w:firstLine="0"/>
        <w:jc w:val="left"/>
      </w:pPr>
      <w:r>
        <w:rPr>
          <w:rFonts w:ascii="Times New Roman" w:hAnsi="Times New Roman" w:cs="Times New Roman" w:eastAsia="Times New Roman" w:hint="default"/>
        </w:rPr>
        <w:t>2</w:t>
      </w:r>
      <w:r>
        <w:rPr/>
        <w:t>）分地区的对外交易收入</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254"/>
        <w:gridCol w:w="2693"/>
        <w:gridCol w:w="2554"/>
      </w:tblGrid>
      <w:tr>
        <w:trPr>
          <w:trHeight w:val="34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2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2,762,373,395.64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2,560,649,515.52</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198,813,195.00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101,958,618.52</w:t>
            </w:r>
          </w:p>
        </w:tc>
      </w:tr>
      <w:tr>
        <w:trPr>
          <w:trHeight w:val="34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2,961,186,590.64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2,662,608,134.04</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
        <w:rPr>
          <w:rFonts w:ascii="宋体" w:hAnsi="宋体" w:cs="宋体" w:eastAsia="宋体" w:hint="default"/>
          <w:sz w:val="22"/>
          <w:szCs w:val="22"/>
        </w:rPr>
      </w:pPr>
    </w:p>
    <w:p>
      <w:pPr>
        <w:pStyle w:val="Heading3"/>
        <w:spacing w:line="240" w:lineRule="auto"/>
        <w:ind w:left="140" w:right="0"/>
        <w:jc w:val="left"/>
        <w:rPr>
          <w:b w:val="0"/>
          <w:bCs w:val="0"/>
        </w:rPr>
      </w:pPr>
      <w:r>
        <w:rPr/>
        <w:pict>
          <v:group style="position:absolute;margin-left:70.559998pt;margin-top:.795603pt;width:700.9pt;height:.1pt;mso-position-horizontal-relative:page;mso-position-vertical-relative:paragraph;z-index:-1159816" coordorigin="1411,16" coordsize="14018,2">
            <v:shape style="position:absolute;left:1411;top:16;width:14018;height:2" coordorigin="1411,16" coordsize="14018,0" path="m1411,16l15429,16e" filled="false" stroked="true" strokeweight=".72pt" strokecolor="#000000">
              <v:path arrowok="t"/>
            </v:shape>
            <w10:wrap type="none"/>
          </v:group>
        </w:pict>
      </w:r>
      <w:r>
        <w:rPr>
          <w:w w:val="95"/>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left="140"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40"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9"/>
          <w:footerReference w:type="default" r:id="rId60"/>
          <w:pgSz w:w="16840" w:h="11910" w:orient="landscape"/>
          <w:pgMar w:header="0" w:footer="0" w:top="800" w:bottom="280" w:left="1300" w:right="1300"/>
          <w:cols w:num="2" w:equalWidth="0">
            <w:col w:w="3993" w:space="5375"/>
            <w:col w:w="4872"/>
          </w:cols>
        </w:sectPr>
      </w:pPr>
    </w:p>
    <w:p>
      <w:pPr>
        <w:spacing w:line="240" w:lineRule="auto" w:before="10"/>
        <w:rPr>
          <w:rFonts w:ascii="宋体" w:hAnsi="宋体" w:cs="宋体" w:eastAsia="宋体" w:hint="default"/>
          <w:sz w:val="22"/>
          <w:szCs w:val="22"/>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824"/>
        <w:gridCol w:w="1271"/>
        <w:gridCol w:w="761"/>
        <w:gridCol w:w="1181"/>
        <w:gridCol w:w="958"/>
        <w:gridCol w:w="1270"/>
        <w:gridCol w:w="1265"/>
        <w:gridCol w:w="763"/>
        <w:gridCol w:w="1181"/>
        <w:gridCol w:w="932"/>
        <w:gridCol w:w="1272"/>
      </w:tblGrid>
      <w:tr>
        <w:trPr>
          <w:trHeight w:val="401" w:hRule="exact"/>
        </w:trPr>
        <w:tc>
          <w:tcPr>
            <w:tcW w:w="2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54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4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20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2824" w:type="dxa"/>
            <w:vMerge/>
            <w:tcBorders>
              <w:left w:val="single" w:sz="4" w:space="0" w:color="000000"/>
              <w:bottom w:val="nil" w:sz="6" w:space="0" w:color="auto"/>
              <w:right w:val="single" w:sz="4" w:space="0" w:color="000000"/>
            </w:tcBorders>
            <w:shd w:val="clear" w:color="auto" w:fill="D2D2D2"/>
          </w:tcPr>
          <w:p>
            <w:pPr/>
          </w:p>
        </w:tc>
        <w:tc>
          <w:tcPr>
            <w:tcW w:w="2032" w:type="dxa"/>
            <w:gridSpan w:val="2"/>
            <w:vMerge/>
            <w:tcBorders>
              <w:left w:val="single" w:sz="4" w:space="0" w:color="000000"/>
              <w:bottom w:val="single" w:sz="4" w:space="0" w:color="000000"/>
              <w:right w:val="single" w:sz="4" w:space="0" w:color="000000"/>
            </w:tcBorders>
            <w:shd w:val="clear" w:color="auto" w:fill="D2D2D2"/>
          </w:tcPr>
          <w:p>
            <w:pPr/>
          </w:p>
        </w:tc>
        <w:tc>
          <w:tcPr>
            <w:tcW w:w="2138" w:type="dxa"/>
            <w:gridSpan w:val="2"/>
            <w:vMerge/>
            <w:tcBorders>
              <w:left w:val="single" w:sz="4" w:space="0" w:color="000000"/>
              <w:bottom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28" w:type="dxa"/>
            <w:gridSpan w:val="2"/>
            <w:vMerge/>
            <w:tcBorders>
              <w:left w:val="single" w:sz="4" w:space="0" w:color="000000"/>
              <w:bottom w:val="single" w:sz="4" w:space="0" w:color="000000"/>
              <w:right w:val="single" w:sz="4" w:space="0" w:color="000000"/>
            </w:tcBorders>
            <w:shd w:val="clear" w:color="auto" w:fill="D2D2D2"/>
          </w:tcPr>
          <w:p>
            <w:pPr/>
          </w:p>
        </w:tc>
        <w:tc>
          <w:tcPr>
            <w:tcW w:w="2113" w:type="dxa"/>
            <w:gridSpan w:val="2"/>
            <w:vMerge/>
            <w:tcBorders>
              <w:left w:val="single" w:sz="4" w:space="0" w:color="000000"/>
              <w:bottom w:val="single" w:sz="4" w:space="0" w:color="000000"/>
              <w:right w:val="single" w:sz="4" w:space="0" w:color="000000"/>
            </w:tcBorders>
            <w:shd w:val="clear" w:color="auto" w:fill="D2D2D2"/>
          </w:tcPr>
          <w:p>
            <w:pPr/>
          </w:p>
        </w:tc>
        <w:tc>
          <w:tcPr>
            <w:tcW w:w="12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2824" w:type="dxa"/>
            <w:vMerge w:val="restart"/>
            <w:tcBorders>
              <w:top w:val="nil" w:sz="6" w:space="0" w:color="auto"/>
              <w:left w:val="single" w:sz="4" w:space="0" w:color="000000"/>
              <w:right w:val="single" w:sz="4" w:space="0" w:color="000000"/>
            </w:tcBorders>
            <w:shd w:val="clear" w:color="auto" w:fill="D2D2D2"/>
          </w:tcPr>
          <w:p>
            <w:pPr/>
          </w:p>
        </w:tc>
        <w:tc>
          <w:tcPr>
            <w:tcW w:w="1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0"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2"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824" w:type="dxa"/>
            <w:vMerge/>
            <w:tcBorders>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1"/>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 的应收账款</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43,753,470.61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7,991,398.61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35,762,072.00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36,263,110.34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7,756,724.06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21.39%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28,506,386.28</w:t>
            </w:r>
          </w:p>
        </w:tc>
      </w:tr>
      <w:tr>
        <w:trPr>
          <w:trHeight w:val="713"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 备的应收账款</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1,543,212.43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1,543,212.43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45,296,683.04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9,534,611.04</w:t>
            </w:r>
          </w:p>
        </w:tc>
        <w:tc>
          <w:tcPr>
            <w:tcW w:w="95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35,762,072.00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36,263,110.34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7,756,724.06</w:t>
            </w:r>
          </w:p>
        </w:tc>
        <w:tc>
          <w:tcPr>
            <w:tcW w:w="93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28,506,386.28</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5"/>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200</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61"/>
          <w:pgSz w:w="11910" w:h="16840"/>
          <w:pgMar w:footer="980" w:header="0" w:top="1100" w:bottom="1160" w:left="980" w:right="980"/>
          <w:pgNumType w:start="201"/>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0"/>
        <w:gridCol w:w="2268"/>
        <w:gridCol w:w="2124"/>
        <w:gridCol w:w="2057"/>
      </w:tblGrid>
      <w:tr>
        <w:trPr>
          <w:trHeight w:val="402" w:hRule="exact"/>
        </w:trPr>
        <w:tc>
          <w:tcPr>
            <w:tcW w:w="3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4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20" w:type="dxa"/>
            <w:vMerge/>
            <w:tcBorders>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32,637,962.54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1,631,898.13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32,637,962.54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1,631,898.13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3,588,179.82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358,817.98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406,471.72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81,294.35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37,146.00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18,573.00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572,113.63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457,690.90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5,386,888.85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5,386,888.85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42,628,762.56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7,935,163.21</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56" w:lineRule="auto" w:before="94"/>
        <w:ind w:right="142" w:firstLine="420"/>
        <w:jc w:val="left"/>
      </w:pPr>
      <w:r>
        <w:rPr/>
        <w:t>组合</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根据以前年度与之相同或类似的、按账龄段划分的具有类似信用风险特征的应收款项组合的实</w:t>
      </w:r>
      <w:r>
        <w:rPr>
          <w:w w:val="100"/>
        </w:rPr>
        <w:t> </w:t>
      </w:r>
      <w:r>
        <w:rPr/>
        <w:t>际损失率为基础，结合现实情况分析法对计算机及服务行业确定坏账准备计提的比例。</w:t>
      </w: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268"/>
        <w:gridCol w:w="2124"/>
        <w:gridCol w:w="2057"/>
      </w:tblGrid>
      <w:tr>
        <w:trPr>
          <w:trHeight w:val="401"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4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1,124,708.05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56,235.40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1,124,708.05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56,235.40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bl>
    <w:p>
      <w:pPr>
        <w:spacing w:line="338" w:lineRule="auto" w:before="49"/>
        <w:ind w:left="152" w:right="14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本公司对北京中长石基信息技术股份有限公司合并范围内的其他关联方应收款项单独进行减值测试，单独测试未发生重大减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值的金融资产，按照期末余额的</w:t>
      </w:r>
      <w:r>
        <w:rPr>
          <w:rFonts w:ascii="Times New Roman" w:hAnsi="Times New Roman" w:cs="Times New Roman" w:eastAsia="Times New Roman" w:hint="default"/>
          <w:sz w:val="18"/>
          <w:szCs w:val="18"/>
        </w:rPr>
        <w:t>5%</w:t>
      </w:r>
      <w:r>
        <w:rPr>
          <w:rFonts w:ascii="宋体" w:hAnsi="宋体" w:cs="宋体" w:eastAsia="宋体" w:hint="default"/>
          <w:sz w:val="18"/>
          <w:szCs w:val="18"/>
        </w:rPr>
        <w:t>计提减值准备。</w:t>
      </w:r>
    </w:p>
    <w:p>
      <w:pPr>
        <w:spacing w:line="240" w:lineRule="auto" w:before="7"/>
        <w:rPr>
          <w:rFonts w:ascii="宋体" w:hAnsi="宋体" w:cs="宋体" w:eastAsia="宋体" w:hint="default"/>
          <w:sz w:val="25"/>
          <w:szCs w:val="25"/>
        </w:rPr>
      </w:pPr>
    </w:p>
    <w:p>
      <w:pPr>
        <w:spacing w:line="357" w:lineRule="auto" w:before="0"/>
        <w:ind w:left="152" w:right="5814"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 无</w:t>
      </w:r>
    </w:p>
    <w:p>
      <w:pPr>
        <w:spacing w:line="240" w:lineRule="auto" w:before="6"/>
        <w:rPr>
          <w:rFonts w:ascii="宋体" w:hAnsi="宋体" w:cs="宋体" w:eastAsia="宋体" w:hint="default"/>
          <w:sz w:val="20"/>
          <w:szCs w:val="20"/>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1,777,886.98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835"/>
        <w:gridCol w:w="1277"/>
        <w:gridCol w:w="3260"/>
        <w:gridCol w:w="1177"/>
        <w:gridCol w:w="1102"/>
      </w:tblGrid>
      <w:tr>
        <w:trPr>
          <w:trHeight w:val="970"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0" w:right="35"/>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73" w:right="89" w:hanging="180"/>
              <w:jc w:val="left"/>
              <w:rPr>
                <w:rFonts w:ascii="宋体" w:hAnsi="宋体" w:cs="宋体" w:eastAsia="宋体" w:hint="default"/>
                <w:sz w:val="18"/>
                <w:szCs w:val="18"/>
              </w:rPr>
            </w:pPr>
            <w:r>
              <w:rPr>
                <w:rFonts w:ascii="宋体" w:hAnsi="宋体" w:cs="宋体" w:eastAsia="宋体" w:hint="default"/>
                <w:b/>
                <w:bCs/>
                <w:sz w:val="18"/>
                <w:szCs w:val="18"/>
              </w:rPr>
              <w:t>坏账准备年</w:t>
            </w:r>
            <w:r>
              <w:rPr>
                <w:rFonts w:ascii="宋体" w:hAnsi="宋体" w:cs="宋体" w:eastAsia="宋体" w:hint="default"/>
                <w:b/>
                <w:bCs/>
                <w:w w:val="99"/>
                <w:sz w:val="18"/>
                <w:szCs w:val="18"/>
              </w:rPr>
              <w:t> </w:t>
            </w: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972"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星巴克企业管理（中国）有限公司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5" w:right="0"/>
              <w:jc w:val="left"/>
              <w:rPr>
                <w:rFonts w:ascii="Times New Roman" w:hAnsi="Times New Roman" w:cs="Times New Roman" w:eastAsia="Times New Roman" w:hint="default"/>
                <w:sz w:val="18"/>
                <w:szCs w:val="18"/>
              </w:rPr>
            </w:pPr>
            <w:r>
              <w:rPr>
                <w:rFonts w:ascii="Times New Roman"/>
                <w:sz w:val="18"/>
              </w:rPr>
              <w:t>8,283,079.06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7,659,423.51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560,633.00</w:t>
            </w:r>
            <w:r>
              <w:rPr>
                <w:rFonts w:ascii="宋体" w:hAnsi="宋体" w:cs="宋体" w:eastAsia="宋体" w:hint="default"/>
                <w:sz w:val="18"/>
                <w:szCs w:val="18"/>
              </w:rPr>
              <w:t>；</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19,228.00</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r>
              <w:rPr>
                <w:rFonts w:ascii="Times New Roman" w:hAnsi="Times New Roman" w:cs="Times New Roman" w:eastAsia="Times New Roman" w:hint="default"/>
                <w:sz w:val="18"/>
                <w:szCs w:val="18"/>
              </w:rPr>
              <w:t>22,246.00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5,927.00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15,621.55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18.29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474,366.23</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上海锦江首选酒店管理有限公司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5" w:right="0"/>
              <w:jc w:val="left"/>
              <w:rPr>
                <w:rFonts w:ascii="Times New Roman" w:hAnsi="Times New Roman" w:cs="Times New Roman" w:eastAsia="Times New Roman" w:hint="default"/>
                <w:sz w:val="18"/>
                <w:szCs w:val="18"/>
              </w:rPr>
            </w:pPr>
            <w:r>
              <w:rPr>
                <w:rFonts w:ascii="Times New Roman"/>
                <w:sz w:val="18"/>
              </w:rPr>
              <w:t>1,353,865.00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67,693.25</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西安君邦置业有限公司诺富特酒店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5" w:right="0"/>
              <w:jc w:val="left"/>
              <w:rPr>
                <w:rFonts w:ascii="Times New Roman" w:hAnsi="Times New Roman" w:cs="Times New Roman" w:eastAsia="Times New Roman" w:hint="default"/>
                <w:sz w:val="18"/>
                <w:szCs w:val="18"/>
              </w:rPr>
            </w:pPr>
            <w:r>
              <w:rPr>
                <w:rFonts w:ascii="Times New Roman"/>
                <w:sz w:val="18"/>
              </w:rPr>
              <w:t>1,307,444.00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65,372.20</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北京恒茂装饰工程有限公司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5" w:right="0"/>
              <w:jc w:val="left"/>
              <w:rPr>
                <w:rFonts w:ascii="Times New Roman" w:hAnsi="Times New Roman" w:cs="Times New Roman" w:eastAsia="Times New Roman" w:hint="default"/>
                <w:sz w:val="18"/>
                <w:szCs w:val="18"/>
              </w:rPr>
            </w:pPr>
            <w:r>
              <w:rPr>
                <w:rFonts w:ascii="Times New Roman"/>
                <w:sz w:val="18"/>
              </w:rPr>
              <w:t>1,286,107.70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64,305.39</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重庆绿谷开发建设有限公司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5" w:right="0"/>
              <w:jc w:val="left"/>
              <w:rPr>
                <w:rFonts w:ascii="Times New Roman" w:hAnsi="Times New Roman" w:cs="Times New Roman" w:eastAsia="Times New Roman" w:hint="default"/>
                <w:sz w:val="18"/>
                <w:szCs w:val="18"/>
              </w:rPr>
            </w:pPr>
            <w:r>
              <w:rPr>
                <w:rFonts w:ascii="Times New Roman"/>
                <w:sz w:val="18"/>
              </w:rPr>
              <w:t>1,236,000.00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123,600.00</w:t>
            </w:r>
          </w:p>
        </w:tc>
      </w:tr>
      <w:tr>
        <w:trPr>
          <w:trHeight w:val="34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6" w:right="0"/>
              <w:jc w:val="left"/>
              <w:rPr>
                <w:rFonts w:ascii="Times New Roman" w:hAnsi="Times New Roman" w:cs="Times New Roman" w:eastAsia="Times New Roman" w:hint="default"/>
                <w:sz w:val="18"/>
                <w:szCs w:val="18"/>
              </w:rPr>
            </w:pPr>
            <w:r>
              <w:rPr>
                <w:rFonts w:ascii="Times New Roman"/>
                <w:b/>
                <w:sz w:val="18"/>
              </w:rPr>
              <w:t>13,466,495.76</w:t>
            </w:r>
            <w:r>
              <w:rPr>
                <w:rFonts w:ascii="Times New Roman"/>
                <w:sz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29.74</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795,337.07</w:t>
            </w:r>
            <w:r>
              <w:rPr>
                <w:rFonts w:ascii="Times New Roman"/>
                <w:spacing w:val="-1"/>
                <w:sz w:val="18"/>
              </w:rPr>
            </w:r>
          </w:p>
        </w:tc>
      </w:tr>
    </w:tbl>
    <w:p>
      <w:pPr>
        <w:spacing w:line="240" w:lineRule="auto" w:before="3"/>
        <w:rPr>
          <w:rFonts w:ascii="宋体" w:hAnsi="宋体" w:cs="宋体" w:eastAsia="宋体" w:hint="default"/>
          <w:b/>
          <w:bCs/>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86"/>
        <w:gridCol w:w="1146"/>
        <w:gridCol w:w="566"/>
        <w:gridCol w:w="1136"/>
        <w:gridCol w:w="566"/>
        <w:gridCol w:w="1277"/>
        <w:gridCol w:w="992"/>
        <w:gridCol w:w="566"/>
        <w:gridCol w:w="950"/>
        <w:gridCol w:w="569"/>
        <w:gridCol w:w="1202"/>
      </w:tblGrid>
      <w:tr>
        <w:trPr>
          <w:trHeight w:val="396" w:hRule="exact"/>
        </w:trPr>
        <w:tc>
          <w:tcPr>
            <w:tcW w:w="686" w:type="dxa"/>
            <w:vMerge w:val="restart"/>
            <w:tcBorders>
              <w:top w:val="single" w:sz="4" w:space="0" w:color="000000"/>
              <w:left w:val="single" w:sz="4" w:space="0" w:color="000000"/>
              <w:right w:val="single" w:sz="4" w:space="0" w:color="000000"/>
            </w:tcBorders>
            <w:shd w:val="clear" w:color="auto" w:fill="D2D2D2"/>
          </w:tcPr>
          <w:p>
            <w:pPr/>
          </w:p>
        </w:tc>
        <w:tc>
          <w:tcPr>
            <w:tcW w:w="46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686" w:type="dxa"/>
            <w:vMerge/>
            <w:tcBorders>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86" w:type="dxa"/>
            <w:vMerge/>
            <w:tcBorders>
              <w:left w:val="single" w:sz="4" w:space="0" w:color="000000"/>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00" w:right="9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686" w:type="dxa"/>
            <w:vMerge w:val="restart"/>
            <w:tcBorders>
              <w:top w:val="nil" w:sz="6" w:space="0" w:color="auto"/>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9"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686"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50"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686"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227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1"/>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525,668,925.0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26,291,931.92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499,376,993.08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112,022,103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5,586,050.7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106,436,053.21</w:t>
            </w:r>
          </w:p>
        </w:tc>
      </w:tr>
      <w:tr>
        <w:trPr>
          <w:trHeight w:val="258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2"/>
              <w:jc w:val="both"/>
              <w:rPr>
                <w:rFonts w:ascii="宋体" w:hAnsi="宋体" w:cs="宋体" w:eastAsia="宋体" w:hint="default"/>
                <w:sz w:val="18"/>
                <w:szCs w:val="18"/>
              </w:rPr>
            </w:pPr>
            <w:r>
              <w:rPr>
                <w:rFonts w:ascii="宋体" w:hAnsi="宋体" w:cs="宋体" w:eastAsia="宋体" w:hint="default"/>
                <w:sz w:val="18"/>
                <w:szCs w:val="18"/>
              </w:rPr>
              <w:t>单项金 额不重 大但单 独计提 坏账准 备的其 他应收 款</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2,077,323.97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0.39%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2,077,323.97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1,509,510.4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1,509,510.4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527,746,248.9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28,369,255.89</w:t>
            </w:r>
          </w:p>
        </w:tc>
        <w:tc>
          <w:tcPr>
            <w:tcW w:w="56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499,376,993.08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113,531,614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7,095,561.2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9" w:type="dxa"/>
            <w:vMerge w:val="restart"/>
            <w:tcBorders>
              <w:top w:val="single" w:sz="4" w:space="0" w:color="000000"/>
              <w:left w:val="single" w:sz="4" w:space="0" w:color="000000"/>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106,436,053.21</w:t>
            </w:r>
          </w:p>
        </w:tc>
      </w:tr>
      <w:tr>
        <w:trPr>
          <w:trHeight w:val="39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vMerge/>
            <w:tcBorders>
              <w:left w:val="single" w:sz="10"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vMerge/>
            <w:tcBorders>
              <w:left w:val="single" w:sz="10"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80" w:top="11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1"/>
        <w:gridCol w:w="2268"/>
        <w:gridCol w:w="1983"/>
        <w:gridCol w:w="144"/>
        <w:gridCol w:w="1913"/>
      </w:tblGrid>
      <w:tr>
        <w:trPr>
          <w:trHeight w:val="402" w:hRule="exact"/>
        </w:trPr>
        <w:tc>
          <w:tcPr>
            <w:tcW w:w="3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3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61" w:type="dxa"/>
            <w:vMerge/>
            <w:tcBorders>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4,092,691.78</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4" w:right="0"/>
              <w:jc w:val="left"/>
              <w:rPr>
                <w:rFonts w:ascii="Times New Roman" w:hAnsi="Times New Roman" w:cs="Times New Roman" w:eastAsia="Times New Roman" w:hint="default"/>
                <w:sz w:val="18"/>
                <w:szCs w:val="18"/>
              </w:rPr>
            </w:pPr>
            <w:r>
              <w:rPr>
                <w:rFonts w:ascii="Times New Roman"/>
                <w:sz w:val="18"/>
              </w:rPr>
              <w:t>204,634.59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4,092,691.78</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4" w:right="0"/>
              <w:jc w:val="left"/>
              <w:rPr>
                <w:rFonts w:ascii="Times New Roman" w:hAnsi="Times New Roman" w:cs="Times New Roman" w:eastAsia="Times New Roman" w:hint="default"/>
                <w:sz w:val="18"/>
                <w:szCs w:val="18"/>
              </w:rPr>
            </w:pPr>
            <w:r>
              <w:rPr>
                <w:rFonts w:ascii="Times New Roman"/>
                <w:sz w:val="18"/>
              </w:rPr>
              <w:t>204,634.59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165,900.00</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5" w:right="0"/>
              <w:jc w:val="left"/>
              <w:rPr>
                <w:rFonts w:ascii="Times New Roman" w:hAnsi="Times New Roman" w:cs="Times New Roman" w:eastAsia="Times New Roman" w:hint="default"/>
                <w:sz w:val="18"/>
                <w:szCs w:val="18"/>
              </w:rPr>
            </w:pPr>
            <w:r>
              <w:rPr>
                <w:rFonts w:ascii="Times New Roman"/>
                <w:sz w:val="18"/>
              </w:rPr>
              <w:t>16,590.00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41,435.00</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8,287.00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5" w:right="0"/>
              <w:jc w:val="left"/>
              <w:rPr>
                <w:rFonts w:ascii="Times New Roman" w:hAnsi="Times New Roman" w:cs="Times New Roman" w:eastAsia="Times New Roman" w:hint="default"/>
                <w:sz w:val="18"/>
                <w:szCs w:val="18"/>
              </w:rPr>
            </w:pPr>
            <w:r>
              <w:rPr>
                <w:rFonts w:ascii="Times New Roman"/>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75,260.00</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5" w:right="0"/>
              <w:jc w:val="left"/>
              <w:rPr>
                <w:rFonts w:ascii="Times New Roman" w:hAnsi="Times New Roman" w:cs="Times New Roman" w:eastAsia="Times New Roman" w:hint="default"/>
                <w:sz w:val="18"/>
                <w:szCs w:val="18"/>
              </w:rPr>
            </w:pPr>
            <w:r>
              <w:rPr>
                <w:rFonts w:ascii="Times New Roman"/>
                <w:sz w:val="18"/>
              </w:rPr>
              <w:t>60,208.00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4,395,286.78</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4" w:right="0"/>
              <w:jc w:val="left"/>
              <w:rPr>
                <w:rFonts w:ascii="Times New Roman" w:hAnsi="Times New Roman" w:cs="Times New Roman" w:eastAsia="Times New Roman" w:hint="default"/>
                <w:sz w:val="18"/>
                <w:szCs w:val="18"/>
              </w:rPr>
            </w:pPr>
            <w:r>
              <w:rPr>
                <w:rFonts w:ascii="Times New Roman"/>
                <w:sz w:val="18"/>
              </w:rPr>
              <w:t>299,719.59</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56" w:lineRule="auto" w:before="94"/>
        <w:ind w:right="142" w:firstLine="420"/>
        <w:jc w:val="left"/>
      </w:pPr>
      <w:r>
        <w:rPr/>
        <w:t>组合</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根据以前年度与之相同或类似的、按账龄段划分的具有类似信用风险特征的应收款项组合的实</w:t>
      </w:r>
      <w:r>
        <w:rPr>
          <w:w w:val="100"/>
        </w:rPr>
        <w:t> </w:t>
      </w:r>
      <w:r>
        <w:rPr/>
        <w:t>际损失率为基础，结合现实情况分析法对计算机及服务行业确定坏账准备计提的比例。</w:t>
      </w: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268"/>
        <w:gridCol w:w="2127"/>
        <w:gridCol w:w="1913"/>
      </w:tblGrid>
      <w:tr>
        <w:trPr>
          <w:trHeight w:val="401" w:hRule="exact"/>
        </w:trPr>
        <w:tc>
          <w:tcPr>
            <w:tcW w:w="3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263" w:type="dxa"/>
            <w:vMerge/>
            <w:tcBorders>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519,844,246.60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25,992,212.33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519,844,246.60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25,992,212.33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bl>
    <w:p>
      <w:pPr>
        <w:spacing w:line="338" w:lineRule="auto" w:before="49"/>
        <w:ind w:left="152" w:right="14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本公司对北京中长石基信息技术股份有限公司合并范围内的其他关联方应收款项单独进行减值测试，单独测试未发生重大减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值的金融资产，按照期末余额的</w:t>
      </w:r>
      <w:r>
        <w:rPr>
          <w:rFonts w:ascii="Times New Roman" w:hAnsi="Times New Roman" w:cs="Times New Roman" w:eastAsia="Times New Roman" w:hint="default"/>
          <w:sz w:val="18"/>
          <w:szCs w:val="18"/>
        </w:rPr>
        <w:t>5%</w:t>
      </w:r>
      <w:r>
        <w:rPr>
          <w:rFonts w:ascii="宋体" w:hAnsi="宋体" w:cs="宋体" w:eastAsia="宋体" w:hint="default"/>
          <w:sz w:val="18"/>
          <w:szCs w:val="18"/>
        </w:rPr>
        <w:t>计提减值准备。</w:t>
      </w:r>
    </w:p>
    <w:p>
      <w:pPr>
        <w:spacing w:line="240" w:lineRule="auto" w:before="7"/>
        <w:rPr>
          <w:rFonts w:ascii="宋体" w:hAnsi="宋体" w:cs="宋体" w:eastAsia="宋体" w:hint="default"/>
          <w:sz w:val="25"/>
          <w:szCs w:val="25"/>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3263"/>
        <w:gridCol w:w="2268"/>
        <w:gridCol w:w="2127"/>
        <w:gridCol w:w="1844"/>
      </w:tblGrid>
      <w:tr>
        <w:trPr>
          <w:trHeight w:val="348"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2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8" w:hRule="exact"/>
        </w:trPr>
        <w:tc>
          <w:tcPr>
            <w:tcW w:w="3263"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备用金组合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05" w:right="0"/>
              <w:jc w:val="left"/>
              <w:rPr>
                <w:rFonts w:ascii="Times New Roman" w:hAnsi="Times New Roman" w:cs="Times New Roman" w:eastAsia="Times New Roman" w:hint="default"/>
                <w:sz w:val="18"/>
                <w:szCs w:val="18"/>
              </w:rPr>
            </w:pPr>
            <w:r>
              <w:rPr>
                <w:rFonts w:ascii="Times New Roman"/>
                <w:sz w:val="18"/>
              </w:rPr>
              <w:t>1,429,391.62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21,273,694.60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7"/>
        <w:spacing w:line="240" w:lineRule="auto"/>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519,844,246.60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107,356,759.55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1,503,574.37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636,148.00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1,429,391.62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1,218,216.99</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3,863,419.40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2,671,004.02</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1,105,616.98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1,649,485.87</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527,746,248.97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113,531,614.43</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433"/>
        <w:gridCol w:w="1560"/>
        <w:gridCol w:w="992"/>
        <w:gridCol w:w="1673"/>
        <w:gridCol w:w="1616"/>
      </w:tblGrid>
      <w:tr>
        <w:trPr>
          <w:trHeight w:val="71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7"/>
              <w:jc w:val="right"/>
              <w:rPr>
                <w:rFonts w:ascii="宋体" w:hAnsi="宋体" w:cs="宋体" w:eastAsia="宋体" w:hint="default"/>
                <w:sz w:val="18"/>
                <w:szCs w:val="18"/>
              </w:rPr>
            </w:pPr>
            <w:r>
              <w:rPr>
                <w:rFonts w:ascii="宋体" w:hAnsi="宋体" w:cs="宋体" w:eastAsia="宋体" w:hint="default"/>
                <w:sz w:val="18"/>
                <w:szCs w:val="18"/>
              </w:rPr>
              <w:t>账龄</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 w:right="11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349,155,201.60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66.16%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17,457,760.08</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80,875,808.29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4,043,790.41</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2,737,500.00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1,490,500.00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ShiJi(Singapore)pte.Ltd</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2,758,130.07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137,906.50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517,349,139.96</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25,867,456.99</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558"/>
        <w:gridCol w:w="1136"/>
        <w:gridCol w:w="994"/>
        <w:gridCol w:w="4607"/>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北京市海淀区 国际税务局第 六税务所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1,105,616.98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宋体" w:hAnsi="宋体" w:cs="宋体" w:eastAsia="宋体" w:hint="default"/>
                <w:spacing w:val="-7"/>
                <w:sz w:val="18"/>
                <w:szCs w:val="18"/>
              </w:rPr>
              <w:t>预计收取时间：</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日之前，金额：</w:t>
            </w:r>
            <w:r>
              <w:rPr>
                <w:rFonts w:ascii="Times New Roman" w:hAnsi="Times New Roman" w:cs="Times New Roman" w:eastAsia="Times New Roman" w:hint="default"/>
                <w:spacing w:val="-8"/>
                <w:sz w:val="18"/>
                <w:szCs w:val="18"/>
              </w:rPr>
              <w:t>1,105,616.98</w:t>
            </w:r>
            <w:r>
              <w:rPr>
                <w:rFonts w:ascii="Times New Roman" w:hAnsi="Times New Roman" w:cs="Times New Roman" w:eastAsia="Times New Roman" w:hint="default"/>
                <w:sz w:val="18"/>
                <w:szCs w:val="18"/>
              </w:rPr>
              <w:t> </w:t>
            </w:r>
            <w:r>
              <w:rPr>
                <w:rFonts w:ascii="宋体" w:hAnsi="宋体" w:cs="宋体" w:eastAsia="宋体" w:hint="default"/>
                <w:sz w:val="18"/>
                <w:szCs w:val="18"/>
              </w:rPr>
              <w:t>元。依据：增值税返还系公司根据国务院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 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 产业发展若干政策的通知》的规定，报告期内应收到的自 行开发软件销售增值税退税收入。</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1,105,616.98</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4"/>
        <w:gridCol w:w="1369"/>
        <w:gridCol w:w="1181"/>
        <w:gridCol w:w="1366"/>
        <w:gridCol w:w="1368"/>
        <w:gridCol w:w="1181"/>
        <w:gridCol w:w="1368"/>
      </w:tblGrid>
      <w:tr>
        <w:trPr>
          <w:trHeight w:val="206" w:hRule="exact"/>
        </w:trPr>
        <w:tc>
          <w:tcPr>
            <w:tcW w:w="1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15" w:type="dxa"/>
            <w:gridSpan w:val="3"/>
            <w:vMerge/>
            <w:tcBorders>
              <w:left w:val="single" w:sz="4" w:space="0" w:color="000000"/>
              <w:bottom w:val="single" w:sz="4" w:space="0" w:color="000000"/>
              <w:right w:val="single" w:sz="4" w:space="0" w:color="000000"/>
            </w:tcBorders>
            <w:shd w:val="clear" w:color="auto" w:fill="D2D2D2"/>
          </w:tcPr>
          <w:p>
            <w:pPr/>
          </w:p>
        </w:tc>
        <w:tc>
          <w:tcPr>
            <w:tcW w:w="3917"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24"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2,813,648,504.21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2,807,287,729.43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2,611,128,191.71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2,604,767,416.93</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对联营、合营企业投资</w:t>
            </w:r>
          </w:p>
        </w:tc>
        <w:tc>
          <w:tcPr>
            <w:tcW w:w="13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164,327,510.85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164,327,510.85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160,287,590.12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160,287,590.12</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2,977,976,015.06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2,971,615,240.28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2,771,415,781.83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2,765,055,007.05</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277"/>
        <w:gridCol w:w="1224"/>
        <w:gridCol w:w="1337"/>
        <w:gridCol w:w="1009"/>
        <w:gridCol w:w="1135"/>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6"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19,929,000.00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2,320,312.50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15,201,562.50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930,933,500.00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930,933,500.00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554,884,441.71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554,884,441.71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深圳市思迅软件股份有限公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北京长京益康信息科技有限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百望金锐科技有限公司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北京航信华仪软件技术有限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2,611,128,191.71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302,520,312.50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2,813,648,504.21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6,360,774.78</w:t>
            </w: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72"/>
        <w:gridCol w:w="1190"/>
        <w:gridCol w:w="1133"/>
        <w:gridCol w:w="1135"/>
        <w:gridCol w:w="708"/>
        <w:gridCol w:w="850"/>
        <w:gridCol w:w="425"/>
        <w:gridCol w:w="710"/>
        <w:gridCol w:w="425"/>
        <w:gridCol w:w="425"/>
        <w:gridCol w:w="1277"/>
        <w:gridCol w:w="593"/>
      </w:tblGrid>
      <w:tr>
        <w:trPr>
          <w:trHeight w:val="402" w:hRule="exact"/>
        </w:trPr>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1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12" w:right="10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872"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59" w:right="58"/>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1" w:right="7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74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74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浙江未来 酒店网络 技术有限 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9,824,827.44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2,387,080.30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7,437,747.14</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青岛海信 智能商用 系统股份 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150,462,762.68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9,155,241.03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2,728,240.00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156,889,763.71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160,287,590.12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9,155,241.03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5,115,320.30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164,327,510.85</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160,287,590.12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9,155,241.03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left"/>
              <w:rPr>
                <w:rFonts w:ascii="Times New Roman" w:hAnsi="Times New Roman" w:cs="Times New Roman" w:eastAsia="Times New Roman" w:hint="default"/>
                <w:sz w:val="18"/>
                <w:szCs w:val="18"/>
              </w:rPr>
            </w:pPr>
            <w:r>
              <w:rPr>
                <w:rFonts w:ascii="Times New Roman"/>
                <w:sz w:val="18"/>
              </w:rPr>
              <w:t>5,115,320.30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164,327,510.85</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208"/>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3"/>
        <w:gridCol w:w="1701"/>
        <w:gridCol w:w="1844"/>
        <w:gridCol w:w="1702"/>
        <w:gridCol w:w="1774"/>
      </w:tblGrid>
      <w:tr>
        <w:trPr>
          <w:trHeight w:val="206" w:hRule="exact"/>
        </w:trPr>
        <w:tc>
          <w:tcPr>
            <w:tcW w:w="2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25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5" w:type="dxa"/>
            <w:gridSpan w:val="2"/>
            <w:vMerge/>
            <w:tcBorders>
              <w:left w:val="single" w:sz="4" w:space="0" w:color="000000"/>
              <w:bottom w:val="single" w:sz="4" w:space="0" w:color="000000"/>
              <w:right w:val="single" w:sz="4" w:space="0" w:color="000000"/>
            </w:tcBorders>
            <w:shd w:val="clear" w:color="auto" w:fill="D2D2D2"/>
          </w:tcPr>
          <w:p>
            <w:pPr/>
          </w:p>
        </w:tc>
        <w:tc>
          <w:tcPr>
            <w:tcW w:w="347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553" w:type="dxa"/>
            <w:vMerge/>
            <w:tcBorders>
              <w:left w:val="single" w:sz="4" w:space="0" w:color="000000"/>
              <w:bottom w:val="nil" w:sz="6" w:space="0" w:color="auto"/>
              <w:right w:val="single" w:sz="4" w:space="0" w:color="000000"/>
            </w:tcBorders>
            <w:shd w:val="clear" w:color="auto" w:fill="D2D2D2"/>
          </w:tcPr>
          <w:p>
            <w:pP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2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407,742,081.24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265,768,911.04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431,686,167.76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288,033,969.19</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632,052.44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21,236.98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694,316.58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30,532.87</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408,374,133.68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265,790,148.02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432,380,484.34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288,064,502.06</w:t>
            </w:r>
          </w:p>
        </w:tc>
      </w:tr>
    </w:tbl>
    <w:p>
      <w:pPr>
        <w:spacing w:line="357" w:lineRule="auto" w:before="49"/>
        <w:ind w:left="152" w:right="89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20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59"/>
        <w:gridCol w:w="2835"/>
        <w:gridCol w:w="2765"/>
      </w:tblGrid>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236,785,000.00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8,240,000.00</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6,768,160.73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9,099,990.12</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15,981,045.21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960,543.23</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259,534,205.94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18,300,533.35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20"/>
        </w:sectPr>
      </w:pPr>
    </w:p>
    <w:p>
      <w:pPr>
        <w:spacing w:line="240" w:lineRule="auto" w:before="9"/>
        <w:rPr>
          <w:rFonts w:ascii="宋体" w:hAnsi="宋体" w:cs="宋体" w:eastAsia="宋体" w:hint="default"/>
          <w:sz w:val="19"/>
          <w:szCs w:val="19"/>
        </w:rPr>
      </w:pPr>
    </w:p>
    <w:p>
      <w:pPr>
        <w:pStyle w:val="Heading3"/>
        <w:spacing w:line="240" w:lineRule="auto" w:before="26"/>
        <w:ind w:right="153"/>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279"/>
        <w:gridCol w:w="3332"/>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7" w:right="0"/>
              <w:jc w:val="left"/>
              <w:rPr>
                <w:rFonts w:ascii="Times New Roman" w:hAnsi="Times New Roman" w:cs="Times New Roman" w:eastAsia="Times New Roman" w:hint="default"/>
                <w:sz w:val="18"/>
                <w:szCs w:val="18"/>
              </w:rPr>
            </w:pPr>
            <w:r>
              <w:rPr>
                <w:rFonts w:ascii="Times New Roman"/>
                <w:sz w:val="18"/>
              </w:rPr>
              <w:t>-13,551,953.46</w:t>
            </w:r>
          </w:p>
        </w:tc>
        <w:tc>
          <w:tcPr>
            <w:tcW w:w="333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主要系公司下属子公司中电器件进行危房 改造，本期产生较多房屋改造清理损失。</w:t>
            </w:r>
          </w:p>
        </w:tc>
      </w:tr>
      <w:tr>
        <w:trPr>
          <w:trHeight w:val="391"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79" w:type="dxa"/>
            <w:vMerge/>
            <w:tcBorders>
              <w:left w:val="single" w:sz="9" w:space="0" w:color="D2D2D2"/>
              <w:right w:val="single" w:sz="4" w:space="0" w:color="000000"/>
            </w:tcBorders>
          </w:tcPr>
          <w:p>
            <w:pPr/>
          </w:p>
        </w:tc>
        <w:tc>
          <w:tcPr>
            <w:tcW w:w="3332" w:type="dxa"/>
            <w:vMerge/>
            <w:tcBorders>
              <w:left w:val="single" w:sz="4" w:space="0" w:color="000000"/>
              <w:right w:val="single" w:sz="4" w:space="0" w:color="000000"/>
            </w:tcBorders>
          </w:tcPr>
          <w:p>
            <w:pPr/>
          </w:p>
        </w:tc>
      </w:tr>
      <w:tr>
        <w:trPr>
          <w:trHeight w:val="162" w:hRule="exact"/>
        </w:trPr>
        <w:tc>
          <w:tcPr>
            <w:tcW w:w="3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2279" w:type="dxa"/>
            <w:vMerge/>
            <w:tcBorders>
              <w:left w:val="single" w:sz="9" w:space="0" w:color="D2D2D2"/>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6,419,397.00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小于取得投资时应享有被投资单位可辨认净资产 公允价值产生的收益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-4,606,208.46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GalasysPLC</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取得控制权前，原持有权</w:t>
            </w:r>
            <w:r>
              <w:rPr>
                <w:rFonts w:ascii="宋体" w:hAnsi="宋体" w:cs="宋体" w:eastAsia="宋体" w:hint="default"/>
                <w:sz w:val="18"/>
                <w:szCs w:val="18"/>
              </w:rPr>
              <w:t> 益法核算股权按照公允价值重新计量产生 的利得或损失。</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31,695,286.53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2"/>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因不可抗力因素，如遭受自然灾害而计提的各项资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产减值准备</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 分的损益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44"/>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 的当期净损益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1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 </w:t>
            </w:r>
            <w:r>
              <w:rPr>
                <w:rFonts w:ascii="宋体" w:hAnsi="宋体" w:cs="宋体" w:eastAsia="宋体" w:hint="default"/>
                <w:spacing w:val="-3"/>
                <w:sz w:val="18"/>
                <w:szCs w:val="18"/>
              </w:rPr>
              <w:t>外，持有交易性金融资产、交易性金融负债产生的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公允价值变动损益，以及处置交易性金融资产、交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易性金融负债和可供出售金融资产取得的投资收 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 公允价值变动产生的损益</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行一次性调整对当期损益的影响</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71"/>
        <w:gridCol w:w="2268"/>
        <w:gridCol w:w="3332"/>
      </w:tblGrid>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-396.96</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15,095,538.63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本期下属子公司石基香港处置</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GK</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股权获得的投资收益。</w:t>
            </w:r>
          </w:p>
        </w:tc>
      </w:tr>
      <w:tr>
        <w:trPr>
          <w:trHeight w:val="133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可供出售金额资产减值准备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-2,547,720.70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中电器件按照对被投资单位汕头华汕电子 器件有限公司的持股比例享有的权益金额 低于账面的投资成本差，计提可供出售金 融资产减值准备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2,547,720.70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3,065,157.74</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813,621.56</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28,625,163.28</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6594"/>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88,522,960.74</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20"/>
              <w:jc w:val="both"/>
              <w:rPr>
                <w:rFonts w:ascii="宋体" w:hAnsi="宋体" w:cs="宋体" w:eastAsia="宋体" w:hint="default"/>
                <w:sz w:val="18"/>
                <w:szCs w:val="18"/>
              </w:rPr>
            </w:pPr>
            <w:r>
              <w:rPr>
                <w:rFonts w:ascii="宋体" w:hAnsi="宋体" w:cs="宋体" w:eastAsia="宋体" w:hint="default"/>
                <w:spacing w:val="-1"/>
                <w:w w:val="99"/>
                <w:sz w:val="18"/>
                <w:szCs w:val="18"/>
              </w:rPr>
              <w:t>增值税退税收入系公司根据国务院</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国发</w:t>
            </w:r>
            <w:r>
              <w:rPr>
                <w:rFonts w:ascii="Times New Roman" w:hAnsi="Times New Roman" w:cs="Times New Roman" w:eastAsia="Times New Roman" w:hint="default"/>
                <w:spacing w:val="-1"/>
                <w:w w:val="99"/>
                <w:sz w:val="18"/>
                <w:szCs w:val="18"/>
              </w:rPr>
              <w:t>[2000]18</w:t>
            </w:r>
            <w:r>
              <w:rPr>
                <w:rFonts w:ascii="Times New Roman" w:hAnsi="Times New Roman" w:cs="Times New Roman" w:eastAsia="Times New Roman" w:hint="default"/>
                <w:spacing w:val="8"/>
                <w:w w:val="99"/>
                <w:sz w:val="18"/>
                <w:szCs w:val="18"/>
              </w:rPr>
              <w:t> </w:t>
            </w:r>
            <w:r>
              <w:rPr>
                <w:rFonts w:ascii="宋体" w:hAnsi="宋体" w:cs="宋体" w:eastAsia="宋体" w:hint="default"/>
                <w:spacing w:val="-61"/>
                <w:w w:val="99"/>
                <w:sz w:val="18"/>
                <w:szCs w:val="18"/>
              </w:rPr>
              <w:t>号《</w:t>
            </w:r>
            <w:r>
              <w:rPr>
                <w:rFonts w:ascii="Times New Roman" w:hAnsi="Times New Roman" w:cs="Times New Roman" w:eastAsia="Times New Roman" w:hint="default"/>
                <w:spacing w:val="-61"/>
                <w:w w:val="99"/>
                <w:sz w:val="18"/>
                <w:szCs w:val="18"/>
              </w:rPr>
              <w:t>"</w:t>
            </w:r>
            <w:r>
              <w:rPr>
                <w:rFonts w:ascii="Times New Roman" w:hAnsi="Times New Roman" w:cs="Times New Roman" w:eastAsia="Times New Roman" w:hint="default"/>
                <w:spacing w:val="25"/>
                <w:w w:val="99"/>
                <w:sz w:val="18"/>
                <w:szCs w:val="18"/>
              </w:rPr>
              <w:t> </w:t>
            </w:r>
            <w:r>
              <w:rPr>
                <w:rFonts w:ascii="宋体" w:hAnsi="宋体" w:cs="宋体" w:eastAsia="宋体" w:hint="default"/>
                <w:sz w:val="18"/>
                <w:szCs w:val="18"/>
              </w:rPr>
              <w:t>鼓励软件产业和集成电路产业</w:t>
            </w:r>
            <w:r>
              <w:rPr>
                <w:rFonts w:ascii="宋体" w:hAnsi="宋体" w:cs="宋体" w:eastAsia="宋体" w:hint="default"/>
                <w:spacing w:val="-88"/>
                <w:sz w:val="18"/>
                <w:szCs w:val="18"/>
              </w:rPr>
              <w:t> </w:t>
            </w:r>
            <w:r>
              <w:rPr>
                <w:rFonts w:ascii="宋体" w:hAnsi="宋体" w:cs="宋体" w:eastAsia="宋体" w:hint="default"/>
                <w:sz w:val="18"/>
                <w:szCs w:val="18"/>
              </w:rPr>
              <w:t>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 业发展若干政策的通知》的规定，报告期内应收到的自行开发软件销售增值税退税 收入，由于该收入预计可以持续获得，故将其不作为非经常性损益。</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88,522,960.74</w:t>
            </w:r>
          </w:p>
        </w:tc>
        <w:tc>
          <w:tcPr>
            <w:tcW w:w="6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42"/>
        <w:gridCol w:w="1491"/>
        <w:gridCol w:w="1913"/>
        <w:gridCol w:w="1913"/>
      </w:tblGrid>
      <w:tr>
        <w:trPr>
          <w:trHeight w:val="206" w:hRule="exact"/>
        </w:trPr>
        <w:tc>
          <w:tcPr>
            <w:tcW w:w="4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70"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4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91"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242" w:type="dxa"/>
            <w:vMerge/>
            <w:tcBorders>
              <w:left w:val="single" w:sz="4" w:space="0" w:color="000000"/>
              <w:bottom w:val="nil" w:sz="6" w:space="0" w:color="auto"/>
              <w:right w:val="single" w:sz="4" w:space="0" w:color="000000"/>
            </w:tcBorders>
            <w:shd w:val="clear" w:color="auto" w:fill="D2D2D2"/>
          </w:tcPr>
          <w:p>
            <w:pPr/>
          </w:p>
        </w:tc>
        <w:tc>
          <w:tcPr>
            <w:tcW w:w="1491"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1"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91" w:type="dxa"/>
            <w:tcBorders>
              <w:top w:val="single" w:sz="22" w:space="0" w:color="D2D2D2"/>
              <w:left w:val="single" w:sz="12" w:space="0" w:color="D2D2D2"/>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z w:val="18"/>
              </w:rPr>
              <w:t>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0.37</w:t>
            </w:r>
          </w:p>
        </w:tc>
      </w:tr>
    </w:tbl>
    <w:p>
      <w:pPr>
        <w:spacing w:line="240" w:lineRule="auto" w:before="3"/>
        <w:rPr>
          <w:rFonts w:ascii="宋体" w:hAnsi="宋体" w:cs="宋体" w:eastAsia="宋体" w:hint="default"/>
          <w:b/>
          <w:bCs/>
          <w:sz w:val="19"/>
          <w:szCs w:val="19"/>
        </w:rPr>
      </w:pPr>
    </w:p>
    <w:p>
      <w:pPr>
        <w:pStyle w:val="Heading7"/>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7"/>
        <w:spacing w:line="259" w:lineRule="auto" w:before="36"/>
        <w:ind w:right="208"/>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spacing w:before="0"/>
        <w:ind w:left="152" w:right="20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600" w:lineRule="atLeast" w:before="46"/>
        <w:ind w:left="152" w:right="83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资产负债表项目</w:t>
      </w:r>
    </w:p>
    <w:p>
      <w:pPr>
        <w:pStyle w:val="BodyText"/>
        <w:spacing w:line="240" w:lineRule="auto" w:before="37"/>
        <w:ind w:right="0"/>
        <w:jc w:val="left"/>
      </w:pPr>
      <w:r>
        <w:rPr>
          <w:rFonts w:ascii="宋体" w:hAnsi="宋体" w:cs="宋体" w:eastAsia="宋体" w:hint="default"/>
        </w:rPr>
        <w:t>1. </w:t>
      </w:r>
      <w:r>
        <w:rPr>
          <w:rFonts w:ascii="宋体" w:hAnsi="宋体" w:cs="宋体" w:eastAsia="宋体" w:hint="default"/>
          <w:spacing w:val="39"/>
        </w:rPr>
        <w:t> </w:t>
      </w:r>
      <w:r>
        <w:rPr>
          <w:spacing w:val="-4"/>
        </w:rPr>
        <w:t>货币资金本期比期初下降</w:t>
      </w:r>
      <w:r>
        <w:rPr>
          <w:rFonts w:ascii="Times New Roman" w:hAnsi="Times New Roman" w:cs="Times New Roman" w:eastAsia="Times New Roman" w:hint="default"/>
          <w:spacing w:val="-4"/>
        </w:rPr>
        <w:t>35.16%</w:t>
      </w:r>
      <w:r>
        <w:rPr>
          <w:spacing w:val="-4"/>
        </w:rPr>
        <w:t>，主要系本期较期初购买银行理财产品较多，导致货币资金减少所致。</w:t>
      </w:r>
    </w:p>
    <w:p>
      <w:pPr>
        <w:pStyle w:val="BodyText"/>
        <w:spacing w:line="240" w:lineRule="auto" w:before="21"/>
        <w:ind w:right="208"/>
        <w:jc w:val="left"/>
      </w:pPr>
      <w:r>
        <w:rPr>
          <w:rFonts w:ascii="宋体" w:hAnsi="宋体" w:cs="宋体" w:eastAsia="宋体" w:hint="default"/>
        </w:rPr>
        <w:t>2.</w:t>
      </w:r>
      <w:r>
        <w:rPr>
          <w:rFonts w:ascii="宋体" w:hAnsi="宋体" w:cs="宋体" w:eastAsia="宋体" w:hint="default"/>
          <w:spacing w:val="39"/>
        </w:rPr>
        <w:t> </w:t>
      </w:r>
      <w:r>
        <w:rPr/>
        <w:t>应收票据本期比期初下降</w:t>
      </w:r>
      <w:r>
        <w:rPr>
          <w:rFonts w:ascii="Times New Roman" w:hAnsi="Times New Roman" w:cs="Times New Roman" w:eastAsia="Times New Roman" w:hint="default"/>
        </w:rPr>
        <w:t>65.87%</w:t>
      </w:r>
      <w:r>
        <w:rPr/>
        <w:t>，主要系下属子公司中电器件及长京益康应收票据到期结算所致。</w:t>
      </w:r>
    </w:p>
    <w:p>
      <w:pPr>
        <w:pStyle w:val="BodyText"/>
        <w:spacing w:line="240" w:lineRule="auto" w:before="21"/>
        <w:ind w:right="208"/>
        <w:jc w:val="left"/>
      </w:pPr>
      <w:r>
        <w:rPr>
          <w:rFonts w:ascii="宋体" w:hAnsi="宋体" w:cs="宋体" w:eastAsia="宋体" w:hint="default"/>
        </w:rPr>
        <w:t>3.</w:t>
      </w:r>
      <w:r>
        <w:rPr>
          <w:rFonts w:ascii="宋体" w:hAnsi="宋体" w:cs="宋体" w:eastAsia="宋体" w:hint="default"/>
          <w:spacing w:val="40"/>
        </w:rPr>
        <w:t> </w:t>
      </w:r>
      <w:r>
        <w:rPr/>
        <w:t>应收利息本期较期初下降</w:t>
      </w:r>
      <w:r>
        <w:rPr>
          <w:rFonts w:ascii="Times New Roman" w:hAnsi="Times New Roman" w:cs="Times New Roman" w:eastAsia="Times New Roman" w:hint="default"/>
        </w:rPr>
        <w:t>86.29%</w:t>
      </w:r>
      <w:r>
        <w:rPr/>
        <w:t>，收到期初应收的结构性存款利息所致。</w:t>
      </w:r>
    </w:p>
    <w:p>
      <w:pPr>
        <w:pStyle w:val="BodyText"/>
        <w:spacing w:line="240" w:lineRule="auto" w:before="21"/>
        <w:ind w:right="208"/>
        <w:jc w:val="left"/>
      </w:pPr>
      <w:r>
        <w:rPr>
          <w:rFonts w:ascii="宋体" w:hAnsi="宋体" w:cs="宋体" w:eastAsia="宋体" w:hint="default"/>
        </w:rPr>
        <w:t>4.</w:t>
      </w:r>
      <w:r>
        <w:rPr>
          <w:rFonts w:ascii="宋体" w:hAnsi="宋体" w:cs="宋体" w:eastAsia="宋体" w:hint="default"/>
          <w:spacing w:val="42"/>
        </w:rPr>
        <w:t> </w:t>
      </w:r>
      <w:r>
        <w:rPr/>
        <w:t>其他流动资产本期比期初增长</w:t>
      </w:r>
      <w:r>
        <w:rPr>
          <w:rFonts w:ascii="Times New Roman" w:hAnsi="Times New Roman" w:cs="Times New Roman" w:eastAsia="Times New Roman" w:hint="default"/>
        </w:rPr>
        <w:t>511.09%</w:t>
      </w:r>
      <w:r>
        <w:rPr/>
        <w:t>，主要系本期较期初购买银行理财产品较多所致。</w:t>
      </w:r>
    </w:p>
    <w:p>
      <w:pPr>
        <w:pStyle w:val="BodyText"/>
        <w:spacing w:line="259" w:lineRule="auto" w:before="21"/>
        <w:ind w:left="513" w:right="208" w:hanging="361"/>
        <w:jc w:val="left"/>
      </w:pPr>
      <w:r>
        <w:rPr>
          <w:rFonts w:ascii="宋体" w:hAnsi="宋体" w:cs="宋体" w:eastAsia="宋体" w:hint="default"/>
        </w:rPr>
        <w:t>5. </w:t>
      </w:r>
      <w:r>
        <w:rPr/>
        <w:t>可供出售金融资产本期比期初增长</w:t>
      </w:r>
      <w:r>
        <w:rPr>
          <w:rFonts w:ascii="Times New Roman" w:hAnsi="Times New Roman" w:cs="Times New Roman" w:eastAsia="Times New Roman" w:hint="default"/>
        </w:rPr>
        <w:t>90.77%</w:t>
      </w:r>
      <w:r>
        <w:rPr/>
        <w:t>，主要系下属子公司香港石基投资</w:t>
      </w:r>
      <w:r>
        <w:rPr>
          <w:rFonts w:ascii="Times New Roman" w:hAnsi="Times New Roman" w:cs="Times New Roman" w:eastAsia="Times New Roman" w:hint="default"/>
        </w:rPr>
        <w:t>Kalibri Labs</w:t>
      </w:r>
      <w:r>
        <w:rPr>
          <w:rFonts w:ascii="Times New Roman" w:hAnsi="Times New Roman" w:cs="Times New Roman" w:eastAsia="Times New Roman" w:hint="default"/>
          <w:spacing w:val="5"/>
        </w:rPr>
        <w:t> </w:t>
      </w:r>
      <w:r>
        <w:rPr>
          <w:rFonts w:ascii="Times New Roman" w:hAnsi="Times New Roman" w:cs="Times New Roman" w:eastAsia="Times New Roman" w:hint="default"/>
        </w:rPr>
        <w:t>LLC12%</w:t>
      </w:r>
      <w:r>
        <w:rPr/>
        <w:t>股权</w:t>
      </w:r>
      <w:r>
        <w:rPr>
          <w:w w:val="100"/>
        </w:rPr>
        <w:t> </w:t>
      </w:r>
      <w:r>
        <w:rPr/>
        <w:t>以及对</w:t>
      </w:r>
      <w:r>
        <w:rPr>
          <w:rFonts w:ascii="Times New Roman" w:hAnsi="Times New Roman" w:cs="Times New Roman" w:eastAsia="Times New Roman" w:hint="default"/>
        </w:rPr>
        <w:t>StayNTouch</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追加投资共同所致。</w:t>
      </w:r>
    </w:p>
    <w:p>
      <w:pPr>
        <w:pStyle w:val="BodyText"/>
        <w:spacing w:line="256" w:lineRule="auto" w:before="2"/>
        <w:ind w:left="513" w:right="101" w:hanging="361"/>
        <w:jc w:val="left"/>
      </w:pPr>
      <w:r>
        <w:rPr>
          <w:rFonts w:ascii="宋体" w:hAnsi="宋体" w:cs="宋体" w:eastAsia="宋体" w:hint="default"/>
        </w:rPr>
        <w:t>6.</w:t>
      </w:r>
      <w:r>
        <w:rPr>
          <w:rFonts w:ascii="宋体" w:hAnsi="宋体" w:cs="宋体" w:eastAsia="宋体" w:hint="default"/>
          <w:spacing w:val="66"/>
        </w:rPr>
        <w:t> </w:t>
      </w:r>
      <w:r>
        <w:rPr/>
        <w:t>长期股权投资本期较期初下降</w:t>
      </w:r>
      <w:r>
        <w:rPr>
          <w:rFonts w:ascii="Times New Roman" w:hAnsi="Times New Roman" w:cs="Times New Roman" w:eastAsia="Times New Roman" w:hint="default"/>
        </w:rPr>
        <w:t>36.63%</w:t>
      </w:r>
      <w:r>
        <w:rPr/>
        <w:t>，主要系本期收购</w:t>
      </w:r>
      <w:r>
        <w:rPr>
          <w:rFonts w:ascii="Times New Roman" w:hAnsi="Times New Roman" w:cs="Times New Roman" w:eastAsia="Times New Roman" w:hint="default"/>
        </w:rPr>
        <w:t>GALASYS</w:t>
      </w:r>
      <w:r>
        <w:rPr>
          <w:rFonts w:ascii="Times New Roman" w:hAnsi="Times New Roman" w:cs="Times New Roman" w:eastAsia="Times New Roman" w:hint="default"/>
          <w:spacing w:val="40"/>
        </w:rPr>
        <w:t> </w:t>
      </w:r>
      <w:r>
        <w:rPr>
          <w:rFonts w:ascii="Times New Roman" w:hAnsi="Times New Roman" w:cs="Times New Roman" w:eastAsia="Times New Roman" w:hint="default"/>
        </w:rPr>
        <w:t>PLC</w:t>
      </w:r>
      <w:r>
        <w:rPr/>
        <w:t>股权并达到控制，纳入合并范</w:t>
      </w:r>
      <w:r>
        <w:rPr>
          <w:spacing w:val="-87"/>
        </w:rPr>
        <w:t> </w:t>
      </w:r>
      <w:r>
        <w:rPr>
          <w:spacing w:val="-87"/>
        </w:rPr>
      </w:r>
      <w:r>
        <w:rPr>
          <w:spacing w:val="-2"/>
        </w:rPr>
        <w:t>围，由权益法转为成本法核算，以及本期处置子公司</w:t>
      </w:r>
      <w:r>
        <w:rPr>
          <w:rFonts w:ascii="Times New Roman" w:hAnsi="Times New Roman" w:cs="Times New Roman" w:eastAsia="Times New Roman" w:hint="default"/>
          <w:spacing w:val="-2"/>
        </w:rPr>
        <w:t>GK</w:t>
      </w:r>
      <w:r>
        <w:rPr>
          <w:spacing w:val="-2"/>
        </w:rPr>
        <w:t>相应持有的对</w:t>
      </w:r>
      <w:r>
        <w:rPr>
          <w:rFonts w:ascii="Times New Roman" w:hAnsi="Times New Roman" w:cs="Times New Roman" w:eastAsia="Times New Roman" w:hint="default"/>
          <w:spacing w:val="-2"/>
        </w:rPr>
        <w:t>H</w:t>
      </w:r>
      <w:r>
        <w:rPr>
          <w:rFonts w:ascii="Times New Roman" w:hAnsi="Times New Roman" w:cs="Times New Roman" w:eastAsia="Times New Roman" w:hint="default"/>
        </w:rPr>
        <w:t>  </w:t>
      </w:r>
      <w:r>
        <w:rPr>
          <w:rFonts w:ascii="Times New Roman" w:hAnsi="Times New Roman" w:cs="Times New Roman" w:eastAsia="Times New Roman" w:hint="default"/>
          <w:spacing w:val="-1"/>
        </w:rPr>
        <w:t>and</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rPr>
        <w:t>R</w:t>
      </w:r>
      <w:r>
        <w:rPr>
          <w:spacing w:val="-2"/>
        </w:rPr>
        <w:t>的投资额减少共同所致。</w:t>
      </w:r>
    </w:p>
    <w:p>
      <w:pPr>
        <w:pStyle w:val="BodyText"/>
        <w:spacing w:line="256" w:lineRule="auto" w:before="5"/>
        <w:ind w:left="513" w:right="199" w:hanging="361"/>
        <w:jc w:val="left"/>
      </w:pPr>
      <w:r>
        <w:rPr>
          <w:rFonts w:ascii="宋体" w:hAnsi="宋体" w:cs="宋体" w:eastAsia="宋体" w:hint="default"/>
        </w:rPr>
        <w:t>7.</w:t>
      </w:r>
      <w:r>
        <w:rPr>
          <w:rFonts w:ascii="宋体" w:hAnsi="宋体" w:cs="宋体" w:eastAsia="宋体" w:hint="default"/>
          <w:spacing w:val="62"/>
        </w:rPr>
        <w:t> </w:t>
      </w:r>
      <w:r>
        <w:rPr/>
        <w:t>投资性房地产本期较期下降</w:t>
      </w:r>
      <w:r>
        <w:rPr>
          <w:rFonts w:ascii="Times New Roman" w:hAnsi="Times New Roman" w:cs="Times New Roman" w:eastAsia="Times New Roman" w:hint="default"/>
        </w:rPr>
        <w:t>46.98%</w:t>
      </w:r>
      <w:r>
        <w:rPr/>
        <w:t>，主要系下属子公司中电器件办公楼改造，已出租的房屋收回较多</w:t>
      </w:r>
      <w:r>
        <w:rPr>
          <w:w w:val="100"/>
        </w:rPr>
        <w:t> </w:t>
      </w:r>
      <w:r>
        <w:rPr/>
        <w:t>所致。</w:t>
      </w:r>
    </w:p>
    <w:p>
      <w:pPr>
        <w:pStyle w:val="BodyText"/>
        <w:spacing w:line="240" w:lineRule="auto" w:before="22"/>
        <w:ind w:right="208"/>
        <w:jc w:val="left"/>
      </w:pPr>
      <w:r>
        <w:rPr>
          <w:rFonts w:ascii="宋体" w:hAnsi="宋体" w:cs="宋体" w:eastAsia="宋体" w:hint="default"/>
        </w:rPr>
        <w:t>8.</w:t>
      </w:r>
      <w:r>
        <w:rPr>
          <w:rFonts w:ascii="宋体" w:hAnsi="宋体" w:cs="宋体" w:eastAsia="宋体" w:hint="default"/>
          <w:spacing w:val="38"/>
        </w:rPr>
        <w:t> </w:t>
      </w:r>
      <w:r>
        <w:rPr/>
        <w:t>在建工程期末比期初增长</w:t>
      </w:r>
      <w:r>
        <w:rPr>
          <w:rFonts w:ascii="Times New Roman" w:hAnsi="Times New Roman" w:cs="Times New Roman" w:eastAsia="Times New Roman" w:hint="default"/>
        </w:rPr>
        <w:t>284.49%</w:t>
      </w:r>
      <w:r>
        <w:rPr/>
        <w:t>，主要系全资子公司中电器件办公楼装修改造工程所致。</w:t>
      </w:r>
    </w:p>
    <w:p>
      <w:pPr>
        <w:pStyle w:val="BodyText"/>
        <w:spacing w:line="256" w:lineRule="auto" w:before="21"/>
        <w:ind w:left="513" w:right="208" w:hanging="361"/>
        <w:jc w:val="left"/>
      </w:pPr>
      <w:r>
        <w:rPr>
          <w:rFonts w:ascii="宋体" w:hAnsi="宋体" w:cs="宋体" w:eastAsia="宋体" w:hint="default"/>
        </w:rPr>
        <w:t>9. </w:t>
      </w:r>
      <w:r>
        <w:rPr/>
        <w:t>无形资产本期较期初增长</w:t>
      </w:r>
      <w:r>
        <w:rPr>
          <w:rFonts w:ascii="Times New Roman" w:hAnsi="Times New Roman" w:cs="Times New Roman" w:eastAsia="Times New Roman" w:hint="default"/>
        </w:rPr>
        <w:t>81.77%</w:t>
      </w:r>
      <w:r>
        <w:rPr/>
        <w:t>，主要系本期新收购</w:t>
      </w:r>
      <w:r>
        <w:rPr>
          <w:rFonts w:ascii="Times New Roman" w:hAnsi="Times New Roman" w:cs="Times New Roman" w:eastAsia="Times New Roman" w:hint="default"/>
        </w:rPr>
        <w:t>REVIEW RANK</w:t>
      </w:r>
      <w:r>
        <w:rPr/>
        <w:t>、</w:t>
      </w:r>
      <w:r>
        <w:rPr>
          <w:rFonts w:ascii="Times New Roman" w:hAnsi="Times New Roman" w:cs="Times New Roman" w:eastAsia="Times New Roman" w:hint="default"/>
        </w:rPr>
        <w:t>GALASYS</w:t>
      </w:r>
      <w:r>
        <w:rPr>
          <w:rFonts w:ascii="Times New Roman" w:hAnsi="Times New Roman" w:cs="Times New Roman" w:eastAsia="Times New Roman" w:hint="default"/>
          <w:spacing w:val="20"/>
        </w:rPr>
        <w:t> </w:t>
      </w:r>
      <w:r>
        <w:rPr>
          <w:rFonts w:ascii="Times New Roman" w:hAnsi="Times New Roman" w:cs="Times New Roman" w:eastAsia="Times New Roman" w:hint="default"/>
        </w:rPr>
        <w:t>PLC</w:t>
      </w:r>
      <w:r>
        <w:rPr/>
        <w:t>增加的无形资</w:t>
      </w:r>
      <w:r>
        <w:rPr>
          <w:w w:val="100"/>
        </w:rPr>
        <w:t> </w:t>
      </w:r>
      <w:r>
        <w:rPr/>
        <w:t>产较多所致。</w:t>
      </w:r>
    </w:p>
    <w:p>
      <w:pPr>
        <w:pStyle w:val="BodyText"/>
        <w:spacing w:line="256" w:lineRule="auto" w:before="22"/>
        <w:ind w:left="513" w:right="208" w:hanging="361"/>
        <w:jc w:val="left"/>
      </w:pPr>
      <w:r>
        <w:rPr>
          <w:rFonts w:ascii="宋体" w:hAnsi="宋体" w:cs="宋体" w:eastAsia="宋体" w:hint="default"/>
        </w:rPr>
        <w:t>10. </w:t>
      </w:r>
      <w:r>
        <w:rPr>
          <w:spacing w:val="-3"/>
        </w:rPr>
        <w:t>开发支出本期较期初增长</w:t>
      </w:r>
      <w:r>
        <w:rPr>
          <w:rFonts w:ascii="Times New Roman" w:hAnsi="Times New Roman" w:cs="Times New Roman" w:eastAsia="Times New Roman" w:hint="default"/>
          <w:spacing w:val="-3"/>
        </w:rPr>
        <w:t>5967.81%</w:t>
      </w:r>
      <w:r>
        <w:rPr>
          <w:spacing w:val="-3"/>
        </w:rPr>
        <w:t>，主要系本年各子公司加大研发投入，石基香港的子公司</w:t>
      </w:r>
      <w:r>
        <w:rPr>
          <w:rFonts w:ascii="Times New Roman" w:hAnsi="Times New Roman" w:cs="Times New Roman" w:eastAsia="Times New Roman" w:hint="default"/>
          <w:spacing w:val="-3"/>
        </w:rPr>
        <w:t>AC</w:t>
      </w:r>
      <w:r>
        <w:rPr>
          <w:spacing w:val="-3"/>
        </w:rPr>
        <w:t>期末自</w:t>
      </w:r>
      <w:r>
        <w:rPr>
          <w:spacing w:val="-89"/>
        </w:rPr>
        <w:t> </w:t>
      </w:r>
      <w:r>
        <w:rPr>
          <w:spacing w:val="-89"/>
        </w:rPr>
      </w:r>
      <w:r>
        <w:rPr/>
        <w:t>主研发资本化金额</w:t>
      </w:r>
      <w:r>
        <w:rPr>
          <w:rFonts w:ascii="Times New Roman" w:hAnsi="Times New Roman" w:cs="Times New Roman" w:eastAsia="Times New Roman" w:hint="default"/>
        </w:rPr>
        <w:t>6000</w:t>
      </w:r>
      <w:r>
        <w:rPr/>
        <w:t>万以及零售版块因新零售业务研究的云项目增加所致。</w:t>
      </w:r>
    </w:p>
    <w:p>
      <w:pPr>
        <w:pStyle w:val="BodyText"/>
        <w:spacing w:line="240" w:lineRule="auto" w:before="5"/>
        <w:ind w:right="0"/>
        <w:jc w:val="left"/>
      </w:pPr>
      <w:r>
        <w:rPr>
          <w:rFonts w:ascii="宋体" w:hAnsi="宋体" w:cs="宋体" w:eastAsia="宋体" w:hint="default"/>
        </w:rPr>
        <w:t>11.</w:t>
      </w:r>
      <w:r>
        <w:rPr>
          <w:rFonts w:ascii="宋体" w:hAnsi="宋体" w:cs="宋体" w:eastAsia="宋体" w:hint="default"/>
          <w:spacing w:val="2"/>
        </w:rPr>
        <w:t> </w:t>
      </w:r>
      <w:r>
        <w:rPr>
          <w:spacing w:val="-4"/>
        </w:rPr>
        <w:t>长期待摊费用本期较期初下降</w:t>
      </w:r>
      <w:r>
        <w:rPr>
          <w:rFonts w:ascii="Times New Roman" w:hAnsi="Times New Roman" w:cs="Times New Roman" w:eastAsia="Times New Roman" w:hint="default"/>
          <w:spacing w:val="-4"/>
        </w:rPr>
        <w:t>31.99</w:t>
      </w:r>
      <w:r>
        <w:rPr>
          <w:spacing w:val="-4"/>
        </w:rPr>
        <w:t>，主要系本期新增长期待摊的装修费用较少，摊销的费用较多所致。</w:t>
      </w:r>
    </w:p>
    <w:p>
      <w:pPr>
        <w:pStyle w:val="BodyText"/>
        <w:spacing w:line="256" w:lineRule="auto" w:before="21"/>
        <w:ind w:left="513" w:right="208" w:hanging="361"/>
        <w:jc w:val="left"/>
      </w:pPr>
      <w:r>
        <w:rPr>
          <w:rFonts w:ascii="宋体" w:hAnsi="宋体" w:cs="宋体" w:eastAsia="宋体" w:hint="default"/>
        </w:rPr>
        <w:t>12.</w:t>
      </w:r>
      <w:r>
        <w:rPr>
          <w:rFonts w:ascii="宋体" w:hAnsi="宋体" w:cs="宋体" w:eastAsia="宋体" w:hint="default"/>
          <w:spacing w:val="-50"/>
        </w:rPr>
        <w:t> </w:t>
      </w:r>
      <w:r>
        <w:rPr/>
        <w:t>递延所得税资产本期比期初增长</w:t>
      </w:r>
      <w:r>
        <w:rPr>
          <w:rFonts w:ascii="Times New Roman" w:hAnsi="Times New Roman" w:cs="Times New Roman" w:eastAsia="Times New Roman" w:hint="default"/>
        </w:rPr>
        <w:t>79.76%</w:t>
      </w:r>
      <w:r>
        <w:rPr/>
        <w:t>，主要系企业合并新增</w:t>
      </w:r>
      <w:r>
        <w:rPr>
          <w:rFonts w:ascii="Times New Roman" w:hAnsi="Times New Roman" w:cs="Times New Roman" w:eastAsia="Times New Roman" w:hint="default"/>
        </w:rPr>
        <w:t>review</w:t>
      </w:r>
      <w:r>
        <w:rPr>
          <w:rFonts w:ascii="Times New Roman" w:hAnsi="Times New Roman" w:cs="Times New Roman" w:eastAsia="Times New Roman" w:hint="default"/>
          <w:spacing w:val="4"/>
        </w:rPr>
        <w:t> </w:t>
      </w:r>
      <w:r>
        <w:rPr>
          <w:rFonts w:ascii="Times New Roman" w:hAnsi="Times New Roman" w:cs="Times New Roman" w:eastAsia="Times New Roman" w:hint="default"/>
        </w:rPr>
        <w:t>rank</w:t>
      </w:r>
      <w:r>
        <w:rPr/>
        <w:t>因可抵扣亏损确认递延所得</w:t>
      </w:r>
      <w:r>
        <w:rPr>
          <w:spacing w:val="-102"/>
        </w:rPr>
        <w:t> </w:t>
      </w:r>
      <w:r>
        <w:rPr/>
        <w:t>税资产增加所致。</w:t>
      </w:r>
    </w:p>
    <w:p>
      <w:pPr>
        <w:pStyle w:val="BodyText"/>
        <w:spacing w:line="240" w:lineRule="auto" w:before="22"/>
        <w:ind w:right="208"/>
        <w:jc w:val="left"/>
      </w:pPr>
      <w:r>
        <w:rPr>
          <w:rFonts w:ascii="宋体" w:hAnsi="宋体" w:cs="宋体" w:eastAsia="宋体" w:hint="default"/>
        </w:rPr>
        <w:t>13.</w:t>
      </w:r>
      <w:r>
        <w:rPr>
          <w:rFonts w:ascii="宋体" w:hAnsi="宋体" w:cs="宋体" w:eastAsia="宋体" w:hint="default"/>
          <w:spacing w:val="-66"/>
        </w:rPr>
        <w:t> </w:t>
      </w:r>
      <w:r>
        <w:rPr/>
        <w:t>短期借款本期较期初增长</w:t>
      </w:r>
      <w:r>
        <w:rPr>
          <w:rFonts w:ascii="Times New Roman" w:hAnsi="Times New Roman" w:cs="Times New Roman" w:eastAsia="Times New Roman" w:hint="default"/>
        </w:rPr>
        <w:t>100%</w:t>
      </w:r>
      <w:r>
        <w:rPr/>
        <w:t>，主要系本期新收购</w:t>
      </w:r>
      <w:r>
        <w:rPr>
          <w:rFonts w:ascii="Times New Roman" w:hAnsi="Times New Roman" w:cs="Times New Roman" w:eastAsia="Times New Roman" w:hint="default"/>
        </w:rPr>
        <w:t>REVIEW</w:t>
      </w:r>
      <w:r>
        <w:rPr>
          <w:rFonts w:ascii="Times New Roman" w:hAnsi="Times New Roman" w:cs="Times New Roman" w:eastAsia="Times New Roman" w:hint="default"/>
          <w:spacing w:val="-7"/>
        </w:rPr>
        <w:t> </w:t>
      </w:r>
      <w:r>
        <w:rPr>
          <w:rFonts w:ascii="Times New Roman" w:hAnsi="Times New Roman" w:cs="Times New Roman" w:eastAsia="Times New Roman" w:hint="default"/>
        </w:rPr>
        <w:t>RANK</w:t>
      </w:r>
      <w:r>
        <w:rPr/>
        <w:t>公司原有短期借款所致。</w:t>
      </w:r>
    </w:p>
    <w:p>
      <w:pPr>
        <w:pStyle w:val="BodyText"/>
        <w:spacing w:line="240" w:lineRule="auto" w:before="21"/>
        <w:ind w:right="208"/>
        <w:jc w:val="left"/>
      </w:pPr>
      <w:r>
        <w:rPr>
          <w:rFonts w:ascii="宋体" w:hAnsi="宋体" w:cs="宋体" w:eastAsia="宋体" w:hint="default"/>
        </w:rPr>
        <w:t>14.</w:t>
      </w:r>
      <w:r>
        <w:rPr>
          <w:rFonts w:ascii="宋体" w:hAnsi="宋体" w:cs="宋体" w:eastAsia="宋体" w:hint="default"/>
          <w:spacing w:val="22"/>
        </w:rPr>
        <w:t> </w:t>
      </w:r>
      <w:r>
        <w:rPr>
          <w:spacing w:val="-2"/>
        </w:rPr>
        <w:t>应付票据本期较期初增长</w:t>
      </w:r>
      <w:r>
        <w:rPr>
          <w:rFonts w:ascii="Times New Roman" w:hAnsi="Times New Roman" w:cs="Times New Roman" w:eastAsia="Times New Roman" w:hint="default"/>
          <w:spacing w:val="-2"/>
        </w:rPr>
        <w:t>39.06%</w:t>
      </w:r>
      <w:r>
        <w:rPr>
          <w:spacing w:val="-2"/>
        </w:rPr>
        <w:t>，主要系下属子公司中电器件使用应付票据结算方式较多所致。</w:t>
      </w:r>
    </w:p>
    <w:p>
      <w:pPr>
        <w:pStyle w:val="BodyText"/>
        <w:spacing w:line="240" w:lineRule="auto" w:before="21"/>
        <w:ind w:right="100"/>
        <w:jc w:val="left"/>
        <w:rPr>
          <w:rFonts w:ascii="Times New Roman" w:hAnsi="Times New Roman" w:cs="Times New Roman" w:eastAsia="Times New Roman" w:hint="default"/>
        </w:rPr>
      </w:pPr>
      <w:r>
        <w:rPr>
          <w:rFonts w:ascii="宋体" w:hAnsi="宋体" w:cs="宋体" w:eastAsia="宋体" w:hint="default"/>
        </w:rPr>
        <w:t>15. </w:t>
      </w:r>
      <w:r>
        <w:rPr/>
        <w:t>应付账期本期较期初增长</w:t>
      </w:r>
      <w:r>
        <w:rPr>
          <w:rFonts w:ascii="Times New Roman" w:hAnsi="Times New Roman" w:cs="Times New Roman" w:eastAsia="Times New Roman" w:hint="default"/>
        </w:rPr>
        <w:t>43.93%</w:t>
      </w:r>
      <w:r>
        <w:rPr/>
        <w:t>，主要系本期扩大合并范围，新增</w:t>
      </w:r>
      <w:r>
        <w:rPr>
          <w:rFonts w:ascii="Times New Roman" w:hAnsi="Times New Roman" w:cs="Times New Roman" w:eastAsia="Times New Roman" w:hint="default"/>
        </w:rPr>
        <w:t>REVIEW RANK</w:t>
      </w:r>
      <w:r>
        <w:rPr/>
        <w:t>及</w:t>
      </w:r>
      <w:r>
        <w:rPr>
          <w:rFonts w:ascii="Times New Roman" w:hAnsi="Times New Roman" w:cs="Times New Roman" w:eastAsia="Times New Roman" w:hint="default"/>
        </w:rPr>
        <w:t>GALASYS</w:t>
      </w:r>
      <w:r>
        <w:rPr>
          <w:rFonts w:ascii="Times New Roman" w:hAnsi="Times New Roman" w:cs="Times New Roman" w:eastAsia="Times New Roman" w:hint="default"/>
          <w:spacing w:val="16"/>
        </w:rPr>
        <w:t> </w:t>
      </w:r>
      <w:r>
        <w:rPr>
          <w:rFonts w:ascii="Times New Roman" w:hAnsi="Times New Roman" w:cs="Times New Roman" w:eastAsia="Times New Roman" w:hint="default"/>
        </w:rPr>
        <w:t>PLC</w:t>
      </w:r>
    </w:p>
    <w:p>
      <w:pPr>
        <w:pStyle w:val="BodyText"/>
        <w:spacing w:line="240" w:lineRule="auto" w:before="21"/>
        <w:ind w:left="513" w:right="208"/>
        <w:jc w:val="left"/>
      </w:pPr>
      <w:r>
        <w:rPr/>
        <w:t>的应付账款增加较多所致。</w:t>
      </w:r>
    </w:p>
    <w:p>
      <w:pPr>
        <w:pStyle w:val="BodyText"/>
        <w:spacing w:line="240" w:lineRule="auto" w:before="37"/>
        <w:ind w:right="100"/>
        <w:jc w:val="left"/>
      </w:pPr>
      <w:r>
        <w:rPr>
          <w:rFonts w:ascii="宋体" w:hAnsi="宋体" w:cs="宋体" w:eastAsia="宋体" w:hint="default"/>
        </w:rPr>
        <w:t>16.</w:t>
      </w:r>
      <w:r>
        <w:rPr>
          <w:rFonts w:ascii="宋体" w:hAnsi="宋体" w:cs="宋体" w:eastAsia="宋体" w:hint="default"/>
          <w:spacing w:val="-64"/>
        </w:rPr>
        <w:t> </w:t>
      </w:r>
      <w:r>
        <w:rPr/>
        <w:t>其他应付款本期较期初增长</w:t>
      </w:r>
      <w:r>
        <w:rPr>
          <w:rFonts w:ascii="Times New Roman" w:hAnsi="Times New Roman" w:cs="Times New Roman" w:eastAsia="Times New Roman" w:hint="default"/>
        </w:rPr>
        <w:t>119.16%</w:t>
      </w:r>
      <w:r>
        <w:rPr/>
        <w:t>，主要系本期应付新收购公司</w:t>
      </w:r>
      <w:r>
        <w:rPr>
          <w:rFonts w:ascii="Times New Roman" w:hAnsi="Times New Roman" w:cs="Times New Roman" w:eastAsia="Times New Roman" w:hint="default"/>
        </w:rPr>
        <w:t>GALASYS</w:t>
      </w:r>
      <w:r>
        <w:rPr>
          <w:rFonts w:ascii="Times New Roman" w:hAnsi="Times New Roman" w:cs="Times New Roman" w:eastAsia="Times New Roman" w:hint="default"/>
          <w:spacing w:val="-7"/>
        </w:rPr>
        <w:t> </w:t>
      </w:r>
      <w:r>
        <w:rPr>
          <w:rFonts w:ascii="Times New Roman" w:hAnsi="Times New Roman" w:cs="Times New Roman" w:eastAsia="Times New Roman" w:hint="default"/>
        </w:rPr>
        <w:t>PLC</w:t>
      </w:r>
      <w:r>
        <w:rPr/>
        <w:t>的股权转让款所致。</w:t>
      </w:r>
    </w:p>
    <w:p>
      <w:pPr>
        <w:pStyle w:val="BodyText"/>
        <w:spacing w:line="256" w:lineRule="auto" w:before="21"/>
        <w:ind w:left="513" w:right="100" w:hanging="361"/>
        <w:jc w:val="left"/>
      </w:pPr>
      <w:r>
        <w:rPr>
          <w:rFonts w:ascii="宋体" w:hAnsi="宋体" w:cs="宋体" w:eastAsia="宋体" w:hint="default"/>
        </w:rPr>
        <w:t>17.</w:t>
      </w:r>
      <w:r>
        <w:rPr>
          <w:rFonts w:ascii="宋体" w:hAnsi="宋体" w:cs="宋体" w:eastAsia="宋体" w:hint="default"/>
          <w:spacing w:val="-35"/>
        </w:rPr>
        <w:t> </w:t>
      </w:r>
      <w:r>
        <w:rPr>
          <w:spacing w:val="-2"/>
        </w:rPr>
        <w:t>一年内到期的非流动负债本期较期初增长</w:t>
      </w:r>
      <w:r>
        <w:rPr>
          <w:rFonts w:ascii="Times New Roman" w:hAnsi="Times New Roman" w:cs="Times New Roman" w:eastAsia="Times New Roman" w:hint="default"/>
          <w:spacing w:val="-2"/>
        </w:rPr>
        <w:t>100%</w:t>
      </w:r>
      <w:r>
        <w:rPr>
          <w:spacing w:val="-2"/>
        </w:rPr>
        <w:t>，主要系本期新收购公司</w:t>
      </w:r>
      <w:r>
        <w:rPr>
          <w:rFonts w:ascii="Times New Roman" w:hAnsi="Times New Roman" w:cs="Times New Roman" w:eastAsia="Times New Roman" w:hint="default"/>
          <w:spacing w:val="-2"/>
        </w:rPr>
        <w:t>REVIEW</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
        </w:rPr>
        <w:t>RANK</w:t>
      </w:r>
      <w:r>
        <w:rPr>
          <w:spacing w:val="-1"/>
        </w:rPr>
        <w:t>归还一年内到</w:t>
      </w:r>
      <w:r>
        <w:rPr>
          <w:spacing w:val="-91"/>
        </w:rPr>
        <w:t> </w:t>
      </w:r>
      <w:r>
        <w:rPr>
          <w:spacing w:val="-91"/>
        </w:rPr>
      </w:r>
      <w:r>
        <w:rPr/>
        <w:t>期的长期借款所致。</w:t>
      </w:r>
    </w:p>
    <w:p>
      <w:pPr>
        <w:pStyle w:val="BodyText"/>
        <w:spacing w:line="256" w:lineRule="auto" w:before="22"/>
        <w:ind w:left="513" w:right="208" w:hanging="361"/>
        <w:jc w:val="left"/>
      </w:pPr>
      <w:r>
        <w:rPr>
          <w:rFonts w:ascii="宋体" w:hAnsi="宋体" w:cs="宋体" w:eastAsia="宋体" w:hint="default"/>
        </w:rPr>
        <w:t>18.</w:t>
      </w:r>
      <w:r>
        <w:rPr>
          <w:rFonts w:ascii="宋体" w:hAnsi="宋体" w:cs="宋体" w:eastAsia="宋体" w:hint="default"/>
          <w:spacing w:val="-32"/>
        </w:rPr>
        <w:t> </w:t>
      </w:r>
      <w:r>
        <w:rPr>
          <w:spacing w:val="-2"/>
        </w:rPr>
        <w:t>长期借款本期较期初增长</w:t>
      </w:r>
      <w:r>
        <w:rPr>
          <w:rFonts w:ascii="Times New Roman" w:hAnsi="Times New Roman" w:cs="Times New Roman" w:eastAsia="Times New Roman" w:hint="default"/>
          <w:spacing w:val="-2"/>
        </w:rPr>
        <w:t>100%</w:t>
      </w:r>
      <w:r>
        <w:rPr>
          <w:spacing w:val="-2"/>
        </w:rPr>
        <w:t>，主要系公司为收购</w:t>
      </w:r>
      <w:r>
        <w:rPr>
          <w:rFonts w:ascii="Times New Roman" w:hAnsi="Times New Roman" w:cs="Times New Roman" w:eastAsia="Times New Roman" w:hint="default"/>
          <w:spacing w:val="-2"/>
        </w:rPr>
        <w:t>REVIEW</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2"/>
        </w:rPr>
        <w:t>RANK</w:t>
      </w:r>
      <w:r>
        <w:rPr>
          <w:spacing w:val="-2"/>
        </w:rPr>
        <w:t>公司，向招行卢森堡分行申请的长</w:t>
      </w:r>
      <w:r>
        <w:rPr>
          <w:spacing w:val="-89"/>
        </w:rPr>
        <w:t> </w:t>
      </w:r>
      <w:r>
        <w:rPr>
          <w:spacing w:val="-89"/>
        </w:rPr>
      </w:r>
      <w:r>
        <w:rPr/>
        <w:t>期借款所致。</w:t>
      </w:r>
    </w:p>
    <w:p>
      <w:pPr>
        <w:pStyle w:val="BodyText"/>
        <w:spacing w:line="256" w:lineRule="auto" w:before="22"/>
        <w:ind w:left="513" w:right="205" w:hanging="361"/>
        <w:jc w:val="left"/>
      </w:pPr>
      <w:r>
        <w:rPr>
          <w:rFonts w:ascii="宋体" w:hAnsi="宋体" w:cs="宋体" w:eastAsia="宋体" w:hint="default"/>
        </w:rPr>
        <w:t>19.</w:t>
      </w:r>
      <w:r>
        <w:rPr>
          <w:rFonts w:ascii="宋体" w:hAnsi="宋体" w:cs="宋体" w:eastAsia="宋体" w:hint="default"/>
          <w:spacing w:val="-49"/>
        </w:rPr>
        <w:t> </w:t>
      </w:r>
      <w:r>
        <w:rPr/>
        <w:t>长期应付款本期较期初下降</w:t>
      </w:r>
      <w:r>
        <w:rPr>
          <w:rFonts w:ascii="Times New Roman" w:hAnsi="Times New Roman" w:cs="Times New Roman" w:eastAsia="Times New Roman" w:hint="default"/>
        </w:rPr>
        <w:t>93.80%</w:t>
      </w:r>
      <w:r>
        <w:rPr/>
        <w:t>，主要系本年将</w:t>
      </w:r>
      <w:r>
        <w:rPr>
          <w:rFonts w:ascii="Times New Roman" w:hAnsi="Times New Roman" w:cs="Times New Roman" w:eastAsia="Times New Roman" w:hint="default"/>
        </w:rPr>
        <w:t>2018</w:t>
      </w:r>
      <w:r>
        <w:rPr/>
        <w:t>年应支付全资子公司长京益康原股东的预估股</w:t>
      </w:r>
      <w:r>
        <w:rPr>
          <w:spacing w:val="-100"/>
        </w:rPr>
        <w:t> </w:t>
      </w:r>
      <w:r>
        <w:rPr>
          <w:spacing w:val="-100"/>
        </w:rPr>
      </w:r>
      <w:r>
        <w:rPr/>
        <w:t>权转让款重分类至其他流动负债所致。</w:t>
      </w:r>
    </w:p>
    <w:p>
      <w:pPr>
        <w:pStyle w:val="BodyText"/>
        <w:spacing w:line="240" w:lineRule="auto" w:before="22"/>
        <w:ind w:right="208"/>
        <w:jc w:val="left"/>
      </w:pPr>
      <w:r>
        <w:rPr>
          <w:rFonts w:ascii="宋体" w:hAnsi="宋体" w:cs="宋体" w:eastAsia="宋体" w:hint="default"/>
        </w:rPr>
        <w:t>20.</w:t>
      </w:r>
      <w:r>
        <w:rPr>
          <w:rFonts w:ascii="宋体" w:hAnsi="宋体" w:cs="宋体" w:eastAsia="宋体" w:hint="default"/>
          <w:spacing w:val="24"/>
        </w:rPr>
        <w:t> </w:t>
      </w:r>
      <w:r>
        <w:rPr>
          <w:spacing w:val="-2"/>
        </w:rPr>
        <w:t>专项应付款本期较期初增长</w:t>
      </w:r>
      <w:r>
        <w:rPr>
          <w:rFonts w:ascii="Times New Roman" w:hAnsi="Times New Roman" w:cs="Times New Roman" w:eastAsia="Times New Roman" w:hint="default"/>
          <w:spacing w:val="-2"/>
        </w:rPr>
        <w:t>100%</w:t>
      </w:r>
      <w:r>
        <w:rPr>
          <w:spacing w:val="-2"/>
        </w:rPr>
        <w:t>，主要系下属子公司北海石基收到的人才培训所拨付的经费所致。</w:t>
      </w:r>
    </w:p>
    <w:p>
      <w:pPr>
        <w:pStyle w:val="BodyText"/>
        <w:spacing w:line="256" w:lineRule="auto" w:before="22"/>
        <w:ind w:left="513" w:right="208" w:hanging="361"/>
        <w:jc w:val="left"/>
      </w:pPr>
      <w:r>
        <w:rPr>
          <w:rFonts w:ascii="宋体" w:hAnsi="宋体" w:cs="宋体" w:eastAsia="宋体" w:hint="default"/>
        </w:rPr>
        <w:t>21. </w:t>
      </w:r>
      <w:r>
        <w:rPr>
          <w:spacing w:val="-3"/>
        </w:rPr>
        <w:t>预计负债本期较期初增长</w:t>
      </w:r>
      <w:r>
        <w:rPr>
          <w:rFonts w:ascii="Times New Roman" w:hAnsi="Times New Roman" w:cs="Times New Roman" w:eastAsia="Times New Roman" w:hint="default"/>
          <w:spacing w:val="-3"/>
        </w:rPr>
        <w:t>100%</w:t>
      </w:r>
      <w:r>
        <w:rPr>
          <w:spacing w:val="-3"/>
        </w:rPr>
        <w:t>，主要系本公司下性子公司北京富基融通有限公司根据律师出具法律意</w:t>
      </w:r>
      <w:r>
        <w:rPr>
          <w:spacing w:val="-69"/>
        </w:rPr>
        <w:t> </w:t>
      </w:r>
      <w:r>
        <w:rPr>
          <w:spacing w:val="-69"/>
        </w:rPr>
      </w:r>
      <w:r>
        <w:rPr/>
        <w:t>见书，确认的阳程公司诉讼案的逾期付款违约金及利息所致。</w:t>
      </w:r>
    </w:p>
    <w:p>
      <w:pPr>
        <w:pStyle w:val="BodyText"/>
        <w:spacing w:line="240" w:lineRule="auto" w:before="22"/>
        <w:ind w:right="208"/>
        <w:jc w:val="left"/>
      </w:pPr>
      <w:r>
        <w:rPr>
          <w:rFonts w:ascii="宋体" w:hAnsi="宋体" w:cs="宋体" w:eastAsia="宋体" w:hint="default"/>
        </w:rPr>
        <w:t>22.</w:t>
      </w:r>
      <w:r>
        <w:rPr>
          <w:rFonts w:ascii="宋体" w:hAnsi="宋体" w:cs="宋体" w:eastAsia="宋体" w:hint="default"/>
          <w:spacing w:val="7"/>
        </w:rPr>
        <w:t> </w:t>
      </w:r>
      <w:r>
        <w:rPr>
          <w:spacing w:val="-2"/>
        </w:rPr>
        <w:t>其他综合收益本期较期初增长</w:t>
      </w:r>
      <w:r>
        <w:rPr>
          <w:rFonts w:ascii="Times New Roman" w:hAnsi="Times New Roman" w:cs="Times New Roman" w:eastAsia="Times New Roman" w:hint="default"/>
          <w:spacing w:val="-2"/>
        </w:rPr>
        <w:t>123.80%</w:t>
      </w:r>
      <w:r>
        <w:rPr>
          <w:spacing w:val="-2"/>
        </w:rPr>
        <w:t>，主要系外汇汇率变动较大所致。</w:t>
      </w:r>
    </w:p>
    <w:p>
      <w:pPr>
        <w:pStyle w:val="BodyText"/>
        <w:spacing w:line="516" w:lineRule="auto" w:before="21"/>
        <w:ind w:right="208"/>
        <w:jc w:val="left"/>
      </w:pPr>
      <w:r>
        <w:rPr>
          <w:rFonts w:ascii="宋体" w:hAnsi="宋体" w:cs="宋体" w:eastAsia="宋体" w:hint="default"/>
        </w:rPr>
        <w:t>23. </w:t>
      </w:r>
      <w:r>
        <w:rPr>
          <w:spacing w:val="-2"/>
        </w:rPr>
        <w:t>盈余公积本期较期初增长</w:t>
      </w:r>
      <w:r>
        <w:rPr>
          <w:rFonts w:ascii="Times New Roman" w:hAnsi="Times New Roman" w:cs="Times New Roman" w:eastAsia="Times New Roman" w:hint="default"/>
          <w:spacing w:val="-2"/>
        </w:rPr>
        <w:t>122.04%</w:t>
      </w:r>
      <w:r>
        <w:rPr>
          <w:spacing w:val="-2"/>
        </w:rPr>
        <w:t>，主要系根据本公司净利润的</w:t>
      </w:r>
      <w:r>
        <w:rPr>
          <w:rFonts w:ascii="Times New Roman" w:hAnsi="Times New Roman" w:cs="Times New Roman" w:eastAsia="Times New Roman" w:hint="default"/>
          <w:spacing w:val="-2"/>
        </w:rPr>
        <w:t>10%</w:t>
      </w:r>
      <w:r>
        <w:rPr>
          <w:spacing w:val="-2"/>
        </w:rPr>
        <w:t>提取的法定盈余公积所致。</w:t>
      </w:r>
      <w:r>
        <w:rPr>
          <w:spacing w:val="-82"/>
        </w:rPr>
        <w:t> </w:t>
      </w:r>
      <w:r>
        <w:rPr>
          <w:spacing w:val="-82"/>
        </w:rPr>
      </w:r>
      <w:r>
        <w:rPr/>
        <w:t>利润表项目：</w:t>
      </w:r>
    </w:p>
    <w:p>
      <w:pPr>
        <w:spacing w:after="0" w:line="516" w:lineRule="auto"/>
        <w:jc w:val="left"/>
        <w:sectPr>
          <w:pgSz w:w="11910" w:h="16840"/>
          <w:pgMar w:header="0" w:footer="980" w:top="1100" w:bottom="1160" w:left="980" w:right="920"/>
        </w:sectPr>
      </w:pPr>
    </w:p>
    <w:p>
      <w:pPr>
        <w:spacing w:line="240" w:lineRule="auto" w:before="11"/>
        <w:rPr>
          <w:rFonts w:ascii="宋体" w:hAnsi="宋体" w:cs="宋体" w:eastAsia="宋体" w:hint="default"/>
          <w:sz w:val="20"/>
          <w:szCs w:val="20"/>
        </w:rPr>
      </w:pPr>
    </w:p>
    <w:p>
      <w:pPr>
        <w:pStyle w:val="BodyText"/>
        <w:spacing w:line="256" w:lineRule="auto" w:before="36"/>
        <w:ind w:left="513" w:right="100" w:hanging="361"/>
        <w:jc w:val="left"/>
      </w:pPr>
      <w:r>
        <w:rPr>
          <w:rFonts w:ascii="宋体" w:hAnsi="宋体" w:cs="宋体" w:eastAsia="宋体" w:hint="default"/>
        </w:rPr>
        <w:t>1.</w:t>
      </w:r>
      <w:r>
        <w:rPr>
          <w:rFonts w:ascii="宋体" w:hAnsi="宋体" w:cs="宋体" w:eastAsia="宋体" w:hint="default"/>
          <w:spacing w:val="97"/>
        </w:rPr>
        <w:t> </w:t>
      </w:r>
      <w:r>
        <w:rPr>
          <w:spacing w:val="-3"/>
        </w:rPr>
        <w:t>财务费用本期较上年同期增长</w:t>
      </w:r>
      <w:r>
        <w:rPr>
          <w:rFonts w:ascii="Times New Roman" w:hAnsi="Times New Roman" w:cs="Times New Roman" w:eastAsia="Times New Roman" w:hint="default"/>
          <w:spacing w:val="-3"/>
        </w:rPr>
        <w:t>98.88%</w:t>
      </w:r>
      <w:r>
        <w:rPr>
          <w:spacing w:val="-3"/>
        </w:rPr>
        <w:t>，主要系</w:t>
      </w:r>
      <w:r>
        <w:rPr>
          <w:rFonts w:ascii="Times New Roman" w:hAnsi="Times New Roman" w:cs="Times New Roman" w:eastAsia="Times New Roman" w:hint="default"/>
          <w:spacing w:val="-3"/>
        </w:rPr>
        <w:t>2016</w:t>
      </w:r>
      <w:r>
        <w:rPr>
          <w:spacing w:val="-3"/>
        </w:rPr>
        <w:t>年公司结构性存款（募集资金账户）利息收入较高，</w:t>
      </w:r>
      <w:r>
        <w:rPr>
          <w:spacing w:val="-98"/>
        </w:rPr>
        <w:t> </w:t>
      </w:r>
      <w:r>
        <w:rPr>
          <w:spacing w:val="-98"/>
        </w:rPr>
      </w:r>
      <w:r>
        <w:rPr/>
        <w:t>本年资金用于购买理财产品；另本年港币对人民币汇率下降，出现较大的汇兑损失所致。</w:t>
      </w:r>
    </w:p>
    <w:p>
      <w:pPr>
        <w:pStyle w:val="BodyText"/>
        <w:spacing w:line="256" w:lineRule="auto" w:before="22"/>
        <w:ind w:left="513" w:right="199" w:hanging="361"/>
        <w:jc w:val="left"/>
      </w:pPr>
      <w:r>
        <w:rPr>
          <w:rFonts w:ascii="宋体" w:hAnsi="宋体" w:cs="宋体" w:eastAsia="宋体" w:hint="default"/>
        </w:rPr>
        <w:t>2.</w:t>
      </w:r>
      <w:r>
        <w:rPr>
          <w:rFonts w:ascii="宋体" w:hAnsi="宋体" w:cs="宋体" w:eastAsia="宋体" w:hint="default"/>
          <w:spacing w:val="62"/>
        </w:rPr>
        <w:t> </w:t>
      </w:r>
      <w:r>
        <w:rPr/>
        <w:t>资产减值损失本期较上年同期下降</w:t>
      </w:r>
      <w:r>
        <w:rPr>
          <w:rFonts w:ascii="Times New Roman" w:hAnsi="Times New Roman" w:cs="Times New Roman" w:eastAsia="Times New Roman" w:hint="default"/>
        </w:rPr>
        <w:t>35.32%</w:t>
      </w:r>
      <w:r>
        <w:rPr/>
        <w:t>，主要系上年同期发生较大金额商誉减值损失，而本期未发</w:t>
      </w:r>
      <w:r>
        <w:rPr>
          <w:w w:val="100"/>
        </w:rPr>
        <w:t> </w:t>
      </w:r>
      <w:r>
        <w:rPr/>
        <w:t>生此项损失所致。</w:t>
      </w:r>
    </w:p>
    <w:p>
      <w:pPr>
        <w:pStyle w:val="BodyText"/>
        <w:spacing w:line="256" w:lineRule="auto" w:before="22"/>
        <w:ind w:left="513" w:right="208" w:hanging="361"/>
        <w:jc w:val="left"/>
      </w:pPr>
      <w:r>
        <w:rPr>
          <w:rFonts w:ascii="宋体" w:hAnsi="宋体" w:cs="宋体" w:eastAsia="宋体" w:hint="default"/>
        </w:rPr>
        <w:t>3. </w:t>
      </w:r>
      <w:r>
        <w:rPr>
          <w:spacing w:val="-4"/>
        </w:rPr>
        <w:t>投资收益本期较上年同期增长</w:t>
      </w:r>
      <w:r>
        <w:rPr>
          <w:rFonts w:ascii="Times New Roman" w:hAnsi="Times New Roman" w:cs="Times New Roman" w:eastAsia="Times New Roman" w:hint="default"/>
          <w:spacing w:val="-4"/>
        </w:rPr>
        <w:t>213.16%</w:t>
      </w:r>
      <w:r>
        <w:rPr>
          <w:spacing w:val="-4"/>
        </w:rPr>
        <w:t>，主要系本期购买理财产品增加的收益较多，以及下属子公司石</w:t>
      </w:r>
      <w:r>
        <w:rPr>
          <w:spacing w:val="-65"/>
        </w:rPr>
        <w:t> </w:t>
      </w:r>
      <w:r>
        <w:rPr>
          <w:spacing w:val="-65"/>
        </w:rPr>
      </w:r>
      <w:r>
        <w:rPr/>
        <w:t>基香港处置</w:t>
      </w:r>
      <w:r>
        <w:rPr>
          <w:rFonts w:ascii="Times New Roman" w:hAnsi="Times New Roman" w:cs="Times New Roman" w:eastAsia="Times New Roman" w:hint="default"/>
        </w:rPr>
        <w:t>GK</w:t>
      </w:r>
      <w:r>
        <w:rPr/>
        <w:t>股权获得的收益共同所致。</w:t>
      </w:r>
    </w:p>
    <w:p>
      <w:pPr>
        <w:pStyle w:val="BodyText"/>
        <w:spacing w:line="240" w:lineRule="auto" w:before="5"/>
        <w:ind w:right="208"/>
        <w:jc w:val="left"/>
      </w:pPr>
      <w:r>
        <w:rPr>
          <w:rFonts w:ascii="宋体" w:hAnsi="宋体" w:cs="宋体" w:eastAsia="宋体" w:hint="default"/>
        </w:rPr>
        <w:t>4.</w:t>
      </w:r>
      <w:r>
        <w:rPr>
          <w:rFonts w:ascii="宋体" w:hAnsi="宋体" w:cs="宋体" w:eastAsia="宋体" w:hint="default"/>
          <w:spacing w:val="40"/>
        </w:rPr>
        <w:t> </w:t>
      </w:r>
      <w:r>
        <w:rPr/>
        <w:t>其他收益本期较上年同期增长</w:t>
      </w:r>
      <w:r>
        <w:rPr>
          <w:rFonts w:ascii="Times New Roman" w:hAnsi="Times New Roman" w:cs="Times New Roman" w:eastAsia="Times New Roman" w:hint="default"/>
        </w:rPr>
        <w:t>100%</w:t>
      </w:r>
      <w:r>
        <w:rPr/>
        <w:t>，主要系政府补助准则修订披露调整所致。</w:t>
      </w:r>
    </w:p>
    <w:p>
      <w:pPr>
        <w:pStyle w:val="BodyText"/>
        <w:spacing w:line="240" w:lineRule="auto" w:before="21"/>
        <w:ind w:right="208"/>
        <w:jc w:val="left"/>
      </w:pPr>
      <w:r>
        <w:rPr>
          <w:rFonts w:ascii="宋体" w:hAnsi="宋体" w:cs="宋体" w:eastAsia="宋体" w:hint="default"/>
        </w:rPr>
        <w:t>5.</w:t>
      </w:r>
      <w:r>
        <w:rPr>
          <w:rFonts w:ascii="宋体" w:hAnsi="宋体" w:cs="宋体" w:eastAsia="宋体" w:hint="default"/>
          <w:spacing w:val="42"/>
        </w:rPr>
        <w:t> </w:t>
      </w:r>
      <w:r>
        <w:rPr/>
        <w:t>营业外收入本期较上年同期下降</w:t>
      </w:r>
      <w:r>
        <w:rPr>
          <w:rFonts w:ascii="Times New Roman" w:hAnsi="Times New Roman" w:cs="Times New Roman" w:eastAsia="Times New Roman" w:hint="default"/>
        </w:rPr>
        <w:t>96.27%</w:t>
      </w:r>
      <w:r>
        <w:rPr/>
        <w:t>，主要系政府补助准则修订披露调整所致。</w:t>
      </w:r>
    </w:p>
    <w:p>
      <w:pPr>
        <w:pStyle w:val="BodyText"/>
        <w:spacing w:line="256" w:lineRule="auto" w:before="21"/>
        <w:ind w:left="513" w:right="204" w:hanging="361"/>
        <w:jc w:val="left"/>
      </w:pPr>
      <w:r>
        <w:rPr>
          <w:rFonts w:ascii="宋体" w:hAnsi="宋体" w:cs="宋体" w:eastAsia="宋体" w:hint="default"/>
          <w:w w:val="100"/>
        </w:rPr>
        <w:t>6.</w:t>
      </w:r>
      <w:r>
        <w:rPr>
          <w:rFonts w:ascii="宋体" w:hAnsi="宋体" w:cs="宋体" w:eastAsia="宋体" w:hint="default"/>
          <w:spacing w:val="41"/>
          <w:w w:val="100"/>
        </w:rPr>
        <w:t> </w:t>
      </w:r>
      <w:r>
        <w:rPr>
          <w:spacing w:val="-3"/>
          <w:w w:val="100"/>
        </w:rPr>
        <w:t>营业外支出本期较上年同期增长</w:t>
      </w:r>
      <w:r>
        <w:rPr>
          <w:rFonts w:ascii="Times New Roman" w:hAnsi="Times New Roman" w:cs="Times New Roman" w:eastAsia="Times New Roman" w:hint="default"/>
          <w:spacing w:val="-3"/>
          <w:w w:val="100"/>
        </w:rPr>
        <w:t>598.06%</w:t>
      </w:r>
      <w:r>
        <w:rPr>
          <w:spacing w:val="-3"/>
          <w:w w:val="100"/>
        </w:rPr>
        <w:t>，主要系全资子公司在建办公楼改造项目将原科研楼附属楼拆</w:t>
      </w:r>
      <w:r>
        <w:rPr>
          <w:w w:val="100"/>
        </w:rPr>
        <w:t> </w:t>
      </w:r>
      <w:r>
        <w:rPr/>
        <w:t>除后新建，将账面附属楼账面价值清理的固定资产清理报废损失所致。</w:t>
      </w:r>
    </w:p>
    <w:p>
      <w:pPr>
        <w:pStyle w:val="BodyText"/>
        <w:spacing w:line="256" w:lineRule="auto" w:before="22"/>
        <w:ind w:left="513" w:right="208" w:hanging="361"/>
        <w:jc w:val="left"/>
      </w:pPr>
      <w:r>
        <w:rPr>
          <w:rFonts w:ascii="宋体" w:hAnsi="宋体" w:cs="宋体" w:eastAsia="宋体" w:hint="default"/>
        </w:rPr>
        <w:t>7. </w:t>
      </w:r>
      <w:r>
        <w:rPr>
          <w:spacing w:val="-3"/>
        </w:rPr>
        <w:t>少数股东损益本期较上年同期下降</w:t>
      </w:r>
      <w:r>
        <w:rPr>
          <w:rFonts w:ascii="Times New Roman" w:hAnsi="Times New Roman" w:cs="Times New Roman" w:eastAsia="Times New Roman" w:hint="default"/>
          <w:spacing w:val="-3"/>
        </w:rPr>
        <w:t>199.12%</w:t>
      </w:r>
      <w:r>
        <w:rPr>
          <w:spacing w:val="-3"/>
        </w:rPr>
        <w:t>，主要系本期收购</w:t>
      </w:r>
      <w:r>
        <w:rPr>
          <w:rFonts w:ascii="Times New Roman" w:hAnsi="Times New Roman" w:cs="Times New Roman" w:eastAsia="Times New Roman" w:hint="default"/>
          <w:spacing w:val="-3"/>
        </w:rPr>
        <w:t>EFU</w:t>
      </w:r>
      <w:r>
        <w:rPr>
          <w:spacing w:val="-3"/>
        </w:rPr>
        <w:t>公司少数股权，少数股东损益大幅减</w:t>
      </w:r>
      <w:r>
        <w:rPr>
          <w:spacing w:val="-87"/>
        </w:rPr>
        <w:t> </w:t>
      </w:r>
      <w:r>
        <w:rPr>
          <w:spacing w:val="-87"/>
        </w:rPr>
      </w:r>
      <w:r>
        <w:rPr/>
        <w:t>少所致。</w:t>
      </w:r>
    </w:p>
    <w:p>
      <w:pPr>
        <w:spacing w:line="240" w:lineRule="auto" w:before="8"/>
        <w:rPr>
          <w:rFonts w:ascii="宋体" w:hAnsi="宋体" w:cs="宋体" w:eastAsia="宋体" w:hint="default"/>
          <w:sz w:val="25"/>
          <w:szCs w:val="25"/>
        </w:rPr>
      </w:pPr>
    </w:p>
    <w:p>
      <w:pPr>
        <w:pStyle w:val="BodyText"/>
        <w:spacing w:line="240" w:lineRule="auto"/>
        <w:ind w:right="208"/>
        <w:jc w:val="left"/>
      </w:pPr>
      <w:r>
        <w:rPr/>
        <w:t>现金流量表项目：</w:t>
      </w:r>
    </w:p>
    <w:p>
      <w:pPr>
        <w:pStyle w:val="BodyText"/>
        <w:spacing w:line="240" w:lineRule="auto" w:before="37"/>
        <w:ind w:right="0"/>
        <w:jc w:val="left"/>
      </w:pPr>
      <w:r>
        <w:rPr>
          <w:rFonts w:ascii="宋体" w:hAnsi="宋体" w:cs="宋体" w:eastAsia="宋体" w:hint="default"/>
        </w:rPr>
        <w:t>1. </w:t>
      </w:r>
      <w:r>
        <w:rPr>
          <w:rFonts w:ascii="宋体" w:hAnsi="宋体" w:cs="宋体" w:eastAsia="宋体" w:hint="default"/>
          <w:spacing w:val="37"/>
        </w:rPr>
        <w:t> </w:t>
      </w:r>
      <w:r>
        <w:rPr>
          <w:spacing w:val="-4"/>
        </w:rPr>
        <w:t>收到其他与经营活动有关的现金，本期较上年同期下降</w:t>
      </w:r>
      <w:r>
        <w:rPr>
          <w:rFonts w:ascii="Times New Roman" w:hAnsi="Times New Roman" w:cs="Times New Roman" w:eastAsia="Times New Roman" w:hint="default"/>
          <w:spacing w:val="-4"/>
        </w:rPr>
        <w:t>41.60%</w:t>
      </w:r>
      <w:r>
        <w:rPr>
          <w:spacing w:val="-4"/>
        </w:rPr>
        <w:t>，主要系本期收到的利息收入较少所致。</w:t>
      </w:r>
    </w:p>
    <w:p>
      <w:pPr>
        <w:pStyle w:val="BodyText"/>
        <w:spacing w:line="256" w:lineRule="auto" w:before="21"/>
        <w:ind w:left="513" w:right="199" w:hanging="361"/>
        <w:jc w:val="left"/>
      </w:pPr>
      <w:r>
        <w:rPr>
          <w:rFonts w:ascii="宋体" w:hAnsi="宋体" w:cs="宋体" w:eastAsia="宋体" w:hint="default"/>
        </w:rPr>
        <w:t>2.</w:t>
      </w:r>
      <w:r>
        <w:rPr>
          <w:rFonts w:ascii="宋体" w:hAnsi="宋体" w:cs="宋体" w:eastAsia="宋体" w:hint="default"/>
          <w:spacing w:val="62"/>
        </w:rPr>
        <w:t> </w:t>
      </w:r>
      <w:r>
        <w:rPr/>
        <w:t>收回投资收到的现金，本期较上年同期增长</w:t>
      </w:r>
      <w:r>
        <w:rPr>
          <w:rFonts w:ascii="Times New Roman" w:hAnsi="Times New Roman" w:cs="Times New Roman" w:eastAsia="Times New Roman" w:hint="default"/>
        </w:rPr>
        <w:t>55.42%</w:t>
      </w:r>
      <w:r>
        <w:rPr/>
        <w:t>，主要系本期购买的理财产品较多，购买频率增高</w:t>
      </w:r>
      <w:r>
        <w:rPr>
          <w:w w:val="100"/>
        </w:rPr>
        <w:t> </w:t>
      </w:r>
      <w:r>
        <w:rPr/>
        <w:t>所致。</w:t>
      </w:r>
    </w:p>
    <w:p>
      <w:pPr>
        <w:pStyle w:val="BodyText"/>
        <w:spacing w:line="256" w:lineRule="auto" w:before="22"/>
        <w:ind w:left="513" w:right="202" w:hanging="361"/>
        <w:jc w:val="left"/>
      </w:pPr>
      <w:r>
        <w:rPr>
          <w:rFonts w:ascii="宋体" w:hAnsi="宋体" w:cs="宋体" w:eastAsia="宋体" w:hint="default"/>
        </w:rPr>
        <w:t>3.</w:t>
      </w:r>
      <w:r>
        <w:rPr>
          <w:rFonts w:ascii="宋体" w:hAnsi="宋体" w:cs="宋体" w:eastAsia="宋体" w:hint="default"/>
          <w:spacing w:val="59"/>
        </w:rPr>
        <w:t> </w:t>
      </w:r>
      <w:r>
        <w:rPr/>
        <w:t>处置固定资产、无形资产和其他长期资产收回的现金净额，本期较上年同期下降</w:t>
      </w:r>
      <w:r>
        <w:rPr>
          <w:rFonts w:ascii="Times New Roman" w:hAnsi="Times New Roman" w:cs="Times New Roman" w:eastAsia="Times New Roman" w:hint="default"/>
        </w:rPr>
        <w:t>44.87%</w:t>
      </w:r>
      <w:r>
        <w:rPr/>
        <w:t>，主要系本期</w:t>
      </w:r>
      <w:r>
        <w:rPr>
          <w:w w:val="100"/>
        </w:rPr>
        <w:t> </w:t>
      </w:r>
      <w:r>
        <w:rPr/>
        <w:t>处置的固定资产较上年减少所致。</w:t>
      </w:r>
    </w:p>
    <w:p>
      <w:pPr>
        <w:pStyle w:val="BodyText"/>
        <w:spacing w:line="256" w:lineRule="auto" w:before="22"/>
        <w:ind w:left="513" w:right="201" w:hanging="361"/>
        <w:jc w:val="left"/>
      </w:pPr>
      <w:r>
        <w:rPr>
          <w:rFonts w:ascii="宋体" w:hAnsi="宋体" w:cs="宋体" w:eastAsia="宋体" w:hint="default"/>
        </w:rPr>
        <w:t>4.</w:t>
      </w:r>
      <w:r>
        <w:rPr>
          <w:rFonts w:ascii="宋体" w:hAnsi="宋体" w:cs="宋体" w:eastAsia="宋体" w:hint="default"/>
          <w:spacing w:val="100"/>
        </w:rPr>
        <w:t> </w:t>
      </w:r>
      <w:r>
        <w:rPr/>
        <w:t>处置子公司及其他营业单位收到的现金净额，本期较上年同期增长</w:t>
      </w:r>
      <w:r>
        <w:rPr>
          <w:rFonts w:ascii="Times New Roman" w:hAnsi="Times New Roman" w:cs="Times New Roman" w:eastAsia="Times New Roman" w:hint="default"/>
        </w:rPr>
        <w:t>100%</w:t>
      </w:r>
      <w:r>
        <w:rPr/>
        <w:t>，</w:t>
      </w:r>
      <w:r>
        <w:rPr>
          <w:spacing w:val="13"/>
        </w:rPr>
        <w:t> </w:t>
      </w:r>
      <w:r>
        <w:rPr/>
        <w:t>主要系本期下属子公司石</w:t>
      </w:r>
      <w:r>
        <w:rPr>
          <w:spacing w:val="-101"/>
        </w:rPr>
        <w:t> </w:t>
      </w:r>
      <w:r>
        <w:rPr>
          <w:spacing w:val="-101"/>
        </w:rPr>
      </w:r>
      <w:r>
        <w:rPr/>
        <w:t>基香港处置子公司</w:t>
      </w:r>
      <w:r>
        <w:rPr>
          <w:rFonts w:ascii="Times New Roman" w:hAnsi="Times New Roman" w:cs="Times New Roman" w:eastAsia="Times New Roman" w:hint="default"/>
        </w:rPr>
        <w:t>GK</w:t>
      </w:r>
      <w:r>
        <w:rPr/>
        <w:t>所收到的处置价款所致。</w:t>
      </w:r>
    </w:p>
    <w:p>
      <w:pPr>
        <w:pStyle w:val="BodyText"/>
        <w:spacing w:line="256" w:lineRule="auto" w:before="5"/>
        <w:ind w:left="513" w:right="208" w:hanging="361"/>
        <w:jc w:val="left"/>
      </w:pPr>
      <w:r>
        <w:rPr>
          <w:rFonts w:ascii="宋体" w:hAnsi="宋体" w:cs="宋体" w:eastAsia="宋体" w:hint="default"/>
        </w:rPr>
        <w:t>5. </w:t>
      </w:r>
      <w:r>
        <w:rPr>
          <w:spacing w:val="-3"/>
        </w:rPr>
        <w:t>收到其他与投资活动有关的现金，本期较上年同期增长</w:t>
      </w:r>
      <w:r>
        <w:rPr>
          <w:rFonts w:ascii="Times New Roman" w:hAnsi="Times New Roman" w:cs="Times New Roman" w:eastAsia="Times New Roman" w:hint="default"/>
          <w:spacing w:val="-3"/>
        </w:rPr>
        <w:t>100%</w:t>
      </w:r>
      <w:r>
        <w:rPr>
          <w:spacing w:val="-3"/>
        </w:rPr>
        <w:t>，主要系本期收到的上海环迅股权收购意</w:t>
      </w:r>
      <w:r>
        <w:rPr>
          <w:spacing w:val="-67"/>
        </w:rPr>
        <w:t> </w:t>
      </w:r>
      <w:r>
        <w:rPr>
          <w:spacing w:val="-67"/>
        </w:rPr>
      </w:r>
      <w:r>
        <w:rPr/>
        <w:t>向金所致。</w:t>
      </w:r>
    </w:p>
    <w:p>
      <w:pPr>
        <w:pStyle w:val="BodyText"/>
        <w:spacing w:line="256" w:lineRule="auto" w:before="22"/>
        <w:ind w:left="513" w:right="208" w:hanging="361"/>
        <w:jc w:val="left"/>
      </w:pPr>
      <w:r>
        <w:rPr>
          <w:rFonts w:ascii="宋体" w:hAnsi="宋体" w:cs="宋体" w:eastAsia="宋体" w:hint="default"/>
        </w:rPr>
        <w:t>6. </w:t>
      </w:r>
      <w:r>
        <w:rPr>
          <w:spacing w:val="-4"/>
        </w:rPr>
        <w:t>购建固定资产、无形资产和其他长期资产支付的现金，本期较上年同期增长</w:t>
      </w:r>
      <w:r>
        <w:rPr>
          <w:rFonts w:ascii="Times New Roman" w:hAnsi="Times New Roman" w:cs="Times New Roman" w:eastAsia="Times New Roman" w:hint="default"/>
          <w:spacing w:val="-4"/>
        </w:rPr>
        <w:t>471.87%</w:t>
      </w:r>
      <w:r>
        <w:rPr>
          <w:spacing w:val="-4"/>
        </w:rPr>
        <w:t>，主要系本期研发</w:t>
      </w:r>
      <w:r>
        <w:rPr>
          <w:spacing w:val="-66"/>
        </w:rPr>
        <w:t> </w:t>
      </w:r>
      <w:r>
        <w:rPr>
          <w:spacing w:val="-66"/>
        </w:rPr>
      </w:r>
      <w:r>
        <w:rPr/>
        <w:t>投入较大，开发项目较多，以及下属子公司中电器件办公楼改造共同所致。</w:t>
      </w:r>
    </w:p>
    <w:p>
      <w:pPr>
        <w:pStyle w:val="BodyText"/>
        <w:spacing w:line="240" w:lineRule="auto" w:before="23"/>
        <w:ind w:right="100"/>
        <w:jc w:val="left"/>
      </w:pPr>
      <w:r>
        <w:rPr>
          <w:rFonts w:ascii="宋体" w:hAnsi="宋体" w:cs="宋体" w:eastAsia="宋体" w:hint="default"/>
        </w:rPr>
        <w:t>7.</w:t>
      </w:r>
      <w:r>
        <w:rPr>
          <w:rFonts w:ascii="宋体" w:hAnsi="宋体" w:cs="宋体" w:eastAsia="宋体" w:hint="default"/>
          <w:spacing w:val="34"/>
        </w:rPr>
        <w:t> </w:t>
      </w:r>
      <w:r>
        <w:rPr/>
        <w:t>投资支付的现金本期比上年同期增长</w:t>
      </w:r>
      <w:r>
        <w:rPr>
          <w:rFonts w:ascii="Times New Roman" w:hAnsi="Times New Roman" w:cs="Times New Roman" w:eastAsia="Times New Roman" w:hint="default"/>
        </w:rPr>
        <w:t>200.08%</w:t>
      </w:r>
      <w:r>
        <w:rPr/>
        <w:t>，主要系本期购买的理财产品较多，购买频率增高所致。</w:t>
      </w:r>
    </w:p>
    <w:p>
      <w:pPr>
        <w:pStyle w:val="BodyText"/>
        <w:spacing w:line="256" w:lineRule="auto" w:before="21"/>
        <w:ind w:left="513" w:right="199" w:hanging="361"/>
        <w:jc w:val="left"/>
      </w:pPr>
      <w:r>
        <w:rPr>
          <w:rFonts w:ascii="宋体" w:hAnsi="宋体" w:cs="宋体" w:eastAsia="宋体" w:hint="default"/>
        </w:rPr>
        <w:t>8.</w:t>
      </w:r>
      <w:r>
        <w:rPr>
          <w:rFonts w:ascii="宋体" w:hAnsi="宋体" w:cs="宋体" w:eastAsia="宋体" w:hint="default"/>
          <w:spacing w:val="62"/>
        </w:rPr>
        <w:t> </w:t>
      </w:r>
      <w:r>
        <w:rPr/>
        <w:t>取得子公司及其他营业单位支付的现金净额，本期较上年同期下降</w:t>
      </w:r>
      <w:r>
        <w:rPr>
          <w:rFonts w:ascii="Times New Roman" w:hAnsi="Times New Roman" w:cs="Times New Roman" w:eastAsia="Times New Roman" w:hint="default"/>
        </w:rPr>
        <w:t>50.36%</w:t>
      </w:r>
      <w:r>
        <w:rPr/>
        <w:t>，主要系本期收购子公司支</w:t>
      </w:r>
      <w:r>
        <w:rPr>
          <w:w w:val="100"/>
        </w:rPr>
        <w:t> </w:t>
      </w:r>
      <w:r>
        <w:rPr/>
        <w:t>付的现金较少所致。</w:t>
      </w:r>
    </w:p>
    <w:p>
      <w:pPr>
        <w:pStyle w:val="BodyText"/>
        <w:spacing w:line="256" w:lineRule="auto" w:before="22"/>
        <w:ind w:left="513" w:right="198" w:hanging="361"/>
        <w:jc w:val="left"/>
      </w:pPr>
      <w:r>
        <w:rPr>
          <w:rFonts w:ascii="宋体" w:hAnsi="宋体" w:cs="宋体" w:eastAsia="宋体" w:hint="default"/>
        </w:rPr>
        <w:t>9.</w:t>
      </w:r>
      <w:r>
        <w:rPr>
          <w:rFonts w:ascii="宋体" w:hAnsi="宋体" w:cs="宋体" w:eastAsia="宋体" w:hint="default"/>
          <w:spacing w:val="11"/>
        </w:rPr>
        <w:t> </w:t>
      </w:r>
      <w:r>
        <w:rPr/>
        <w:t>吸收投资收到的现金，本期较上年同期增长</w:t>
      </w:r>
      <w:r>
        <w:rPr>
          <w:rFonts w:ascii="Times New Roman" w:hAnsi="Times New Roman" w:cs="Times New Roman" w:eastAsia="Times New Roman" w:hint="default"/>
        </w:rPr>
        <w:t>400%</w:t>
      </w:r>
      <w:r>
        <w:rPr/>
        <w:t>，主要系下属子公司深圳思迅少数股东以人民币</w:t>
      </w:r>
      <w:r>
        <w:rPr>
          <w:rFonts w:ascii="Times New Roman" w:hAnsi="Times New Roman" w:cs="Times New Roman" w:eastAsia="Times New Roman" w:hint="default"/>
        </w:rPr>
        <w:t>2000</w:t>
      </w:r>
      <w:r>
        <w:rPr>
          <w:rFonts w:ascii="Times New Roman" w:hAnsi="Times New Roman" w:cs="Times New Roman" w:eastAsia="Times New Roman" w:hint="default"/>
          <w:w w:val="100"/>
        </w:rPr>
        <w:t> </w:t>
      </w:r>
      <w:r>
        <w:rPr/>
        <w:t>万元认购</w:t>
      </w:r>
      <w:r>
        <w:rPr>
          <w:rFonts w:ascii="Times New Roman" w:hAnsi="Times New Roman" w:cs="Times New Roman" w:eastAsia="Times New Roman" w:hint="default"/>
        </w:rPr>
        <w:t>250</w:t>
      </w:r>
      <w:r>
        <w:rPr/>
        <w:t>万股所致。</w:t>
      </w:r>
    </w:p>
    <w:p>
      <w:pPr>
        <w:pStyle w:val="BodyText"/>
        <w:spacing w:line="256" w:lineRule="auto" w:before="5"/>
        <w:ind w:left="513" w:right="208" w:hanging="361"/>
        <w:jc w:val="left"/>
      </w:pPr>
      <w:r>
        <w:rPr>
          <w:rFonts w:ascii="宋体" w:hAnsi="宋体" w:cs="宋体" w:eastAsia="宋体" w:hint="default"/>
        </w:rPr>
        <w:t>10.</w:t>
      </w:r>
      <w:r>
        <w:rPr>
          <w:rFonts w:ascii="宋体" w:hAnsi="宋体" w:cs="宋体" w:eastAsia="宋体" w:hint="default"/>
          <w:spacing w:val="-33"/>
        </w:rPr>
        <w:t> </w:t>
      </w:r>
      <w:r>
        <w:rPr>
          <w:spacing w:val="-2"/>
        </w:rPr>
        <w:t>取得借款所收到的现金，本期较上年同期增长</w:t>
      </w:r>
      <w:r>
        <w:rPr>
          <w:rFonts w:ascii="Times New Roman" w:hAnsi="Times New Roman" w:cs="Times New Roman" w:eastAsia="Times New Roman" w:hint="default"/>
          <w:spacing w:val="-2"/>
        </w:rPr>
        <w:t>100%</w:t>
      </w:r>
      <w:r>
        <w:rPr>
          <w:spacing w:val="-2"/>
        </w:rPr>
        <w:t>，主要系公司为收购</w:t>
      </w:r>
      <w:r>
        <w:rPr>
          <w:rFonts w:ascii="Times New Roman" w:hAnsi="Times New Roman" w:cs="Times New Roman" w:eastAsia="Times New Roman" w:hint="default"/>
          <w:spacing w:val="-2"/>
        </w:rPr>
        <w:t>REVIEW</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RANK</w:t>
      </w:r>
      <w:r>
        <w:rPr>
          <w:spacing w:val="-2"/>
        </w:rPr>
        <w:t>公司，向招行</w:t>
      </w:r>
      <w:r>
        <w:rPr>
          <w:spacing w:val="-89"/>
        </w:rPr>
        <w:t> </w:t>
      </w:r>
      <w:r>
        <w:rPr>
          <w:spacing w:val="-89"/>
        </w:rPr>
      </w:r>
      <w:r>
        <w:rPr/>
        <w:t>卢森堡分行申请的长期借款所致。</w:t>
      </w:r>
    </w:p>
    <w:p>
      <w:pPr>
        <w:pStyle w:val="BodyText"/>
        <w:spacing w:line="256" w:lineRule="auto" w:before="22"/>
        <w:ind w:left="513" w:right="208" w:hanging="361"/>
        <w:jc w:val="left"/>
      </w:pPr>
      <w:r>
        <w:rPr>
          <w:rFonts w:ascii="宋体" w:hAnsi="宋体" w:cs="宋体" w:eastAsia="宋体" w:hint="default"/>
        </w:rPr>
        <w:t>11. </w:t>
      </w:r>
      <w:r>
        <w:rPr>
          <w:spacing w:val="-3"/>
        </w:rPr>
        <w:t>收到其他与筹资活动有关的现金，本年较上年同期下降</w:t>
      </w:r>
      <w:r>
        <w:rPr>
          <w:rFonts w:ascii="Times New Roman" w:hAnsi="Times New Roman" w:cs="Times New Roman" w:eastAsia="Times New Roman" w:hint="default"/>
          <w:spacing w:val="-3"/>
        </w:rPr>
        <w:t>100%</w:t>
      </w:r>
      <w:r>
        <w:rPr>
          <w:spacing w:val="-3"/>
        </w:rPr>
        <w:t>，主要系上年同期收回质押存款，本期未</w:t>
      </w:r>
      <w:r>
        <w:rPr>
          <w:spacing w:val="-72"/>
        </w:rPr>
        <w:t> </w:t>
      </w:r>
      <w:r>
        <w:rPr>
          <w:spacing w:val="-72"/>
        </w:rPr>
      </w:r>
      <w:r>
        <w:rPr/>
        <w:t>发生此筹资活动所致。</w:t>
      </w:r>
    </w:p>
    <w:p>
      <w:pPr>
        <w:pStyle w:val="BodyText"/>
        <w:spacing w:line="240" w:lineRule="auto" w:before="22"/>
        <w:ind w:right="208"/>
        <w:jc w:val="left"/>
      </w:pPr>
      <w:r>
        <w:rPr>
          <w:rFonts w:ascii="宋体" w:hAnsi="宋体" w:cs="宋体" w:eastAsia="宋体" w:hint="default"/>
        </w:rPr>
        <w:t>12.</w:t>
      </w:r>
      <w:r>
        <w:rPr>
          <w:rFonts w:ascii="宋体" w:hAnsi="宋体" w:cs="宋体" w:eastAsia="宋体" w:hint="default"/>
          <w:spacing w:val="19"/>
        </w:rPr>
        <w:t> </w:t>
      </w:r>
      <w:r>
        <w:rPr>
          <w:spacing w:val="-2"/>
        </w:rPr>
        <w:t>偿还债务所支付的现金，本期较上年同期下降</w:t>
      </w:r>
      <w:r>
        <w:rPr>
          <w:rFonts w:ascii="Times New Roman" w:hAnsi="Times New Roman" w:cs="Times New Roman" w:eastAsia="Times New Roman" w:hint="default"/>
          <w:spacing w:val="-2"/>
        </w:rPr>
        <w:t>48.38%</w:t>
      </w:r>
      <w:r>
        <w:rPr>
          <w:spacing w:val="-2"/>
        </w:rPr>
        <w:t>，主要系本期所需偿还的借款较少所致。</w:t>
      </w:r>
    </w:p>
    <w:p>
      <w:pPr>
        <w:pStyle w:val="BodyText"/>
        <w:spacing w:line="256" w:lineRule="auto" w:before="21"/>
        <w:ind w:left="513" w:right="203" w:hanging="361"/>
        <w:jc w:val="left"/>
      </w:pPr>
      <w:r>
        <w:rPr>
          <w:rFonts w:ascii="宋体" w:hAnsi="宋体" w:cs="宋体" w:eastAsia="宋体" w:hint="default"/>
        </w:rPr>
        <w:t>13.</w:t>
      </w:r>
      <w:r>
        <w:rPr>
          <w:rFonts w:ascii="宋体" w:hAnsi="宋体" w:cs="宋体" w:eastAsia="宋体" w:hint="default"/>
          <w:spacing w:val="-47"/>
        </w:rPr>
        <w:t> </w:t>
      </w:r>
      <w:r>
        <w:rPr/>
        <w:t>分配股利、利润或偿付利息所支付的现金，本年较上年同期增长</w:t>
      </w:r>
      <w:r>
        <w:rPr>
          <w:rFonts w:ascii="Times New Roman" w:hAnsi="Times New Roman" w:cs="Times New Roman" w:eastAsia="Times New Roman" w:hint="default"/>
        </w:rPr>
        <w:t>35.45%</w:t>
      </w:r>
      <w:r>
        <w:rPr/>
        <w:t>，主要系本期增加了下属控股</w:t>
      </w:r>
      <w:r>
        <w:rPr>
          <w:spacing w:val="-100"/>
        </w:rPr>
        <w:t> </w:t>
      </w:r>
      <w:r>
        <w:rPr>
          <w:spacing w:val="-100"/>
        </w:rPr>
      </w:r>
      <w:r>
        <w:rPr/>
        <w:t>子公司深圳思迅分配股利所致。</w:t>
      </w:r>
    </w:p>
    <w:p>
      <w:pPr>
        <w:pStyle w:val="BodyText"/>
        <w:spacing w:line="240" w:lineRule="auto" w:before="23"/>
        <w:ind w:right="100"/>
        <w:jc w:val="left"/>
      </w:pPr>
      <w:r>
        <w:rPr>
          <w:rFonts w:ascii="宋体" w:hAnsi="宋体" w:cs="宋体" w:eastAsia="宋体" w:hint="default"/>
        </w:rPr>
        <w:t>14.</w:t>
      </w:r>
      <w:r>
        <w:rPr>
          <w:rFonts w:ascii="宋体" w:hAnsi="宋体" w:cs="宋体" w:eastAsia="宋体" w:hint="default"/>
          <w:spacing w:val="38"/>
        </w:rPr>
        <w:t> </w:t>
      </w:r>
      <w:r>
        <w:rPr>
          <w:spacing w:val="-3"/>
        </w:rPr>
        <w:t>支付其他与筹资活动有关的现金，本期较上年同期增长</w:t>
      </w:r>
      <w:r>
        <w:rPr>
          <w:rFonts w:ascii="Times New Roman" w:hAnsi="Times New Roman" w:cs="Times New Roman" w:eastAsia="Times New Roman" w:hint="default"/>
          <w:spacing w:val="-3"/>
        </w:rPr>
        <w:t>100%</w:t>
      </w:r>
      <w:r>
        <w:rPr>
          <w:spacing w:val="-3"/>
        </w:rPr>
        <w:t>，主要系本期新增长期借款的保函保证金</w:t>
      </w:r>
    </w:p>
    <w:p>
      <w:pPr>
        <w:pStyle w:val="BodyText"/>
        <w:spacing w:line="240" w:lineRule="auto" w:before="21"/>
        <w:ind w:left="513" w:right="208"/>
        <w:jc w:val="left"/>
      </w:pPr>
      <w:r>
        <w:rPr>
          <w:rFonts w:ascii="Times New Roman" w:hAnsi="Times New Roman" w:cs="Times New Roman" w:eastAsia="Times New Roman" w:hint="default"/>
        </w:rPr>
        <w:t>2.22</w:t>
      </w:r>
      <w:r>
        <w:rPr/>
        <w:t>亿，用于石基香港在卢森堡招行贷款所致。</w:t>
      </w:r>
    </w:p>
    <w:p>
      <w:pPr>
        <w:pStyle w:val="BodyText"/>
        <w:spacing w:line="240" w:lineRule="auto" w:before="21"/>
        <w:ind w:right="208"/>
        <w:jc w:val="left"/>
      </w:pPr>
      <w:r>
        <w:rPr>
          <w:rFonts w:ascii="宋体" w:hAnsi="宋体" w:cs="宋体" w:eastAsia="宋体" w:hint="default"/>
        </w:rPr>
        <w:t>15.</w:t>
      </w:r>
      <w:r>
        <w:rPr>
          <w:rFonts w:ascii="宋体" w:hAnsi="宋体" w:cs="宋体" w:eastAsia="宋体" w:hint="default"/>
          <w:spacing w:val="24"/>
        </w:rPr>
        <w:t> </w:t>
      </w:r>
      <w:r>
        <w:rPr>
          <w:spacing w:val="-2"/>
        </w:rPr>
        <w:t>期末现金及现金等价物余额，本期较上年同期下降</w:t>
      </w:r>
      <w:r>
        <w:rPr>
          <w:rFonts w:ascii="Times New Roman" w:hAnsi="Times New Roman" w:cs="Times New Roman" w:eastAsia="Times New Roman" w:hint="default"/>
          <w:spacing w:val="-2"/>
        </w:rPr>
        <w:t>44.55%</w:t>
      </w:r>
      <w:r>
        <w:rPr>
          <w:spacing w:val="-2"/>
        </w:rPr>
        <w:t>，主要系本期购买的理财产品较多所致。</w:t>
      </w:r>
    </w:p>
    <w:p>
      <w:pPr>
        <w:spacing w:after="0" w:line="240" w:lineRule="auto"/>
        <w:jc w:val="left"/>
        <w:sectPr>
          <w:pgSz w:w="11910" w:h="16840"/>
          <w:pgMar w:header="0" w:footer="980" w:top="110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153"/>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12"/>
        <w:rPr>
          <w:rFonts w:ascii="宋体" w:hAnsi="宋体" w:cs="宋体" w:eastAsia="宋体" w:hint="default"/>
          <w:b/>
          <w:bCs/>
          <w:sz w:val="40"/>
          <w:szCs w:val="40"/>
        </w:rPr>
      </w:pPr>
    </w:p>
    <w:p>
      <w:pPr>
        <w:pStyle w:val="BodyText"/>
        <w:spacing w:line="408" w:lineRule="auto"/>
        <w:ind w:right="153"/>
        <w:jc w:val="left"/>
      </w:pPr>
      <w:r>
        <w:rPr/>
        <w:t>一、载有本公司法定代表人、主管会计工作负责人、会计主管签名并盖章的财务报表。</w:t>
      </w:r>
      <w:r>
        <w:rPr>
          <w:w w:val="100"/>
        </w:rPr>
        <w:t> </w:t>
      </w:r>
      <w:r>
        <w:rPr>
          <w:spacing w:val="-2"/>
        </w:rPr>
        <w:t>二、载有信永中和会计师事务所（特殊普通合伙）盖章、注册会计师签名并盖章的审计报告原件。</w:t>
      </w:r>
      <w:r>
        <w:rPr>
          <w:spacing w:val="-25"/>
        </w:rPr>
        <w:t> </w:t>
      </w:r>
      <w:r>
        <w:rPr>
          <w:spacing w:val="-25"/>
        </w:rPr>
      </w:r>
      <w:r>
        <w:rPr/>
        <w:t>三、报告期内在中国证监会指定网站上公开披露过的所有本公司文件的正本及公告的原稿。</w:t>
      </w:r>
      <w:r>
        <w:rPr>
          <w:w w:val="100"/>
        </w:rPr>
        <w:t> </w:t>
      </w:r>
      <w:r>
        <w:rPr/>
        <w:t>四、载有董事长李仲初先生签名的</w:t>
      </w:r>
      <w:r>
        <w:rPr>
          <w:rFonts w:ascii="Times New Roman" w:hAnsi="Times New Roman" w:cs="Times New Roman" w:eastAsia="Times New Roman" w:hint="default"/>
        </w:rPr>
        <w:t>2017</w:t>
      </w:r>
      <w:r>
        <w:rPr/>
        <w:t>年年度报告全文。</w:t>
      </w:r>
    </w:p>
    <w:p>
      <w:pPr>
        <w:spacing w:after="0" w:line="408" w:lineRule="auto"/>
        <w:jc w:val="left"/>
        <w:sectPr>
          <w:pgSz w:w="11910" w:h="16840"/>
          <w:pgMar w:header="0" w:footer="980" w:top="1100" w:bottom="1160" w:left="980" w:right="980"/>
        </w:sectPr>
      </w:pPr>
    </w:p>
    <w:p>
      <w:pPr>
        <w:spacing w:line="240" w:lineRule="auto" w:before="7"/>
        <w:rPr>
          <w:rFonts w:ascii="宋体" w:hAnsi="宋体" w:cs="宋体" w:eastAsia="宋体" w:hint="default"/>
          <w:sz w:val="19"/>
          <w:szCs w:val="19"/>
        </w:rPr>
      </w:pPr>
    </w:p>
    <w:p>
      <w:pPr>
        <w:pStyle w:val="Heading3"/>
        <w:spacing w:line="240" w:lineRule="auto" w:before="26"/>
        <w:ind w:right="153"/>
        <w:jc w:val="left"/>
        <w:rPr>
          <w:b w:val="0"/>
          <w:bCs w:val="0"/>
        </w:rPr>
      </w:pPr>
      <w:r>
        <w:rPr/>
        <w:t>北京中长石基信息技术股份有限公司</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年年度报告全文签字盖章页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1"/>
          <w:szCs w:val="31"/>
        </w:rPr>
      </w:pPr>
    </w:p>
    <w:p>
      <w:pPr>
        <w:pStyle w:val="Heading4"/>
        <w:tabs>
          <w:tab w:pos="7373" w:val="left" w:leader="none"/>
          <w:tab w:pos="8855" w:val="left" w:leader="none"/>
        </w:tabs>
        <w:spacing w:line="453" w:lineRule="auto"/>
        <w:ind w:left="5333" w:right="1071" w:hanging="300"/>
        <w:jc w:val="left"/>
        <w:rPr>
          <w:rFonts w:ascii="Times New Roman" w:hAnsi="Times New Roman" w:cs="Times New Roman" w:eastAsia="Times New Roman" w:hint="default"/>
        </w:rPr>
      </w:pPr>
      <w:r>
        <w:rPr>
          <w:rFonts w:ascii="黑体" w:hAnsi="黑体" w:cs="黑体" w:eastAsia="黑体" w:hint="default"/>
        </w:rPr>
        <w:t>北京中长石基信息技术股份有限公司 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21"/>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4"/>
        <w:spacing w:line="240" w:lineRule="auto" w:before="65"/>
        <w:ind w:left="5693" w:right="153"/>
        <w:jc w:val="left"/>
        <w:rPr>
          <w:rFonts w:ascii="黑体" w:hAnsi="黑体" w:cs="黑体" w:eastAsia="黑体" w:hint="default"/>
        </w:rPr>
      </w:pPr>
      <w:r>
        <w:rPr>
          <w:rFonts w:ascii="黑体" w:hAnsi="黑体" w:cs="黑体" w:eastAsia="黑体" w:hint="default"/>
        </w:rPr>
        <w:t>二〇一八年四月十八日</w:t>
      </w:r>
    </w:p>
    <w:sectPr>
      <w:pgSz w:w="11910" w:h="16840"/>
      <w:pgMar w:header="0"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160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333923pt;width:17.7pt;height:11pt;mso-position-horizontal-relative:page;mso-position-vertical-relative:page;z-index:-116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6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50pt;height:11pt;mso-position-horizontal-relative:page;mso-position-vertical-relative:page;z-index:-1160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60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6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333923pt;width:17.7pt;height:11pt;mso-position-horizontal-relative:page;mso-position-vertical-relative:page;z-index:-1160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59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59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60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333923pt;width:17.7pt;height:11pt;mso-position-horizontal-relative:page;mso-position-vertical-relative:page;z-index:-1159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183</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59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333923pt;width:17.7pt;height:11pt;mso-position-horizontal-relative:page;mso-position-vertical-relative:page;z-index:-1159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187</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59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5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60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1160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60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116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60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1160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6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49988pt;margin-top:36.265610pt;width:231.75pt;height:11.5pt;mso-position-horizontal-relative:page;mso-position-vertical-relative:page;z-index:-1160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60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600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60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59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598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59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59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59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59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60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605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60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60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60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60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60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603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60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160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60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160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spacing w:before="162"/>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4"/>
      <w:szCs w:val="24"/>
    </w:rPr>
  </w:style>
  <w:style w:styleId="Heading5" w:type="paragraph">
    <w:name w:val="Heading 5"/>
    <w:basedOn w:val="Normal"/>
    <w:uiPriority w:val="1"/>
    <w:qFormat/>
    <w:pPr>
      <w:spacing w:before="32"/>
      <w:ind w:left="594" w:hanging="443"/>
      <w:outlineLvl w:val="5"/>
    </w:pPr>
    <w:rPr>
      <w:rFonts w:ascii="宋体" w:hAnsi="宋体" w:eastAsia="宋体"/>
      <w:b/>
      <w:bCs/>
      <w:sz w:val="22"/>
      <w:szCs w:val="22"/>
    </w:rPr>
  </w:style>
  <w:style w:styleId="Heading6" w:type="paragraph">
    <w:name w:val="Heading 6"/>
    <w:basedOn w:val="Normal"/>
    <w:uiPriority w:val="1"/>
    <w:qFormat/>
    <w:pPr>
      <w:ind w:left="152" w:firstLine="439"/>
      <w:outlineLvl w:val="6"/>
    </w:pPr>
    <w:rPr>
      <w:rFonts w:ascii="宋体" w:hAnsi="宋体" w:eastAsia="宋体"/>
      <w:sz w:val="22"/>
      <w:szCs w:val="22"/>
    </w:rPr>
  </w:style>
  <w:style w:styleId="Heading7" w:type="paragraph">
    <w:name w:val="Heading 7"/>
    <w:basedOn w:val="Normal"/>
    <w:uiPriority w:val="1"/>
    <w:qFormat/>
    <w:pPr>
      <w:ind w:left="152"/>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shijigroup.com/" TargetMode="External"/><Relationship Id="rId10" Type="http://schemas.openxmlformats.org/officeDocument/2006/relationships/hyperlink" Target="mailto:IR@shijigroup.com" TargetMode="External"/><Relationship Id="rId11" Type="http://schemas.openxmlformats.org/officeDocument/2006/relationships/hyperlink" Target="mailto:luofang@shijigroup.com" TargetMode="External"/><Relationship Id="rId12" Type="http://schemas.openxmlformats.org/officeDocument/2006/relationships/hyperlink" Target="mailto:any.zhao@shijigroup.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hyperlink" Target="http://irm.cninfo.com.cn/ircs/ssgs/companyIrmes.do?stockcode=002153" TargetMode="Externa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footer" Target="footer7.xml"/><Relationship Id="rId24" Type="http://schemas.openxmlformats.org/officeDocument/2006/relationships/hyperlink" Target="http://www.cninfo.com.cn&#30340;&#30456;&#20851;&#20844;&#21578;/" TargetMode="External"/><Relationship Id="rId25" Type="http://schemas.openxmlformats.org/officeDocument/2006/relationships/hyperlink" Target="http://www.cninfo.com.cn&#30340;/" TargetMode="External"/><Relationship Id="rId26" Type="http://schemas.openxmlformats.org/officeDocument/2006/relationships/hyperlink" Target="http://www.cninfo.con.cn&#30340;&#30456;&#20851;&#20844;&#21578;&#25991;&#20214;/" TargetMode="Externa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header" Target="header7.xml"/><Relationship Id="rId30" Type="http://schemas.openxmlformats.org/officeDocument/2006/relationships/footer" Target="footer9.xml"/><Relationship Id="rId31" Type="http://schemas.openxmlformats.org/officeDocument/2006/relationships/image" Target="media/image2.jpeg"/><Relationship Id="rId32" Type="http://schemas.openxmlformats.org/officeDocument/2006/relationships/hyperlink" Target="http://www.cninfo.com/" TargetMode="External"/><Relationship Id="rId33" Type="http://schemas.openxmlformats.org/officeDocument/2006/relationships/image" Target="media/image3.png"/><Relationship Id="rId34" Type="http://schemas.openxmlformats.org/officeDocument/2006/relationships/header" Target="header8.xml"/><Relationship Id="rId35" Type="http://schemas.openxmlformats.org/officeDocument/2006/relationships/footer" Target="footer10.xml"/><Relationship Id="rId36" Type="http://schemas.openxmlformats.org/officeDocument/2006/relationships/header" Target="header9.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footer" Target="footer13.xml"/><Relationship Id="rId40" Type="http://schemas.openxmlformats.org/officeDocument/2006/relationships/header" Target="header10.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header" Target="header11.xml"/><Relationship Id="rId44" Type="http://schemas.openxmlformats.org/officeDocument/2006/relationships/footer" Target="footer16.xml"/><Relationship Id="rId45" Type="http://schemas.openxmlformats.org/officeDocument/2006/relationships/header" Target="header12.xml"/><Relationship Id="rId46" Type="http://schemas.openxmlformats.org/officeDocument/2006/relationships/footer" Target="footer17.xml"/><Relationship Id="rId47" Type="http://schemas.openxmlformats.org/officeDocument/2006/relationships/header" Target="header13.xml"/><Relationship Id="rId48" Type="http://schemas.openxmlformats.org/officeDocument/2006/relationships/footer" Target="footer18.xml"/><Relationship Id="rId49" Type="http://schemas.openxmlformats.org/officeDocument/2006/relationships/footer" Target="footer19.xml"/><Relationship Id="rId50" Type="http://schemas.openxmlformats.org/officeDocument/2006/relationships/image" Target="media/image4.png"/><Relationship Id="rId51" Type="http://schemas.openxmlformats.org/officeDocument/2006/relationships/header" Target="header14.xml"/><Relationship Id="rId52" Type="http://schemas.openxmlformats.org/officeDocument/2006/relationships/footer" Target="footer20.xml"/><Relationship Id="rId53" Type="http://schemas.openxmlformats.org/officeDocument/2006/relationships/header" Target="header15.xml"/><Relationship Id="rId54" Type="http://schemas.openxmlformats.org/officeDocument/2006/relationships/footer" Target="footer21.xml"/><Relationship Id="rId55" Type="http://schemas.openxmlformats.org/officeDocument/2006/relationships/header" Target="header16.xml"/><Relationship Id="rId56" Type="http://schemas.openxmlformats.org/officeDocument/2006/relationships/footer" Target="footer22.xml"/><Relationship Id="rId57" Type="http://schemas.openxmlformats.org/officeDocument/2006/relationships/header" Target="header17.xml"/><Relationship Id="rId58" Type="http://schemas.openxmlformats.org/officeDocument/2006/relationships/footer" Target="footer23.xml"/><Relationship Id="rId59" Type="http://schemas.openxmlformats.org/officeDocument/2006/relationships/header" Target="header18.xml"/><Relationship Id="rId60" Type="http://schemas.openxmlformats.org/officeDocument/2006/relationships/footer" Target="footer24.xml"/><Relationship Id="rId61"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北京中长石基信息技术股份有限公司</dc:creator>
  <dc:title>北京中长石基信息技术股份有限公司2017年年度报告全文</dc:title>
  <dcterms:created xsi:type="dcterms:W3CDTF">2020-05-02T21:30:43Z</dcterms:created>
  <dcterms:modified xsi:type="dcterms:W3CDTF">2020-05-02T21:30:43Z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2010</vt:lpwstr>
  </property>
  <property fmtid="{D5CDD505-2E9C-101B-9397-08002B2CF9AE}" pid="4" name="LastSaved">
    <vt:filetime>2020-05-02T00:00:00Z</vt:filetime>
  </property>
</Properties>
</file>